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5717.xml.htm"/>
      <w:bookmarkStart w:id="1" w:name="kswkform4_17871757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Frank Edward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SITIME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5451 PATRICK HENRY DR.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SITIME Corp</w:t>
              </w:r>
            </w:hyperlink>
            <w:r>
              <w:rPr/>
              <w:t xml:space="preserve"> [ </w:t>
            </w:r>
            <w:r>
              <w:rPr>
                <w:rFonts w:ascii="Times;serif" w:hAnsi="Times;serif"/>
                <w:color w:val="0000FF"/>
                <w:sz w:val="24"/>
                <w:shd w:fill="FFFFFF" w:val="clear"/>
              </w:rPr>
              <w:t>SITM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849"/>
        <w:gridCol w:w="457"/>
        <w:gridCol w:w="630"/>
        <w:gridCol w:w="1168"/>
        <w:gridCol w:w="1001"/>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745</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10,999</w:t>
            </w:r>
            <w:r>
              <w:rPr>
                <w:rFonts w:ascii="Times;serif" w:hAnsi="Times;serif"/>
                <w:color w:val="008000"/>
                <w:position w:val="7"/>
                <w:sz w:val="16"/>
                <w:sz w:val="20"/>
                <w:shd w:fill="FFFFFF" w:val="clear"/>
              </w:rPr>
              <w:t>(1)</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an aggregate of 390 shares of common stock issuable pursuant to the restricted stock unit award reported pursuant to this Form 4 that has not yet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reportable securities are owned directly by Whitton Anne Frank 2015 Heritage Trust, of which the Reporting Person is one of the trustees and has voting and investment power over the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reportable securities are owned directly by Naomi Mantor Frank 2015 Heritage Trust, of which the Reporting Person is one of the trustees and has voting and investment power over the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Samsheer Ahamad,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9827" TargetMode="External"/><Relationship Id="rId5" Type="http://schemas.openxmlformats.org/officeDocument/2006/relationships/hyperlink" Target="http://www.sec.gov/cgi-bin/browse-edgar?action=getcompany&amp;CIK=0001451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3598</Characters>
  <CharactersWithSpaces>4190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