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001-39135</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82"/>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120" w:type="dxa"/>
            <w:vAlign w:val="bottom"/>
          </w:tcPr>
          <w:p>
            <w:pPr>
              <w:jc w:val="center"/>
              <w:ind w:right="1984"/>
              <w:spacing w:after="0"/>
              <w:rPr>
                <w:sz w:val="20"/>
                <w:szCs w:val="20"/>
                <w:color w:val="auto"/>
              </w:rPr>
            </w:pPr>
            <w:r>
              <w:rPr>
                <w:rFonts w:ascii="Times New Roman" w:cs="Times New Roman" w:eastAsia="Times New Roman" w:hAnsi="Times New Roman"/>
                <w:sz w:val="18"/>
                <w:szCs w:val="18"/>
                <w:b w:val="1"/>
                <w:bCs w:val="1"/>
                <w:color w:val="auto"/>
                <w:w w:val="99"/>
              </w:rPr>
              <w:t>5451 Patrick Henry Drive</w:t>
            </w:r>
          </w:p>
        </w:tc>
        <w:tc>
          <w:tcPr>
            <w:tcW w:w="3020" w:type="dxa"/>
            <w:vAlign w:val="bottom"/>
          </w:tcPr>
          <w:p>
            <w:pPr>
              <w:spacing w:after="0"/>
              <w:rPr>
                <w:sz w:val="21"/>
                <w:szCs w:val="21"/>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0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328-4400</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1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SITM</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8" w:lineRule="exact"/>
        <w:rPr>
          <w:sz w:val="24"/>
          <w:szCs w:val="24"/>
          <w:color w:val="auto"/>
        </w:rPr>
      </w:pPr>
    </w:p>
    <w:p>
      <w:pPr>
        <w:ind w:firstLine="1377"/>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jc w:val="both"/>
        <w:ind w:right="60" w:firstLine="1377"/>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tabs>
          <w:tab w:leader="none" w:pos="520" w:val="left"/>
          <w:tab w:leader="none" w:pos="116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69" w:lineRule="exact"/>
        <w:rPr>
          <w:sz w:val="24"/>
          <w:szCs w:val="24"/>
          <w:color w:val="auto"/>
        </w:rPr>
      </w:pPr>
    </w:p>
    <w:p>
      <w:pPr>
        <w:jc w:val="both"/>
        <w:ind w:right="60" w:firstLine="1377"/>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x</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0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68" w:lineRule="exact"/>
        <w:rPr>
          <w:sz w:val="24"/>
          <w:szCs w:val="24"/>
          <w:color w:val="auto"/>
        </w:rPr>
      </w:pPr>
    </w:p>
    <w:p>
      <w:pPr>
        <w:jc w:val="both"/>
        <w:ind w:right="200" w:firstLine="1377"/>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left="1380"/>
        <w:spacing w:after="0"/>
        <w:tabs>
          <w:tab w:leader="none" w:pos="8880" w:val="left"/>
          <w:tab w:leader="none" w:pos="9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9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As of November 1, 2025, the registrant had 26,100,630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 Summary</w:t>
            </w:r>
          </w:p>
        </w:tc>
        <w:tc>
          <w:tcPr>
            <w:tcW w:w="71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9"/>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8"/>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5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w:t>
            </w:r>
          </w:p>
        </w:tc>
        <w:tc>
          <w:tcPr>
            <w:tcW w:w="3200" w:type="dxa"/>
            <w:vAlign w:val="bottom"/>
            <w:gridSpan w:val="2"/>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340" w:type="dxa"/>
            <w:vAlign w:val="bottom"/>
            <w:gridSpan w:val="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5"/>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vMerge w:val="continue"/>
          </w:tcPr>
          <w:p>
            <w:pPr>
              <w:spacing w:after="0"/>
              <w:rPr>
                <w:sz w:val="21"/>
                <w:szCs w:val="21"/>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40" w:type="dxa"/>
            <w:vAlign w:val="bottom"/>
            <w:gridSpan w:val="10"/>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400" w:type="dxa"/>
            <w:vAlign w:val="bottom"/>
            <w:gridSpan w:val="13"/>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2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4"/>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as more fully described in Part II,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98" w:lineRule="exact"/>
        <w:rPr>
          <w:sz w:val="20"/>
          <w:szCs w:val="20"/>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Global macroeconomic conditions have harmed and may continue to harm our business;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30" w:lineRule="exact"/>
        <w:rPr>
          <w:rFonts w:ascii="Arial" w:cs="Arial" w:eastAsia="Arial" w:hAnsi="Arial"/>
          <w:sz w:val="22"/>
          <w:szCs w:val="22"/>
          <w:color w:val="auto"/>
        </w:rPr>
      </w:pPr>
    </w:p>
    <w:p>
      <w:pPr>
        <w:ind w:left="820" w:hanging="488"/>
        <w:spacing w:after="0" w:line="247"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126" w:lineRule="exact"/>
        <w:rPr>
          <w:rFonts w:ascii="Arial" w:cs="Arial" w:eastAsia="Arial" w:hAnsi="Arial"/>
          <w:sz w:val="22"/>
          <w:szCs w:val="22"/>
          <w:color w:val="auto"/>
        </w:rPr>
      </w:pPr>
    </w:p>
    <w:p>
      <w:pPr>
        <w:ind w:left="820" w:right="8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132" w:lineRule="exact"/>
        <w:rPr>
          <w:rFonts w:ascii="Arial" w:cs="Arial" w:eastAsia="Arial" w:hAnsi="Arial"/>
          <w:sz w:val="22"/>
          <w:szCs w:val="22"/>
          <w:color w:val="auto"/>
        </w:rPr>
      </w:pPr>
    </w:p>
    <w:p>
      <w:pPr>
        <w:ind w:left="82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129" w:lineRule="exact"/>
        <w:rPr>
          <w:rFonts w:ascii="Arial" w:cs="Arial" w:eastAsia="Arial" w:hAnsi="Arial"/>
          <w:sz w:val="22"/>
          <w:szCs w:val="22"/>
          <w:color w:val="auto"/>
        </w:rPr>
      </w:pPr>
    </w:p>
    <w:p>
      <w:pPr>
        <w:jc w:val="both"/>
        <w:ind w:left="820" w:right="100" w:hanging="488"/>
        <w:spacing w:after="0" w:line="243"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27" w:lineRule="exact"/>
        <w:rPr>
          <w:rFonts w:ascii="Arial" w:cs="Arial" w:eastAsia="Arial" w:hAnsi="Arial"/>
          <w:sz w:val="22"/>
          <w:szCs w:val="22"/>
          <w:color w:val="auto"/>
        </w:rPr>
      </w:pPr>
    </w:p>
    <w:p>
      <w:pPr>
        <w:ind w:left="820" w:right="16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significant tariffs or other trade restrictions are placed on our products or third-party suppliers, our revenue and results of operations may be materially harmed;</w:t>
      </w:r>
    </w:p>
    <w:p>
      <w:pPr>
        <w:spacing w:after="0" w:line="91" w:lineRule="exact"/>
        <w:rPr>
          <w:rFonts w:ascii="Arial" w:cs="Arial" w:eastAsia="Arial" w:hAnsi="Arial"/>
          <w:sz w:val="22"/>
          <w:szCs w:val="22"/>
          <w:color w:val="auto"/>
        </w:rPr>
      </w:pPr>
    </w:p>
    <w:p>
      <w:pPr>
        <w:ind w:left="820" w:right="660" w:hanging="488"/>
        <w:spacing w:after="0" w:line="28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94" w:lineRule="exact"/>
        <w:rPr>
          <w:rFonts w:ascii="Times New Roman" w:cs="Times New Roman" w:eastAsia="Times New Roman" w:hAnsi="Times New Roman"/>
          <w:sz w:val="18"/>
          <w:szCs w:val="18"/>
          <w:color w:val="auto"/>
        </w:rPr>
      </w:pPr>
    </w:p>
    <w:p>
      <w:pPr>
        <w:ind w:left="820" w:right="200" w:hanging="488"/>
        <w:spacing w:after="0" w:line="24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126" w:lineRule="exact"/>
        <w:rPr>
          <w:rFonts w:ascii="Arial" w:cs="Arial" w:eastAsia="Arial" w:hAnsi="Arial"/>
          <w:sz w:val="22"/>
          <w:szCs w:val="22"/>
          <w:color w:val="auto"/>
        </w:rPr>
      </w:pPr>
    </w:p>
    <w:p>
      <w:pPr>
        <w:ind w:left="820" w:right="3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not able to successfully introduce and ship in volume new products in a timely manner, our business and revenue will suffer;</w:t>
      </w:r>
    </w:p>
    <w:p>
      <w:pPr>
        <w:spacing w:after="0" w:line="130" w:lineRule="exact"/>
        <w:rPr>
          <w:rFonts w:ascii="Arial" w:cs="Arial" w:eastAsia="Arial" w:hAnsi="Arial"/>
          <w:sz w:val="22"/>
          <w:szCs w:val="22"/>
          <w:color w:val="auto"/>
        </w:rPr>
      </w:pPr>
    </w:p>
    <w:p>
      <w:pPr>
        <w:ind w:left="820" w:right="520" w:hanging="488"/>
        <w:spacing w:after="0" w:line="234" w:lineRule="auto"/>
        <w:tabs>
          <w:tab w:leader="none" w:pos="81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124" w:lineRule="exact"/>
        <w:rPr>
          <w:rFonts w:ascii="Arial" w:cs="Arial" w:eastAsia="Arial" w:hAnsi="Arial"/>
          <w:sz w:val="22"/>
          <w:szCs w:val="22"/>
          <w:color w:val="auto"/>
        </w:rPr>
      </w:pPr>
    </w:p>
    <w:p>
      <w:pPr>
        <w:ind w:left="820" w:hanging="488"/>
        <w:spacing w:after="0"/>
        <w:tabs>
          <w:tab w:leader="none" w:pos="8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gross margins may fluctuate due to a variety of factors, which could negatively impact our results of operations and our financial condition;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in previous periods may not be indicative of future performance and our revenue may fluctuate over time;</w:t>
      </w:r>
    </w:p>
    <w:p>
      <w:pPr>
        <w:spacing w:after="0" w:line="130" w:lineRule="exact"/>
        <w:rPr>
          <w:rFonts w:ascii="Arial" w:cs="Arial" w:eastAsia="Arial" w:hAnsi="Arial"/>
          <w:sz w:val="22"/>
          <w:szCs w:val="22"/>
          <w:color w:val="auto"/>
        </w:rPr>
      </w:pPr>
    </w:p>
    <w:p>
      <w:pPr>
        <w:jc w:val="both"/>
        <w:ind w:left="820" w:right="28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32" w:lineRule="exact"/>
        <w:rPr>
          <w:rFonts w:ascii="Arial" w:cs="Arial" w:eastAsia="Arial" w:hAnsi="Arial"/>
          <w:sz w:val="22"/>
          <w:szCs w:val="22"/>
          <w:color w:val="auto"/>
        </w:rPr>
      </w:pPr>
    </w:p>
    <w:p>
      <w:pPr>
        <w:ind w:left="820" w:right="280" w:hanging="488"/>
        <w:spacing w:after="0" w:line="24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provide a lifetime warranty on our products and may be subject to warranty or product liability claims, which could harm our reputation, result in unexpected expenses, and cause us to lose market share;</w:t>
      </w:r>
    </w:p>
    <w:p>
      <w:pPr>
        <w:spacing w:after="0" w:line="107"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Defects in our products could harm our relationships with our customers and damage our reputation;</w:t>
      </w:r>
    </w:p>
    <w:p>
      <w:pPr>
        <w:spacing w:after="0" w:line="12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compete effectively, we may lose or fail to gain market share, which could negatively impact our operating results and our business;</w:t>
      </w:r>
    </w:p>
    <w:p>
      <w:pPr>
        <w:spacing w:after="0" w:line="130" w:lineRule="exact"/>
        <w:rPr>
          <w:rFonts w:ascii="Arial" w:cs="Arial" w:eastAsia="Arial" w:hAnsi="Arial"/>
          <w:sz w:val="21"/>
          <w:szCs w:val="21"/>
          <w:color w:val="auto"/>
        </w:rPr>
      </w:pPr>
    </w:p>
    <w:p>
      <w:pPr>
        <w:ind w:left="820" w:right="1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make acquisitions in the future that could disrupt our business, cause dilution to our stockholders, reduce our financial resources, and harm our business;</w:t>
      </w:r>
    </w:p>
    <w:p>
      <w:pPr>
        <w:spacing w:after="0" w:line="113"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accurately predict our future capital needs, and we may not be able to obtain additional financing to fund our operations;</w:t>
      </w:r>
    </w:p>
    <w:p>
      <w:pPr>
        <w:spacing w:after="0" w:line="111" w:lineRule="exact"/>
        <w:rPr>
          <w:rFonts w:ascii="Arial" w:cs="Arial" w:eastAsia="Arial" w:hAnsi="Arial"/>
          <w:sz w:val="22"/>
          <w:szCs w:val="22"/>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seek, or be required to seek debt financing;</w:t>
      </w:r>
    </w:p>
    <w:p>
      <w:pPr>
        <w:spacing w:after="0" w:line="143" w:lineRule="exact"/>
        <w:rPr>
          <w:rFonts w:ascii="Arial" w:cs="Arial" w:eastAsia="Arial" w:hAnsi="Arial"/>
          <w:sz w:val="22"/>
          <w:szCs w:val="22"/>
          <w:color w:val="auto"/>
        </w:rPr>
      </w:pPr>
    </w:p>
    <w:p>
      <w:pPr>
        <w:ind w:left="820" w:right="58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the laws associated with our activities outside of the United States could subject us to penalties and other adverse consequences;</w:t>
      </w:r>
    </w:p>
    <w:p>
      <w:pPr>
        <w:spacing w:after="0" w:line="132" w:lineRule="exact"/>
        <w:rPr>
          <w:rFonts w:ascii="Arial" w:cs="Arial" w:eastAsia="Arial" w:hAnsi="Arial"/>
          <w:sz w:val="22"/>
          <w:szCs w:val="22"/>
          <w:color w:val="auto"/>
        </w:rPr>
      </w:pPr>
    </w:p>
    <w:p>
      <w:pPr>
        <w:ind w:left="820" w:right="1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government regulation, including import, export and economic sanctions laws and regulations that may expose us to liability and increase our costs;</w:t>
      </w:r>
    </w:p>
    <w:p>
      <w:pPr>
        <w:spacing w:after="0" w:line="132" w:lineRule="exact"/>
        <w:rPr>
          <w:rFonts w:ascii="Arial" w:cs="Arial" w:eastAsia="Arial" w:hAnsi="Arial"/>
          <w:sz w:val="22"/>
          <w:szCs w:val="22"/>
          <w:color w:val="auto"/>
        </w:rPr>
      </w:pPr>
    </w:p>
    <w:p>
      <w:pPr>
        <w:ind w:left="820" w:right="34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New or future changes to U.S. and non-U.S. tax laws, or tax regulatory authorities disagreeing with our positions and conclusions regarding certain tax positions, could materially adversely affect us;</w:t>
      </w:r>
    </w:p>
    <w:p>
      <w:pPr>
        <w:spacing w:after="0" w:line="132" w:lineRule="exact"/>
        <w:rPr>
          <w:rFonts w:ascii="Arial" w:cs="Arial" w:eastAsia="Arial" w:hAnsi="Arial"/>
          <w:sz w:val="22"/>
          <w:szCs w:val="22"/>
          <w:color w:val="auto"/>
        </w:rPr>
      </w:pPr>
    </w:p>
    <w:p>
      <w:pPr>
        <w:ind w:left="820" w:right="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132" w:lineRule="exact"/>
        <w:rPr>
          <w:rFonts w:ascii="Arial" w:cs="Arial" w:eastAsia="Arial" w:hAnsi="Arial"/>
          <w:sz w:val="22"/>
          <w:szCs w:val="22"/>
          <w:color w:val="auto"/>
        </w:rPr>
      </w:pPr>
    </w:p>
    <w:p>
      <w:pPr>
        <w:jc w:val="both"/>
        <w:ind w:left="820" w:right="360" w:hanging="488"/>
        <w:spacing w:after="0" w:line="239"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91" w:lineRule="exact"/>
        <w:rPr>
          <w:rFonts w:ascii="Arial" w:cs="Arial" w:eastAsia="Arial" w:hAnsi="Arial"/>
          <w:sz w:val="22"/>
          <w:szCs w:val="22"/>
          <w:color w:val="auto"/>
        </w:rPr>
      </w:pPr>
    </w:p>
    <w:p>
      <w:pPr>
        <w:ind w:left="820" w:right="200" w:hanging="488"/>
        <w:spacing w:after="0" w:line="312" w:lineRule="auto"/>
        <w:tabs>
          <w:tab w:leader="none" w:pos="8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53" w:lineRule="exact"/>
        <w:rPr>
          <w:rFonts w:ascii="Times New Roman" w:cs="Times New Roman" w:eastAsia="Times New Roman" w:hAnsi="Times New Roman"/>
          <w:sz w:val="17"/>
          <w:szCs w:val="17"/>
          <w:color w:val="auto"/>
        </w:rPr>
      </w:pPr>
    </w:p>
    <w:p>
      <w:pPr>
        <w:ind w:left="820" w:hanging="488"/>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and</w:t>
      </w:r>
    </w:p>
    <w:p>
      <w:pPr>
        <w:spacing w:after="0" w:line="143" w:lineRule="exact"/>
        <w:rPr>
          <w:rFonts w:ascii="Arial" w:cs="Arial" w:eastAsia="Arial" w:hAnsi="Arial"/>
          <w:sz w:val="22"/>
          <w:szCs w:val="22"/>
          <w:color w:val="auto"/>
        </w:rPr>
      </w:pPr>
    </w:p>
    <w:p>
      <w:pPr>
        <w:ind w:left="820" w:right="20" w:hanging="488"/>
        <w:spacing w:after="0" w:line="234" w:lineRule="auto"/>
        <w:tabs>
          <w:tab w:leader="none" w:pos="81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412,728</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76,741</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37"/>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544,060</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43"/>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85,555</w:t>
            </w:r>
          </w:p>
        </w:tc>
      </w:tr>
      <w:tr>
        <w:trPr>
          <w:trHeight w:val="27"/>
        </w:trPr>
        <w:tc>
          <w:tcPr>
            <w:tcW w:w="78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108,449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76,791</w:t>
            </w:r>
          </w:p>
        </w:tc>
      </w:tr>
      <w:tr>
        <w:trPr>
          <w:trHeight w:val="27"/>
        </w:trPr>
        <w:tc>
          <w:tcPr>
            <w:tcW w:w="78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173,597</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185,240</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spacing w:after="0"/>
              <w:rPr>
                <w:sz w:val="21"/>
                <w:szCs w:val="21"/>
                <w:color w:val="auto"/>
              </w:rPr>
            </w:pPr>
          </w:p>
        </w:tc>
      </w:tr>
      <w:tr>
        <w:trPr>
          <w:trHeight w:val="225"/>
        </w:trPr>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- 200,000 shares authorized; 26,101 and 23,598 shares issued and</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September 30, 2025 and December 31, 2024</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1,337,471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(182,001)</w:t>
            </w:r>
          </w:p>
        </w:tc>
      </w:tr>
      <w:tr>
        <w:trPr>
          <w:trHeight w:val="27"/>
        </w:trPr>
        <w:tc>
          <w:tcPr>
            <w:tcW w:w="78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1,103,403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r>
      <w:tr>
        <w:trPr>
          <w:trHeight w:val="264"/>
        </w:trPr>
        <w:tc>
          <w:tcPr>
            <w:tcW w:w="7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1,277,000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884,959</w:t>
            </w:r>
          </w:p>
        </w:tc>
      </w:tr>
      <w:tr>
        <w:trPr>
          <w:trHeight w:val="20"/>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4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46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213,375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134,586</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65,936</w:t>
            </w:r>
          </w:p>
        </w:tc>
      </w:tr>
      <w:tr>
        <w:trPr>
          <w:trHeight w:val="27"/>
        </w:trPr>
        <w:tc>
          <w:tcPr>
            <w:tcW w:w="54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68,650</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90,598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77,523</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74,462</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4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8,886</w:t>
            </w:r>
          </w:p>
        </w:tc>
      </w:tr>
      <w:tr>
        <w:trPr>
          <w:trHeight w:val="237"/>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160,871</w:t>
            </w:r>
          </w:p>
        </w:tc>
      </w:tr>
      <w:tr>
        <w:trPr>
          <w:trHeight w:val="27"/>
        </w:trPr>
        <w:tc>
          <w:tcPr>
            <w:tcW w:w="546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(92,221)</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(74,674)</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6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(74,788)</w:t>
            </w:r>
          </w:p>
        </w:tc>
      </w:tr>
      <w:tr>
        <w:trPr>
          <w:trHeight w:val="20"/>
        </w:trPr>
        <w:tc>
          <w:tcPr>
            <w:tcW w:w="54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9"/>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and 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(74,788)</w:t>
            </w: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r>
        <w:trPr>
          <w:trHeight w:val="21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 per</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4"/>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23,001</w:t>
            </w:r>
          </w:p>
        </w:tc>
      </w:tr>
      <w:tr>
        <w:trPr>
          <w:trHeight w:val="27"/>
        </w:trPr>
        <w:tc>
          <w:tcPr>
            <w:tcW w:w="54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60" w:type="dxa"/>
            <w:vAlign w:val="bottom"/>
            <w:gridSpan w:val="3"/>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660" w:type="dxa"/>
            <w:vAlign w:val="bottom"/>
          </w:tcPr>
          <w:p>
            <w:pPr>
              <w:spacing w:after="0"/>
              <w:rPr>
                <w:sz w:val="9"/>
                <w:szCs w:val="9"/>
                <w:color w:val="auto"/>
              </w:rPr>
            </w:pPr>
          </w:p>
        </w:tc>
        <w:tc>
          <w:tcPr>
            <w:tcW w:w="2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92"/>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660" w:type="dxa"/>
            <w:vAlign w:val="bottom"/>
          </w:tcPr>
          <w:p>
            <w:pPr>
              <w:spacing w:after="0"/>
              <w:rPr>
                <w:sz w:val="17"/>
                <w:szCs w:val="17"/>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1,326,735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(226,057)</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1,100,681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follow-on public offering net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underwriting discounts and commissions and other offering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26,101</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1,337,471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1,103,403</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836,383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(143,873)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692,512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0" w:type="dxa"/>
            <w:vAlign w:val="bottom"/>
          </w:tcPr>
          <w:p>
            <w:pPr>
              <w:spacing w:after="0"/>
              <w:rPr>
                <w:sz w:val="1"/>
                <w:szCs w:val="1"/>
                <w:color w:val="auto"/>
              </w:rPr>
            </w:pP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696,235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881,718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699,719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follow-on public offering net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underwriting discounts and commissions and other offering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26,101</w:t>
            </w:r>
          </w:p>
        </w:tc>
        <w:tc>
          <w:tcPr>
            <w:tcW w:w="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1,337,471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(234,071)</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1,103,403</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(74,788)</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in connection with At-The-Market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net of underwriting discounts and commissions and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offering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w:t>
            </w: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withholdings</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0" w:type="dxa"/>
            <w:vAlign w:val="bottom"/>
          </w:tcPr>
          <w:p>
            <w:pPr>
              <w:spacing w:after="0"/>
              <w:rPr>
                <w:sz w:val="1"/>
                <w:szCs w:val="1"/>
                <w:color w:val="auto"/>
              </w:rPr>
            </w:pPr>
          </w:p>
        </w:tc>
      </w:tr>
      <w:tr>
        <w:trPr>
          <w:trHeight w:val="26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696,235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4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79,128</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unrealized interest on held to maturity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fair value of sales-based earnout liability</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acquisition consideration payable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Inventory write-down</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held to maturity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maturity of held to maturity securities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562,874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610,938</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intangibles</w:t>
            </w:r>
          </w:p>
        </w:tc>
        <w:tc>
          <w:tcPr>
            <w:tcW w:w="26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paid on behalf of employees for net share settlement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433,091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 towards earnouts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deferred acquisition consideration payable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365,620</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(84,430)</w:t>
            </w:r>
          </w:p>
        </w:tc>
        <w:tc>
          <w:tcPr>
            <w:tcW w:w="0" w:type="dxa"/>
            <w:vAlign w:val="bottom"/>
          </w:tcPr>
          <w:p>
            <w:pPr>
              <w:spacing w:after="0"/>
              <w:rPr>
                <w:sz w:val="1"/>
                <w:szCs w:val="1"/>
                <w:color w:val="auto"/>
              </w:rPr>
            </w:pPr>
          </w:p>
        </w:tc>
      </w:tr>
      <w:tr>
        <w:trPr>
          <w:trHeight w:val="237"/>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Unpaid property and equipment</w:t>
            </w:r>
          </w:p>
        </w:tc>
        <w:tc>
          <w:tcPr>
            <w:tcW w:w="26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0" w:type="dxa"/>
            <w:vAlign w:val="bottom"/>
          </w:tcPr>
          <w:p>
            <w:pPr>
              <w:spacing w:after="0"/>
              <w:rPr>
                <w:sz w:val="1"/>
                <w:szCs w:val="1"/>
                <w:color w:val="auto"/>
              </w:rPr>
            </w:pPr>
          </w:p>
        </w:tc>
      </w:tr>
      <w:tr>
        <w:trPr>
          <w:trHeight w:val="24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acquired under operating leases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SiTime Corporation (the “Company” or "SiTime") was incorporated in the State of Delaware in December 2003. The Company is a leading provider of Precision timing ("Precision Timing") solutions, a category that SiTime created. Precision Timing provides the timing functionality that is needed for electronics to operate reliably and accurately.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in conformity with United States ("U.S.") generally accepted accounting principles ("GAAP") for interim financial information and the instructions to Form 10-Q and Article 10 of Regulation S-X, and should be read in conjunction with the Company's audited consolidated financial statements and related notes thereto filed with the U.S. Securities and Exchange Commission ("SEC") on Form 10-K for the fiscal year ended December 31, 2024. The interim financial statements are unaudited, but reflect all adjustments which are, in the opinion of management, of a normal, recurring nature necessary to provide a fair statement of results for the interim periods presented. The results of operations for the interim periods shown in this report are not necessarily indicative of the results that may be expected for the fiscal year ended December 31, 2025, for any future year, or for any other future interim period.</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significant areas requiring the use of management estimates and assumptions include revenue recognition, fair value of earnout liabilities, estimate of reserve for excess and obsolete inventories, and sales reserves.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audited consolidated financial statements and related notes thereto included in the Annual Report on Form 10-K for the year ended December 31, 2024. There have been no changes to these accounting policies through September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likely result in the required additional disclosures being included in our consolidated financial statements, once adopted. We are currently evaluating the provisions of this ASU.</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(74,788)</w:t>
            </w:r>
          </w:p>
        </w:tc>
        <w:tc>
          <w:tcPr>
            <w:tcW w:w="0" w:type="dxa"/>
            <w:vAlign w:val="bottom"/>
          </w:tcPr>
          <w:p>
            <w:pPr>
              <w:spacing w:after="0"/>
              <w:rPr>
                <w:sz w:val="1"/>
                <w:szCs w:val="1"/>
                <w:color w:val="auto"/>
              </w:rPr>
            </w:pPr>
          </w:p>
        </w:tc>
      </w:tr>
      <w:tr>
        <w:trPr>
          <w:trHeight w:val="205"/>
        </w:trPr>
        <w:tc>
          <w:tcPr>
            <w:tcW w:w="52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26,048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8"/>
                <w:szCs w:val="18"/>
                <w:color w:val="auto"/>
              </w:rPr>
              <w:t>Net loss attributable to common stockholders per share, basic and</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52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Potential dilutive securities include dilutive common shares from share-based awards attributable to the restricted stock unit awards calculated using the treasury stock method. Under the treasury stock method, potential common shares outstanding are not included in the computation of diluted net income per share if their effect is anti-dilutive.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three months ended September 30, 2025 and 2024, the Company had 439,954 and 537,475 potential shares from restricted stock units that are anti-dilutive, respectively. During the nine months ended September 30, 2025 and 2024, the Company had 474,878 and 582,264 potential shares from restricted stock units that are anti-dilutive,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September 30, 2025 and December 31, 2024, highly liquid money market funds of $0.2 million and $0.3 million, respectively, were valued using Level 1 of the fair value hierarchy, quoted prices in active markets for identical assets, and are included in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 in held-to-maturity securities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purchased Treasury Bills with maturities ranging from 3 to 12 months, which the Company intends to hold until maturity and has classified as held-to-maturity securities. The held-to-maturity securities are recorded at amortized cost totaling $782.5 million including gross accrued interest of $7.5 million as of September 30, 2025. As of September 30, 2025, the fair value on the held-to-maturity securities was $782.7 million and the gross unrealized gain was $0.2 million.</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the amortized cost of the held-to-maturity securities totaled $412.7 million including gross accrued interest of $4.3 million. As of December 31, 2024, the fair value and gross unrealized gain on the held-to-maturity securities was $412.9 million and $0.2 million, respectively.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treasury bills were valued using Level 1 of the fair value hierarchy, quoted prices in active markets for identical assets, and are included in short-term investments. The carrying value of our investments is reviewed quarterly for changes in circumstances or the occurrence of events that suggests an investment may not be fully recoverable.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Sales-based earnout liability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sales-based earnout liability is determined using a Monte Carlo simulation model using significant unobservable fair value</w:t>
      </w:r>
    </w:p>
    <w:p>
      <w:pPr>
        <w:spacing w:after="0" w:line="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will result in significant adjustments to the fair value. As of September 30, 2025, the Company used a volatility rate of 20%, risk free rate ranging from 3.6% to 4.1%, and an expected term ranging from 0.13 years to 3.13 years.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38"/>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financial liabilities: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January 1, 2025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97,256</w:t>
            </w:r>
          </w:p>
        </w:tc>
      </w:tr>
      <w:tr>
        <w:trPr>
          <w:trHeight w:val="24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the fair value during the year recorded to acquisition related costs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7"/>
        </w:trPr>
        <w:tc>
          <w:tcPr>
            <w:tcW w:w="9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37"/>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as of September 30, 2025</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90,605</w:t>
            </w:r>
          </w:p>
        </w:tc>
      </w:tr>
      <w:tr>
        <w:trPr>
          <w:trHeight w:val="27"/>
        </w:trPr>
        <w:tc>
          <w:tcPr>
            <w:tcW w:w="12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12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any of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65"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41910</wp:posOffset>
            </wp:positionV>
            <wp:extent cx="221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2" w:lineRule="exact"/>
        <w:rPr>
          <w:sz w:val="20"/>
          <w:szCs w:val="20"/>
          <w:color w:val="auto"/>
        </w:rPr>
      </w:pPr>
    </w:p>
    <w:p>
      <w:pPr>
        <w:ind w:left="8000"/>
        <w:spacing w:after="0"/>
        <w:tabs>
          <w:tab w:leader="none" w:pos="978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41910</wp:posOffset>
            </wp:positionV>
            <wp:extent cx="2219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0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consisted of the following:</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38,259</w:t>
            </w:r>
          </w:p>
        </w:tc>
      </w:tr>
      <w:tr>
        <w:trPr>
          <w:trHeight w:val="270"/>
        </w:trPr>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w:t>
            </w:r>
          </w:p>
        </w:tc>
      </w:tr>
      <w:tr>
        <w:trPr>
          <w:trHeight w:val="27"/>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-213995</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62" w:lineRule="exact"/>
        <w:rPr>
          <w:sz w:val="20"/>
          <w:szCs w:val="20"/>
          <w:color w:val="auto"/>
        </w:rPr>
      </w:pPr>
    </w:p>
    <w:p>
      <w:pPr>
        <w:ind w:left="280"/>
        <w:spacing w:after="0"/>
        <w:tabs>
          <w:tab w:leader="none" w:pos="204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41910</wp:posOffset>
            </wp:positionV>
            <wp:extent cx="216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020" w:space="720"/>
            <w:col w:w="35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5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5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6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2700" w:type="dxa"/>
            <w:vAlign w:val="bottom"/>
            <w:gridSpan w:val="2"/>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7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FF0FC"/>
            </w:tcBorders>
          </w:tcPr>
          <w:p>
            <w:pPr>
              <w:spacing w:after="0"/>
              <w:rPr>
                <w:sz w:val="2"/>
                <w:szCs w:val="2"/>
                <w:color w:val="auto"/>
              </w:rPr>
            </w:pPr>
          </w:p>
        </w:tc>
        <w:tc>
          <w:tcPr>
            <w:tcW w:w="25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bottom w:val="single" w:sz="8" w:color="CFF0FC"/>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and manufacturing equipment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119,964</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37"/>
        </w:trPr>
        <w:tc>
          <w:tcPr>
            <w:tcW w:w="7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142,320</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(77,125)</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(59,845)</w:t>
            </w:r>
          </w:p>
        </w:tc>
      </w:tr>
      <w:tr>
        <w:trPr>
          <w:trHeight w:val="26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1"/>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$6.1 million and $4.0 million for the three months ended September 30, 2025 and 2024, respectively, and $17.1 million and $11.4 million for the nine months ended September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4"/>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1"/>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6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7"/>
        </w:trPr>
        <w:tc>
          <w:tcPr>
            <w:tcW w:w="3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76,514</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86,125</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based royalty asset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1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amortizable intangible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118,383</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82,637</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94,058</w:t>
            </w: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w:t>
            </w:r>
          </w:p>
        </w:tc>
      </w:tr>
      <w:tr>
        <w:trPr>
          <w:trHeight w:val="27"/>
        </w:trPr>
        <w:tc>
          <w:tcPr>
            <w:tcW w:w="38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187,883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152,137</w:t>
            </w:r>
          </w:p>
        </w:tc>
        <w:tc>
          <w:tcPr>
            <w:tcW w:w="8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197,085</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163,558</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$3.8 million and $3.9 million for the three months ended September 30, 2025 and 2024, respectively, and $11.6 million and $10.0 million for the nine months ended September 30, 2025 and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future amortization expense for intangible assets subject to amortization as of September 30, 2025 is summarized as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(remainder)</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15,122</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24,811</w:t>
            </w:r>
          </w:p>
        </w:tc>
      </w:tr>
      <w:tr>
        <w:trPr>
          <w:trHeight w:val="27"/>
        </w:trPr>
        <w:tc>
          <w:tcPr>
            <w:tcW w:w="97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82,637</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7"/>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11,289</w:t>
            </w:r>
          </w:p>
        </w:tc>
        <w:tc>
          <w:tcPr>
            <w:tcW w:w="2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12,381</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reserves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current</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29,480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 current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37,760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lease liability</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91,807</w:t>
            </w:r>
          </w:p>
        </w:tc>
        <w:tc>
          <w:tcPr>
            <w:tcW w:w="2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85,555</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7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7"/>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77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Sales-based earnout liability, non-current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lease liability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office space in California, Michigan, Malaysia, Japan, Taiwan, the Netherlands, Finland, Ukraine, and India, all under non-cancellable operating leases with various expiration dates through May 2029.</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remaining lease terms vary from a few months to four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presents the operating lease-related assets and liabilities recorded on the condensed consolidated balance sheets as of September 30, 2025 and December 31,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Pr>
          <w:p>
            <w:pPr>
              <w:spacing w:after="0"/>
              <w:rPr>
                <w:sz w:val="16"/>
                <w:szCs w:val="16"/>
                <w:color w:val="auto"/>
              </w:rPr>
            </w:pPr>
          </w:p>
        </w:tc>
      </w:tr>
      <w:tr>
        <w:trPr>
          <w:trHeight w:val="37"/>
        </w:trPr>
        <w:tc>
          <w:tcPr>
            <w:tcW w:w="7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6"/>
        </w:trPr>
        <w:tc>
          <w:tcPr>
            <w:tcW w:w="7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gridSpan w:val="2"/>
          </w:tcPr>
          <w:p>
            <w:pPr>
              <w:spacing w:after="0"/>
              <w:rPr>
                <w:sz w:val="3"/>
                <w:szCs w:val="3"/>
                <w:color w:val="auto"/>
              </w:rPr>
            </w:pPr>
          </w:p>
        </w:tc>
      </w:tr>
      <w:tr>
        <w:trPr>
          <w:trHeight w:val="227"/>
        </w:trPr>
        <w:tc>
          <w:tcPr>
            <w:tcW w:w="7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gridSpan w:val="5"/>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480" w:type="dxa"/>
            <w:vAlign w:val="bottom"/>
            <w:tcBorders>
              <w:bottom w:val="single" w:sz="8" w:color="CFF0FC"/>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6,569</w:t>
            </w:r>
          </w:p>
        </w:tc>
      </w:tr>
      <w:tr>
        <w:trPr>
          <w:trHeight w:val="23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expenses and other current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2,744</w:t>
            </w: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non-current liabilities</w:t>
            </w: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3,488</w:t>
            </w:r>
          </w:p>
        </w:tc>
      </w:tr>
      <w:tr>
        <w:trPr>
          <w:trHeight w:val="26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6,232</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56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6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931"/>
        </w:trPr>
        <w:tc>
          <w:tcPr>
            <w:tcW w:w="4480" w:type="dxa"/>
            <w:vAlign w:val="bottom"/>
          </w:tcPr>
          <w:p>
            <w:pPr>
              <w:spacing w:after="0"/>
              <w:rPr>
                <w:sz w:val="24"/>
                <w:szCs w:val="24"/>
                <w:color w:val="auto"/>
              </w:rPr>
            </w:pPr>
          </w:p>
        </w:tc>
        <w:tc>
          <w:tcPr>
            <w:tcW w:w="560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three and nine months ended September 30, 2025 and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21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0"/>
        </w:trPr>
        <w:tc>
          <w:tcPr>
            <w:tcW w:w="5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tcBorders>
              <w:bottom w:val="single" w:sz="8" w:color="CFF0FC"/>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5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78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2,078</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1,612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1"/>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was $0.9 million and $0.8 million for the three months ended September 30, 2025 and 2024, respectively, and $2.6 million and $2.4 million for the nine months ended September 30,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 Cash Flows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condensed consolidated balance sheet as of September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7"/>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1"/>
        </w:trPr>
        <w:tc>
          <w:tcPr>
            <w:tcW w:w="9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acting as its sales agent.</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did not sell any shares of its common stock through Stifel under the Sales Agreement. During the three months ended September 30, 2024, the Company sold 100,000 shares of its common stock through Stifel under the Sales Agreement at a weighted average price of $137.85 per share resulting in net proceeds to the Company of $13.3 million, after deducting underwriting discounts and commissions of $0.3 million and offering costs of $0.2 million.</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150,000 shares of its common stock through Stifel under the Sales Agreement at a weighted average price of $203.94 per share resulting in net proceeds to the Company of $29.7 million, after deducting underwriting discounts and commissions of $0.6 million and deferred offering costs of $0.3 million. During the nine months ended September 30, 2024, the Company sold 232,500 shares of its common stock through Stifel under the Sales Agreement at a weighted average price of $126.93 per share resulting in net proceeds to the Company of $28.4 million, after deducting underwriting discounts and commissions of $0.6 million and deferred offering costs of $0.5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June 27, 2025, the Company completed a follow-on public offering, in which it issued and sold 2,012,500 shares of its common stock, resulting in net proceeds to the Company of $387.3 million after deducting underwriting discounts and commissions of $14.1 million and deferred offering costs of $1.1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RSU, performance based restricted stock units ("PRSU"), and multi-year performance restricted stock units ("MYPSU") activity for the three and nine months ended September 30,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MYPSU</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39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62"/>
        </w:trPr>
        <w:tc>
          <w:tcPr>
            <w:tcW w:w="3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39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7"/>
        </w:trPr>
        <w:tc>
          <w:tcPr>
            <w:tcW w:w="3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915,152</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210,044</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(145,509)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1,008,775</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r>
        <w:trPr>
          <w:trHeight w:val="21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(187,281)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887,920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r>
        <w:trPr>
          <w:trHeight w:val="21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r>
      <w:tr>
        <w:trPr>
          <w:trHeight w:val="288"/>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September 30, 2025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787,342</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280" w:type="dxa"/>
            <w:vAlign w:val="bottom"/>
            <w:gridSpan w:val="4"/>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480" w:type="dxa"/>
            <w:vAlign w:val="bottom"/>
            <w:gridSpan w:val="3"/>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50"/>
        </w:trPr>
        <w:tc>
          <w:tcPr>
            <w:tcW w:w="59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00"/>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62,573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204,952</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257,599</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13,984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41,269</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approved target bonus amounts based on the achievement of revenue and individual performance goals for the fiscal year 2025 (the "2025 Goals"). The awards for the actual payouts are granted in the quarter following the end of the performance period.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condensed consolidated cash flow statements. The liability of $4.2 million for 2025 Goals was recorded as accrued expenses and other current liabilities in the condensed consolidated balance sheet as of September 30, 2025.</w:t>
      </w:r>
    </w:p>
    <w:p>
      <w:pPr>
        <w:spacing w:after="0" w:line="7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February 2025, the Compensation Committee of the Company approved PRSUs for the fiscal year 2025 with performance goals based on the achievement of relative total stockholder return with a three year performance period (the "2025 TSR PRSU Goals"). The grant-date fair value of each PRSU was determined using Monte Carlo simulation model. The assumptions used in the Monte Carlo simulation for the awards included expected volatility ranging from 72.6% to 72.9%, risk free rate of 4.3%, no expected dividend yield and expected term of 2.9 years. The Company recognizes the expense related to the 2025 TSR PRSU Goals on a graded-vesting method over the requisite performance period. These grants are included in the PRSU awards granted in the table above.</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also operates a bonus plan for certain employees which are based on a fixed dollar amount to be settled in RSUs. These awards are categorized as liability-based awards until settled. Once settled, these awards are reflected as RSU granted in the above table. Such expense is included in the non-cash adjustment within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the condensed consolidated cash flow statements. The liability of $1.0 million was recorded as accrued expenses and other current liabilities in the condensed consolidated balance sheet as of September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detail of stock-based compensation expense amounts included in the condensed consolidated statement of operations for each of the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214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0"/>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based awards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35,801</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62,524</w:t>
            </w:r>
          </w:p>
        </w:tc>
      </w:tr>
      <w:tr>
        <w:trPr>
          <w:trHeight w:val="237"/>
        </w:trPr>
        <w:tc>
          <w:tcPr>
            <w:tcW w:w="59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based awards - to be settled in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36"/>
        </w:trPr>
        <w:tc>
          <w:tcPr>
            <w:tcW w:w="59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r>
      <w:tr>
        <w:trPr>
          <w:trHeight w:val="288"/>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 equity and liability based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79,128</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recorded to 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awards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62,524</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based awards - settled in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4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 recorded to additional paid-in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costs and related weighted average period of recognition as of September 30,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5"/>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 Costs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of Recognition</w:t>
            </w:r>
          </w:p>
        </w:tc>
      </w:tr>
      <w:tr>
        <w:trPr>
          <w:trHeight w:val="190"/>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37"/>
        </w:trPr>
        <w:tc>
          <w:tcPr>
            <w:tcW w:w="8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MYPSUs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Liability-based awards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8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applying the estimated annual effective tax rate to the year to date pre-tax income, plus any discrete items. The Company updates its estimate of its annual effective tax rate at the end of each quarterly period. The estimate takes into account annual forecasted income before income taxes, the geographic mix of income before income taxes and any significant permanent tax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income taxes and the effective tax rates for the three and nine months ended September 30,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6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5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7"/>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5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(19,196)</w:t>
            </w:r>
          </w:p>
        </w:tc>
        <w:tc>
          <w:tcPr>
            <w:tcW w:w="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(51,857)</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(74,674)</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5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allowance on its deferred tax assets as of September 30, 2025.</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income tax provision was immaterial for both the three and nine months ended September 30, 2025 and 2024. The provision for income taxes is primarily related to the foreign subsidiaries’ local country obligations. The U.S. effective tax rate is less than 1% and is due to minimum state tax. There is no federal provision for income taxes as the Company has sufficient carryforward of net operating losses to offset any operating income earned since inception and has projected an operating loss in the current year.</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Company has evaluated the impact of the Act and determined that, due to its full valuation allowance, year-to-date and forecasted full-year taxable loss position, absence of Foreign-Derived Intangible Income and Global Intangible Low-Taxed Income, limitations under IRC Section 163(j), and the availability of pre-2017 net operating loss carryforwards, the Act does not have a material impact on the Company’s effective tax rate for both the three and nine months ended September 30, 2025. Accordingly, no discrete tax expense has been recorded for the period.</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$2.5 million and $2.5 million, respectively, of total unrecognized tax benefits. If the Company is able to eventually recognize these uncertain tax positions, none of the unrecognized benefits would reduce the Company’s effective tax rate due to the full valuation allowance on the Company’s deferred tax assets.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policy is to record interest and penalties related to unrecognized tax benefits as income tax expense. For the three and nine months ended September 30, 2025 and 2024, the Company recorded immaterial amounts related to the accrual of interest and penalties.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Geographic and Customer Information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design, development, and sale of Precision Timing solutions to the global electronics industry.</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segment and key performance measures used by the Chief Executive Officer, who is the Chief Operating Decision Maker, to assess the performance of the Company are the same as those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within Note 1 and Note 11 of the Annual Report on Form 10-K for the year ended December 31, 2024, filed with the SEC on February 14,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Company’s revenue, significant segment expenses and other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28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7"/>
        </w:trPr>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r>
      <w:tr>
        <w:trPr>
          <w:trHeight w:val="37"/>
        </w:trPr>
        <w:tc>
          <w:tcPr>
            <w:tcW w:w="5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manufacturing overheads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68,650</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r>
      <w:tr>
        <w:trPr>
          <w:trHeight w:val="27"/>
        </w:trPr>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60,880</w:t>
            </w:r>
          </w:p>
        </w:tc>
        <w:tc>
          <w:tcPr>
            <w:tcW w:w="8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152,347</w:t>
            </w: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(74,788)</w:t>
            </w:r>
          </w:p>
        </w:tc>
      </w:tr>
      <w:tr>
        <w:trPr>
          <w:trHeight w:val="20"/>
        </w:trPr>
        <w:tc>
          <w:tcPr>
            <w:tcW w:w="5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60"/>
        <w:spacing w:after="0" w:line="230" w:lineRule="auto"/>
        <w:rPr>
          <w:sz w:val="20"/>
          <w:szCs w:val="20"/>
          <w:color w:val="auto"/>
        </w:rPr>
      </w:pP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Other segment items include research and development expenses and selling, general and administrative expenses, primarily in the nature of nonmanufacturing expenses including salaries and stock-based compensation for employees, consulting expenses, certain other expenses, and taxes.</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 by geographic area is presented based upon the ship-to location of the customers who purchased the Company’s products, which may be different from the geographic locations of the ultimate end customers. The following table sets forth revenue by country for countries with 10% or more of the Company’s revenue during any of the periods presented: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21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500" w:type="dxa"/>
            <w:vAlign w:val="bottom"/>
            <w:tcBorders>
              <w:bottom w:val="single" w:sz="8" w:color="CFF0FC"/>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75,854</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8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0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38,147</w:t>
            </w:r>
          </w:p>
        </w:tc>
        <w:tc>
          <w:tcPr>
            <w:tcW w:w="0" w:type="dxa"/>
            <w:vAlign w:val="bottom"/>
          </w:tcPr>
          <w:p>
            <w:pPr>
              <w:spacing w:after="0"/>
              <w:rPr>
                <w:sz w:val="1"/>
                <w:szCs w:val="1"/>
                <w:color w:val="auto"/>
              </w:rPr>
            </w:pPr>
          </w:p>
        </w:tc>
      </w:tr>
      <w:tr>
        <w:trPr>
          <w:trHeight w:val="26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83,567</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213,375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Revenue from this geographical area was below 10%.</w:t>
            </w: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780" w:type="dxa"/>
            <w:vAlign w:val="bottom"/>
          </w:tcPr>
          <w:p>
            <w:pPr>
              <w:spacing w:after="0"/>
              <w:rPr>
                <w:sz w:val="24"/>
                <w:szCs w:val="24"/>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total property and equipment attributable to operations by country as of the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227"/>
        </w:trPr>
        <w:tc>
          <w:tcPr>
            <w:tcW w:w="7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24,294</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r>
      <w:tr>
        <w:trPr>
          <w:trHeight w:val="237"/>
        </w:trPr>
        <w:tc>
          <w:tcPr>
            <w:tcW w:w="7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82,475</w:t>
            </w:r>
          </w:p>
        </w:tc>
      </w:tr>
      <w:tr>
        <w:trPr>
          <w:trHeight w:val="27"/>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We did not have any amounts accrued towards these matters as of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and specified environmental matters.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In addition, the Company has a multi-year agreement to purchase minimum quantities of micro-electro-mechanical systems ("MEMS") wafers and is responsible for research and development, tooling, and samples cost under the agreement.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September 30, 2025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2026</w:t>
            </w: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2028</w:t>
            </w:r>
          </w:p>
        </w:tc>
        <w:tc>
          <w:tcPr>
            <w:tcW w:w="2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2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780" w:type="dxa"/>
            <w:vAlign w:val="bottom"/>
          </w:tcPr>
          <w:p>
            <w:pPr>
              <w:spacing w:after="0"/>
              <w:rPr>
                <w:sz w:val="24"/>
                <w:szCs w:val="24"/>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the related notes that appear elsewhere in this document.</w:t>
      </w:r>
    </w:p>
    <w:p>
      <w:pPr>
        <w:spacing w:after="0" w:line="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information in this Quarterly Report on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105" w:lineRule="exact"/>
        <w:rPr>
          <w:sz w:val="20"/>
          <w:szCs w:val="20"/>
          <w:color w:val="auto"/>
        </w:rPr>
      </w:pPr>
    </w:p>
    <w:p>
      <w:pPr>
        <w:ind w:left="1700" w:right="5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focus on oscillators, clock ICs, resonators and timing synchronization solutions and to aggressively expand our presence in these markets;</w:t>
      </w:r>
    </w:p>
    <w:p>
      <w:pPr>
        <w:spacing w:after="0" w:line="132" w:lineRule="exact"/>
        <w:rPr>
          <w:rFonts w:ascii="Arial" w:cs="Arial" w:eastAsia="Arial" w:hAnsi="Arial"/>
          <w:sz w:val="22"/>
          <w:szCs w:val="22"/>
          <w:color w:val="auto"/>
        </w:rPr>
      </w:pPr>
    </w:p>
    <w:p>
      <w:pPr>
        <w:ind w:left="170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address market and customer demands and to timely develop new or enhanced solutions to meet those demands;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anticipated trends, challenges and growth in our business and the markets in which we operate, including pricing expectations;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revenue, average selling prices, gross margin, and expenses;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effects of macroeconomic events in 2025;</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dependence on a limited number of customers and end customers;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customer relationships and our ability to retain and expand our customer relationships and to achieve design wins;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success, cost, and timing of new products;</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size and growth potential of the markets for our solutions, and our ability to serve and expand our presence in those markets;</w:t>
      </w:r>
    </w:p>
    <w:p>
      <w:pPr>
        <w:spacing w:after="0" w:line="130" w:lineRule="exact"/>
        <w:rPr>
          <w:rFonts w:ascii="Arial" w:cs="Arial" w:eastAsia="Arial" w:hAnsi="Arial"/>
          <w:sz w:val="22"/>
          <w:szCs w:val="22"/>
          <w:color w:val="auto"/>
        </w:rPr>
      </w:pPr>
    </w:p>
    <w:p>
      <w:pPr>
        <w:ind w:left="1700" w:right="74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132" w:lineRule="exact"/>
        <w:rPr>
          <w:rFonts w:ascii="Arial" w:cs="Arial" w:eastAsia="Arial" w:hAnsi="Arial"/>
          <w:sz w:val="22"/>
          <w:szCs w:val="22"/>
          <w:color w:val="auto"/>
        </w:rPr>
      </w:pPr>
    </w:p>
    <w:p>
      <w:pPr>
        <w:ind w:left="1700" w:right="80" w:hanging="882"/>
        <w:spacing w:after="0" w:line="234" w:lineRule="auto"/>
        <w:tabs>
          <w:tab w:leader="none" w:pos="169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to identify new customers and deliver differentiated Precision Timing solutions to them through digital marketing strategies;</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goal to become the leading provider of Precision Timing solutions for advanced and challenging applications;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positioning of being designed into current systems as well as future products;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that our advanced packaging designs can enable the smallest footprints in the industry;</w:t>
      </w:r>
    </w:p>
    <w:p>
      <w:pPr>
        <w:spacing w:after="0" w:line="125"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competition in our existing and future markets;</w:t>
      </w:r>
    </w:p>
    <w:p>
      <w:pPr>
        <w:spacing w:after="0" w:line="89"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success of our acquisitions and how we integrate and generate revenue;</w:t>
      </w:r>
    </w:p>
    <w:p>
      <w:pPr>
        <w:spacing w:after="0" w:line="117" w:lineRule="exact"/>
        <w:rPr>
          <w:rFonts w:ascii="Times New Roman" w:cs="Times New Roman" w:eastAsia="Times New Roman" w:hAnsi="Times New Roman"/>
          <w:sz w:val="18"/>
          <w:szCs w:val="18"/>
          <w:color w:val="auto"/>
        </w:rPr>
      </w:pPr>
    </w:p>
    <w:p>
      <w:pPr>
        <w:ind w:left="1700" w:right="340" w:hanging="882"/>
        <w:spacing w:after="0" w:line="282" w:lineRule="auto"/>
        <w:tabs>
          <w:tab w:leader="none" w:pos="1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pandemic, epidemic, or other outbreak of disease may in the future have on our business, results of operations and financial condition, as well as the businesses of our suppliers and customers;</w:t>
      </w:r>
    </w:p>
    <w:p>
      <w:pPr>
        <w:spacing w:after="0" w:line="75" w:lineRule="exact"/>
        <w:rPr>
          <w:rFonts w:ascii="Times New Roman" w:cs="Times New Roman" w:eastAsia="Times New Roman" w:hAnsi="Times New Roman"/>
          <w:sz w:val="18"/>
          <w:szCs w:val="18"/>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regulatory developments in the United States and foreign countries;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the performance of, and our relationships with, our third-party suppliers and manufacturers;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and our customers’ ability to respond successfully to technological or industry developments;</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our ability to attract and retain key personnel;</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expectations regarding intellectual property and related litigation;</w:t>
      </w:r>
    </w:p>
    <w:p>
      <w:pPr>
        <w:spacing w:after="0" w:line="143" w:lineRule="exact"/>
        <w:rPr>
          <w:rFonts w:ascii="Arial" w:cs="Arial" w:eastAsia="Arial" w:hAnsi="Arial"/>
          <w:sz w:val="22"/>
          <w:szCs w:val="22"/>
          <w:color w:val="auto"/>
        </w:rPr>
      </w:pPr>
    </w:p>
    <w:p>
      <w:pPr>
        <w:ind w:left="1700" w:right="240" w:hanging="882"/>
        <w:spacing w:after="0" w:line="234" w:lineRule="auto"/>
        <w:tabs>
          <w:tab w:leader="none" w:pos="16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113"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adequacy and availability of our leased facilities; and</w:t>
      </w:r>
    </w:p>
    <w:p>
      <w:pPr>
        <w:spacing w:after="0" w:line="111" w:lineRule="exact"/>
        <w:rPr>
          <w:rFonts w:ascii="Arial" w:cs="Arial" w:eastAsia="Arial" w:hAnsi="Arial"/>
          <w:sz w:val="22"/>
          <w:szCs w:val="22"/>
          <w:color w:val="auto"/>
        </w:rPr>
      </w:pPr>
    </w:p>
    <w:p>
      <w:pPr>
        <w:ind w:left="1700" w:hanging="882"/>
        <w:spacing w:after="0"/>
        <w:tabs>
          <w:tab w:leader="none" w:pos="170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accuracy of our estimates regarding capital requirements and needs for additional financing.</w:t>
      </w:r>
    </w:p>
    <w:p>
      <w:pPr>
        <w:spacing w:after="0" w:line="9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w:t>
      </w:r>
    </w:p>
    <w:p>
      <w:pPr>
        <w:spacing w:after="0" w:line="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semiconductor-based timing solutions that cannot be developed in legacy quartz crystal-based technologies. Precision timing fills this need with the performance, power, size, and cost that is required by these applications.</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300 applications across our target markets, including communications, datacenter and enterprise, automotive, industrial, aerospace, mobile, Internet of Things ("IoT"), and consumer. Our current solutions include various types of oscillators, as well as clock integrated circuits ("ICs") and resonators.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all-silicon solutions are based on four fundamental areas of technical expertise: micro-electro-mechanical systems (“MEMS”), analog mixed-signal design, and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7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2025, we have benefitted from the strong growth in AI datacenter deployments. In the Communications market, a 5G small cell radio mounted on a pole next to a road or rail line is going to be subject to vibration as heavy trucks or trains go by. These conditions make our Precision Timing solutions a natural choice in such applications. Our solutions are also utilized in automotive electronics, including advanced driver assistance systems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the total timing market is approximately $10 billion in size. Since our founding, we have focused on the portion of the market that concentrates on the requirement for compelling solutions to solve difficult timing problems. Historically, our revenue has been substantially derived from sales of oscillator systems across our target end markets.</w:t>
      </w:r>
    </w:p>
    <w:p>
      <w:pPr>
        <w:spacing w:after="0" w:line="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Total consideration paid in the acquisition included approximately $148 million in fixed payments and up to $120 million in earnouts. With the addition of all four categories of clock products including network synchronizers, jitter cleaners, clock generators, and</w:t>
      </w:r>
    </w:p>
    <w:p>
      <w:pPr>
        <w:spacing w:after="0" w:line="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buffers, we now offer a comprehensive portfolio of timing solutions. By pairing the new SiTime clocking products with our MEMS oscillators and/or our resonators, we expect to be able to offer a more complete clock tree that is simpler to design with higher performance, more resilience to environmental</w:t>
      </w:r>
    </w:p>
    <w:p>
      <w:pPr>
        <w:ind w:right="300"/>
        <w:spacing w:after="0" w:line="282" w:lineRule="auto"/>
        <w:rPr>
          <w:sz w:val="20"/>
          <w:szCs w:val="20"/>
          <w:color w:val="auto"/>
        </w:rPr>
      </w:pPr>
      <w:r>
        <w:rPr>
          <w:rFonts w:ascii="Times New Roman" w:cs="Times New Roman" w:eastAsia="Times New Roman" w:hAnsi="Times New Roman"/>
          <w:sz w:val="18"/>
          <w:szCs w:val="18"/>
          <w:color w:val="auto"/>
        </w:rPr>
        <w:t>stressors and higher reliability. SiTime is now a key provider of all differentiated products in timing – oscillators, clocks, and resonators combined with depth in engineering expertise in Precision Timing solutions.</w:t>
      </w:r>
    </w:p>
    <w:p>
      <w:pPr>
        <w:spacing w:after="0" w:line="5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fabs, we may be required to make such investments from time to time primarily to strengthen our supply chain and optimize our costs. These investments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w:t>
      </w:r>
    </w:p>
    <w:p>
      <w:pPr>
        <w:spacing w:after="0" w:line="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r>
      <w:tr>
        <w:trPr>
          <w:trHeight w:val="190"/>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7"/>
        </w:trPr>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83,567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57,698</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25,869</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45 %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213,375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134,586</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78,789</w:t>
            </w: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59 %</w:t>
            </w:r>
          </w:p>
        </w:tc>
      </w:tr>
    </w:tbl>
    <w:p>
      <w:pPr>
        <w:spacing w:after="0" w:line="18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Revenue increased by $25.9 million, or 45%, for the three months ended September 30, 2025 compared to the same period in the prior year. Revenue increased by $78.8 million, or 59%, for the nine months ended September 30, 2025 compared to the same period in the prior year. The increase in both periods was primarily related to an increase in sales volume as well as increase in average selling prices of our products due to change in mix of the products we shipped.</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Sales attributable to our largest end customer through multiple distributors accounted for 18% and 23% of our revenue for the three months ended September 30, 2025 and 2024, respectively, and 18% and 20% of our revenue for the nine months ended September 30, 2025 and 2024, respectively. Our end customers predominantly purchase our products from distributors. Our top three customers by revenue, which are distributors, together accounted for approximately 58% and 55% of our revenue for the three months ended September 30, 2025 and 2024, respectively, and 59% and 55% of our revenues for the nine months ended September 30, 2025 and 2024, respectively. Revenue attributable to our largest ten end customers accounted for 65% and 63% for the three months ended September 30, 2025 and 2024, respectively, and 64% and 59% of our revenues for the nine months ended September 30, 2025 and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Profit, and Gross Margin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r>
      <w:tr>
        <w:trPr>
          <w:trHeight w:val="190"/>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1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7"/>
        </w:trPr>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780" w:type="dxa"/>
            <w:vAlign w:val="bottom"/>
          </w:tcPr>
          <w:p>
            <w:pPr>
              <w:spacing w:after="0"/>
              <w:rPr>
                <w:sz w:val="19"/>
                <w:szCs w:val="19"/>
                <w:color w:val="auto"/>
              </w:rPr>
            </w:pPr>
          </w:p>
        </w:tc>
      </w:tr>
      <w:tr>
        <w:trPr>
          <w:trHeight w:val="37"/>
        </w:trPr>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38,850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28,231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102,270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6"/>
                <w:szCs w:val="16"/>
                <w:color w:val="auto"/>
              </w:rPr>
              <w:t>65,936</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36,334</w:t>
            </w: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3"/>
        </w:trPr>
        <w:tc>
          <w:tcPr>
            <w:tcW w:w="1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44,717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29,467</w:t>
            </w:r>
          </w:p>
        </w:tc>
        <w:tc>
          <w:tcPr>
            <w:tcW w:w="100" w:type="dxa"/>
            <w:vAlign w:val="bottom"/>
          </w:tcPr>
          <w:p>
            <w:pPr>
              <w:spacing w:after="0"/>
              <w:rPr>
                <w:sz w:val="20"/>
                <w:szCs w:val="20"/>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111,105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68,650</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42,455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53"/>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by $15.3 million in the three months ended September 30, 2025 compared to the same period in the prior year. Gross profit increased $19.0 million mainly from higher revenue which was partially offset by higher other manufacturing and overhead costs of $3.3 million, consisting of depreciation and amortization, freight outwards and inventory reserves, and higher stock-based compensation expense of $0.3 million.</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profit increased by $42.5 million in the nine months ended September 30, 2025 compared to the same period in the prior year. Gross profit increased $57.5 million mainly from higher revenue which was partially offset by higher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manufacturing and overhead costs of $11.3 million, higher amortization from acquired intangibles of $2.4 million, and higher stock-based compensation expense of $1.4 million.</w:t>
      </w:r>
    </w:p>
    <w:p>
      <w:pPr>
        <w:spacing w:after="0" w:line="5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Gross margin was higher by 2.4% in the three months ended September 30, 2025 compared to the same period in the prior year. The gross margins increased by 1.3% primarily due to a change in the mix of products shipped, and due to improvement of overhead costs as a percentage of revenue by 1.1%.</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margin was higher by 1.1% in the nine months ended September 30, 2025 compared to the same period in the prior year primarily due to a change in the mix of products shipped.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may fluctuate from time to time due to a variety of factors. For additional discussion please see Part II, Item 1A "Risk Factors" of this report, especially the risk factor titled “Our gross margins may fluctuate due to a variety of factors, which could negatively impact our results of operations and our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selling,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26,489</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ind w:left="202"/>
              <w:spacing w:after="0"/>
              <w:rPr>
                <w:sz w:val="20"/>
                <w:szCs w:val="20"/>
                <w:color w:val="auto"/>
              </w:rPr>
            </w:pPr>
            <w:r>
              <w:rPr>
                <w:rFonts w:ascii="Times New Roman" w:cs="Times New Roman" w:eastAsia="Times New Roman" w:hAnsi="Times New Roman"/>
                <w:sz w:val="16"/>
                <w:szCs w:val="16"/>
                <w:color w:val="auto"/>
                <w:w w:val="99"/>
              </w:rPr>
              <w:t>3,520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90,598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77,523</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13,075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1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Selling, general and</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25,359</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center"/>
              <w:ind w:left="202"/>
              <w:spacing w:after="0"/>
              <w:rPr>
                <w:sz w:val="20"/>
                <w:szCs w:val="20"/>
                <w:color w:val="auto"/>
              </w:rPr>
            </w:pPr>
            <w:r>
              <w:rPr>
                <w:rFonts w:ascii="Times New Roman" w:cs="Times New Roman" w:eastAsia="Times New Roman" w:hAnsi="Times New Roman"/>
                <w:sz w:val="16"/>
                <w:szCs w:val="16"/>
                <w:color w:val="auto"/>
                <w:w w:val="99"/>
              </w:rPr>
              <w:t>5,244</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85,689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74,462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11,227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2"/>
        </w:trPr>
        <w:tc>
          <w:tcPr>
            <w:tcW w:w="1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related</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2,482</w:t>
            </w:r>
          </w:p>
        </w:tc>
        <w:tc>
          <w:tcPr>
            <w:tcW w:w="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6"/>
                <w:szCs w:val="16"/>
                <w:color w:val="auto"/>
                <w:w w:val="98"/>
              </w:rPr>
              <w:t>(2,356)</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3,560</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8,886</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w w:val="98"/>
              </w:rPr>
              <w:t>(5,327)</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9"/>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w:t>
            </w:r>
          </w:p>
        </w:tc>
        <w:tc>
          <w:tcPr>
            <w:tcW w:w="2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60,738</w:t>
            </w:r>
          </w:p>
        </w:tc>
        <w:tc>
          <w:tcPr>
            <w:tcW w:w="1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54,330</w:t>
            </w:r>
          </w:p>
        </w:tc>
        <w:tc>
          <w:tcPr>
            <w:tcW w:w="8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FF0FC"/>
          </w:tcPr>
          <w:p>
            <w:pPr>
              <w:jc w:val="center"/>
              <w:ind w:left="202"/>
              <w:spacing w:after="0"/>
              <w:rPr>
                <w:sz w:val="20"/>
                <w:szCs w:val="20"/>
                <w:color w:val="auto"/>
              </w:rPr>
            </w:pPr>
            <w:r>
              <w:rPr>
                <w:rFonts w:ascii="Times New Roman" w:cs="Times New Roman" w:eastAsia="Times New Roman" w:hAnsi="Times New Roman"/>
                <w:sz w:val="16"/>
                <w:szCs w:val="16"/>
                <w:color w:val="auto"/>
                <w:w w:val="99"/>
              </w:rPr>
              <w:t>6,408</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179,847</w:t>
            </w:r>
          </w:p>
        </w:tc>
        <w:tc>
          <w:tcPr>
            <w:tcW w:w="8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160,871</w:t>
            </w:r>
          </w:p>
        </w:tc>
        <w:tc>
          <w:tcPr>
            <w:tcW w:w="100" w:type="dxa"/>
            <w:vAlign w:val="bottom"/>
            <w:shd w:val="clear" w:color="auto" w:fill="CFF0FC"/>
          </w:tcPr>
          <w:p>
            <w:pPr>
              <w:spacing w:after="0"/>
              <w:rPr>
                <w:sz w:val="16"/>
                <w:szCs w:val="16"/>
                <w:color w:val="auto"/>
              </w:rPr>
            </w:pPr>
          </w:p>
        </w:tc>
        <w:tc>
          <w:tcPr>
            <w:tcW w:w="300" w:type="dxa"/>
            <w:vAlign w:val="bottom"/>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18,975</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1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research and development efforts are focused on the design and development of Precision Timing solutions. Our research and development expense consists primarily of personnel costs, pre-production engineering mask costs, software license expenses, design tools and prototype-related expenses, facility costs, supplies, professional and consulting fees, and allocated overhead costs, which may be offset by non-recurring engineering contra-expenses recorded in certain periods. There is no assurance that we will have non-recurring engineering contra-expense from period to period.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expenses to fluctuate as a percentage of revenue from period to period depending on the timing of these expenses.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$3.5 million, or 13%, for the three months ended September 30, 2025, compared to the same period in the prior year, primarily due to an increase in headcount resulting in higher stock-based compensation expense of $2.1 million and higher other personnel costs of $1.2 million, and higher engineering spend towards ongoing new product development of $0.7 million, partially offset by an increase in non-recurring engineering contra-expense recognized of $0.5 million.</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$13.1 million, or 17% for the nine months ended September 30, 2025, compared to the same period in the prior year, primarily due to an increase in headcount resulting in higher stock-based compensation expense of $5.2 million and higher other personnel costs of $3.4 million, and higher engineering spend towards ongoing new product development of $4.6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expenses to continue to increase in absolute dollars as we increase our personnel and grow our operations, although it may fluctuate as a percentage of revenue from period to period depending on the timing of these expenses.</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$5.2 million, or 21%, for the three months ended September 30, 2025, compared to the same period in the prior year, primarily due to an increase in headcount resulting in higher stock-based compensation expense of $2.5 million and higher other personnel costs of $0.7 million, higher sales commissions payouts from higher sales of $1.4 million, and higher consulting fees of $0.7 million.</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increased by $11.2 million, or 15%, for the nine months ended September 30, 2025 compared to the same period in the prior year, primarily due to an increase in headcount resulting in higher stock-based compensation expense of $5.1 million and higher other personnel costs of $2.4 million, higher consulting fees of $2.1 million, and higher sales commissions payouts from higher sales of $1.4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 costs</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Acquisition related costs include legal, regulatory, consulting, and other costs incurred towards the acquisition closed during the year ended December 31, 2023, and also include changes in the fair value of the sales-based earnout liability and interest accretion related to the acquisition consideration payable.</w:t>
      </w:r>
    </w:p>
    <w:p>
      <w:pPr>
        <w:spacing w:after="0" w:line="3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Acquisition related costs decreased by $2.4 million, or 95%, for the three months ended September 30, 2025, primarily due to lower accretion of acquisition consideration payable and earnouts by $0.8 million and $1.5 million respectively due to lower remaining amount payable.</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Acquisition related costs decreased by $5.3 million, or 60%, for the nine months ended September 30, 2025 compared to the same period in the prior year, primarily due to lower accretion of acquisition consideration payable and earnouts by $2.3 million and $2.5 million respectively due to lower remaining amount payable, and a reduction in one-time acquisition costs related to the 2023 Aura transaction of $0.6 million.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incur incremental costs in 2025 and beyond related to the Aura transaction arising from changes in the fair value of the sales-based earnout liability and accretion of acquisition consideration payable.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primarily of interest income on short term investments.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132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r>
      <w:tr>
        <w:trPr>
          <w:trHeight w:val="190"/>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3"/>
        </w:trPr>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1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Interest income increased by $2.8 million or 50% for the three months ended September 30, 2025, compared to the same period in the prior year due to an increase in average investment balance during the period, primarily due to funds raised through the follow-on public offering in June 2025, partially offset due to lower interest rates.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income decreased by $1.0 million or 5% for the nine months ended September 30, 2025, compared to the same period in the prior year due to lower interest rates, partially offset by an increase in the average investment balance due to funds raised through the follow-on public offering in June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foreign exchange gains and losses.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900" w:type="dxa"/>
            <w:vAlign w:val="bottom"/>
            <w:gridSpan w:val="4"/>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3"/>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4"/>
                <w:szCs w:val="14"/>
                <w:color w:val="auto"/>
              </w:rPr>
            </w:pPr>
          </w:p>
        </w:tc>
      </w:tr>
      <w:tr>
        <w:trPr>
          <w:trHeight w:val="190"/>
        </w:trPr>
        <w:tc>
          <w:tcPr>
            <w:tcW w:w="1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0"/>
        </w:trPr>
        <w:tc>
          <w:tcPr>
            <w:tcW w:w="15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86"/>
        </w:trPr>
        <w:tc>
          <w:tcPr>
            <w:tcW w:w="15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27"/>
        </w:trPr>
        <w:tc>
          <w:tcPr>
            <w:tcW w:w="1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60" w:type="dxa"/>
            <w:vAlign w:val="bottom"/>
          </w:tcPr>
          <w:p>
            <w:pPr>
              <w:spacing w:after="0"/>
              <w:rPr>
                <w:sz w:val="19"/>
                <w:szCs w:val="19"/>
                <w:color w:val="auto"/>
              </w:rPr>
            </w:pPr>
          </w:p>
        </w:tc>
      </w:tr>
      <w:tr>
        <w:trPr>
          <w:trHeight w:val="37"/>
        </w:trPr>
        <w:tc>
          <w:tcPr>
            <w:tcW w:w="1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2"/>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43"/>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 net</w:t>
            </w:r>
          </w:p>
        </w:tc>
        <w:tc>
          <w:tcPr>
            <w:tcW w:w="680" w:type="dxa"/>
            <w:vAlign w:val="bottom"/>
            <w:shd w:val="clear" w:color="auto" w:fill="CFF0FC"/>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(248)</w:t>
            </w: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Other income (expense), net, decreased by $0.3 million for the three months ended September 30, 2025, compared to the same period in the prior year primarily due to net unrealized losses on foreign exchange rates from activities in our foreign subsidiaries resulting from exchange rate fluctuations.</w:t>
      </w:r>
    </w:p>
    <w:p>
      <w:pPr>
        <w:spacing w:after="0" w:line="5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income (expense), net, increased by $0.3 million for the nine months ended September 30, 2025, compared to the same periods in the prior year primarily due to net unrealized gains on foreign exchange rates from activities in our foreign subsidiaries resulting from exchange rate fluctuations.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net operating loss ("NOL") carryforwards, and tax credits related primarily to research and development. We expect to maintain this full valuation allowance until realization of the deferred tax assets becomes more likely than not.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9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4"/>
                <w:szCs w:val="14"/>
                <w:color w:val="auto"/>
              </w:rPr>
            </w:pPr>
          </w:p>
        </w:tc>
      </w:tr>
      <w:tr>
        <w:trPr>
          <w:trHeight w:val="190"/>
        </w:trPr>
        <w:tc>
          <w:tcPr>
            <w:tcW w:w="1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gridSpan w:val="3"/>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50"/>
        </w:trPr>
        <w:tc>
          <w:tcPr>
            <w:tcW w:w="15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6"/>
        </w:trPr>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15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82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222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rPr>
              <w:t>Income tax expense   $</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(111)</w:t>
            </w: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(119)</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(114)</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we had cash and cash equivalents of $27.1 million and $6.1 million, respectively. As of September 30, 2025 and December 31, 2024, we also held $782.5 million and $412.7 million of short-term investments, respectively, in held-to-maturity securities that consisted of treasury bills. Our principal use of cash is to fund our operations, to support growth through capital investments, and to acquire complementary businesses, products, services or technologies in the future.</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 Sales Agreement with Stifel, under which we may offer and sell from time to time at our sole discretion, up to an aggregate of 1,200,000 shares of our common stock, par value $0.0001 per share, through Stifel as our sales agent. During the nine months ended September 30, 2025, we sold 150,000 shares of our common stock under the Sales Agreement at a weighted average price of $203.94 per share resulting in net proceeds to us of $29.7 million, after deducting underwriting discounts and commissions and offering costs. We used the net proceeds from the shares of common stock offered and sold to replenish funds expended to satisfy anticipated tax withholding and remittance obligations related to the net settlement upon vesting of restricted stock unit awards (“RSU”) granted to employees under the equity incentive plans.</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27, 2025, we completed a follow-on public offering, in which we issued and sold 2,012,500 shares of our common stock, resulting in net proceeds to us of $387.3 million after deducting underwriting discounts and commissions of $14.1 million and deferred offering costs of $1.1 million.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Leases" and "Note 9 - Commitments and Contingencies" of the Notes to Condensed Consolidated Financial Statements for the period ended September 30, 2025.</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believe that our existing cash and cash equivalents and our short-term investments will be sufficient to meet our operating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73,753</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365,620</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(84,430)</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2025, net cash provided by operating activities of $61.8 million was primarily due to a net loss of $52.1 million, offset by non-cash expenses of $112.1 million and change in operating assets and liabilities of $1.7 million. Non-cash expenses were mainly related to stock-based compensation expense, depreciation and amortization, change in fair value of sales based earnout liability, accretion of acquisition consideration payable, inventory write-down and net change in unrealized interest on held to maturity investments. The changes in operating assets and liabilities resulted in cash generated primarily due to a decrease in our accounts receivables due to timing of shipments, and increase in accounts payable and accrued expenses primarily due to timing of accrued payroll and related benefit payments, partially offset by an increase in inventories as we built our wafer inventory levels, and an increase in prepaid expenses and other assets due to timing of payment to vendors.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investing activities consist primarily of purchase and maturities of short-term investments as well as capital expenditures for property and equipment purchases. Our short-term investments were primarily in treasury bills to earn interest.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2025, net cash used in investing activities was $406.4 million. We paid $929.4 million to purchase short-term investments in held-to-maturity securities. We paid $39.8 million largely to purchase manufacturing equipment and intangibles to support the general business operations. These payments were offset by proceeds of $562.9 million generated from maturities of the short-term investments in held-to-maturity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financing activities have primarily consisted of proceeds from issuance of shares, payments of withholding taxes on RSUs, and payment of acquisition related consideration and earnouts. During the nine months ended September 30, 2025, we sold 150,000 shares of our common stock through Stifel under the Sales Agreement resulting in net proceeds to us of $29.7 million, after deducting underwriting discounts and commissions of $0.6 million and deferred offering costs of $0.3 million. Further, we completed a follow-on public offering on June 27, 2025, in which we issued and sold 2,012,500 shares of our common stock, resulting in net proceeds to us of $387.3 million after deducting underwriting discounts and commissions of $14.1 million and deferred offering costs of $1.1 million. We also paid tax withholdings on behalf of employees for net share settlement of $41.3 million, and paid earnouts of $9.1 million related to the Aura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(the "SEC"), has defined a company’s critical accounting estimates as estimates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estimates to be as follows: (1) revenue recognition (2) business combinations, and (3) inventory. Although we believe that our estimates, assumptions, and judgments are reasonable, they are based upon information not presently available. Actual results may differ significantly from these estimates if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assumptions, judgments, and conditions upon which they are based turn out to be inaccurate. Management believes that there have been no significant changes to the items that we disclosed as our critical accounting estimates in Management’s Discussion and Analysis of Financial Condition and Results of Operations, in our Annual Report on Form 10-K for the year ended December 31, 2024, filed with the SEC on February 14,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is denominated in U.S. dollars. Our expenses are generally denominated in the currencies in which our operations are located, which is primarily in the United States and, to a lesser extent, in Finland, France, Germany, India, Japan, Korea, Malaysia, the Netherlands, and Taiwan.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$27.1 million and $6.1 million as of September 30, 2025 and December 31, 2024, respectively, consisting of bank deposits, money market funds and treasury bills. We also had short-term investments in held-to-maturity securities of $782.5 million and $412.7 million consisting of treasury bills as of September 30, 2025 and December 31, 2024. Such interest-earning instruments carry a degree of interest rate risk. During the nine months ended September 30, 2025, we have generated $16.8 million in interest income through our investment balance.</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risk exposure. As of September 30, 2025, a hypothetical 10% increase or decrease in market interest rates would change the fair value and related interest income on our interest-earning instruments of $782.5 million, by an increase or decrease of approximately $2.3 million for the nine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9 of the Notes to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macroeconomic conditions have harmed and may continue to harm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changes to U.S. trade policies, which may result in trade restrictions and sanctions,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escalations of trade tensions between the U.S. and its trading partners may result in long-term changes to global trade.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58% and 55% of our revenue for the three months ended September 30, 2025 and 2024, respectively, and 59% and 55% of our revenue nine months ended September 30, 2025 and 2024, respectively. Based on our shipment information, we believe that revenue attributable to our ten largest end customers accounted for 65% and 63% of our revenue for the three months ended September 30, 2025 and 2024, respectively, and 64% and 59% of our revenue nine months ended September 30, 2025 and 2024, respectively. Sales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attributable to Apple Inc., our largest end customer accounted for approximately 18% and 23% of our revenue for the three months ended September 30, 2025 and 2024, respectively, and 18% and 20% of our revenue nine months ended September 30, 2025 and 2024, respectively. We anticipate revenue attributable to this customer will fluctuate from period to period. Although we sell our products to this customer through distributors on a purchase order basis, including, but not limited to, Pernas Electronics Co., Ltd., Arrow Electronics, Inc., and Quantek Technology Corporation,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our end customers were to choose to work with other manufacturers or our relationships with our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acquire inventory to pre-build custom products, we may not be able to fulfill increased demand in the short term. Any of the foregoing events could materially and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may fluctuate from period to period, which could cause our stock price to fluctuate.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changes. Factors relating to our business that may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fluctuations in our operating results include the following factors, as well as other factors described elsewhere in this report:</w:t>
      </w:r>
    </w:p>
    <w:p>
      <w:pPr>
        <w:spacing w:after="0" w:line="117" w:lineRule="exact"/>
        <w:rPr>
          <w:sz w:val="20"/>
          <w:szCs w:val="20"/>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and product life cycles;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or cancellation of, or changes in the forecasts or timing of, orders by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levels of inventories held by our distributors or end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product cost, and product mix;</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delays, shortages, and capacity limitations;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product development costs;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and introductions by us or our competitors;</w:t>
      </w:r>
    </w:p>
    <w:p>
      <w:pPr>
        <w:spacing w:after="0" w:line="117"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costs and related new product expenditures and our ability to achieve cost reductions in a timely or predictable manner;</w:t>
      </w:r>
    </w:p>
    <w:p>
      <w:pPr>
        <w:spacing w:after="0" w:line="53" w:lineRule="exact"/>
        <w:rPr>
          <w:rFonts w:ascii="Times New Roman" w:cs="Times New Roman" w:eastAsia="Times New Roman" w:hAnsi="Times New Roman"/>
          <w:sz w:val="18"/>
          <w:szCs w:val="18"/>
          <w:color w:val="auto"/>
        </w:rPr>
      </w:pPr>
    </w:p>
    <w:p>
      <w:pPr>
        <w:ind w:left="2360" w:right="26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and fluctuations in sales by product manufacturers that incorporate our Precision Timing solutions into their products;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end-market demand into which we have limited insight, including cyclicality, seasonality, and the competitive landscape;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socioeconomic or political conditions in the countries where we operate or where our products are sold or used;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 epidemic, or outbreak of disease, on our business, suppliers, and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warranty claims, including those not covered by our suppliers;</w:t>
      </w:r>
    </w:p>
    <w:p>
      <w:pPr>
        <w:spacing w:after="0" w:line="117" w:lineRule="exact"/>
        <w:rPr>
          <w:rFonts w:ascii="Times New Roman" w:cs="Times New Roman" w:eastAsia="Times New Roman" w:hAnsi="Times New Roman"/>
          <w:sz w:val="18"/>
          <w:szCs w:val="18"/>
          <w:color w:val="auto"/>
        </w:rPr>
      </w:pPr>
    </w:p>
    <w:p>
      <w:pPr>
        <w:ind w:left="2360" w:right="320" w:hanging="1218"/>
        <w:spacing w:after="0" w:line="282" w:lineRule="auto"/>
        <w:tabs>
          <w:tab w:leader="none" w:pos="23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disruptions or delays due to failure of information technology infrastructure or enterprise resource planning systems;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executive officers or other key employees.</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subcontracted on a single or sole-source basis.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for our analog circuits fabrication, and any disruption in the supply of wafers or any increases in the wafer or materials prices could adversely affect our gross margins and our ability to meet customer demands in a timely manner, or at all, and lead to reduced revenue. In 2021 and the first half of 2022 there were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8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ensure continued wafer supply, we may be required to establish alternative wafer supply sources, which could require significant expenditures and limit our negotiating leverage. We currently rely on Bosch, TSMC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or Teledyne, our ability to produce high-quality products could suffer, which in turn could harm our business, financial condition, and results of operations.</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currently primarily rely on Advanced Semiconductor Engineering, Inc. (“ASE”), Carsem (M) Sdn. Bhd ("Carsem"). and United Test and Assembly Center Ltd. (“UTAC”) for assembly and testing, as well as Daishinku Corp.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one or more of the third parties we rely on for our manufacturing operations terminates its relationship with us, or if we encounter any problems with our manufacturing supply chain, our ability to ship our solutions to our customers on time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and in the quantity required would be adversely affected, which in turn could cause an unanticipated decline in our sales, harm to our customer relationships and loss of customers.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Substantial new tariffs and other restrictive trade policies have created a dynamic and unpredictable trade landscape, which may adversely impact our business.</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8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Ongoing uncertainty regarding trade policies may also further complicate our short- and long-term strategic planning, and that of our partners and customers, including decisions regarding hiring, product strategy, capital investment, supply chain design and geographic expansion.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Annual Report for the fiscal year ended December 31, 2024.</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and 93% of our revenue for the three months ended September 30, 2025 and 2024, respectively, and 93% and 92% of our revenue nine months ended September 30, 2025 and 2024, respectively, was from distributors with ship-to locations outside the United States, although we believe the majority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end customers are based in the U.S. based on sell-through information provided by these distributors. As a result of our international focus, we face numerous challenges and risks, including:</w:t>
      </w:r>
    </w:p>
    <w:p>
      <w:pPr>
        <w:spacing w:after="0" w:line="54" w:lineRule="exact"/>
        <w:rPr>
          <w:sz w:val="20"/>
          <w:szCs w:val="20"/>
          <w:color w:val="auto"/>
        </w:rPr>
      </w:pPr>
    </w:p>
    <w:p>
      <w:pPr>
        <w:ind w:left="2360" w:right="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military conflicts, including the effects of Russia’s invasion of Ukraine;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effects of rising inflation and increased interest rates;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for, and vulnerability to theft of, our intellectual property rights, including our trade secrets;</w:t>
      </w:r>
    </w:p>
    <w:p>
      <w:pPr>
        <w:spacing w:after="0" w:line="117" w:lineRule="exact"/>
        <w:rPr>
          <w:rFonts w:ascii="Times New Roman" w:cs="Times New Roman" w:eastAsia="Times New Roman" w:hAnsi="Times New Roman"/>
          <w:sz w:val="18"/>
          <w:szCs w:val="18"/>
          <w:color w:val="auto"/>
        </w:rPr>
      </w:pPr>
    </w:p>
    <w:p>
      <w:pPr>
        <w:ind w:left="236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2360" w:right="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53" w:lineRule="exact"/>
        <w:rPr>
          <w:rFonts w:ascii="Times New Roman" w:cs="Times New Roman" w:eastAsia="Times New Roman" w:hAnsi="Times New Roman"/>
          <w:sz w:val="18"/>
          <w:szCs w:val="18"/>
          <w:color w:val="auto"/>
        </w:rPr>
      </w:pPr>
    </w:p>
    <w:p>
      <w:pPr>
        <w:ind w:left="2360" w:right="2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exchange losses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2360" w:right="120" w:hanging="1218"/>
        <w:spacing w:after="0" w:line="266"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7"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international operations;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policies which may impact our ability to hire personnel;</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2360" w:right="52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foreign countries which may impact availability of personnel, such as mandatory military service in countries such as Ukraine, Taiwan, and Finland;</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and the impact of public health epidemics on employees and the global economy;</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 natural disasters; and</w:t>
      </w:r>
    </w:p>
    <w:p>
      <w:pPr>
        <w:spacing w:after="0" w:line="117" w:lineRule="exact"/>
        <w:rPr>
          <w:rFonts w:ascii="Times New Roman" w:cs="Times New Roman" w:eastAsia="Times New Roman" w:hAnsi="Times New Roman"/>
          <w:sz w:val="18"/>
          <w:szCs w:val="18"/>
          <w:color w:val="auto"/>
        </w:rPr>
      </w:pPr>
    </w:p>
    <w:p>
      <w:pPr>
        <w:ind w:left="2360" w:right="40" w:hanging="1218"/>
        <w:spacing w:after="0" w:line="282" w:lineRule="auto"/>
        <w:tabs>
          <w:tab w:leader="none" w:pos="2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work-from-home or other restrictions or stoppages, like those imposed by governments around the world as a result of pandemics.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current political and military situation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 Further, the COVID-19 pandemic led to travel, work-from-home, and other restrictions, which significantly impacted our domestic and international operations and the operations of our suppliers, distributors, partners, and customers.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18"/>
          <w:szCs w:val="18"/>
          <w:b w:val="1"/>
          <w:bCs w:val="1"/>
          <w:i w:val="1"/>
          <w:iCs w:val="1"/>
          <w:color w:val="auto"/>
        </w:rPr>
        <w:t>.</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7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success of our Precision Timing solutions is heavily dependent on the timely introduction, quality, and market acceptance of our customers’ products incorporating our solutions, which are impacted by factors beyond our control.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target markets include the communications, datacenter, and enterprise, automotive, industrial, aerospace,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introduce and ship in volume new products in a timely manner, our business and revenue will suffer.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outbreaks of disease have had and may in the future have an adverse impact upon our business, results of operations and financial condition.</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7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to our supply chain;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our stock price.</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gross margins may fluctuate due to a variety of factors, which could negatively impact our results of operations and our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in previous periods may not be indicative of future performance and our revenue may fluctuate over time.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revenue has fluctuated over time. Our revenue was $83.6 million and $57.7 million for the three months ended September 30, 2025 and 2024, respectively, and $213.4 million and $134.6 million for the nine months ended September 30, 2025 and 2024,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effectively, we may not be able to execute our business plan and our operating results could suffer.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5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provide a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in our products or failures to meet product specifications could harm our relationships with our customers and damage our reputation.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original equipment manufacturers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make the substantial investments that are required to remain competitive in 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lose or fail to gain market share, which could negatively impact our operating results and our business.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75" w:lineRule="exact"/>
        <w:rPr>
          <w:sz w:val="20"/>
          <w:szCs w:val="20"/>
          <w:color w:val="auto"/>
        </w:rPr>
      </w:pPr>
    </w:p>
    <w:p>
      <w:pPr>
        <w:ind w:left="2360" w:right="6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define, design, and regularly introduce new products that anticipate the functionality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strong and long-lasting relationships with our customers and other industry participants;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and prevent losses due to, vertical integration by significant customers;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those of competing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design wins;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success of our customers’ products utilizing our solutions within their competitive end markets;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capabilities to provide innovative solutions and maintain our product roadmap;</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including those of our distributors, and our brand awareness and reputation;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capacity with our foundry and assembly partners to manufacture and assemble our products;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or respond to significant price competition;</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expand international operations in a cost-effective manner;</w:t>
      </w:r>
    </w:p>
    <w:p>
      <w:pPr>
        <w:spacing w:after="0" w:line="117" w:lineRule="exact"/>
        <w:rPr>
          <w:rFonts w:ascii="Times New Roman" w:cs="Times New Roman" w:eastAsia="Times New Roman" w:hAnsi="Times New Roman"/>
          <w:sz w:val="18"/>
          <w:szCs w:val="18"/>
          <w:color w:val="auto"/>
        </w:rPr>
      </w:pPr>
    </w:p>
    <w:p>
      <w:pPr>
        <w:ind w:left="2360" w:right="640" w:hanging="1218"/>
        <w:spacing w:after="0" w:line="282" w:lineRule="auto"/>
        <w:tabs>
          <w:tab w:leader="none" w:pos="2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potential patent infringement claims arising from third-parties;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promote and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highly skilled key employees, including in engineering, product development, operations, sales, and marketing.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our business could be harmed.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54" w:lineRule="exact"/>
        <w:rPr>
          <w:sz w:val="20"/>
          <w:szCs w:val="20"/>
          <w:color w:val="auto"/>
        </w:rPr>
      </w:pPr>
    </w:p>
    <w:p>
      <w:pPr>
        <w:ind w:left="2360" w:right="80" w:hanging="1218"/>
        <w:spacing w:after="0" w:line="282" w:lineRule="auto"/>
        <w:tabs>
          <w:tab w:leader="none" w:pos="2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identify, attract, reward, and retain people in leadership positions in our organization who share and further our culture, values, and mission;</w:t>
      </w:r>
    </w:p>
    <w:p>
      <w:pPr>
        <w:spacing w:after="0" w:line="53"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117" w:lineRule="exact"/>
        <w:rPr>
          <w:rFonts w:ascii="Times New Roman" w:cs="Times New Roman" w:eastAsia="Times New Roman" w:hAnsi="Times New Roman"/>
          <w:sz w:val="18"/>
          <w:szCs w:val="18"/>
          <w:color w:val="auto"/>
        </w:rPr>
      </w:pPr>
    </w:p>
    <w:p>
      <w:pPr>
        <w:ind w:left="2360" w:hanging="1218"/>
        <w:spacing w:after="0"/>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certain assets and an exclusive license to certain intellectual property of Aura involves a number of risks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enter into an agreement for an acquisition, the transaction, or parts of the transaction,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foregoing reasons, pursuit of an acquisition of other businesses, products, or technologies could adversely impact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foundries with which we contract do not achieve satisfactory yields or quality, our reputation and customer relationships could be harmed.</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September 30, 2025, substantially all of which are large distributors, OEMs, and system manufacturers, we had $0.1 million and $0.1 million in allowance for credit losses as of September 30, 2025 and December 31, 2024, respectively. However, if our credit losses were to exceed our current or future allowance for credit losses, our business, financial condition, and results of operations would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predict our future capital needs, and we may not be able to obtain additional financing to fund our operations.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ind w:right="80" w:firstLine="81"/>
        <w:spacing w:after="0" w:line="281" w:lineRule="auto"/>
        <w:rPr>
          <w:sz w:val="20"/>
          <w:szCs w:val="20"/>
          <w:color w:val="auto"/>
        </w:rPr>
      </w:pPr>
      <w:r>
        <w:rPr>
          <w:rFonts w:ascii="Times New Roman" w:cs="Times New Roman" w:eastAsia="Times New Roman" w:hAnsi="Times New Roman"/>
          <w:sz w:val="17"/>
          <w:szCs w:val="17"/>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Treasury, FDIC or Federal Reserve Board will provide access to uninsured deposits, which could restrict access to our cash or cash equivalents and could adversely impact our operating liquidity, financial condition, and results of operations. As of</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 majority of our cash and short-term investment balances were maintained with Wells Fargo &amp; Co., Morgan Stanley, and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Bancorp.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 be required to seek, debt financing.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seek, or be required to seek, debt financing. Any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laws associated with our activities outside of the United States could subject us to penalties and other adverse consequences.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These laws and regulations are continuously and rapidly evolving, and the scope and interpretation of the laws and regulations that are or may be applicable to us are often uncertain and may be conflicting.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environmental laws or regulations, as well as sustainability initiatives, could impose substantial costs and may adversely affect our business.</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or future changes to U.S. and non-U.S. tax laws could materially adversely affect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we could suffer a loss of revenue or other penalties.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laws and regulations and other legal obligations related to privacy, data protection, and data security could adversely affect us.</w:t>
      </w:r>
    </w:p>
    <w:p>
      <w:pPr>
        <w:spacing w:after="0" w:line="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6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w:t>
      </w:r>
    </w:p>
    <w:p>
      <w:pPr>
        <w:spacing w:after="0" w:line="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supply chain attacks, exploitation of compromised commercial software, bugs and other security weaknesses 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information technology system failures or network disruptions, and lack of redundancy.</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2024, we had U.S. federal, state and foreign NOL carryforwards of approximately $250.7 million, $84.5 million and $2.0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begin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2024,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We will not carry back any NOLs as they did not have taxable income in prior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September 30, 2025, we had 144 issued U.S. patents, expiring generally between 2026 and 2040, and 50 pending U.S. patent applications (including 14 provisional applications). We also had 5 foreign issued patents expiring in 2036 and 12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We do not believe there will be any significant impact upon expiration of these patents.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available on reasonable terms or at all, cease sale of products, expend significant resources to develop alternative technology, or discontinue the use of processes requiring the relevant technology.</w:t>
      </w:r>
    </w:p>
    <w:p>
      <w:pPr>
        <w:spacing w:after="0" w:line="5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68" w:lineRule="exact"/>
        <w:rPr>
          <w:sz w:val="20"/>
          <w:szCs w:val="20"/>
          <w:color w:val="auto"/>
        </w:rPr>
      </w:pPr>
    </w:p>
    <w:p>
      <w:pPr>
        <w:ind w:left="2280" w:hanging="1138"/>
        <w:spacing w:after="0"/>
        <w:tabs>
          <w:tab w:leader="none" w:pos="2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applicable products, processes, or technology;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 by us or our customers;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auto"/>
        </w:rPr>
      </w:pPr>
    </w:p>
    <w:p>
      <w:pPr>
        <w:ind w:left="2280" w:right="200" w:hanging="1138"/>
        <w:spacing w:after="0" w:line="282" w:lineRule="auto"/>
        <w:tabs>
          <w:tab w:leader="none" w:pos="2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w:t>
      </w:r>
    </w:p>
    <w:p>
      <w:pPr>
        <w:spacing w:after="0" w:line="53" w:lineRule="exact"/>
        <w:rPr>
          <w:rFonts w:ascii="Times New Roman" w:cs="Times New Roman" w:eastAsia="Times New Roman" w:hAnsi="Times New Roman"/>
          <w:sz w:val="18"/>
          <w:szCs w:val="18"/>
          <w:color w:val="auto"/>
        </w:rPr>
      </w:pPr>
    </w:p>
    <w:p>
      <w:pPr>
        <w:ind w:left="2280" w:right="80" w:hanging="1138"/>
        <w:spacing w:after="0" w:line="282" w:lineRule="auto"/>
        <w:tabs>
          <w:tab w:leader="none" w:pos="2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 or</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their use of or to replace infringing technology sold to them with non-infringing technology, if available.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results could adversely affect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Concentration of Ownership in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latest filings with the SEC, holders of 5% or more of our common stock and their affiliates, beneficially owned approximately 49.0% of the</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outstanding shares of our common stock, based on the number of shares outstanding as of September 30, 2025. As a result, this group of stockholders has the ability to significantly influence us through this ownership position.</w:t>
      </w:r>
    </w:p>
    <w:p>
      <w:pPr>
        <w:spacing w:after="0" w:line="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68" w:lineRule="exact"/>
        <w:rPr>
          <w:sz w:val="20"/>
          <w:szCs w:val="20"/>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business plans and policies, including the appointment and removal of our officers;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and other business combinations;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or disposition of assets;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activities;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our stock plans.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w:t>
      </w:r>
    </w:p>
    <w:p>
      <w:pPr>
        <w:spacing w:after="0" w:line="2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bylaws include provisions that:</w:t>
      </w:r>
    </w:p>
    <w:p>
      <w:pPr>
        <w:spacing w:after="0" w:line="99" w:lineRule="exact"/>
        <w:rPr>
          <w:sz w:val="20"/>
          <w:szCs w:val="20"/>
          <w:color w:val="auto"/>
        </w:rPr>
      </w:pPr>
    </w:p>
    <w:p>
      <w:pPr>
        <w:ind w:left="2280" w:right="12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53" w:lineRule="exact"/>
        <w:rPr>
          <w:rFonts w:ascii="Times New Roman" w:cs="Times New Roman" w:eastAsia="Times New Roman" w:hAnsi="Times New Roman"/>
          <w:sz w:val="18"/>
          <w:szCs w:val="18"/>
          <w:color w:val="auto"/>
        </w:rPr>
      </w:pPr>
    </w:p>
    <w:p>
      <w:pPr>
        <w:ind w:left="2280" w:right="36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17" w:lineRule="exact"/>
        <w:rPr>
          <w:rFonts w:ascii="Times New Roman" w:cs="Times New Roman" w:eastAsia="Times New Roman" w:hAnsi="Times New Roman"/>
          <w:sz w:val="18"/>
          <w:szCs w:val="18"/>
          <w:color w:val="auto"/>
        </w:rPr>
      </w:pPr>
    </w:p>
    <w:p>
      <w:pPr>
        <w:ind w:left="2280" w:right="24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by a majority of directors then in office, even if less than a quorum; and</w:t>
      </w:r>
    </w:p>
    <w:p>
      <w:pPr>
        <w:spacing w:after="0" w:line="53" w:lineRule="exact"/>
        <w:rPr>
          <w:rFonts w:ascii="Times New Roman" w:cs="Times New Roman" w:eastAsia="Times New Roman" w:hAnsi="Times New Roman"/>
          <w:sz w:val="18"/>
          <w:szCs w:val="18"/>
          <w:color w:val="auto"/>
        </w:rPr>
      </w:pPr>
    </w:p>
    <w:p>
      <w:pPr>
        <w:ind w:left="2280" w:right="60" w:hanging="1138"/>
        <w:spacing w:after="0" w:line="282" w:lineRule="auto"/>
        <w:tabs>
          <w:tab w:leader="none" w:pos="2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7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resulting in a loss of some or all of our stockholder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and volume of our common stock is likely to be volatile and could fluctuate significantly in response to numerous factors, many of which are beyond our control, including:</w:t>
      </w:r>
    </w:p>
    <w:p>
      <w:pPr>
        <w:spacing w:after="0" w:line="54" w:lineRule="exact"/>
        <w:rPr>
          <w:sz w:val="20"/>
          <w:szCs w:val="20"/>
          <w:color w:val="auto"/>
        </w:rPr>
      </w:pPr>
    </w:p>
    <w:p>
      <w:pPr>
        <w:ind w:left="2280" w:hanging="1138"/>
        <w:spacing w:after="0"/>
        <w:tabs>
          <w:tab w:leader="none" w:pos="2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53" w:lineRule="exact"/>
        <w:rPr>
          <w:rFonts w:ascii="Times New Roman" w:cs="Times New Roman" w:eastAsia="Times New Roman" w:hAnsi="Times New Roman"/>
          <w:sz w:val="18"/>
          <w:szCs w:val="18"/>
          <w:color w:val="auto"/>
        </w:rPr>
      </w:pPr>
    </w:p>
    <w:p>
      <w:pPr>
        <w:ind w:left="2280" w:right="5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53" w:lineRule="exact"/>
        <w:rPr>
          <w:rFonts w:ascii="Times New Roman" w:cs="Times New Roman" w:eastAsia="Times New Roman" w:hAnsi="Times New Roman"/>
          <w:sz w:val="18"/>
          <w:szCs w:val="18"/>
          <w:color w:val="auto"/>
        </w:rPr>
      </w:pPr>
    </w:p>
    <w:p>
      <w:pPr>
        <w:ind w:left="2280" w:hanging="1138"/>
        <w:spacing w:after="0" w:line="282" w:lineRule="auto"/>
        <w:tabs>
          <w:tab w:leader="none" w:pos="2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significant customers of changes to their product offerings, business plans, or strategies;</w:t>
      </w:r>
    </w:p>
    <w:p>
      <w:pPr>
        <w:spacing w:after="0" w:line="117" w:lineRule="exact"/>
        <w:rPr>
          <w:rFonts w:ascii="Times New Roman" w:cs="Times New Roman" w:eastAsia="Times New Roman" w:hAnsi="Times New Roman"/>
          <w:sz w:val="18"/>
          <w:szCs w:val="18"/>
          <w:color w:val="auto"/>
        </w:rPr>
      </w:pPr>
    </w:p>
    <w:p>
      <w:pPr>
        <w:ind w:left="2280" w:right="4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2280" w:right="3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semiconductor industry;</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seasonality of the end-market demand;</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the semiconductor market;</w:t>
      </w:r>
    </w:p>
    <w:p>
      <w:pPr>
        <w:spacing w:after="0" w:line="117" w:lineRule="exact"/>
        <w:rPr>
          <w:rFonts w:ascii="Times New Roman" w:cs="Times New Roman" w:eastAsia="Times New Roman" w:hAnsi="Times New Roman"/>
          <w:sz w:val="18"/>
          <w:szCs w:val="18"/>
          <w:color w:val="auto"/>
        </w:rPr>
      </w:pPr>
    </w:p>
    <w:p>
      <w:pPr>
        <w:ind w:left="2280" w:right="12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including as a result of trends in the economy as a whole;</w:t>
      </w:r>
    </w:p>
    <w:p>
      <w:pPr>
        <w:spacing w:after="0" w:line="53"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w:t>
      </w:r>
    </w:p>
    <w:p>
      <w:pPr>
        <w:spacing w:after="0" w:line="117" w:lineRule="exact"/>
        <w:rPr>
          <w:rFonts w:ascii="Times New Roman" w:cs="Times New Roman" w:eastAsia="Times New Roman" w:hAnsi="Times New Roman"/>
          <w:sz w:val="18"/>
          <w:szCs w:val="18"/>
          <w:color w:val="auto"/>
        </w:rPr>
      </w:pPr>
    </w:p>
    <w:p>
      <w:pPr>
        <w:ind w:left="2280" w:hanging="1138"/>
        <w:spacing w:after="0"/>
        <w:tabs>
          <w:tab w:leader="none" w:pos="2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117" w:lineRule="exact"/>
        <w:rPr>
          <w:rFonts w:ascii="Times New Roman" w:cs="Times New Roman" w:eastAsia="Times New Roman" w:hAnsi="Times New Roman"/>
          <w:sz w:val="18"/>
          <w:szCs w:val="18"/>
          <w:color w:val="auto"/>
        </w:rPr>
      </w:pPr>
    </w:p>
    <w:p>
      <w:pPr>
        <w:ind w:left="2280" w:right="160" w:hanging="1138"/>
        <w:spacing w:after="0" w:line="282" w:lineRule="auto"/>
        <w:tabs>
          <w:tab w:leader="none" w:pos="2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geopolitical activities, war, incidents of terrorism, natural disasters, pandemics, or responses to these events.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listed below are filed (or furnished, as noted) as exhibits to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0" w:type="dxa"/>
            <w:vAlign w:val="bottom"/>
            <w:gridSpan w:val="12"/>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31"/>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0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Restated Certificate of Incorporation of SiTime Corporation (the “Company”) (incorporated by reference to Exhibit 3.1 to the</w:t>
              </w:r>
            </w:hyperlink>
          </w:p>
        </w:tc>
        <w:tc>
          <w:tcPr>
            <w:tcW w:w="84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Company’s Current Report on Form 8-K filed November 26, 2019).</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8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Amended and Restated Bylaws of the Company (incorporated by reference to Exhibit 3.2 to the Company’s Current Report on Form 8-K</w:t>
              </w:r>
            </w:hyperlink>
          </w:p>
        </w:tc>
        <w:tc>
          <w:tcPr>
            <w:tcW w:w="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filed June 29, 2021).</w:t>
              </w:r>
            </w:hyperlink>
          </w:p>
        </w:tc>
        <w:tc>
          <w:tcPr>
            <w:tcW w:w="8400" w:type="dxa"/>
            <w:vAlign w:val="bottom"/>
            <w:gridSpan w:val="13"/>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97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Form of Common Stock Certificate of the Company (incorporated by reference to Exhibit 4.1 to the Company’s Registration Statement</w:t>
              </w:r>
            </w:hyperlink>
          </w:p>
        </w:tc>
        <w:tc>
          <w:tcPr>
            <w:tcW w:w="12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on Form S-1 (File No. 333-234305)).</w:t>
              </w:r>
            </w:hyperlink>
          </w:p>
        </w:tc>
        <w:tc>
          <w:tcPr>
            <w:tcW w:w="7200" w:type="dxa"/>
            <w:vAlign w:val="bottom"/>
            <w:gridSpan w:val="12"/>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5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Description of Securities Registered Pursuant to Section 12 of the Securities Exchange Act of 1934 (incorporated by reference to the</w:t>
              </w:r>
            </w:hyperlink>
          </w:p>
        </w:tc>
        <w:tc>
          <w:tcPr>
            <w:tcW w:w="340" w:type="dxa"/>
            <w:vAlign w:val="bottom"/>
            <w:gridSpan w:val="7"/>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Company’s Annual Report on Form 10-K filed February 16, 2021).</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Letter Agreement dated October 16, 2025 between the Company and Ganesh Moorthy (incorporated by reference to Exhibit 10.1 to the</w:t>
              </w:r>
            </w:hyperlink>
          </w:p>
        </w:tc>
        <w:tc>
          <w:tcPr>
            <w:tcW w:w="14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5"/>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Company’s Current Report on Form 8-K filed October 17, 2025).</w:t>
              </w:r>
            </w:hyperlink>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26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9"/>
          </w:tcPr>
          <w:p>
            <w:pPr>
              <w:spacing w:after="0"/>
              <w:rPr>
                <w:sz w:val="17"/>
                <w:szCs w:val="17"/>
                <w:color w:val="auto"/>
              </w:rPr>
            </w:pPr>
          </w:p>
        </w:tc>
      </w:tr>
      <w:tr>
        <w:trPr>
          <w:trHeight w:val="39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3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00" w:type="dxa"/>
            <w:vAlign w:val="bottom"/>
            <w:gridSpan w:val="9"/>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28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500" w:type="dxa"/>
            <w:vAlign w:val="bottom"/>
            <w:gridSpan w:val="14"/>
          </w:tcPr>
          <w:p>
            <w:pPr>
              <w:spacing w:after="0"/>
              <w:rPr>
                <w:sz w:val="17"/>
                <w:szCs w:val="17"/>
                <w:color w:val="auto"/>
              </w:rPr>
            </w:pPr>
          </w:p>
        </w:tc>
      </w:tr>
      <w:tr>
        <w:trPr>
          <w:trHeight w:val="39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160" w:type="dxa"/>
            <w:vAlign w:val="bottom"/>
            <w:tcBorders>
              <w:top w:val="single" w:sz="8" w:color="0000FF"/>
            </w:tcBorders>
            <w:gridSpan w:val="7"/>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421"/>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0"/>
          <w:szCs w:val="20"/>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6" w:lineRule="exact"/>
        <w:rPr>
          <w:sz w:val="20"/>
          <w:szCs w:val="20"/>
          <w:color w:val="auto"/>
        </w:rPr>
      </w:pPr>
    </w:p>
    <w:p>
      <w:pPr>
        <w:ind w:left="820" w:right="60" w:hanging="812"/>
        <w:spacing w:after="0" w:line="231" w:lineRule="exact"/>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9" w:lineRule="exact"/>
        <w:rPr>
          <w:sz w:val="20"/>
          <w:szCs w:val="20"/>
          <w:color w:val="auto"/>
        </w:rPr>
      </w:pPr>
    </w:p>
    <w:p>
      <w:pPr>
        <w:ind w:left="20"/>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918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21"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Rajesh Vashist, certify that:</w:t>
      </w:r>
    </w:p>
    <w:p>
      <w:pPr>
        <w:spacing w:after="0" w:line="225" w:lineRule="exact"/>
        <w:rPr>
          <w:sz w:val="20"/>
          <w:szCs w:val="20"/>
          <w:color w:val="auto"/>
        </w:rPr>
      </w:pPr>
    </w:p>
    <w:p>
      <w:pPr>
        <w:ind w:left="580" w:hanging="57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40" w:right="100" w:hanging="965"/>
        <w:spacing w:after="0" w:line="266" w:lineRule="auto"/>
        <w:tabs>
          <w:tab w:leader="none" w:pos="15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right="220" w:hanging="965"/>
        <w:spacing w:after="0" w:line="266" w:lineRule="auto"/>
        <w:tabs>
          <w:tab w:leader="none" w:pos="15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40" w:right="20" w:hanging="965"/>
        <w:spacing w:after="0" w:line="266" w:lineRule="auto"/>
        <w:tabs>
          <w:tab w:leader="none" w:pos="15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540" w:right="260" w:hanging="965"/>
        <w:spacing w:after="0" w:line="282" w:lineRule="auto"/>
        <w:tabs>
          <w:tab w:leader="none" w:pos="15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540" w:right="560" w:hanging="965"/>
        <w:spacing w:after="0" w:line="282" w:lineRule="auto"/>
        <w:tabs>
          <w:tab w:leader="none" w:pos="15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3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25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Rule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A. Howe, certify that:</w:t>
      </w:r>
    </w:p>
    <w:p>
      <w:pPr>
        <w:spacing w:after="0" w:line="225" w:lineRule="exact"/>
        <w:rPr>
          <w:sz w:val="20"/>
          <w:szCs w:val="20"/>
          <w:color w:val="auto"/>
        </w:rPr>
      </w:pPr>
    </w:p>
    <w:p>
      <w:pPr>
        <w:ind w:left="580" w:hanging="572"/>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SiTime Corporation.;</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885"/>
        <w:spacing w:after="0" w:line="266"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hanging="885"/>
        <w:spacing w:after="0" w:line="266"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885"/>
        <w:spacing w:after="0" w:line="282"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100" w:hanging="885"/>
        <w:spacing w:after="0" w:line="266"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40" w:hanging="885"/>
        <w:spacing w:after="0" w:line="282"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460" w:right="40" w:hanging="885"/>
        <w:spacing w:after="0" w:line="282"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3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ectPr>
          <w:pgSz w:w="11900" w:h="16838" w:orient="portrait"/>
          <w:cols w:equalWidth="0" w:num="1">
            <w:col w:w="11240"/>
          </w:cols>
          <w:pgMar w:left="320" w:top="114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September 30,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0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Rajesh Vashist</w:t>
      </w:r>
    </w:p>
    <w:p>
      <w:pPr>
        <w:spacing w:after="0" w:line="3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SiTime Corporation. (the “Company”) on Form 10-Q for the period ended September 30, 2025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2100" w:hanging="1039"/>
        <w:spacing w:after="0"/>
        <w:tabs>
          <w:tab w:leader="none" w:pos="2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2120" w:right="720" w:hanging="1059"/>
        <w:spacing w:after="0" w:line="282" w:lineRule="auto"/>
        <w:tabs>
          <w:tab w:leader="none" w:pos="21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0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34290</wp:posOffset>
            </wp:positionV>
            <wp:extent cx="28886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75" Type="http://schemas.openxmlformats.org/officeDocument/2006/relationships/hyperlink" Target="https://www.sec.gov/Archives/edgar/data/1451809/000119312519301287/d630610dex31.htm" TargetMode="External"/><Relationship Id="rId76" Type="http://schemas.openxmlformats.org/officeDocument/2006/relationships/hyperlink" Target="https://www.sec.gov/Archives/edgar/data/1451809/000156459021035069/sitm-ex32_6.htm" TargetMode="External"/><Relationship Id="rId77" Type="http://schemas.openxmlformats.org/officeDocument/2006/relationships/hyperlink" Target="https://www.sec.gov/Archives/edgar/data/0001451809/000119312519272678/d701682dex41.htm" TargetMode="External"/><Relationship Id="rId78" Type="http://schemas.openxmlformats.org/officeDocument/2006/relationships/hyperlink" Target="https://www.sec.gov/Archives/edgar/data/1451809/000156459021005867/sitm-ex42_644.htm" TargetMode="External"/><Relationship Id="rId79" Type="http://schemas.openxmlformats.org/officeDocument/2006/relationships/hyperlink" Target="https://www.sec.gov/Archives/edgar/data/1451809/000145180925000132/exhibit101-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2025-11-06T05:14:30Z</dcterms:created>
  <dcterms:modified xsi:type="dcterms:W3CDTF">2025-11-06T05:14:30Z</dcterms:modified>
</cp:coreProperties>
</file>