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777098d8k.htm"/>
      <w:bookmarkStart w:id="1" w:name="ksd777098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February 27,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SiTime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001-39135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02-0713868</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358" w:type="dxa"/>
        <w:jc w:val="left"/>
        <w:tblInd w:w="0" w:type="dxa"/>
        <w:tblLayout w:type="fixed"/>
        <w:tblCellMar>
          <w:top w:w="0" w:type="dxa"/>
          <w:left w:w="0" w:type="dxa"/>
          <w:bottom w:w="0" w:type="dxa"/>
          <w:right w:w="0" w:type="dxa"/>
        </w:tblCellMar>
      </w:tblPr>
      <w:tblGrid>
        <w:gridCol w:w="4070"/>
        <w:gridCol w:w="60"/>
        <w:gridCol w:w="23"/>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5451 Patrick Henry Drive</w:t>
            </w:r>
          </w:p>
        </w:tc>
        <w:tc>
          <w:tcPr>
            <w:tcW w:w="60" w:type="dxa"/>
            <w:tcBorders/>
            <w:vAlign w:val="center"/>
          </w:tcPr>
          <w:p>
            <w:pPr>
              <w:pStyle w:val="TableContents"/>
              <w:bidi w:val="0"/>
              <w:spacing w:before="0" w:after="283"/>
              <w:jc w:val="left"/>
              <w:rPr/>
            </w:pPr>
            <w:r>
              <w:rPr/>
              <w:t> </w:t>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Santa Clara, California</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95054</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(408) 328-4400</w:t>
      </w:r>
    </w:p>
    <w:p>
      <w:pPr>
        <w:pStyle w:val="TextBody"/>
        <w:bidi w:val="0"/>
        <w:spacing w:before="4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295" w:type="dxa"/>
        <w:jc w:val="left"/>
        <w:tblInd w:w="0" w:type="dxa"/>
        <w:tblLayout w:type="fixed"/>
        <w:tblCellMar>
          <w:top w:w="0" w:type="dxa"/>
          <w:left w:w="0" w:type="dxa"/>
          <w:bottom w:w="0" w:type="dxa"/>
          <w:right w:w="0" w:type="dxa"/>
        </w:tblCellMar>
      </w:tblPr>
      <w:tblGrid>
        <w:gridCol w:w="4265"/>
        <w:gridCol w:w="120"/>
        <w:gridCol w:w="740"/>
        <w:gridCol w:w="120"/>
        <w:gridCol w:w="3050"/>
      </w:tblGrid>
      <w:tr>
        <w:trPr/>
        <w:tc>
          <w:tcPr>
            <w:tcW w:w="42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12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12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12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SITM</w:t>
            </w:r>
          </w:p>
        </w:tc>
        <w:tc>
          <w:tcPr>
            <w:tcW w:w="12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4810" w:type="dxa"/>
        <w:jc w:val="left"/>
        <w:tblInd w:w="0" w:type="dxa"/>
        <w:tblLayout w:type="fixed"/>
        <w:tblCellMar>
          <w:top w:w="0" w:type="dxa"/>
          <w:left w:w="0" w:type="dxa"/>
          <w:bottom w:w="0" w:type="dxa"/>
          <w:right w:w="0" w:type="dxa"/>
        </w:tblCellMar>
      </w:tblPr>
      <w:tblGrid>
        <w:gridCol w:w="1025"/>
        <w:gridCol w:w="3785"/>
      </w:tblGrid>
      <w:tr>
        <w:trPr/>
        <w:tc>
          <w:tcPr>
            <w:tcW w:w="102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February 27, 2024, SiTime Corporation (the “Company”) entered into an At-the-Market Equity Offering Sales Agreement (the “Sales Agreement”) with Stifel, Nicolaus &amp; Company, Incorporated (“Stifel”) under which the Company may offer and sell, from time to time at its sole discretion, up to an aggregate of 1,200,000 shares of its common stock, par value $0.0001 per share (the “Shares”), through Stifel, acting as sales agent or principal. The Company has filed with the Securities and Exchange Commission (the “SEC”) a prospectus supplement pursuant to the Sales Agreement for the offer and sale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Sales Agreement, sales of the Shares, if any, will be made under the Company’s previously filed and effective Registration Statement on Form S-3 (File No. 333-277373) and an applicable prospectus supplement, each filed with the SEC. Subject to the terms and conditions of the Sales Agreement, Stifel may sell the Shares by any method permitted by law deemed to be an “at the market offering” as defined in Rule 415(a)(4) of the Securities Act of 1933, as amended (the “Securities Act”). Stifel will use commercially reasonable efforts to sell the Shares from time to time, based upon instructions from the Company (including any price, time or size limits or other customary parameters or conditions the Company may impose). The Company will pay Stifel a commission of up to three percent (3.0%) of the gross sales proceeds of any Shares sold through Stifel under the Sales Agreement, and also has provided Stifel with certain indemnification rights, including under the Securities Act. Either party may terminate the Sales Agreement at any time without liability of any party.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Sales Agreement is not complete and is qualified in its entirety by reference to the full text of the Sales Agreement, a copy of which is filed herewith as Exhibit 1.1 to this Current Report on Form 8-K and is incorporated herein by reference. Cooley LLP, counsel to the Company, has issued a legal opinion relating to validity of the Shares that may be issued, a copy of which, including the consent included therein, is attached as Exhibit 5.1 to this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shall not constitute an offer to sell or the solicitation of an offer to buy the securities discussed herein, nor shall there be any offer, solicitation, or sale of the securities in any state in which such offer, solicitation or sale would be unlawful prior to registration or qualification under the securities laws of any such state.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245"/>
        <w:gridCol w:w="830"/>
      </w:tblGrid>
      <w:tr>
        <w:trPr/>
        <w:tc>
          <w:tcPr>
            <w:tcW w:w="245" w:type="dxa"/>
            <w:tcBorders/>
            <w:vAlign w:val="center"/>
          </w:tcPr>
          <w:p>
            <w:pPr>
              <w:pStyle w:val="TableContents"/>
              <w:bidi w:val="0"/>
              <w:spacing w:before="0" w:after="283"/>
              <w:jc w:val="left"/>
              <w:rPr>
                <w:b/>
              </w:rPr>
            </w:pPr>
            <w:r>
              <w:rPr>
                <w:b/>
              </w:rPr>
              <w:t>d)</w:t>
            </w:r>
          </w:p>
        </w:tc>
        <w:tc>
          <w:tcPr>
            <w:tcW w:w="8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1.1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777098dex11.htm">
              <w:r>
                <w:rPr>
                  <w:rStyle w:val="InternetLink"/>
                </w:rPr>
                <w:t xml:space="preserve">Sales Agreement dated February 27, 2024 between SiTime Corporation and Stifel, Nicolaus &amp; Company, Incorporated.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5.1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777098dex51.htm">
              <w:r>
                <w:rPr>
                  <w:rStyle w:val="InternetLink"/>
                </w:rPr>
                <w:t xml:space="preserve">Opinion of Cooley LLP.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777098dex51.htm">
              <w:r>
                <w:rPr>
                  <w:rStyle w:val="InternetLink"/>
                </w:rPr>
                <w:t xml:space="preserve">Consent of Cooley LLP (included in Exhibit 5.1).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February 27, 2024 </w:t>
      </w:r>
    </w:p>
    <w:p>
      <w:pPr>
        <w:pStyle w:val="TextBody"/>
        <w:bidi w:val="0"/>
        <w:spacing w:before="0" w:after="0"/>
        <w:jc w:val="left"/>
        <w:rPr/>
      </w:pPr>
      <w:r>
        <w:rPr/>
        <w:t> </w:t>
      </w:r>
    </w:p>
    <w:tbl>
      <w:tblPr>
        <w:tblW w:w="5950" w:type="dxa"/>
        <w:jc w:val="left"/>
        <w:tblInd w:w="0" w:type="dxa"/>
        <w:tblLayout w:type="fixed"/>
        <w:tblCellMar>
          <w:top w:w="0" w:type="dxa"/>
          <w:left w:w="0" w:type="dxa"/>
          <w:bottom w:w="0" w:type="dxa"/>
          <w:right w:w="0" w:type="dxa"/>
        </w:tblCellMar>
      </w:tblPr>
      <w:tblGrid>
        <w:gridCol w:w="500"/>
        <w:gridCol w:w="60"/>
        <w:gridCol w:w="5390"/>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90" w:type="dxa"/>
            <w:tcBorders/>
            <w:vAlign w:val="center"/>
          </w:tcPr>
          <w:p>
            <w:pPr>
              <w:pStyle w:val="TableContents"/>
              <w:bidi w:val="0"/>
              <w:spacing w:before="0" w:after="283"/>
              <w:jc w:val="left"/>
              <w:rPr>
                <w:sz w:val="4"/>
                <w:szCs w:val="4"/>
              </w:rPr>
            </w:pPr>
            <w:r>
              <w:rPr>
                <w:sz w:val="4"/>
                <w:szCs w:val="4"/>
              </w:rPr>
            </w:r>
          </w:p>
        </w:tc>
      </w:tr>
      <w:tr>
        <w:trPr/>
        <w:tc>
          <w:tcPr>
            <w:tcW w:w="5950" w:type="dxa"/>
            <w:gridSpan w:val="3"/>
            <w:tcBorders/>
            <w:vAlign w:val="center"/>
          </w:tcPr>
          <w:p>
            <w:pPr>
              <w:pStyle w:val="TableContents"/>
              <w:bidi w:val="0"/>
              <w:spacing w:before="0" w:after="283"/>
              <w:jc w:val="left"/>
              <w:rPr>
                <w:b/>
              </w:rPr>
            </w:pPr>
            <w:r>
              <w:rPr>
                <w:b/>
              </w:rPr>
              <w:t>SITIME CORPORATION</w:t>
            </w:r>
          </w:p>
        </w:tc>
      </w:tr>
      <w:tr>
        <w:trPr/>
        <w:tc>
          <w:tcPr>
            <w:tcW w:w="500" w:type="dxa"/>
            <w:tcBorders/>
            <w:vAlign w:val="center"/>
          </w:tcPr>
          <w:p>
            <w:pPr>
              <w:pStyle w:val="TableContents"/>
              <w:bidi w:val="0"/>
              <w:spacing w:before="0" w:after="283"/>
              <w:jc w:val="left"/>
              <w:rPr>
                <w:sz w:val="4"/>
                <w:szCs w:val="4"/>
              </w:rPr>
            </w:pPr>
            <w:r>
              <w:rPr>
                <w:sz w:val="4"/>
                <w:szCs w:val="4"/>
              </w:rPr>
            </w:r>
          </w:p>
        </w:tc>
        <w:tc>
          <w:tcPr>
            <w:tcW w:w="5450" w:type="dxa"/>
            <w:gridSpan w:val="2"/>
            <w:tcBorders/>
            <w:vAlign w:val="center"/>
          </w:tcPr>
          <w:p>
            <w:pPr>
              <w:pStyle w:val="TableContents"/>
              <w:bidi w:val="0"/>
              <w:spacing w:before="0" w:after="283"/>
              <w:jc w:val="left"/>
              <w:rPr>
                <w:sz w:val="4"/>
                <w:szCs w:val="4"/>
              </w:rPr>
            </w:pPr>
            <w:r>
              <w:rPr>
                <w:sz w:val="4"/>
                <w:szCs w:val="4"/>
              </w:rPr>
            </w:r>
          </w:p>
        </w:tc>
      </w:tr>
      <w:tr>
        <w:trPr/>
        <w:tc>
          <w:tcPr>
            <w:tcW w:w="500" w:type="dxa"/>
            <w:tcBorders/>
            <w:vAlign w:val="center"/>
          </w:tcPr>
          <w:p>
            <w:pPr>
              <w:pStyle w:val="TableContents"/>
              <w:bidi w:val="0"/>
              <w:spacing w:before="0" w:after="283"/>
              <w:jc w:val="left"/>
              <w:rPr/>
            </w:pPr>
            <w:r>
              <w:rPr/>
              <w:t>By: </w:t>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Elizabeth A. Howe</w:t>
            </w:r>
          </w:p>
        </w:tc>
      </w:tr>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center"/>
              <w:rPr>
                <w:b/>
              </w:rPr>
            </w:pPr>
            <w:r>
              <w:rPr>
                <w:b/>
              </w:rPr>
              <w:t>Elizabeth A. Howe</w:t>
            </w:r>
          </w:p>
        </w:tc>
      </w:tr>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390" w:type="dxa"/>
            <w:tcBorders/>
            <w:vAlign w:val="center"/>
          </w:tcPr>
          <w:p>
            <w:pPr>
              <w:pStyle w:val="TableContents"/>
              <w:bidi w:val="0"/>
              <w:spacing w:before="0" w:after="283"/>
              <w:jc w:val="center"/>
              <w:rPr>
                <w:b/>
              </w:rPr>
            </w:pPr>
            <w:r>
              <w:rPr>
                <w:b/>
              </w:rPr>
              <w:t>Executive Vice President and Chief Financial Officer</w:t>
            </w:r>
          </w:p>
        </w:tc>
      </w:tr>
    </w:tbl>
    <w:p>
      <w:pPr>
        <w:pStyle w:val="TextBody"/>
        <w:bidi w:val="0"/>
        <w:spacing w:before="0" w:after="0"/>
        <w:jc w:val="right"/>
        <w:rPr>
          <w:rFonts w:ascii="Times New Roman" w:hAnsi="Times New Roman"/>
          <w:b/>
          <w:sz w:val="20"/>
        </w:rPr>
      </w:pPr>
      <w:bookmarkStart w:id="2" w:name="d777098dex11.htm"/>
      <w:bookmarkStart w:id="3" w:name="ksd777098dex11"/>
      <w:bookmarkEnd w:id="2"/>
      <w:bookmarkEnd w:id="3"/>
      <w:r>
        <w:rPr>
          <w:rFonts w:ascii="Times New Roman" w:hAnsi="Times New Roman"/>
          <w:b/>
          <w:sz w:val="20"/>
        </w:rPr>
        <w:t xml:space="preserve">Exhibit 1.1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SiTime Corporation </w:t>
      </w:r>
    </w:p>
    <w:p>
      <w:pPr>
        <w:pStyle w:val="TextBody"/>
        <w:bidi w:val="0"/>
        <w:spacing w:before="0" w:after="0"/>
        <w:jc w:val="center"/>
        <w:rPr>
          <w:rFonts w:ascii="Times New Roman" w:hAnsi="Times New Roman"/>
          <w:sz w:val="20"/>
        </w:rPr>
      </w:pPr>
      <w:r>
        <w:rPr>
          <w:rFonts w:ascii="Times New Roman" w:hAnsi="Times New Roman"/>
          <w:sz w:val="20"/>
        </w:rPr>
        <w:t xml:space="preserve">Shares of Common Stock </w:t>
      </w:r>
    </w:p>
    <w:p>
      <w:pPr>
        <w:pStyle w:val="TextBody"/>
        <w:bidi w:val="0"/>
        <w:spacing w:before="0" w:after="0"/>
        <w:jc w:val="center"/>
        <w:rPr>
          <w:rFonts w:ascii="Times New Roman" w:hAnsi="Times New Roman"/>
          <w:sz w:val="20"/>
        </w:rPr>
      </w:pPr>
      <w:r>
        <w:rPr>
          <w:rFonts w:ascii="Times New Roman" w:hAnsi="Times New Roman"/>
          <w:sz w:val="20"/>
        </w:rPr>
        <w:t xml:space="preserve">(par value $0.0001 per share)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Sales Agreement </w:t>
      </w:r>
    </w:p>
    <w:p>
      <w:pPr>
        <w:pStyle w:val="TextBody"/>
        <w:bidi w:val="0"/>
        <w:spacing w:before="240" w:after="0"/>
        <w:jc w:val="right"/>
        <w:rPr>
          <w:rFonts w:ascii="Times New Roman" w:hAnsi="Times New Roman"/>
          <w:sz w:val="20"/>
        </w:rPr>
      </w:pPr>
      <w:r>
        <w:rPr>
          <w:rFonts w:ascii="Times New Roman" w:hAnsi="Times New Roman"/>
          <w:sz w:val="20"/>
        </w:rPr>
        <w:t xml:space="preserve">February 27, 2024 </w:t>
      </w:r>
    </w:p>
    <w:p>
      <w:pPr>
        <w:pStyle w:val="TextBody"/>
        <w:bidi w:val="0"/>
        <w:spacing w:before="24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0" w:after="0"/>
        <w:jc w:val="left"/>
        <w:rPr>
          <w:rFonts w:ascii="Times New Roman" w:hAnsi="Times New Roman"/>
          <w:sz w:val="20"/>
        </w:rPr>
      </w:pPr>
      <w:r>
        <w:rPr>
          <w:rFonts w:ascii="Times New Roman" w:hAnsi="Times New Roman"/>
          <w:sz w:val="20"/>
        </w:rPr>
        <w:t xml:space="preserve">One Montgomery Street </w:t>
      </w:r>
    </w:p>
    <w:p>
      <w:pPr>
        <w:pStyle w:val="TextBody"/>
        <w:bidi w:val="0"/>
        <w:spacing w:before="0" w:after="0"/>
        <w:jc w:val="left"/>
        <w:rPr>
          <w:rFonts w:ascii="Times New Roman" w:hAnsi="Times New Roman"/>
          <w:sz w:val="20"/>
        </w:rPr>
      </w:pPr>
      <w:r>
        <w:rPr>
          <w:rFonts w:ascii="Times New Roman" w:hAnsi="Times New Roman"/>
          <w:sz w:val="20"/>
        </w:rPr>
        <w:t xml:space="preserve">Suite 3700 </w:t>
      </w:r>
    </w:p>
    <w:p>
      <w:pPr>
        <w:pStyle w:val="TextBody"/>
        <w:bidi w:val="0"/>
        <w:spacing w:before="0" w:after="0"/>
        <w:jc w:val="left"/>
        <w:rPr>
          <w:rFonts w:ascii="Times New Roman" w:hAnsi="Times New Roman"/>
          <w:sz w:val="20"/>
        </w:rPr>
      </w:pPr>
      <w:r>
        <w:rPr>
          <w:rFonts w:ascii="Times New Roman" w:hAnsi="Times New Roman"/>
          <w:sz w:val="20"/>
        </w:rPr>
        <w:t xml:space="preserve">San Francisco, California 94104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SiTime Corporation, a Delaware corporation (the </w:t>
      </w:r>
      <w:r>
        <w:rPr>
          <w:rFonts w:ascii="Times New Roman" w:hAnsi="Times New Roman"/>
          <w:b/>
          <w:sz w:val="20"/>
          <w:u w:val="single"/>
        </w:rPr>
        <w:t>Company</w:t>
      </w:r>
      <w:r>
        <w:rPr>
          <w:rFonts w:ascii="Times New Roman" w:hAnsi="Times New Roman"/>
          <w:sz w:val="20"/>
        </w:rPr>
        <w:t>), confirms its agreement (this </w:t>
      </w:r>
      <w:r>
        <w:rPr>
          <w:rFonts w:ascii="Times New Roman" w:hAnsi="Times New Roman"/>
          <w:b/>
          <w:sz w:val="20"/>
          <w:u w:val="single"/>
        </w:rPr>
        <w:t>Agreement</w:t>
      </w:r>
      <w:r>
        <w:rPr>
          <w:rFonts w:ascii="Times New Roman" w:hAnsi="Times New Roman"/>
          <w:sz w:val="20"/>
        </w:rPr>
        <w:t>) with Stifel, Nicolaus &amp; Company, Incorporated (the </w:t>
      </w:r>
      <w:r>
        <w:rPr>
          <w:rFonts w:ascii="Times New Roman" w:hAnsi="Times New Roman"/>
          <w:b/>
          <w:sz w:val="20"/>
          <w:u w:val="single"/>
        </w:rPr>
        <w:t>Agent</w:t>
      </w:r>
      <w:r>
        <w:rPr>
          <w:rFonts w:ascii="Times New Roman" w:hAnsi="Times New Roman"/>
          <w:sz w:val="20"/>
        </w:rPr>
        <w:t xml:space="preserv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Issuance and Sale of Shares</w:t>
      </w:r>
      <w:r>
        <w:rPr>
          <w:rFonts w:ascii="Times New Roman" w:hAnsi="Times New Roman"/>
          <w:sz w:val="20"/>
        </w:rPr>
        <w:t>. The Company agrees that, from time to time during the term of this Agreement, on the terms and subject to the conditions set forth herein, it may issue and sell through the Agent (defined above), shares of common stock (the </w:t>
      </w:r>
      <w:r>
        <w:rPr>
          <w:rFonts w:ascii="Times New Roman" w:hAnsi="Times New Roman"/>
          <w:b/>
          <w:sz w:val="20"/>
          <w:u w:val="single"/>
        </w:rPr>
        <w:t>Placement Shares</w:t>
      </w:r>
      <w:r>
        <w:rPr>
          <w:rFonts w:ascii="Times New Roman" w:hAnsi="Times New Roman"/>
          <w:sz w:val="20"/>
        </w:rPr>
        <w:t>) of the Company, par value $0.0001 per share (the </w:t>
      </w:r>
      <w:r>
        <w:rPr>
          <w:rFonts w:ascii="Times New Roman" w:hAnsi="Times New Roman"/>
          <w:b/>
          <w:sz w:val="20"/>
          <w:u w:val="single"/>
        </w:rPr>
        <w:t>Common Stock</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in no event shall the Company issue or sell through the Agent such number or dollar amount of Placement Shares that would (a) exceed the number or dollar amount of shares of Common Stock registered on the effective Registration Statement (defined below) filed with the Securities and Exchange Commission (the </w:t>
      </w:r>
      <w:r>
        <w:rPr>
          <w:rFonts w:ascii="Times New Roman" w:hAnsi="Times New Roman"/>
          <w:b/>
          <w:sz w:val="20"/>
          <w:u w:val="single"/>
        </w:rPr>
        <w:t>Commission</w:t>
      </w:r>
      <w:r>
        <w:rPr>
          <w:rFonts w:ascii="Times New Roman" w:hAnsi="Times New Roman"/>
          <w:sz w:val="20"/>
        </w:rPr>
        <w:t>) pursuant to which the offering is being made, (b) exceed the number of authorized but unissued shares of Common Stock (less shares of Common Stock issuable upon exercise, conversion or exchange of any outstanding securities of the Company or otherwise reserved from the Companys authorized capital stock), (c) exceed the number or dollar amount of shares of Common Stock permitted to be sold under Form S-3 (including General Instruction I.B.6 thereof, if applicable) or (d) exceed the number or dollar amount of shares of Common Stock for which the Company has filed a Prospectus Supplement (defined below) (the lesser of (a), (b), (c) and (d), the </w:t>
      </w:r>
      <w:r>
        <w:rPr>
          <w:rFonts w:ascii="Times New Roman" w:hAnsi="Times New Roman"/>
          <w:b/>
          <w:sz w:val="20"/>
          <w:u w:val="single"/>
        </w:rPr>
        <w:t>Maximum Amount</w:t>
      </w:r>
      <w:r>
        <w:rPr>
          <w:rFonts w:ascii="Times New Roman" w:hAnsi="Times New Roman"/>
          <w:sz w:val="20"/>
        </w:rPr>
        <w:t xml:space="preserve">). Notwithstanding anything to the contrary contained herein, the parties hereto agree that compliance with the limitations set forth in this </w:t>
      </w:r>
      <w:r>
        <w:rPr>
          <w:rFonts w:ascii="Times New Roman" w:hAnsi="Times New Roman"/>
          <w:sz w:val="20"/>
          <w:u w:val="single"/>
        </w:rPr>
        <w:t>Section 1</w:t>
      </w:r>
      <w:r>
        <w:rPr>
          <w:rFonts w:ascii="Times New Roman" w:hAnsi="Times New Roman"/>
          <w:sz w:val="20"/>
        </w:rPr>
        <w:t xml:space="preserve"> on the amount of Placement Shares issued and sold under this Agreement shall be the sole responsibility of the Company and that the Agent shall have no obligation in connection with such compliance. The offer and sale of Placement Shares through the Agent will be effected pursuant to the Registration Statement (as defined below) filed by the Company and which automatically became effective upon filing, although nothing in this Agreement shall be construed as requiring the Company to use the Registration Statement to issue Placement Shares. The parties hereto intend to terminate the sales agreement by and between the Company and the Agent dated May 4, 2022 and intend to be legally bound by this Agreement, effective immediately upon the Registration Statement filed by the Company and which automatically became effective upon filing.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Company has filed or will prepare and file, in accordance with the provisions of the Securities Act of 1933, as amended (the </w:t>
      </w:r>
      <w:r>
        <w:rPr>
          <w:rFonts w:ascii="Times New Roman" w:hAnsi="Times New Roman"/>
          <w:b/>
          <w:sz w:val="20"/>
          <w:u w:val="single"/>
        </w:rPr>
        <w:t>Securities Act</w:t>
      </w:r>
      <w:r>
        <w:rPr>
          <w:rFonts w:ascii="Times New Roman" w:hAnsi="Times New Roman"/>
          <w:sz w:val="20"/>
        </w:rPr>
        <w:t>) and the rules and regulations thereunder (the </w:t>
      </w:r>
      <w:r>
        <w:rPr>
          <w:rFonts w:ascii="Times New Roman" w:hAnsi="Times New Roman"/>
          <w:b/>
          <w:sz w:val="20"/>
          <w:u w:val="single"/>
        </w:rPr>
        <w:t>Securities Act Regulations</w:t>
      </w:r>
      <w:r>
        <w:rPr>
          <w:rFonts w:ascii="Times New Roman" w:hAnsi="Times New Roman"/>
          <w:sz w:val="20"/>
        </w:rPr>
        <w:t>), with the Commission an automatic registration statement on Form S- 3, including a base prospectus, relating to certain securities, including the Placement Shares to be issued from time to time by the Company, and which incorporates by reference documents that the Company has filed or will file in accordance with the provisions of the Securities Exchange Act of 1934, as amended (the </w:t>
      </w:r>
      <w:r>
        <w:rPr>
          <w:rFonts w:ascii="Times New Roman" w:hAnsi="Times New Roman"/>
          <w:b/>
          <w:sz w:val="20"/>
          <w:u w:val="single"/>
        </w:rPr>
        <w:t>Exchange Act</w:t>
      </w:r>
      <w:r>
        <w:rPr>
          <w:rFonts w:ascii="Times New Roman" w:hAnsi="Times New Roman"/>
          <w:sz w:val="20"/>
        </w:rPr>
        <w:t>), and the rules and regulations thereunder. The Company has prepared a prospectus supplement to the base prospectus included as part of the registration statement, which prospectus supplement relates to the Placement Shares to be issued from time to time by the Company (the </w:t>
      </w:r>
      <w:r>
        <w:rPr>
          <w:rFonts w:ascii="Times New Roman" w:hAnsi="Times New Roman"/>
          <w:b/>
          <w:sz w:val="20"/>
          <w:u w:val="single"/>
        </w:rPr>
        <w:t>Prospectus Supplement</w:t>
      </w:r>
      <w:r>
        <w:rPr>
          <w:rFonts w:ascii="Times New Roman" w:hAnsi="Times New Roman"/>
          <w:sz w:val="20"/>
        </w:rPr>
        <w:t>). The Company will furnish to the Agent, for use by the Agent, copies of the prospectus included as part of such registration statement, as supplemented by the Prospectus Supplement, relating to the Placement Shares to be issued from time to time by the Company. The Company may file one or more additional registration statements from time to time that will contain a base prospectus and related prospectus or prospectus supplement, if applicable (which shall be a Prospectus Supplement), with respect to the Placement Shares. Except where the context otherwise requires, such registration statement(s), including all documents filed as part thereof or incorporated by reference therein, and including any information contained in a Prospectus (as defined below) subsequently filed with the Commission pursuant to Rule 424(b) under the Securities Act Regulations or deemed to be a part of such registration statement pursuant to Rule 430B or 462(b) of the Securities Act Regulations, or any subsequent registration statement on Form S-3 filed pursuant to Rule 415(a)(6) under the Securities Act Regulations by the Company with respect to the Placement Shares, is herein called the </w:t>
      </w:r>
      <w:r>
        <w:rPr>
          <w:rFonts w:ascii="Times New Roman" w:hAnsi="Times New Roman"/>
          <w:b/>
          <w:sz w:val="20"/>
          <w:u w:val="single"/>
        </w:rPr>
        <w:t>Registration Statement.</w:t>
      </w:r>
      <w:r>
        <w:rPr>
          <w:rFonts w:ascii="Times New Roman" w:hAnsi="Times New Roman"/>
          <w:sz w:val="20"/>
        </w:rPr>
        <w:t> The base prospectus or base prospectuses, including all documents incorporated therein by reference, included in the Registration Statement, as it may be supplemented, if necessary, by the Prospectus Supplement, in the form in which such prospectus or prospectuses and/or Prospectus Supplement have most recently been filed by the Company with the Commission pursuant to Rule 424(b) under the Securities Act Regulations, together with any Permitted Free Writing Prospectus (as defined below) relating to the Placement Shares is herein called the </w:t>
      </w:r>
      <w:r>
        <w:rPr>
          <w:rFonts w:ascii="Times New Roman" w:hAnsi="Times New Roman"/>
          <w:b/>
          <w:sz w:val="20"/>
          <w:u w:val="single"/>
        </w:rPr>
        <w:t>Prospectus.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Any reference herein to the Registration Statement, any Prospectus Supplement, Prospectus or any Issuer Free Writing Prospectus (as defined below) shall be deemed to refer to and include the documents, if any, incorporated by reference therein (the </w:t>
      </w:r>
      <w:r>
        <w:rPr>
          <w:rFonts w:ascii="Times New Roman" w:hAnsi="Times New Roman"/>
          <w:b/>
          <w:sz w:val="20"/>
          <w:u w:val="single"/>
        </w:rPr>
        <w:t>Incorporated Documents</w:t>
      </w:r>
      <w:r>
        <w:rPr>
          <w:rFonts w:ascii="Times New Roman" w:hAnsi="Times New Roman"/>
          <w:sz w:val="20"/>
        </w:rPr>
        <w:t>), including, unless the context otherwise requires, the documents, if any, filed as exhibits to such Incorporated Documents. Any reference herein to the terms amend, amendment or supplement with respect to the Registration Statement, any Prospectus Supplement, the Prospectus or any Issuer Free Writing Prospectus shall be deemed to refer to and include the filing of any document under the Exchange Act on or after the most-recent effective date of the Registration Statement, or the date of the Prospectus Supplement, Prospectus or such Issuer Free Writing Prospectus, as the case may be, and incorporated therein by reference. For purposes of this Agreement, all references to the Registration Statement, the Prospectus or to any amendment or supplement thereto shall be deemed to include the most recent copy filed with the Commission pursuant to its Electronic Data Gathering Analysis and Retrieval system, or if applicable, the Interactive Data Electronic Application system when used by the Commission (collectively, </w:t>
      </w:r>
      <w:r>
        <w:rPr>
          <w:rFonts w:ascii="Times New Roman" w:hAnsi="Times New Roman"/>
          <w:b/>
          <w:sz w:val="20"/>
          <w:u w:val="single"/>
        </w:rPr>
        <w:t>EDGAR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Placements</w:t>
      </w:r>
      <w:r>
        <w:rPr>
          <w:rFonts w:ascii="Times New Roman" w:hAnsi="Times New Roman"/>
          <w:sz w:val="20"/>
        </w:rPr>
        <w:t>. Each time that the Company wishes to issue and sell Placement Shares hereunder (each, a </w:t>
      </w:r>
      <w:r>
        <w:rPr>
          <w:rFonts w:ascii="Times New Roman" w:hAnsi="Times New Roman"/>
          <w:b/>
          <w:sz w:val="20"/>
          <w:u w:val="single"/>
        </w:rPr>
        <w:t>Placement</w:t>
      </w:r>
      <w:r>
        <w:rPr>
          <w:rFonts w:ascii="Times New Roman" w:hAnsi="Times New Roman"/>
          <w:sz w:val="20"/>
        </w:rPr>
        <w:t>), it will notify the Agent by email notice (or other method mutually agreed to by the parties) of the number of Placement Shares to be issued, the time period during which sales are requested to be made, any limitation on the number of Placement Shares that may be sold in any one (1) Trading Day (as defined in Section 3) and any minimum price below which sales may not be made (a </w:t>
      </w:r>
      <w:r>
        <w:rPr>
          <w:rFonts w:ascii="Times New Roman" w:hAnsi="Times New Roman"/>
          <w:b/>
          <w:sz w:val="20"/>
          <w:u w:val="single"/>
        </w:rPr>
        <w:t>Placement Notice</w:t>
      </w:r>
      <w:r>
        <w:rPr>
          <w:rFonts w:ascii="Times New Roman" w:hAnsi="Times New Roman"/>
          <w:sz w:val="20"/>
        </w:rPr>
        <w:t xml:space="preserve">), the form of which is attached hereto as </w:t>
      </w:r>
      <w:r>
        <w:rPr>
          <w:rFonts w:ascii="Times New Roman" w:hAnsi="Times New Roman"/>
          <w:sz w:val="20"/>
          <w:u w:val="single"/>
        </w:rPr>
        <w:t>Schedule 1</w:t>
      </w:r>
      <w:r>
        <w:rPr>
          <w:rFonts w:ascii="Times New Roman" w:hAnsi="Times New Roman"/>
          <w:sz w:val="20"/>
        </w:rPr>
        <w:t xml:space="preserve">. The Placement Notice shall originate from any of the individuals from the Company set forth on </w:t>
      </w:r>
      <w:r>
        <w:rPr>
          <w:rFonts w:ascii="Times New Roman" w:hAnsi="Times New Roman"/>
          <w:sz w:val="20"/>
          <w:u w:val="single"/>
        </w:rPr>
        <w:t>Schedule 3</w:t>
      </w:r>
      <w:r>
        <w:rPr>
          <w:rFonts w:ascii="Times New Roman" w:hAnsi="Times New Roman"/>
          <w:sz w:val="20"/>
        </w:rPr>
        <w:t xml:space="preserve"> (with a copy to each of the other individuals from the Company listed on such schedule), and shall be addressed to each of the individuals from the Agent to whom the Placement Notice is delivered, as set forth on </w:t>
      </w:r>
      <w:r>
        <w:rPr>
          <w:rFonts w:ascii="Times New Roman" w:hAnsi="Times New Roman"/>
          <w:sz w:val="20"/>
          <w:u w:val="single"/>
        </w:rPr>
        <w:t>Schedule 3</w:t>
      </w:r>
      <w:r>
        <w:rPr>
          <w:rFonts w:ascii="Times New Roman" w:hAnsi="Times New Roman"/>
          <w:sz w:val="20"/>
        </w:rPr>
        <w:t xml:space="preserve">, as such </w:t>
      </w:r>
      <w:r>
        <w:rPr>
          <w:rFonts w:ascii="Times New Roman" w:hAnsi="Times New Roman"/>
          <w:sz w:val="20"/>
          <w:u w:val="single"/>
        </w:rPr>
        <w:t>Schedule 3</w:t>
      </w:r>
      <w:r>
        <w:rPr>
          <w:rFonts w:ascii="Times New Roman" w:hAnsi="Times New Roman"/>
          <w:sz w:val="20"/>
        </w:rPr>
        <w:t xml:space="preserve"> may be amended from time to time. The Placement Notice shall be effective unless and until (i) the Agent declines in writing to accept the terms contained therein for any reason, in its sole discretion, which declination must occur within two (2) Trading Days of the receipt of the Placement Notice, (ii) the entire amount of the Placement Shares thereunder have been sold, (iii) the Company amends, supersedes, suspends or terminates the Placement Notice or (iv) this Agreement has been terminated under the provisions of </w:t>
      </w:r>
      <w:r>
        <w:rPr>
          <w:rFonts w:ascii="Times New Roman" w:hAnsi="Times New Roman"/>
          <w:sz w:val="20"/>
          <w:u w:val="single"/>
        </w:rPr>
        <w:t>Section 12</w:t>
      </w:r>
      <w:r>
        <w:rPr>
          <w:rFonts w:ascii="Times New Roman" w:hAnsi="Times New Roman"/>
          <w:sz w:val="20"/>
        </w:rPr>
        <w:t xml:space="preserve">. The amount of any discount, commission or other compensation to be paid by the Company to any Agent in connection with such Agents sale of the Placement Shares, as the Agent, shall be calculated in accordance with the terms set forth in </w:t>
      </w:r>
      <w:r>
        <w:rPr>
          <w:rFonts w:ascii="Times New Roman" w:hAnsi="Times New Roman"/>
          <w:sz w:val="20"/>
          <w:u w:val="single"/>
        </w:rPr>
        <w:t>Schedule 2</w:t>
      </w:r>
      <w:r>
        <w:rPr>
          <w:rFonts w:ascii="Times New Roman" w:hAnsi="Times New Roman"/>
          <w:sz w:val="20"/>
        </w:rPr>
        <w:t xml:space="preserve">. It is expressly acknowledged and agreed that neither the Company nor the Agent will have any obligation whatsoever with respect to a Placement or any Placement Shares unless and until the Company delivers a Placement Notice to the Agent and the Agent does not decline (and the Company does not suspend or terminate) such Placement Notice pursuant to the terms set forth above, and then only upon the terms specified therein and herein. In the event of a conflict between the terms of this Agreement and the terms of a Placement Notice, the terms of the Placement Notice will control.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Sale of Placement Shares by the Agent</w:t>
      </w:r>
      <w:r>
        <w:rPr>
          <w:rFonts w:ascii="Times New Roman" w:hAnsi="Times New Roman"/>
          <w:sz w:val="20"/>
        </w:rPr>
        <w:t xml:space="preserve">. Subject to the provisions of </w:t>
      </w:r>
      <w:r>
        <w:rPr>
          <w:rFonts w:ascii="Times New Roman" w:hAnsi="Times New Roman"/>
          <w:sz w:val="20"/>
          <w:u w:val="single"/>
        </w:rPr>
        <w:t>Section 5(a)</w:t>
      </w:r>
      <w:r>
        <w:rPr>
          <w:rFonts w:ascii="Times New Roman" w:hAnsi="Times New Roman"/>
          <w:sz w:val="20"/>
        </w:rPr>
        <w:t xml:space="preserve">, the Agent upon receipt of a Placement Notice, and unless the sale of the Placement Shares described therein has been declined, suspended or otherwise terminated in accordance with the terms of this Agreement, for the period specified in the Placement Notice, will use its commercially reasonable efforts consistent with its normal trading and sales practices and applicable state and federal laws, rules and regulations and the rules of The Nasdaq Global Market, to sell the Placement Shares up to the amount specified in such Placement Notice, and otherwise in accordance with the terms of such Placement Notice. The Agent will provide written confirmation to the Company no later than the opening of the Trading Day (as defined below) immediately following the Trading Day on which it has made sales of Placement Shares hereunder setting forth the number of Placement Shares sold on such day, the compensation payable by the Company to the Agent pursuant to </w:t>
      </w:r>
      <w:r>
        <w:rPr>
          <w:rFonts w:ascii="Times New Roman" w:hAnsi="Times New Roman"/>
          <w:sz w:val="20"/>
          <w:u w:val="single"/>
        </w:rPr>
        <w:t>Section 2</w:t>
      </w:r>
      <w:r>
        <w:rPr>
          <w:rFonts w:ascii="Times New Roman" w:hAnsi="Times New Roman"/>
          <w:sz w:val="20"/>
        </w:rPr>
        <w:t xml:space="preserve"> with respect to such sales, and the Net Proceeds (as defined below) payable to the Company, with an itemization of the deductions made by the Agent (as set forth in </w:t>
      </w:r>
      <w:r>
        <w:rPr>
          <w:rFonts w:ascii="Times New Roman" w:hAnsi="Times New Roman"/>
          <w:sz w:val="20"/>
          <w:u w:val="single"/>
        </w:rPr>
        <w:t>Section 5(b)</w:t>
      </w:r>
      <w:r>
        <w:rPr>
          <w:rFonts w:ascii="Times New Roman" w:hAnsi="Times New Roman"/>
          <w:sz w:val="20"/>
        </w:rPr>
        <w:t>) from the gross proceeds that it receives from such sales. Subject to the terms of the Placement Notice, the Agent may sell Placement Shares by any method permitted by law deemed to be an at the market offering as defined in Rule 415(a)(4) of the Securities Act Regulations without limitation, including sales made directly on or through The Nasdaq Global Market (the </w:t>
      </w:r>
      <w:r>
        <w:rPr>
          <w:rFonts w:ascii="Times New Roman" w:hAnsi="Times New Roman"/>
          <w:b/>
          <w:sz w:val="20"/>
          <w:u w:val="single"/>
        </w:rPr>
        <w:t>Exchange</w:t>
      </w:r>
      <w:r>
        <w:rPr>
          <w:rFonts w:ascii="Times New Roman" w:hAnsi="Times New Roman"/>
          <w:sz w:val="20"/>
        </w:rPr>
        <w:t>) or any other existing trading market for the Common Stock, in negotiated transactions at market prices prevailing at the time of sale or at prices related to such prevailing market prices and/or any other method permitted by law. </w:t>
      </w:r>
      <w:r>
        <w:rPr>
          <w:rFonts w:ascii="Times New Roman" w:hAnsi="Times New Roman"/>
          <w:b/>
          <w:sz w:val="20"/>
          <w:u w:val="single"/>
        </w:rPr>
        <w:t>Trading Day</w:t>
      </w:r>
      <w:r>
        <w:rPr>
          <w:rFonts w:ascii="Times New Roman" w:hAnsi="Times New Roman"/>
          <w:sz w:val="20"/>
        </w:rPr>
        <w:t xml:space="preserve"> means any day on which Common Stock is traded on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Notwithstanding any other provision of this Agreement, the Company shall not offer, sell or deliver, or request the offer or sale, of any Placement Shares pursuant to this Agreement and, by notice to the Agent given by telephone (confirmed promptly by email), shall cancel any instructions for the offer or sale of any Placement Shares, and the Agent shall not be obligated to offer or sell any Placement Shares, (i) during any period in which the Company is, or could be deemed to be, in possession of material non-public information, or (ii) at any time from and including the date on which the Company shall issue a press release containing, or shall otherwise publicly announce, its earnings, revenues or other results of operations (an </w:t>
      </w:r>
      <w:r>
        <w:rPr>
          <w:rFonts w:ascii="Times New Roman" w:hAnsi="Times New Roman"/>
          <w:b/>
          <w:sz w:val="20"/>
          <w:u w:val="single"/>
        </w:rPr>
        <w:t>Earnings Announcement</w:t>
      </w:r>
      <w:r>
        <w:rPr>
          <w:rFonts w:ascii="Times New Roman" w:hAnsi="Times New Roman"/>
          <w:sz w:val="20"/>
        </w:rPr>
        <w:t xml:space="preserve">) through and including the time that the Company files a Quarterly Report on Form 10-Q or an Annual Report on Form 10-K that includes consolidated financial statements as of and for the same period or periods, as the case may be, covered by such Earnings Announcement.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Suspension of Sales</w:t>
      </w:r>
      <w:r>
        <w:rPr>
          <w:rFonts w:ascii="Times New Roman" w:hAnsi="Times New Roman"/>
          <w:sz w:val="20"/>
        </w:rPr>
        <w:t xml:space="preserve">. The Company or the Agent may, upon notice to the other party in writing (including by email correspondence to each of the individuals of the other party set forth on </w:t>
      </w:r>
      <w:r>
        <w:rPr>
          <w:rFonts w:ascii="Times New Roman" w:hAnsi="Times New Roman"/>
          <w:sz w:val="20"/>
          <w:u w:val="single"/>
        </w:rPr>
        <w:t>Schedule 3</w:t>
      </w:r>
      <w:r>
        <w:rPr>
          <w:rFonts w:ascii="Times New Roman" w:hAnsi="Times New Roman"/>
          <w:sz w:val="20"/>
        </w:rPr>
        <w:t xml:space="preserve">, if receipt of such correspondence is actually acknowledged by any of the individuals to whom the notice is sent, other than via auto-reply) or by telephone (confirmed immediately by verifiable facsimile transmission or email correspondence to each of the individuals of the other party set forth on </w:t>
      </w:r>
      <w:r>
        <w:rPr>
          <w:rFonts w:ascii="Times New Roman" w:hAnsi="Times New Roman"/>
          <w:sz w:val="20"/>
          <w:u w:val="single"/>
        </w:rPr>
        <w:t>Schedule 3</w:t>
      </w:r>
      <w:r>
        <w:rPr>
          <w:rFonts w:ascii="Times New Roman" w:hAnsi="Times New Roman"/>
          <w:sz w:val="20"/>
        </w:rPr>
        <w:t>), suspend any sale of Placement Shares (a </w:t>
      </w:r>
      <w:r>
        <w:rPr>
          <w:rFonts w:ascii="Times New Roman" w:hAnsi="Times New Roman"/>
          <w:b/>
          <w:sz w:val="20"/>
          <w:u w:val="single"/>
        </w:rPr>
        <w:t>Suspension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Suspension shall not affect or impair any partys obligations with respect to any Placement Shares sold hereunder prior to the receipt of such notice. While a Suspension is in effect any obligation under </w:t>
      </w:r>
      <w:r>
        <w:rPr>
          <w:rFonts w:ascii="Times New Roman" w:hAnsi="Times New Roman"/>
          <w:sz w:val="20"/>
          <w:u w:val="single"/>
        </w:rPr>
        <w:t>Sections 7(l)</w:t>
      </w:r>
      <w:r>
        <w:rPr>
          <w:rFonts w:ascii="Times New Roman" w:hAnsi="Times New Roman"/>
          <w:sz w:val="20"/>
        </w:rPr>
        <w:t xml:space="preserve">, </w:t>
      </w:r>
      <w:r>
        <w:rPr>
          <w:rFonts w:ascii="Times New Roman" w:hAnsi="Times New Roman"/>
          <w:sz w:val="20"/>
          <w:u w:val="single"/>
        </w:rPr>
        <w:t>7(m)</w:t>
      </w:r>
      <w:r>
        <w:rPr>
          <w:rFonts w:ascii="Times New Roman" w:hAnsi="Times New Roman"/>
          <w:sz w:val="20"/>
        </w:rPr>
        <w:t xml:space="preserve">, and </w:t>
      </w:r>
      <w:r>
        <w:rPr>
          <w:rFonts w:ascii="Times New Roman" w:hAnsi="Times New Roman"/>
          <w:sz w:val="20"/>
          <w:u w:val="single"/>
        </w:rPr>
        <w:t>7(n)</w:t>
      </w:r>
      <w:r>
        <w:rPr>
          <w:rFonts w:ascii="Times New Roman" w:hAnsi="Times New Roman"/>
          <w:sz w:val="20"/>
        </w:rPr>
        <w:t xml:space="preserve"> with respect to the delivery of certificates, opinions, or comfort letters to the Agent, shall be waived; </w:t>
      </w:r>
      <w:r>
        <w:rPr>
          <w:rFonts w:ascii="Times New Roman" w:hAnsi="Times New Roman"/>
          <w:i/>
          <w:sz w:val="20"/>
        </w:rPr>
        <w:t xml:space="preserve">provided </w:t>
      </w:r>
      <w:r>
        <w:rPr>
          <w:rFonts w:ascii="Times New Roman" w:hAnsi="Times New Roman"/>
          <w:sz w:val="20"/>
        </w:rPr>
        <w:t xml:space="preserve">that such certificates, opinions, or comfort letters shall be delivered to the Agent prior to the resumption of sales of any Placement Shares. Each of the parties agrees that no such notice under this </w:t>
      </w:r>
      <w:r>
        <w:rPr>
          <w:rFonts w:ascii="Times New Roman" w:hAnsi="Times New Roman"/>
          <w:sz w:val="20"/>
          <w:u w:val="single"/>
        </w:rPr>
        <w:t>Section 4</w:t>
      </w:r>
      <w:r>
        <w:rPr>
          <w:rFonts w:ascii="Times New Roman" w:hAnsi="Times New Roman"/>
          <w:sz w:val="20"/>
        </w:rPr>
        <w:t xml:space="preserve"> shall be effective against any other party unless it is made to one of the individuals named on </w:t>
      </w:r>
      <w:r>
        <w:rPr>
          <w:rFonts w:ascii="Times New Roman" w:hAnsi="Times New Roman"/>
          <w:sz w:val="20"/>
          <w:u w:val="single"/>
        </w:rPr>
        <w:t>Schedule 3</w:t>
      </w:r>
      <w:r>
        <w:rPr>
          <w:rFonts w:ascii="Times New Roman" w:hAnsi="Times New Roman"/>
          <w:sz w:val="20"/>
        </w:rPr>
        <w:t xml:space="preserve"> hereto, as such schedule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Sale and Delivery to the Agent; Settlement.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u w:val="single"/>
        </w:rPr>
        <w:t>(a)</w:t>
      </w:r>
      <w:r>
        <w:rPr>
          <w:rFonts w:ascii="Times New Roman" w:hAnsi="Times New Roman"/>
          <w:sz w:val="20"/>
        </w:rPr>
        <w:t xml:space="preserve"> </w:t>
      </w:r>
      <w:r>
        <w:rPr>
          <w:rFonts w:ascii="Times New Roman" w:hAnsi="Times New Roman"/>
          <w:sz w:val="20"/>
          <w:u w:val="single"/>
        </w:rPr>
        <w:t>Sale of Placement Shares</w:t>
      </w:r>
      <w:r>
        <w:rPr>
          <w:rFonts w:ascii="Times New Roman" w:hAnsi="Times New Roman"/>
          <w:sz w:val="20"/>
        </w:rPr>
        <w:t xml:space="preserve">. On the basis of the representations and warranties herein contained and subject to the terms and conditions herein set forth, upon the Agents acceptance of the terms of a Placement Notice, and unless the sale of the Placement Shares described therein has been declined, suspended, or otherwise terminated in accordance with the terms of this Agreement, the Agent, for the period specified in the Placement Notice, will use its commercially reasonable efforts consistent with its normal trading and sales practices and applicable law and regulations to sell such Placement Shares up to the amount specified, and otherwise in accordance with the terms of such Placement Notice. The Company acknowledges and agrees that (i) there can be no assurance that the Agent will be successful in selling Placement Shares, (ii) the Agent will incur no liability or obligation to the Company or any other person or entity if it does not sell Placement Shares for any reason other than a failure by the Agent to use its commercially reasonable efforts consistent with its normal trading and sales practices and applicable law and regulations to sell such Placement Shares as required under this Agreement and (iii) the Agent shall be under no obligation to purchase Placement Shares on a principal basis pursuant to this Agreement, except as otherwise agreed by the Agent and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Settlement of Placement Shares</w:t>
      </w:r>
      <w:r>
        <w:rPr>
          <w:rFonts w:ascii="Times New Roman" w:hAnsi="Times New Roman"/>
          <w:sz w:val="20"/>
        </w:rPr>
        <w:t>. Unless otherwise specified in the applicable Placement Notice, settlement for sales of Placement Shares will occur on the second (2nd) Trading Day (or such earlier day as is industry practice for regular-way trading) following the date on which such sales are made (each, a </w:t>
      </w:r>
      <w:r>
        <w:rPr>
          <w:rFonts w:ascii="Times New Roman" w:hAnsi="Times New Roman"/>
          <w:b/>
          <w:sz w:val="20"/>
          <w:u w:val="single"/>
        </w:rPr>
        <w:t>Settlement Date</w:t>
      </w:r>
      <w:r>
        <w:rPr>
          <w:rFonts w:ascii="Times New Roman" w:hAnsi="Times New Roman"/>
          <w:sz w:val="20"/>
        </w:rPr>
        <w:t>). The Agent shall notify the Company of each sale of Placement Shares no later than the opening of the Trading Day immediately following the Trading Day on which it has made sales of Placement Shares hereunder. The amount of proceeds to be delivered to the Company on a Settlement Date against receipt of the Placement Shares sold (the </w:t>
      </w:r>
      <w:r>
        <w:rPr>
          <w:rFonts w:ascii="Times New Roman" w:hAnsi="Times New Roman"/>
          <w:b/>
          <w:sz w:val="20"/>
          <w:u w:val="single"/>
        </w:rPr>
        <w:t>Net Proceeds</w:t>
      </w:r>
      <w:r>
        <w:rPr>
          <w:rFonts w:ascii="Times New Roman" w:hAnsi="Times New Roman"/>
          <w:sz w:val="20"/>
        </w:rPr>
        <w:t xml:space="preserve">) will be equal to the aggregate sales price received by the Agent, after deduction for (i) the Agents commission, discount or other compensation for such sales payable by the Company pursuant to </w:t>
      </w:r>
      <w:r>
        <w:rPr>
          <w:rFonts w:ascii="Times New Roman" w:hAnsi="Times New Roman"/>
          <w:sz w:val="20"/>
          <w:u w:val="single"/>
        </w:rPr>
        <w:t>Section 2</w:t>
      </w:r>
      <w:r>
        <w:rPr>
          <w:rFonts w:ascii="Times New Roman" w:hAnsi="Times New Roman"/>
          <w:sz w:val="20"/>
        </w:rPr>
        <w:t xml:space="preserve"> hereof, and (ii) any transaction fees imposed by any Governmental Authority (as defined below) in respect of such sales.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Delivery of Placement Shares</w:t>
      </w:r>
      <w:r>
        <w:rPr>
          <w:rFonts w:ascii="Times New Roman" w:hAnsi="Times New Roman"/>
          <w:sz w:val="20"/>
        </w:rPr>
        <w:t xml:space="preserve">. On or before each Settlement Date, the Company will, or will cause its transfer agent to, electronically transfer the Placement Shares being sold by crediting the account of the Agent, or such designees account (provided the Agent shall have given the Company written notice of such designee at least one (1) Trading Day prior to the Settlement Date) at The Depository Trust Company through its Deposit and Withdrawal at Custodian System or by such other means of delivery as may be mutually agreed upon by the parties hereto which in all cases shall be freely tradeable, transferable, registered shares in good deliverable form. On each Settlement Date, the Agent will deliver the related Net Proceeds in same day funds to an account designated by the Company on, or prior to, the Settlement Date. The Company agrees that if the Company, or its transfer agent (if applicable), defaults in its obligation to deliver Placement Shares on a Settlement Date, the Company agrees that in addition to and in no way limiting the rights and obligations set forth in </w:t>
      </w:r>
      <w:r>
        <w:rPr>
          <w:rFonts w:ascii="Times New Roman" w:hAnsi="Times New Roman"/>
          <w:sz w:val="20"/>
          <w:u w:val="single"/>
        </w:rPr>
        <w:t>Section 10(a)</w:t>
      </w:r>
      <w:r>
        <w:rPr>
          <w:rFonts w:ascii="Times New Roman" w:hAnsi="Times New Roman"/>
          <w:sz w:val="20"/>
        </w:rPr>
        <w:t xml:space="preserve"> hereto, it will (i) hold the Agent harmless against any loss, claim, damage, or expense (including reasonable and documented legal fees and expenses), as incurred, arising out of or in connection with such default by the Company or its transfer agent (if applicable) through no fault of the Agent and (ii) pay to the Agent (without duplication) any commission, discount, or other compensation to which it would otherwise have been entitled absent such default.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Denominations; Registration</w:t>
      </w:r>
      <w:r>
        <w:rPr>
          <w:rFonts w:ascii="Times New Roman" w:hAnsi="Times New Roman"/>
          <w:sz w:val="20"/>
        </w:rPr>
        <w:t xml:space="preserve">. Certificates for the Placement Shares, if any, shall be in such denominations and registered in such names as the Agent may request in writing at least one full Business Day (as defined below) before the Settlement Date. The certificates for the Placement Shares, if any, will be made available by the Company for examination and packaging by the Agent in The City of New York not later than noon (New York time) on the Business Day prior to the Settlement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Limitations on Offering Size</w:t>
      </w:r>
      <w:r>
        <w:rPr>
          <w:rFonts w:ascii="Times New Roman" w:hAnsi="Times New Roman"/>
          <w:sz w:val="20"/>
        </w:rPr>
        <w:t xml:space="preserve">. Under no circumstances shall the Company cause or request the offer or sale of any Placement Shares if, after giving effect to the sale of such Placement Shares, the aggregate number of shares or gross sales proceeds of Placement Shares sold pursuant to this Agreement would exceed the lesser of (A) together with all sales of Placement Shares under this Agreement, the Maximum Amount and (B) the amount authorized from time to time to be issued and sold under this Agreement by the Companys board of directors, a duly authorized committee thereof or a duly authorized executive committee, and notified to the Agent in writing. Under no circumstances shall the Company cause or request the offer or sale of any Placement Shares pursuant to this Agreement at a price lower than the minimum price authorized from time to time by the Companys board of directors, a duly authorized committee thereof or a duly authorized executive committee. Further, under no circumstances shall the Company cause or permit the aggregate offering amount of Placement Shares sold pursuant to this Agreement to exceed the Maximum Amount.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Sales Through Agent</w:t>
      </w:r>
      <w:r>
        <w:rPr>
          <w:rFonts w:ascii="Times New Roman" w:hAnsi="Times New Roman"/>
          <w:sz w:val="20"/>
        </w:rPr>
        <w:t xml:space="preserve">. With respect to the offering and sale of Placement Shares pursuant to this Agreement, the Company agrees that any offer to sell Placement Shares, any solicitation of an offer to buy Placement Shares, and any sales of Placement Shares shall only be effected by or through the Agent on any single given day, and the Company shall in no event request that more than one Agent offer or sell Placement Shares pursuant to this Agreement on the same day.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Representations and Warranties of the Company</w:t>
      </w:r>
      <w:r>
        <w:rPr>
          <w:rFonts w:ascii="Times New Roman" w:hAnsi="Times New Roman"/>
          <w:sz w:val="20"/>
        </w:rPr>
        <w:t xml:space="preserve">. The Company represents and warrants to, and agrees with the Agent that as of the date of this Agreement and as of each Applicable Time (as defined below), unless such representation, warranty or agreement specifies a different time: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and Prospectus</w:t>
      </w:r>
      <w:r>
        <w:rPr>
          <w:rFonts w:ascii="Times New Roman" w:hAnsi="Times New Roman"/>
          <w:sz w:val="20"/>
        </w:rPr>
        <w:t xml:space="preserve">. The Company and the transactions contemplated by this Agreement meet the requirements for and comply with the applicable conditions set forth in Form S-3 (including General Instructions I.A and I.B) under the Securities Act. The Registration Statement filed with the Commission automatically became effective upon filing under the Securities Act. The Prospectus Supplement will name the Agent as agents in the section entitled Plan of Distribution. The Company has not received, and has no notice of, any order of the Commission preventing or suspending the use of the Registration Statement, or threatening or instituting proceedings for that purpose. The Registration Statement and the offer and sale of Placement Shares as contemplated hereby meet the requirements of Rule 415 under the Securities Act and comply in all material respects with said Rule. Any statutes, regulations, contracts or other documents that are required to be described in the Registration Statement or the Prospectus or filed as exhibits to the Registration Statement have been so described or filed. Copies of the Registration Statement, the Prospectus, and any such amendments or supplements and all documents incorporated by reference therein that were filed with the Commission on or prior to the date of this Agreement have been delivered, or are available through EDGAR, to the Agent and their counsel. The Company has not distributed and, prior to the later to occur of each Settlement Date and completion of the distribution of the Placement Shares, will not distribute any offering material in connection with the offering or sale of the Placement Shares other than the Registration Statement and the Prospectus and any Issuer Free Writing Prospectus to which the Agent have consented, any such consent not to be unreasonably withheld, conditioned or delayed. The Common Stock is registered pursuant to Section 12(b) of the Exchange Act and is currently listed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Exchange under the trading symbol SITM. The Company has taken no action designed to, or likely to have the effect of, terminating the registration of the Common Stock under the Exchange Act, delisting the Common Stock from the Exchange, nor has the Company received any notification that the Commission or the Exchange is contemplating terminating such registration or listing. To the Companys knowledge, it is in compliance with all applicable listing requirements of the Exchange.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Misstatement or Omission</w:t>
      </w:r>
      <w:r>
        <w:rPr>
          <w:rFonts w:ascii="Times New Roman" w:hAnsi="Times New Roman"/>
          <w:sz w:val="20"/>
        </w:rPr>
        <w:t xml:space="preserve">. The Registration Statement, when it became effective, and the Prospectus, and any amendment or supplement thereto, on the date of such Prospectus or amendment or supplement, conformed and will conform in all material respects with the requirements of the Securities Act. At each Settlement Date, the Registration Statement and the Prospectus, as of such date, will conform in all material respects with the requirements of the Securities Act. The Registration Statement, when it became effective, did not, and will not, contain an untrue statement of a material fact or omit to state a material fact required to be stated therein or necessary to make the statements therein not misleading. The Prospectus and any amendment and supplement thereto, on the date thereof and at each Applicable Time (defined below), did not or will not include an untrue statement of a material fact or omit to state a material fact necessary to make the statements therein, in light of the circumstances under which they were made, not misleading. The documents incorporated by reference in the Prospectus or any Prospectus Supplement did not, and any further documents filed and incorporated by reference therein will not, when filed with the Commission,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Agent specifically for use in the preparation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Conformity with Securities Act and Exchange Act</w:t>
      </w:r>
      <w:r>
        <w:rPr>
          <w:rFonts w:ascii="Times New Roman" w:hAnsi="Times New Roman"/>
          <w:sz w:val="20"/>
        </w:rPr>
        <w:t xml:space="preserve">. The Registration Statement, the Prospectus, any Issuer Free Writing Prospectus or any amendment or supplement thereto, and the documents incorporated by reference in the Registration Statement, the Prospectus or any amendment or supplement thereto, when such documents were or are filed with the Commission under the Securities Act or the Exchange Act or became effective under the Securities Act, as the case may be, conformed or will conform in all material respects with the requirements of the Securities Act and the Exchange Act,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Financial Information</w:t>
      </w:r>
      <w:r>
        <w:rPr>
          <w:rFonts w:ascii="Times New Roman" w:hAnsi="Times New Roman"/>
          <w:sz w:val="20"/>
        </w:rPr>
        <w:t>. The consolidated financial statements of the Company included or incorporated by reference in the Registration Statement, the Prospectus and the Issuer Free Writing Prospectuses, if any, together with the related notes and schedules, present fairly, in all material respects, the consolidated financial position of the Company and the Subsidiaries (as defined below) as of the dates indicated and the consolidated results of operations, cash flows and changes in stockholders equity of the Company for the periods specified and have been prepared in compliance with the requirements of the Securities Act and Exchange Act and in conformity with U.S. generally accepted accounting principles (</w:t>
      </w:r>
      <w:r>
        <w:rPr>
          <w:rFonts w:ascii="Times New Roman" w:hAnsi="Times New Roman"/>
          <w:b/>
          <w:sz w:val="20"/>
          <w:u w:val="single"/>
        </w:rPr>
        <w:t>GAAP</w:t>
      </w:r>
      <w:r>
        <w:rPr>
          <w:rFonts w:ascii="Times New Roman" w:hAnsi="Times New Roman"/>
          <w:sz w:val="20"/>
        </w:rPr>
        <w:t xml:space="preserve">) applied on a consistent basis during the periods involved; the other financial and statistical data with respect to the Company and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(as defined below) contained or incorporated by reference in the Registration Statement, the Prospectus and the Issuer Free Writing Prospectuses, if any, are accurately and fairly presented and prepared on a basis consistent with the financial statements and books and records of the Company; there are no financial statements (historical or pro forma) that are required to be included or incorporated by reference in the Registration Statement, or the Prospectus that are not included or incorporated by reference as required; the Company and the Subsidiaries (as defined below) do not have any material liabilities or obligations, direct or contingent (including any off-balance sheet obligations), not described in the Registration Statement (excluding the exhibits thereto), and the Prospectus; and all disclosures contained or incorporated by reference in the Registration Statement, the Prospectus and the Issuer Free Writing Prospectuses, if any, regarding non-GAAP financial measures (as such term is defined by the rules and regulations of the Commission) comply with Regulation G of the Exchange Act and Item 10(e) of Regulation S-K under the Securities Act, to the extent applicable. The interactive data in eXtensible Business Reporting Language included or incorporated by reference in the Registration Statement and the Prospectus fairly presents the information called for in all material respects and has been prepared in accordance with the Commissions rules and guidelines applicable thereto.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Conformity with EDGAR Filing</w:t>
      </w:r>
      <w:r>
        <w:rPr>
          <w:rFonts w:ascii="Times New Roman" w:hAnsi="Times New Roman"/>
          <w:sz w:val="20"/>
        </w:rPr>
        <w:t xml:space="preserve">. The Prospectus delivered to the Agent for use in connection with the sale of the Placement Shares pursuant to this Agreement will be identical to the versions of the Prospectus created to be transmitted to the Commission for filing via EDGAR, except to the extent permitted by Regulation S-T.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Organization</w:t>
      </w:r>
      <w:r>
        <w:rPr>
          <w:rFonts w:ascii="Times New Roman" w:hAnsi="Times New Roman"/>
          <w:sz w:val="20"/>
        </w:rPr>
        <w:t>. The Company and each of its Subsidiaries (as defined below) are duly organized, validly existing as a corporation and in good standing under the laws of their respective jurisdictions of organization. The Company and each of its Subsidiaries are duly licensed or qualified as a foreign corporation for transaction of business and in good standing under the laws of each other jurisdiction in which their respective ownership or lease of property or the conduct of their respective businesses requires such license or qualification, and have all corporate power and authority necessary to own or hold their respective properties and to conduct their respective businesses as described in the Registration Statement and the Prospectus, except where the failure to be so qualified or in good standing or have such power or authority would not, individually or in the aggregate, have a material adverse effect or would reasonably be expected to have a material adverse effect on or affecting the business, properties, management, financial condition, prospects, stockholders equity or results of operations of the Company and the Subsidiaries taken as a whole, or prevent or materially interfere with consummation of the transactions contemplated hereby (a </w:t>
      </w:r>
      <w:r>
        <w:rPr>
          <w:rFonts w:ascii="Times New Roman" w:hAnsi="Times New Roman"/>
          <w:b/>
          <w:sz w:val="20"/>
          <w:u w:val="single"/>
        </w:rPr>
        <w:t>Material Adverse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Subsidiaries</w:t>
      </w:r>
      <w:r>
        <w:rPr>
          <w:rFonts w:ascii="Times New Roman" w:hAnsi="Times New Roman"/>
          <w:sz w:val="20"/>
        </w:rPr>
        <w:t xml:space="preserve">. The subsidiaries set forth on </w:t>
      </w:r>
      <w:r>
        <w:rPr>
          <w:rFonts w:ascii="Times New Roman" w:hAnsi="Times New Roman"/>
          <w:sz w:val="20"/>
          <w:u w:val="single"/>
        </w:rPr>
        <w:t>Schedule 4</w:t>
      </w:r>
      <w:r>
        <w:rPr>
          <w:rFonts w:ascii="Times New Roman" w:hAnsi="Times New Roman"/>
          <w:sz w:val="20"/>
        </w:rPr>
        <w:t xml:space="preserve"> (collectively, the </w:t>
      </w:r>
      <w:r>
        <w:rPr>
          <w:rFonts w:ascii="Times New Roman" w:hAnsi="Times New Roman"/>
          <w:b/>
          <w:sz w:val="20"/>
          <w:u w:val="single"/>
        </w:rPr>
        <w:t>Subsidiaries</w:t>
      </w:r>
      <w:r>
        <w:rPr>
          <w:rFonts w:ascii="Times New Roman" w:hAnsi="Times New Roman"/>
          <w:sz w:val="20"/>
        </w:rPr>
        <w:t xml:space="preserve">), are the Companys only significant subsidiaries (as such term is defined in Rule 1-02 of Regulation S-X promulgated by the Commission). Except as set forth in the Registration Statement and in the Prospectus, the Company owns, directly or indirectly, all of the equity interests of the Subsidiaries free and clear of any lien, charge, security interest, encumbrance, right of first refusal or other restriction, and all the equity interests of the Subsidiaries are validly issued and are fully paid, nonassessable and free of preemptive and similar rights. 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Violation or Default</w:t>
      </w:r>
      <w:r>
        <w:rPr>
          <w:rFonts w:ascii="Times New Roman" w:hAnsi="Times New Roman"/>
          <w:sz w:val="20"/>
        </w:rPr>
        <w:t xml:space="preserve">. 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are subject; or (iii) in violation of any law or statute or any judgment, order, rule or regulation of any Governmental Authority, except, in the case of each of clauses (ii) and (iii) above, for any such violation or default that would not, individually or in the aggregate, have a Material Adverse Effect. To the Companys knowledge, no other party under any material contract or other agreement to which it or any of its Subsidiaries is a party is in default in any respect thereunder where such default would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No Material Adverse Change</w:t>
      </w:r>
      <w:r>
        <w:rPr>
          <w:rFonts w:ascii="Times New Roman" w:hAnsi="Times New Roman"/>
          <w:sz w:val="20"/>
        </w:rPr>
        <w:t xml:space="preserve">. Subsequent to the respective dates as of which information is given in the Registration Statement, the Prospectus and the Issuer Free Writing Prospectuses, if any (including any document deemed incorporated by reference therein), there has not been (i) any Material Adverse Effect or the occurrence of any development that the Company reasonably expects will result in a Material Adverse Effect, (ii) any transaction which is material to the Company and the Subsidiaries taken as a whole, (iii) any obligation or liability, direct or contingent (including any off-balance sheet obligations), incurred by the Company or any Subsidiary, which is material to the Company and the Subsidiaries taken as a whole, (iv) any material change in the capital stock or outstanding long-term indebtedness of the Company or any of its Subsidiaries or (v) any dividend or distribution of any kind declared, paid or made on the capital stock of the Company or any Subsidiary, other than in each case above in the ordinary course of business or as otherwise disclosed in the Registration Statement or Prospectus (including any document deemed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Capitalization</w:t>
      </w:r>
      <w:r>
        <w:rPr>
          <w:rFonts w:ascii="Times New Roman" w:hAnsi="Times New Roman"/>
          <w:sz w:val="20"/>
        </w:rPr>
        <w:t xml:space="preserve">. The issued and outstanding shares of capital stock of the Company have been validly issued, are fully paid and nonassessable and, other than as disclosed in the Registration Statement or the Prospectus, are not subject to any preemptive rights, rights of first refusal or similar rights. The Company has an authorized, issued and outstanding capitalization as set forth in the Registration Statement and the Prospectus as of the dates referred to therein (other than the grant of additional options under the Companys existing stock option plans, or changes in the number of outstanding shares of Common Stock of the Company due to the issuance of shares upon the exercise or conversion of securities exercisable for, or convertible into, Common Stock) and such authorized capital stock conforms to the description thereof set forth in the Registration Statement and the Prospectus. The description of the securities of the Company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Registration Statement and the Prospectus is complete and accurate in all material respects. Except as disclosed in or contemplated by the Registration Statement or the Prospectus, as of the date referred to therein, the Company does not have outstanding any options to purchase, or any rights or warrants to subscribe for, or any securities or obligations convertible into, or exchangeable for, or any contracts or commitments to issue or sell, any shares of capital stock or other securities (other than the grant of additional options under the Companys existing stock option plans, or changes in the number of outstanding shares of Common Stock of the Company due to the issuance of shares upon the exercise or conversion of securities exercisable for, or convertible into, Common Stock).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Authorization; Enforceability</w:t>
      </w:r>
      <w:r>
        <w:rPr>
          <w:rFonts w:ascii="Times New Roman" w:hAnsi="Times New Roman"/>
          <w:sz w:val="20"/>
        </w:rPr>
        <w:t xml:space="preserve">. The Company has full legal right, power and authority to enter into this Agreement and perform the transactions contemplated hereby.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Authorization of Placement Shares</w:t>
      </w:r>
      <w:r>
        <w:rPr>
          <w:rFonts w:ascii="Times New Roman" w:hAnsi="Times New Roman"/>
          <w:sz w:val="20"/>
        </w:rPr>
        <w:t xml:space="preserve">. The Placement Shares, when issued and delivered pursuant to the terms approved by the Board or a duly authorized committee thereof, or a duly authorized executive officer, against payment therefor as provided herein, will be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Placement Shares, when issued, will conform to the description thereof set forth in or incorporated into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Consents Required</w:t>
      </w:r>
      <w:r>
        <w:rPr>
          <w:rFonts w:ascii="Times New Roman" w:hAnsi="Times New Roman"/>
          <w:sz w:val="20"/>
        </w:rPr>
        <w:t>. No consent, approval, authorization, order, registration or qualification of or with any Governmental Authority is required for the execution, delivery and performance by the Company of this Agreement, the issuance and sale by the Company of the Placement Shares, except for such consents, approvals, authorizations, orders and registrations or qualifications as may be required under applicable state securities laws or by the by-laws and rules of the Financial Industry Regulatory Authority (</w:t>
      </w:r>
      <w:r>
        <w:rPr>
          <w:rFonts w:ascii="Times New Roman" w:hAnsi="Times New Roman"/>
          <w:b/>
          <w:sz w:val="20"/>
          <w:u w:val="single"/>
        </w:rPr>
        <w:t>FINRA</w:t>
      </w:r>
      <w:r>
        <w:rPr>
          <w:rFonts w:ascii="Times New Roman" w:hAnsi="Times New Roman"/>
          <w:sz w:val="20"/>
        </w:rPr>
        <w:t xml:space="preserve">) or the Exchange in connection with the sale of the Placement Shares by the Agent.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No Preferential Rights</w:t>
      </w:r>
      <w:r>
        <w:rPr>
          <w:rFonts w:ascii="Times New Roman" w:hAnsi="Times New Roman"/>
          <w:sz w:val="20"/>
        </w:rPr>
        <w:t>. Except as set forth in the Registration Statement and the Prospectus, (i) no person, as such term is defined in Rule 1-02 of Regulation S-X promulgated under the Securities Act (each, a </w:t>
      </w:r>
      <w:r>
        <w:rPr>
          <w:rFonts w:ascii="Times New Roman" w:hAnsi="Times New Roman"/>
          <w:b/>
          <w:sz w:val="20"/>
          <w:u w:val="single"/>
        </w:rPr>
        <w:t>Person</w:t>
      </w:r>
      <w:r>
        <w:rPr>
          <w:rFonts w:ascii="Times New Roman" w:hAnsi="Times New Roman"/>
          <w:sz w:val="20"/>
        </w:rPr>
        <w:t xml:space="preserve">), has the right, contractual or otherwise, to cause the Company to issue or sell to such Person any Common Stock or shares of any other capital stock or other securities of the Company, (ii) no Person has any preemptive rights, resale rights, rights of first refusal, rights of co-sale, or any other rights (whether pursuant to a poison pill provision or otherwise) to purchase any Common Stock or shares of any other capital stock or other securities of the Company, that has not been waived or that such Person has not advised the Company will not be exercised, (iii) no Person has the right to act as an underwriter or as a financial advisor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connection with the offer and sale of the Common Stock, and (iv) no Person has the right, contractual or otherwise, to require the Company to register under the Securities Act any Common Stock or shares of any other capital stock or other securities of the Company, or to include any such shares or other securities in the Registration Statement or the offering contemplated thereby, whether as a result of the filing or effectiveness of the Registration Statement or the sale of the Placement Shares as contemplated thereby or otherwise. </w:t>
      </w:r>
    </w:p>
    <w:p>
      <w:pPr>
        <w:pStyle w:val="TextBody"/>
        <w:bidi w:val="0"/>
        <w:spacing w:before="24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Independent Public Accounting Firms</w:t>
      </w:r>
      <w:r>
        <w:rPr>
          <w:rFonts w:ascii="Times New Roman" w:hAnsi="Times New Roman"/>
          <w:sz w:val="20"/>
        </w:rPr>
        <w:t>. BDO USA, P.C. who have certified certain of the financial statements filed with the Commission as part of, or incorporated by reference in, the Registration Statement and the Prospectus, is an independent registered public accounting firm with respect to the Company and the Subsidiaries within the meaning of the Act and the applicable Rules and Regulations and the Public Company Accounting Oversight Board (United States) (the </w:t>
      </w:r>
      <w:r>
        <w:rPr>
          <w:rFonts w:ascii="Times New Roman" w:hAnsi="Times New Roman"/>
          <w:b/>
          <w:sz w:val="20"/>
          <w:u w:val="single"/>
        </w:rPr>
        <w:t>PCAOB</w:t>
      </w:r>
      <w:r>
        <w:rPr>
          <w:rFonts w:ascii="Times New Roman" w:hAnsi="Times New Roman"/>
          <w:sz w:val="20"/>
        </w:rPr>
        <w:t>) as required by the Act. To the Companys knowledge, BDO USA, P.C. is not in violation of the auditor independence requirements of the Sarbanes-Oxley Act of 2002 (the </w:t>
      </w:r>
      <w:r>
        <w:rPr>
          <w:rFonts w:ascii="Times New Roman" w:hAnsi="Times New Roman"/>
          <w:b/>
          <w:sz w:val="20"/>
          <w:u w:val="single"/>
        </w:rPr>
        <w:t>Sarbanes-Oxley Act</w:t>
      </w:r>
      <w:r>
        <w:rPr>
          <w:rFonts w:ascii="Times New Roman" w:hAnsi="Times New Roman"/>
          <w:sz w:val="20"/>
        </w:rPr>
        <w:t xml:space="preserve">) with respect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Enforceability of Agreements</w:t>
      </w:r>
      <w:r>
        <w:rPr>
          <w:rFonts w:ascii="Times New Roman" w:hAnsi="Times New Roman"/>
          <w:sz w:val="20"/>
        </w:rPr>
        <w:t xml:space="preserve">. All agreements between the Company and third parties expressly referenced in the Prospectus are legal, valid and binding obligations of the Company enforceable in accordance with their respective terms, except to the extent that (i) enforceability may be limited by bankruptcy, insolvency, reorganization, moratorium or similar laws affecting creditors rights generally and by general equitable principles and (ii) the indemnification provisions of certain agreements may be limited by federal or state securities laws or public policy considerations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Litigation</w:t>
      </w:r>
      <w:r>
        <w:rPr>
          <w:rFonts w:ascii="Times New Roman" w:hAnsi="Times New Roman"/>
          <w:sz w:val="20"/>
        </w:rPr>
        <w:t xml:space="preserve">. There are no actions, suits or proceedings by or before any Governmental Authority pending, nor, to the Companys knowledge, any audits or investigations by or before any Governmental Authority to which the Company or a Subsidiary is a party or to which any property of the Company or any of its Subsidiaries is the subject that, individually or in the aggregate, would have a Material Adverse Effect and, to the Companys knowledge, no such actions, suits, proceedings, audits or investigations are threatened or contemplated by any Governmental Authority or threatened by others; and (i) there are no current or, to the Companys knowledge, pending audits or investigations, actions, suits or proceedings by or before any Governmental Authority that are required under the Securities Act to be described in the Prospectus that are not so described; and (ii) there are no contracts or other documents that are required under the Securities Act to be filed as exhibits to the Registration Statement that are not so filed.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Consents and Permits</w:t>
      </w:r>
      <w:r>
        <w:rPr>
          <w:rFonts w:ascii="Times New Roman" w:hAnsi="Times New Roman"/>
          <w:sz w:val="20"/>
        </w:rPr>
        <w:t>. The Company and its Subsidiaries have made all filings, applications and submissions required by, possesses and is operating in compliance with, all approvals, licenses, certificates, certifications, clearances, consents, grants, exemptions, marks, notifications, orders, permits and other authorizations issued by, the appropriate federal, state or foreign Governmental Authority necessary for the ownership or lease of their respective properties or to conduct its businesses as described in the Registration Statement and the Prospectus (collectively, </w:t>
      </w:r>
      <w:r>
        <w:rPr>
          <w:rFonts w:ascii="Times New Roman" w:hAnsi="Times New Roman"/>
          <w:b/>
          <w:sz w:val="20"/>
          <w:u w:val="single"/>
        </w:rPr>
        <w:t>Permits</w:t>
      </w:r>
      <w:r>
        <w:rPr>
          <w:rFonts w:ascii="Times New Roman" w:hAnsi="Times New Roman"/>
          <w:sz w:val="20"/>
        </w:rPr>
        <w:t xml:space="preserve">), except for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Permits the failure of which to possess, obtain or make the same would not have a Material Adverse Effect; the Company and its Subsidiaries are in compliance with the terms and conditions of all such Permits, except where the failure to be in compliance would not have a Material Adverse Effect; all of the Permits are valid and in full force and effect, except where any invalidity, individually or in the aggregate, would not be reasonably expected to have a Material Adverse Effect; and neither the Company nor any of its Subsidiaries has received any written notice relating to the limitation, revocation, cancellation, suspension, modification or non-renewal of any such Permit which, singly or in the aggregate, would have a Material Adverse Effect, or has any reason to believe that any such license, certificate, permit or authorization will not be renewed in the ordinary course.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Intellectual Property</w:t>
      </w:r>
      <w:r>
        <w:rPr>
          <w:rFonts w:ascii="Times New Roman" w:hAnsi="Times New Roman"/>
          <w:sz w:val="20"/>
        </w:rPr>
        <w:t>. The Company and its Subsidiaries own or possess the right to use all patents, inventions, trademarks, trade names, service marks, logos, trade dress, designs, data, database rights, Internet domain names, rights of privacy, rights of publicity, copyrights, works of author-ship, license rights, trade secrets, know-how and proprietary information (including unpatented and unpatentable proprietary or confidential information, inventions, systems or procedures) and other industrial property and intellectual property rights, as well as related rights, such as moral rights and the right to sue for all past, present and future infringements or misappropriations of any of the foregoing, and registrations and applications for registration of any of the foregoing (collectively, </w:t>
      </w:r>
      <w:r>
        <w:rPr>
          <w:rFonts w:ascii="Times New Roman" w:hAnsi="Times New Roman"/>
          <w:b/>
          <w:sz w:val="20"/>
        </w:rPr>
        <w:t>Intellectual Property</w:t>
      </w:r>
      <w:r>
        <w:rPr>
          <w:rFonts w:ascii="Times New Roman" w:hAnsi="Times New Roman"/>
          <w:sz w:val="20"/>
        </w:rPr>
        <w:t xml:space="preserve">) necessary to conduct their business as presently conducted and currently contemplated to be conducted in the future, except where any failure to own or possess such rights would not, individually or in the aggregate, reasonably be expected to have a Material Adverse Effect. Neither the Company nor any of the Subsidiaries, whether through their respective products and services or the conduct of their respective businesses, has infringed, misappropriated, conflicted with or otherwise violated, or is currently infringing, misappropriating, conflicting with or other-wise violating, and none of the Company or the Subsidiaries have received any communication or notice of infringement of, misappropriation of, conflict with or violation of, any Intellectual Property of any other person or entity, where such infringements, misappropriations, conflicts or violations would, individually or in the aggregate, reasonably be expected to have a Material Adverse Effect. Except as set forth in the Registration Statement, the General Disclosure Package and the Prospectus, neither the Company nor any of the Subsidiaries has received any communication or notice alleging that by conducting their business as set forth in the Registration Statement, the General Disclosure Package or the Prospectus, such parties would infringe, misappropriate, conflict with, or violate, any of the Intellectual Property of any other person or entity. The Company has no knowledge of infringement, misappropriation or violation by others of Intellectual Property owned by or licensed to the Company or the Subsidiaries. The Company and its Subsidiaries have taken all reasonable steps necessary to secure their interests in such Intellectual Property from their employees and contractors and to protect the confidentiality of all of their confidential information and trade secrets. None of the Intellectual Property or technology (including information technology and outsourced arrangements) employed by the Company or the Subsidiaries has been obtained or is being used by the Company or the Subsidiaries in violation of any contractual obligation binding on the Company or any of the Subsidiaries or any of their respective officers, directors or employees or otherwise in violation of the rights of any persons. The Company and the Subsidiaries own or have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valid right to access and use all material computer systems, networks, hard-ware, software, databases, websites, and equipment used to process, store, maintain and operate data, information, and functions used in connection with the business of the Company and the Subsidiaries (the </w:t>
      </w:r>
      <w:r>
        <w:rPr>
          <w:rFonts w:ascii="Times New Roman" w:hAnsi="Times New Roman"/>
          <w:b/>
          <w:sz w:val="20"/>
          <w:u w:val="single"/>
        </w:rPr>
        <w:t>Company IT Systems</w:t>
      </w:r>
      <w:r>
        <w:rPr>
          <w:rFonts w:ascii="Times New Roman" w:hAnsi="Times New Roman"/>
          <w:sz w:val="20"/>
        </w:rPr>
        <w:t xml:space="preserve">). The Company IT Systems are adequate for, and operate and perform in all material respects as required in connection with, the operations of the Company and the Subsidiaries as currently conducted and as set forth in the Registration Statement, the General Disclosure Package and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Market Capitalization</w:t>
      </w:r>
      <w:r>
        <w:rPr>
          <w:rFonts w:ascii="Times New Roman" w:hAnsi="Times New Roman"/>
          <w:sz w:val="20"/>
        </w:rPr>
        <w:t xml:space="preserve">. At the time the Registration Statement was filed with the Commission, the Company met the then applicable requirements for the use of Form S-3 under the Securities Act, including, but not limited to, General Instruction I.B.1 of Form S-3. The Company is not a shell company (as defined in Rule 405 under the Securities Act) and has not been a shell company for at least 12 calendar months previously and if it has been a shell company at any time previously, has filed current Form 10 information (as defined in Instruction I.B.6 of Form S-3) with the Commission at least 12 calendar months previously reflecting its status as an entity that is not a shell company. </w:t>
      </w:r>
    </w:p>
    <w:p>
      <w:pPr>
        <w:pStyle w:val="TextBody"/>
        <w:bidi w:val="0"/>
        <w:spacing w:before="240" w:after="0"/>
        <w:jc w:val="left"/>
        <w:rPr>
          <w:rFonts w:ascii="Times New Roman" w:hAnsi="Times New Roman"/>
          <w:sz w:val="20"/>
        </w:rPr>
      </w:pPr>
      <w:r>
        <w:rPr>
          <w:rFonts w:ascii="Times New Roman" w:hAnsi="Times New Roman"/>
          <w:sz w:val="20"/>
        </w:rPr>
        <w:t xml:space="preserve">(u) </w:t>
      </w:r>
      <w:r>
        <w:rPr>
          <w:rFonts w:ascii="Times New Roman" w:hAnsi="Times New Roman"/>
          <w:sz w:val="20"/>
          <w:u w:val="single"/>
        </w:rPr>
        <w:t>Certain Market Activities</w:t>
      </w:r>
      <w:r>
        <w:rPr>
          <w:rFonts w:ascii="Times New Roman" w:hAnsi="Times New Roman"/>
          <w:sz w:val="20"/>
        </w:rPr>
        <w:t xml:space="preserve">. Neither the Company nor, to the Companys knowledge, any of its affiliates (including MegaChips, for the avoidance of doubt), has taken or will take, directly or indirectly, any action designed to cause or result in, or which has constituted or which might reasonably be expected to constitute, the stabilization or manipulation of the price of any security of the Company to facilitate the sale or resale of the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Broker/Dealer Relationships</w:t>
      </w:r>
      <w:r>
        <w:rPr>
          <w:rFonts w:ascii="Times New Roman" w:hAnsi="Times New Roman"/>
          <w:sz w:val="20"/>
        </w:rPr>
        <w:t xml:space="preserve">. Neither the Company nor any of the Subsidiaries (i) is required to register as a broker or dealer in accordance with the provisions of the Exchange Act or (ii) directly or indirectly through one or more intermediaries, controls or is a person associated with a member or associated person of a member (within the meaning set forth in the FINRA Manual). </w:t>
      </w:r>
    </w:p>
    <w:p>
      <w:pPr>
        <w:pStyle w:val="TextBody"/>
        <w:bidi w:val="0"/>
        <w:spacing w:before="240" w:after="0"/>
        <w:jc w:val="left"/>
        <w:rPr>
          <w:rFonts w:ascii="Times New Roman" w:hAnsi="Times New Roman"/>
          <w:sz w:val="20"/>
        </w:rPr>
      </w:pPr>
      <w:r>
        <w:rPr>
          <w:rFonts w:ascii="Times New Roman" w:hAnsi="Times New Roman"/>
          <w:sz w:val="20"/>
        </w:rPr>
        <w:t xml:space="preserve">(w) </w:t>
      </w:r>
      <w:r>
        <w:rPr>
          <w:rFonts w:ascii="Times New Roman" w:hAnsi="Times New Roman"/>
          <w:sz w:val="20"/>
          <w:u w:val="single"/>
        </w:rPr>
        <w:t>No Reliance</w:t>
      </w:r>
      <w:r>
        <w:rPr>
          <w:rFonts w:ascii="Times New Roman" w:hAnsi="Times New Roman"/>
          <w:sz w:val="20"/>
        </w:rPr>
        <w:t xml:space="preserve">. The Company has not relied upon the Agent or legal counsel for the Agent for any legal, tax or accounting advice in connection with the offering and sale of the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(x) </w:t>
      </w:r>
      <w:r>
        <w:rPr>
          <w:rFonts w:ascii="Times New Roman" w:hAnsi="Times New Roman"/>
          <w:sz w:val="20"/>
          <w:u w:val="single"/>
        </w:rPr>
        <w:t>Taxes</w:t>
      </w:r>
      <w:r>
        <w:rPr>
          <w:rFonts w:ascii="Times New Roman" w:hAnsi="Times New Roman"/>
          <w:sz w:val="20"/>
        </w:rPr>
        <w:t xml:space="preserve">. The Company and each of its Subsidiaries have filed all federal, state, local and foreign tax returns which have been required to be filed and paid all taxes shown thereon through the date hereof, to the extent that such taxes have become due and are not being contested in good faith, except where the failure to so file or pay would not have a Material Adverse Effect. Except as otherwise disclosed in or contemplated by the Registration Statement or the Prospectus, no tax deficiency has been determined adversely to the Company or any of its Subsidiaries which has had, or would have, individually or in the aggregate, a Material Adverse Effect. The Company has no knowledge of any federal, state or other governmental tax deficiency, penalty or assessment which has been or might be asserted or threatened against it which would have a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 </w:t>
      </w:r>
      <w:r>
        <w:rPr>
          <w:rFonts w:ascii="Times New Roman" w:hAnsi="Times New Roman"/>
          <w:sz w:val="20"/>
          <w:u w:val="single"/>
        </w:rPr>
        <w:t>Environmental Laws</w:t>
      </w:r>
      <w:r>
        <w:rPr>
          <w:rFonts w:ascii="Times New Roman" w:hAnsi="Times New Roman"/>
          <w:sz w:val="20"/>
        </w:rPr>
        <w:t>. The Company and its Subsidiaries (i) are in compliance with any and all applicable federal, state, local and foreign laws, rules, regulations, decisions and orders relating to the protection of human health and safety, the environment or hazardous or toxic substances or wastes, pollutants or contaminants (collectively, </w:t>
      </w:r>
      <w:r>
        <w:rPr>
          <w:rFonts w:ascii="Times New Roman" w:hAnsi="Times New Roman"/>
          <w:b/>
          <w:sz w:val="20"/>
          <w:u w:val="single"/>
        </w:rPr>
        <w:t>Environmental Laws</w:t>
      </w:r>
      <w:r>
        <w:rPr>
          <w:rFonts w:ascii="Times New Roman" w:hAnsi="Times New Roman"/>
          <w:sz w:val="20"/>
        </w:rPr>
        <w:t xml:space="preserve">); (ii) have received and are in compliance with all permits, licenses or other approvals required of them under applicable Environmental Laws to conduct their respective businesses as described in the Registration Statement and the Prospectus; and (iii) have not received notice of any actual or potential liability for the investigation or remediation of any disposal or release of hazardous or toxic substances or wastes, pollutants or contaminants, except, in the case of any of clauses (i), (ii) or (iii) above, for any such failure to comply or failure to receive required permits, licenses, other approvals or liability as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(z) </w:t>
      </w:r>
      <w:r>
        <w:rPr>
          <w:rFonts w:ascii="Times New Roman" w:hAnsi="Times New Roman"/>
          <w:sz w:val="20"/>
          <w:u w:val="single"/>
        </w:rPr>
        <w:t>Disclosure Controls</w:t>
      </w:r>
      <w:r>
        <w:rPr>
          <w:rFonts w:ascii="Times New Roman" w:hAnsi="Times New Roman"/>
          <w:sz w:val="20"/>
        </w:rPr>
        <w:t xml:space="preserve">. The Company and each of its Subsidiaries maintain systems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Companys internal control over financial reporting is effective and the Company is not aware of any material weaknesses in its internal control over financial reporting (other than as set forth in the Prospectus and reports filed with the Commission under Section 13 or 15(d) of the Exchange Act). Since the date of the latest audited financial statements of the Company included in the Prospectus, there has been no change in the Companys internal control over financial reporting that has materially affected, or is reasonably likely to materially affect, the Companys internal control over financial reporting (other than as set forth in the Prospectus and reports filed with the Commission under Section 13 or 15(d) of the Exchange Act). The Company has established disclosure controls and procedures (as defined in Exchange Act Rules 13a-15 and 15d-15) for the Company and designed such disclosure controls and procedures to ensure that material information relating to the Company and each of its Subsidiaries is made known to the certifying officers by others within those entities, particularly during the period in which the Companys Annual Report on Form 10-K or Quarterly Report on Form 10-Q, as the case may be, is being prepared. The Companys certifying officers have evaluated the effectiveness of the Companys disclosure controls and procedures as required by Rule 13a-15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(aa) </w:t>
      </w:r>
      <w:r>
        <w:rPr>
          <w:rFonts w:ascii="Times New Roman" w:hAnsi="Times New Roman"/>
          <w:sz w:val="20"/>
          <w:u w:val="single"/>
        </w:rPr>
        <w:t>Sarbanes-Oxley</w:t>
      </w:r>
      <w:r>
        <w:rPr>
          <w:rFonts w:ascii="Times New Roman" w:hAnsi="Times New Roman"/>
          <w:sz w:val="20"/>
        </w:rPr>
        <w:t xml:space="preserve">. There is and has been no failure on the part of the Company or, to the Companys knowledge, any of the Companys directors or officers, in their capacities as such, to comply in all material respects with any applicable provisions of the Sarbanes-Oxley Act and the rules and regulations promulgated thereunder, including Section 402 related to loans and Sections 302 and 906 related to certifications. </w:t>
      </w:r>
    </w:p>
    <w:p>
      <w:pPr>
        <w:pStyle w:val="TextBody"/>
        <w:bidi w:val="0"/>
        <w:spacing w:before="240" w:after="0"/>
        <w:jc w:val="left"/>
        <w:rPr>
          <w:rFonts w:ascii="Times New Roman" w:hAnsi="Times New Roman"/>
          <w:sz w:val="20"/>
        </w:rPr>
      </w:pPr>
      <w:r>
        <w:rPr>
          <w:rFonts w:ascii="Times New Roman" w:hAnsi="Times New Roman"/>
          <w:sz w:val="20"/>
        </w:rPr>
        <w:t xml:space="preserve">(bb) </w:t>
      </w:r>
      <w:r>
        <w:rPr>
          <w:rFonts w:ascii="Times New Roman" w:hAnsi="Times New Roman"/>
          <w:sz w:val="20"/>
          <w:u w:val="single"/>
        </w:rPr>
        <w:t>Finders Fees</w:t>
      </w:r>
      <w:r>
        <w:rPr>
          <w:rFonts w:ascii="Times New Roman" w:hAnsi="Times New Roman"/>
          <w:sz w:val="20"/>
        </w:rPr>
        <w:t xml:space="preserve">. Neither the Company nor any of the Subsidiaries has incurred any liability for any finders fees, brokerage commissions or similar payments in connection with the transactions herein contemplated, except as may otherwise exist with respect to Agent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(cc) </w:t>
      </w:r>
      <w:r>
        <w:rPr>
          <w:rFonts w:ascii="Times New Roman" w:hAnsi="Times New Roman"/>
          <w:sz w:val="20"/>
          <w:u w:val="single"/>
        </w:rPr>
        <w:t>Labor Disputes</w:t>
      </w:r>
      <w:r>
        <w:rPr>
          <w:rFonts w:ascii="Times New Roman" w:hAnsi="Times New Roman"/>
          <w:sz w:val="20"/>
        </w:rPr>
        <w:t xml:space="preserve">. No labor disturbance by or dispute with employees of the Company or any of its Subsidiaries exists or, to the knowledge of the Company, is threatened which would result in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(dd) </w:t>
      </w:r>
      <w:r>
        <w:rPr>
          <w:rFonts w:ascii="Times New Roman" w:hAnsi="Times New Roman"/>
          <w:sz w:val="20"/>
          <w:u w:val="single"/>
        </w:rPr>
        <w:t>Investment Company Act</w:t>
      </w:r>
      <w:r>
        <w:rPr>
          <w:rFonts w:ascii="Times New Roman" w:hAnsi="Times New Roman"/>
          <w:sz w:val="20"/>
        </w:rPr>
        <w:t>. Neither the Company nor any of the Subsidiaries is or, after giving effect to the offering and sale of the Placement Shares, will be an investment company or an entity controlled by an investment company, as such terms are defined in the Investment Company Act of 1940, as amended (the </w:t>
      </w:r>
      <w:r>
        <w:rPr>
          <w:rFonts w:ascii="Times New Roman" w:hAnsi="Times New Roman"/>
          <w:b/>
          <w:sz w:val="20"/>
          <w:u w:val="single"/>
        </w:rPr>
        <w:t>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(ee</w:t>
      </w:r>
      <w:r>
        <w:rPr>
          <w:rFonts w:ascii="Times New Roman" w:hAnsi="Times New Roman"/>
          <w:sz w:val="20"/>
          <w:u w:val="single"/>
        </w:rPr>
        <w:t>)</w:t>
      </w:r>
      <w:r>
        <w:rPr>
          <w:rFonts w:ascii="Times New Roman" w:hAnsi="Times New Roman"/>
          <w:sz w:val="20"/>
        </w:rPr>
        <w:t xml:space="preserve"> </w:t>
      </w:r>
      <w:r>
        <w:rPr>
          <w:rFonts w:ascii="Times New Roman" w:hAnsi="Times New Roman"/>
          <w:sz w:val="20"/>
          <w:u w:val="single"/>
        </w:rPr>
        <w:t>Operations</w:t>
      </w:r>
      <w:r>
        <w:rPr>
          <w:rFonts w:ascii="Times New Roman" w:hAnsi="Times New Roman"/>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of all jurisdictions to which the Company or its Subsidiaries are subject, and applicable rules and regulations thereunder (collectively, the </w:t>
      </w:r>
      <w:r>
        <w:rPr>
          <w:rFonts w:ascii="Times New Roman" w:hAnsi="Times New Roman"/>
          <w:b/>
          <w:sz w:val="20"/>
          <w:u w:val="single"/>
        </w:rPr>
        <w:t>Money Laundering Laws</w:t>
      </w:r>
      <w:r>
        <w:rPr>
          <w:rFonts w:ascii="Times New Roman" w:hAnsi="Times New Roman"/>
          <w:sz w:val="20"/>
        </w:rPr>
        <w:t xml:space="preserve">), and no action, suit or proceeding by or before any court or governmental agency, authority or body or any arbitrator involving the Company with respect to the Money Laundering Laws is pending, or, to the knowledge of the Company, threatened. </w:t>
      </w:r>
    </w:p>
    <w:p>
      <w:pPr>
        <w:pStyle w:val="TextBody"/>
        <w:bidi w:val="0"/>
        <w:spacing w:before="240" w:after="0"/>
        <w:jc w:val="left"/>
        <w:rPr>
          <w:rFonts w:ascii="Times New Roman" w:hAnsi="Times New Roman"/>
          <w:sz w:val="20"/>
        </w:rPr>
      </w:pPr>
      <w:r>
        <w:rPr>
          <w:rFonts w:ascii="Times New Roman" w:hAnsi="Times New Roman"/>
          <w:sz w:val="20"/>
        </w:rPr>
        <w:t xml:space="preserve">(ff) </w:t>
      </w:r>
      <w:r>
        <w:rPr>
          <w:rFonts w:ascii="Times New Roman" w:hAnsi="Times New Roman"/>
          <w:sz w:val="20"/>
          <w:u w:val="single"/>
        </w:rPr>
        <w:t>Underwriter Agreements</w:t>
      </w:r>
      <w:r>
        <w:rPr>
          <w:rFonts w:ascii="Times New Roman" w:hAnsi="Times New Roman"/>
          <w:sz w:val="20"/>
        </w:rPr>
        <w:t xml:space="preserve">. The Company is not a party to any agreement with an agent or underwriter for any other at the market or continuous equity transaction. </w:t>
      </w:r>
    </w:p>
    <w:p>
      <w:pPr>
        <w:pStyle w:val="TextBody"/>
        <w:bidi w:val="0"/>
        <w:spacing w:before="240" w:after="0"/>
        <w:jc w:val="left"/>
        <w:rPr>
          <w:rFonts w:ascii="Times New Roman" w:hAnsi="Times New Roman"/>
          <w:sz w:val="20"/>
        </w:rPr>
      </w:pPr>
      <w:r>
        <w:rPr>
          <w:rFonts w:ascii="Times New Roman" w:hAnsi="Times New Roman"/>
          <w:sz w:val="20"/>
        </w:rPr>
        <w:t xml:space="preserve">(gg) </w:t>
      </w:r>
      <w:r>
        <w:rPr>
          <w:rFonts w:ascii="Times New Roman" w:hAnsi="Times New Roman"/>
          <w:sz w:val="20"/>
          <w:u w:val="single"/>
        </w:rPr>
        <w:t>ERISA</w:t>
      </w:r>
      <w:r>
        <w:rPr>
          <w:rFonts w:ascii="Times New Roman" w:hAnsi="Times New Roman"/>
          <w:sz w:val="20"/>
        </w:rPr>
        <w:t>. To the knowledge of the Company, each material employee benefit plan, within the meaning of Section 3(3) of the Employee Retirement Income Security Act of 1974, as amended (</w:t>
      </w:r>
      <w:r>
        <w:rPr>
          <w:rFonts w:ascii="Times New Roman" w:hAnsi="Times New Roman"/>
          <w:b/>
          <w:sz w:val="20"/>
          <w:u w:val="single"/>
        </w:rPr>
        <w:t>ERISA</w:t>
      </w:r>
      <w:r>
        <w:rPr>
          <w:rFonts w:ascii="Times New Roman" w:hAnsi="Times New Roman"/>
          <w:sz w:val="20"/>
        </w:rPr>
        <w:t>), that is maintained, administered or contributed to by the Company or any of its affiliates for employees or former employees of the Company and any of its Subsidiaries has been maintained in material compliance with its terms and the requirements of any applicable statutes, orders, rules and regulations, including but not limited to ERISA and the Internal Revenue Code of 1986, as amended (the </w:t>
      </w:r>
      <w:r>
        <w:rPr>
          <w:rFonts w:ascii="Times New Roman" w:hAnsi="Times New Roman"/>
          <w:b/>
          <w:sz w:val="20"/>
          <w:u w:val="single"/>
        </w:rPr>
        <w:t>Code</w:t>
      </w:r>
      <w:r>
        <w:rPr>
          <w:rFonts w:ascii="Times New Roman" w:hAnsi="Times New Roman"/>
          <w:sz w:val="20"/>
        </w:rPr>
        <w:t xml:space="preserve">); no prohibited transaction, within the meaning of Section 406 of ERISA or Section 4975 of the Code, has occurred which would result in a material liability to the Company with respect to any such plan excluding transactions effected pursuant to a statutory or administrative exemption; and for each such plan that is subject to the funding rules of Section 412 of the Code or Section 302 of ERISA, no accumulated funding deficiency as defined in Section 412 of the Code has been incurred, whether or not waived, and the fair market value of the assets of each such plan (excluding for these purposes accrued but unpaid contributions) exceeds the present value of all benefits accrued under such plan determined using reasonable actuarial assumptions. </w:t>
      </w:r>
    </w:p>
    <w:p>
      <w:pPr>
        <w:pStyle w:val="TextBody"/>
        <w:bidi w:val="0"/>
        <w:spacing w:before="240" w:after="0"/>
        <w:jc w:val="left"/>
        <w:rPr>
          <w:rFonts w:ascii="Times New Roman" w:hAnsi="Times New Roman"/>
          <w:sz w:val="20"/>
        </w:rPr>
      </w:pPr>
      <w:r>
        <w:rPr>
          <w:rFonts w:ascii="Times New Roman" w:hAnsi="Times New Roman"/>
          <w:sz w:val="20"/>
        </w:rPr>
        <w:t xml:space="preserve">(hh) </w:t>
      </w:r>
      <w:r>
        <w:rPr>
          <w:rFonts w:ascii="Times New Roman" w:hAnsi="Times New Roman"/>
          <w:sz w:val="20"/>
          <w:u w:val="single"/>
        </w:rPr>
        <w:t>Forward-Looking Statements</w:t>
      </w:r>
      <w:r>
        <w:rPr>
          <w:rFonts w:ascii="Times New Roman" w:hAnsi="Times New Roman"/>
          <w:sz w:val="20"/>
        </w:rPr>
        <w:t>. No forward-looking statement (within the meaning of Section 27A of the Securities Act and Section 21E of the Exchange Act) (a </w:t>
      </w:r>
      <w:r>
        <w:rPr>
          <w:rFonts w:ascii="Times New Roman" w:hAnsi="Times New Roman"/>
          <w:b/>
          <w:sz w:val="20"/>
          <w:u w:val="single"/>
        </w:rPr>
        <w:t>Forward-Looking Statement</w:t>
      </w:r>
      <w:r>
        <w:rPr>
          <w:rFonts w:ascii="Times New Roman" w:hAnsi="Times New Roman"/>
          <w:sz w:val="20"/>
        </w:rPr>
        <w:t xml:space="preserve">) contained in the Registration Statement and the Prospectus has been made or reaffirmed without a reasonable basis or has been disclosed other than in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Agent Purchases</w:t>
      </w:r>
      <w:r>
        <w:rPr>
          <w:rFonts w:ascii="Times New Roman" w:hAnsi="Times New Roman"/>
          <w:sz w:val="20"/>
        </w:rPr>
        <w:t xml:space="preserve">. The Company acknowledges and agrees that the Agent has informed the Company that the Agent may, to the extent permitted under the Securities Act and the Exchange Act, purchase and sell Common Stock for their own accounts while this Agreement is in effect, </w:t>
      </w:r>
      <w:r>
        <w:rPr>
          <w:rFonts w:ascii="Times New Roman" w:hAnsi="Times New Roman"/>
          <w:i/>
          <w:sz w:val="20"/>
        </w:rPr>
        <w:t>provided</w:t>
      </w:r>
      <w:r>
        <w:rPr>
          <w:rFonts w:ascii="Times New Roman" w:hAnsi="Times New Roman"/>
          <w:sz w:val="20"/>
        </w:rPr>
        <w:t xml:space="preserve">, that (i) no such purchase or sales shall take place while a Placement Notice is in effect (except to the extent the Agent may engage in sales of Placement Shares purchased or deemed purchased from the Company as a riskless principal or in a similar capacity) and (ii) the Company shall not be deemed to have authorized or consented to any such purchases or sales by the Agent. </w:t>
      </w:r>
    </w:p>
    <w:p>
      <w:pPr>
        <w:pStyle w:val="TextBody"/>
        <w:bidi w:val="0"/>
        <w:spacing w:before="240" w:after="0"/>
        <w:jc w:val="left"/>
        <w:rPr>
          <w:rFonts w:ascii="Times New Roman" w:hAnsi="Times New Roman"/>
          <w:sz w:val="20"/>
        </w:rPr>
      </w:pPr>
      <w:r>
        <w:rPr>
          <w:rFonts w:ascii="Times New Roman" w:hAnsi="Times New Roman"/>
          <w:sz w:val="20"/>
        </w:rPr>
        <w:t xml:space="preserve">(jj) </w:t>
      </w:r>
      <w:r>
        <w:rPr>
          <w:rFonts w:ascii="Times New Roman" w:hAnsi="Times New Roman"/>
          <w:sz w:val="20"/>
          <w:u w:val="single"/>
        </w:rPr>
        <w:t>Margin Rules</w:t>
      </w:r>
      <w:r>
        <w:rPr>
          <w:rFonts w:ascii="Times New Roman" w:hAnsi="Times New Roman"/>
          <w:sz w:val="20"/>
        </w:rPr>
        <w:t xml:space="preserve">. Neither the issuance, sale and delivery of the Placement Shares nor the application of the proceeds thereof by the Company as described in the Registration Statement and the Prospectus will violate Regulation T, U or X of the Board of Governors of the Federal Reserve System or any other regulation of such Board of Governors. </w:t>
      </w:r>
    </w:p>
    <w:p>
      <w:pPr>
        <w:pStyle w:val="TextBody"/>
        <w:bidi w:val="0"/>
        <w:spacing w:before="240" w:after="0"/>
        <w:jc w:val="left"/>
        <w:rPr>
          <w:rFonts w:ascii="Times New Roman" w:hAnsi="Times New Roman"/>
          <w:sz w:val="20"/>
        </w:rPr>
      </w:pPr>
      <w:r>
        <w:rPr>
          <w:rFonts w:ascii="Times New Roman" w:hAnsi="Times New Roman"/>
          <w:sz w:val="20"/>
        </w:rPr>
        <w:t xml:space="preserve">(kk) </w:t>
      </w:r>
      <w:r>
        <w:rPr>
          <w:rFonts w:ascii="Times New Roman" w:hAnsi="Times New Roman"/>
          <w:sz w:val="20"/>
          <w:u w:val="single"/>
        </w:rPr>
        <w:t>Insurance</w:t>
      </w:r>
      <w:r>
        <w:rPr>
          <w:rFonts w:ascii="Times New Roman" w:hAnsi="Times New Roman"/>
          <w:sz w:val="20"/>
        </w:rPr>
        <w:t xml:space="preserve">. The Company and each of its Subsidiaries carry, or are covered by, insurance in such amounts and covering such risks as the Company and each of its Subsidiaries reasonably believe are adequate for the conduct of their respective businesses and the value of their respective properties. The Company and each of its Subsidiaries have no reason to believe that they will not be able to renew their existing insurance coverage as and when such coverage expires or to obtain similar coverage from similar insurers as may be necessary to continue its business at a cost that would not have a Material Adverse Effect. The Company has not received written notice from any insurer, agent of such insurer or the broker of the Company that any material capital improvements or any other material expenditures (other than premium payments) are required or necessary to be made in order to continue such insurance. </w:t>
      </w:r>
    </w:p>
    <w:p>
      <w:pPr>
        <w:pStyle w:val="TextBody"/>
        <w:bidi w:val="0"/>
        <w:spacing w:before="240" w:after="0"/>
        <w:jc w:val="left"/>
        <w:rPr>
          <w:rFonts w:ascii="Times New Roman" w:hAnsi="Times New Roman"/>
          <w:sz w:val="20"/>
        </w:rPr>
      </w:pPr>
      <w:r>
        <w:rPr>
          <w:rFonts w:ascii="Times New Roman" w:hAnsi="Times New Roman"/>
          <w:sz w:val="20"/>
        </w:rPr>
        <w:t xml:space="preserve">(ll) </w:t>
      </w:r>
      <w:r>
        <w:rPr>
          <w:rFonts w:ascii="Times New Roman" w:hAnsi="Times New Roman"/>
          <w:sz w:val="20"/>
          <w:u w:val="single"/>
        </w:rPr>
        <w:t>No Improper Practices</w:t>
      </w:r>
      <w:r>
        <w:rPr>
          <w:rFonts w:ascii="Times New Roman" w:hAnsi="Times New Roman"/>
          <w:sz w:val="20"/>
        </w:rPr>
        <w:t>. Neither the Company nor any Subsidiary nor any director, officer or employee of the Company or any Subsidiary nor, to the Companys knowledge, any agent, affiliate or other person acting on behalf of the Company or any Subsidiary has (i) violated or is in violation of any applicable provision of the U.S. Foreign Corrupt Practices Act of 1977, as amended, or any other applicable anti-bribery or anti-corruption law (collectively, </w:t>
      </w:r>
      <w:r>
        <w:rPr>
          <w:rFonts w:ascii="Times New Roman" w:hAnsi="Times New Roman"/>
          <w:b/>
          <w:sz w:val="20"/>
          <w:u w:val="single"/>
        </w:rPr>
        <w:t>Anti-Corruption Laws</w:t>
      </w:r>
      <w:r>
        <w:rPr>
          <w:rFonts w:ascii="Times New Roman" w:hAnsi="Times New Roman"/>
          <w:sz w:val="20"/>
        </w:rPr>
        <w:t xml:space="preserve">), (ii) promised, offered, provided, attempted to provide or authorized the provision of anything of value, directly or indirectly, to any person for the purpose of obtaining or retaining business, influencing any act or decision of the recipient, or securing any improper advantage in violation of any Anti-Corruption Laws; or (iii) made any payment of funds of the Company or any Subsidiary or received or retained any funds in violation of any Anti-Corruption Laws. </w:t>
      </w:r>
    </w:p>
    <w:p>
      <w:pPr>
        <w:pStyle w:val="TextBody"/>
        <w:bidi w:val="0"/>
        <w:spacing w:before="240" w:after="0"/>
        <w:jc w:val="left"/>
        <w:rPr>
          <w:rFonts w:ascii="Times New Roman" w:hAnsi="Times New Roman"/>
          <w:sz w:val="20"/>
        </w:rPr>
      </w:pPr>
      <w:r>
        <w:rPr>
          <w:rFonts w:ascii="Times New Roman" w:hAnsi="Times New Roman"/>
          <w:sz w:val="20"/>
        </w:rPr>
        <w:t xml:space="preserve">(mm) </w:t>
      </w:r>
      <w:r>
        <w:rPr>
          <w:rFonts w:ascii="Times New Roman" w:hAnsi="Times New Roman"/>
          <w:sz w:val="20"/>
          <w:u w:val="single"/>
        </w:rPr>
        <w:t>Status Under the Securities Act</w:t>
      </w:r>
      <w:r>
        <w:rPr>
          <w:rFonts w:ascii="Times New Roman" w:hAnsi="Times New Roman"/>
          <w:sz w:val="20"/>
        </w:rPr>
        <w:t xml:space="preserve">. The Company was not and is not an ineligible issuer as defined in Rule 405 under the Securities Act at the times specified in Rules 164 and 433 under the Securities Act in connection with the offering of the Placement Shares. The Company agrees to notify the Agent promptly upon the Company becoming an ineligible issuer.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(nn) </w:t>
      </w:r>
      <w:r>
        <w:rPr>
          <w:rFonts w:ascii="Times New Roman" w:hAnsi="Times New Roman"/>
          <w:sz w:val="20"/>
          <w:u w:val="single"/>
        </w:rPr>
        <w:t>No Misstatement or Omission in an Issuer Free Writing Prospectus</w:t>
      </w:r>
      <w:r>
        <w:rPr>
          <w:rFonts w:ascii="Times New Roman" w:hAnsi="Times New Roman"/>
          <w:sz w:val="20"/>
        </w:rPr>
        <w:t xml:space="preserve">. Each Issuer Free Writing Prospectus, if any, as of its issue date and as of each Applicable Time (as defined in </w:t>
      </w:r>
      <w:r>
        <w:rPr>
          <w:rFonts w:ascii="Times New Roman" w:hAnsi="Times New Roman"/>
          <w:sz w:val="20"/>
          <w:u w:val="single"/>
        </w:rPr>
        <w:t>Section 23</w:t>
      </w:r>
      <w:r>
        <w:rPr>
          <w:rFonts w:ascii="Times New Roman" w:hAnsi="Times New Roman"/>
          <w:sz w:val="20"/>
        </w:rPr>
        <w:t xml:space="preserve"> below), did not, does not and will not include any information that conflicted, conflicts or will conflict with the information contained in the Registration Statement or the Prospectus, including any Incorporated Document deemed to be a part thereof that has not been superseded or modified. The foregoing sentence does not apply to statements in or omissions from any Issuer Free Writing Prospectus based upon and in conformity with written information furnished to the Company by the Agent specifically for use therein. </w:t>
      </w:r>
    </w:p>
    <w:p>
      <w:pPr>
        <w:pStyle w:val="TextBody"/>
        <w:bidi w:val="0"/>
        <w:spacing w:before="240" w:after="0"/>
        <w:jc w:val="left"/>
        <w:rPr>
          <w:rFonts w:ascii="Times New Roman" w:hAnsi="Times New Roman"/>
          <w:sz w:val="20"/>
        </w:rPr>
      </w:pPr>
      <w:r>
        <w:rPr>
          <w:rFonts w:ascii="Times New Roman" w:hAnsi="Times New Roman"/>
          <w:sz w:val="20"/>
        </w:rPr>
        <w:t xml:space="preserve">(oo) </w:t>
      </w:r>
      <w:r>
        <w:rPr>
          <w:rFonts w:ascii="Times New Roman" w:hAnsi="Times New Roman"/>
          <w:sz w:val="20"/>
          <w:u w:val="single"/>
        </w:rPr>
        <w:t>No Conflicts</w:t>
      </w:r>
      <w:r>
        <w:rPr>
          <w:rFonts w:ascii="Times New Roman" w:hAnsi="Times New Roman"/>
          <w:sz w:val="20"/>
        </w:rPr>
        <w:t xml:space="preserve">. Neither the execution of this Agreement, nor the issuance, offering or sale of the Placement Shares, nor the consummation of any of the transactions contemplated herein and therein, nor the compliance by the Company with the terms and provisions hereof and thereof will conflict with, or will result in a breach of, any of the terms and provisions of, or has constituted or will constitute a default under, or has resulted in or will result in the creation or imposition of any lien, charge or encumbrance upon any property or assets of the Company pursuant to the terms of any contract or other agreement to which the Company may be bound or to which any of the property or assets of the Company is subject, except (i) such conflicts, breaches or defaults as may have been waived and (ii) such conflicts, breaches and defaults that would not have a Material Adverse Effect; nor will such action result (x) in any violation of the provisions of the organizational or governing documents of the Company, or (y) in any material violation of the provisions of any statute or any order, rule or regulation applicable to the Company or of any Governmental Authority having jurisdiction over the Company. </w:t>
      </w:r>
    </w:p>
    <w:p>
      <w:pPr>
        <w:pStyle w:val="TextBody"/>
        <w:bidi w:val="0"/>
        <w:spacing w:before="240" w:after="0"/>
        <w:jc w:val="left"/>
        <w:rPr>
          <w:rFonts w:ascii="Times New Roman" w:hAnsi="Times New Roman"/>
          <w:sz w:val="20"/>
        </w:rPr>
      </w:pPr>
      <w:r>
        <w:rPr>
          <w:rFonts w:ascii="Times New Roman" w:hAnsi="Times New Roman"/>
          <w:sz w:val="20"/>
        </w:rPr>
        <w:t xml:space="preserve">(pp) </w:t>
      </w:r>
      <w:r>
        <w:rPr>
          <w:rFonts w:ascii="Times New Roman" w:hAnsi="Times New Roman"/>
          <w:sz w:val="20"/>
          <w:u w:val="single"/>
        </w:rPr>
        <w:t>Sanctions</w:t>
      </w:r>
      <w:r>
        <w:rPr>
          <w:rFonts w:ascii="Times New Roman" w:hAnsi="Times New Roman"/>
          <w:sz w:val="20"/>
        </w:rPr>
        <w:t>. (i) The Company represents that neither the Company nor any of its Subsidiaries (collectively, the </w:t>
      </w:r>
      <w:r>
        <w:rPr>
          <w:rFonts w:ascii="Times New Roman" w:hAnsi="Times New Roman"/>
          <w:b/>
          <w:sz w:val="20"/>
          <w:u w:val="single"/>
        </w:rPr>
        <w:t>Entity</w:t>
      </w:r>
      <w:r>
        <w:rPr>
          <w:rFonts w:ascii="Times New Roman" w:hAnsi="Times New Roman"/>
          <w:sz w:val="20"/>
        </w:rPr>
        <w:t>) or any director, officer, employee, agent, affiliate or representative of the Entity, is a government, individual, or entity (in this paragraph (pp), </w:t>
      </w:r>
      <w:r>
        <w:rPr>
          <w:rFonts w:ascii="Times New Roman" w:hAnsi="Times New Roman"/>
          <w:b/>
          <w:sz w:val="20"/>
          <w:u w:val="single"/>
        </w:rPr>
        <w:t>Person</w:t>
      </w:r>
      <w:r>
        <w:rPr>
          <w:rFonts w:ascii="Times New Roman" w:hAnsi="Times New Roman"/>
          <w:sz w:val="20"/>
        </w:rPr>
        <w:t xml:space="preserve">) that is, or is owned or controlled by a Person that is: </w:t>
      </w:r>
    </w:p>
    <w:p>
      <w:pPr>
        <w:pStyle w:val="TextBody"/>
        <w:bidi w:val="0"/>
        <w:spacing w:before="120" w:after="0"/>
        <w:jc w:val="left"/>
        <w:rPr>
          <w:rFonts w:ascii="Times New Roman" w:hAnsi="Times New Roman"/>
          <w:sz w:val="20"/>
        </w:rPr>
      </w:pPr>
      <w:r>
        <w:rPr>
          <w:rFonts w:ascii="Times New Roman" w:hAnsi="Times New Roman"/>
          <w:sz w:val="20"/>
        </w:rPr>
        <w:t>(A) the subject of any sanctions administered or enforced by the U.S. Department of Treasurys Office of Foreign Assets Control (</w:t>
      </w:r>
      <w:r>
        <w:rPr>
          <w:rFonts w:ascii="Times New Roman" w:hAnsi="Times New Roman"/>
          <w:b/>
          <w:sz w:val="20"/>
          <w:u w:val="single"/>
        </w:rPr>
        <w:t>OFAC</w:t>
      </w:r>
      <w:r>
        <w:rPr>
          <w:rFonts w:ascii="Times New Roman" w:hAnsi="Times New Roman"/>
          <w:sz w:val="20"/>
        </w:rPr>
        <w:t>), the United Nations Security Council, the European Union, His Majestys Treasury, or other relevant sanctions authorities, including, without limitation, designation on OFACs Specially Designated Nationals and Blocked Persons List or OFACs Foreign Sanctions Evaders List (as amended, collectively, </w:t>
      </w:r>
      <w:r>
        <w:rPr>
          <w:rFonts w:ascii="Times New Roman" w:hAnsi="Times New Roman"/>
          <w:b/>
          <w:sz w:val="20"/>
          <w:u w:val="single"/>
        </w:rPr>
        <w:t>Sanctions</w:t>
      </w:r>
      <w:r>
        <w:rPr>
          <w:rFonts w:ascii="Times New Roman" w:hAnsi="Times New Roman"/>
          <w:sz w:val="20"/>
        </w:rPr>
        <w:t xml:space="preserve">), nor </w:t>
      </w:r>
    </w:p>
    <w:p>
      <w:pPr>
        <w:pStyle w:val="TextBody"/>
        <w:bidi w:val="0"/>
        <w:spacing w:before="120" w:after="0"/>
        <w:jc w:val="left"/>
        <w:rPr>
          <w:rFonts w:ascii="Times New Roman" w:hAnsi="Times New Roman"/>
          <w:sz w:val="20"/>
        </w:rPr>
      </w:pPr>
      <w:r>
        <w:rPr>
          <w:rFonts w:ascii="Times New Roman" w:hAnsi="Times New Roman"/>
          <w:sz w:val="20"/>
        </w:rPr>
        <w:t>(B) located, organized or resident in a country or territory that is the subject of Sanctions that broadly prohibit dealings with that country or territory (including, without limitation, Cuba, Iran, North Korea, Sudan, Syria, the Crimea Region of the Ukraine, the so-called Donetsk Peoples Republic and the so-called Luhansk Peoples Republic and any other Covered Region of Ukraine identified pursuant to Executive Order 14065) (the </w:t>
      </w:r>
      <w:r>
        <w:rPr>
          <w:rFonts w:ascii="Times New Roman" w:hAnsi="Times New Roman"/>
          <w:b/>
          <w:sz w:val="20"/>
          <w:u w:val="single"/>
        </w:rPr>
        <w:t>Sanctioned Countries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Entity represents and covenants that it will not, directly or indirectly, use the proceeds of the offering, or lend, contribute or otherwise make available such proceeds to any subsidiary, joint venture partner or other Person: </w:t>
      </w:r>
    </w:p>
    <w:p>
      <w:pPr>
        <w:pStyle w:val="TextBody"/>
        <w:bidi w:val="0"/>
        <w:spacing w:before="120" w:after="0"/>
        <w:jc w:val="left"/>
        <w:rPr>
          <w:rFonts w:ascii="Times New Roman" w:hAnsi="Times New Roman"/>
          <w:sz w:val="20"/>
        </w:rPr>
      </w:pPr>
      <w:r>
        <w:rPr>
          <w:rFonts w:ascii="Times New Roman" w:hAnsi="Times New Roman"/>
          <w:sz w:val="20"/>
        </w:rPr>
        <w:t xml:space="preserve">(A) to fund or facilitate any activities or business of or with any Person or in any country or territory that, at the time of such funding or facilitation, is the subject of Sanctions or is a Sanctioned Country, except as authorized under applicable Sanctions; or </w:t>
      </w:r>
    </w:p>
    <w:p>
      <w:pPr>
        <w:pStyle w:val="TextBody"/>
        <w:bidi w:val="0"/>
        <w:spacing w:before="120" w:after="0"/>
        <w:jc w:val="left"/>
        <w:rPr>
          <w:rFonts w:ascii="Times New Roman" w:hAnsi="Times New Roman"/>
          <w:sz w:val="20"/>
        </w:rPr>
      </w:pPr>
      <w:r>
        <w:rPr>
          <w:rFonts w:ascii="Times New Roman" w:hAnsi="Times New Roman"/>
          <w:sz w:val="20"/>
        </w:rPr>
        <w:t xml:space="preserve">(B) in any other manner that will result in a violation of Sanctions by any Person (including any Person participating in the offering, whether as underwriter, advisor, investor or otherwise). </w:t>
      </w:r>
    </w:p>
    <w:p>
      <w:pPr>
        <w:pStyle w:val="TextBody"/>
        <w:bidi w:val="0"/>
        <w:spacing w:before="240" w:after="0"/>
        <w:jc w:val="left"/>
        <w:rPr>
          <w:rFonts w:ascii="Times New Roman" w:hAnsi="Times New Roman"/>
          <w:sz w:val="20"/>
        </w:rPr>
      </w:pPr>
      <w:r>
        <w:rPr>
          <w:rFonts w:ascii="Times New Roman" w:hAnsi="Times New Roman"/>
          <w:sz w:val="20"/>
        </w:rPr>
        <w:t xml:space="preserve">(iii) The Entity represents and covenants that, except as detailed in the Registration Statement and the Prospectus, for the past 5 years, it has not engaged in, is not now engaging in, and will not engage in, any dealings or transactions with any Person, or in any country or territory, that at the time of the dealing or transaction is or was the subject of Sanctions prohibiting such dealing or transaction or is or was a Sanctioned Country. </w:t>
      </w:r>
    </w:p>
    <w:p>
      <w:pPr>
        <w:pStyle w:val="TextBody"/>
        <w:bidi w:val="0"/>
        <w:spacing w:before="240" w:after="0"/>
        <w:jc w:val="left"/>
        <w:rPr>
          <w:rFonts w:ascii="Times New Roman" w:hAnsi="Times New Roman"/>
          <w:sz w:val="20"/>
        </w:rPr>
      </w:pPr>
      <w:r>
        <w:rPr>
          <w:rFonts w:ascii="Times New Roman" w:hAnsi="Times New Roman"/>
          <w:sz w:val="20"/>
        </w:rPr>
        <w:t xml:space="preserve">(qq) </w:t>
      </w:r>
      <w:r>
        <w:rPr>
          <w:rFonts w:ascii="Times New Roman" w:hAnsi="Times New Roman"/>
          <w:sz w:val="20"/>
          <w:u w:val="single"/>
        </w:rPr>
        <w:t>Stock Transfer Taxes</w:t>
      </w:r>
      <w:r>
        <w:rPr>
          <w:rFonts w:ascii="Times New Roman" w:hAnsi="Times New Roman"/>
          <w:sz w:val="20"/>
        </w:rPr>
        <w:t xml:space="preserve">. On each Settlement Date, all stock transfer or other taxes (other than income taxes) which are required to be paid in connection with the sale and transfer of the Placement Shares to be sold hereunder will be, or will have been, fully paid or provided for by the Company and all laws imposing such taxes will be or will have been fully complied with. </w:t>
      </w:r>
    </w:p>
    <w:p>
      <w:pPr>
        <w:pStyle w:val="TextBody"/>
        <w:bidi w:val="0"/>
        <w:spacing w:before="240" w:after="0"/>
        <w:jc w:val="left"/>
        <w:rPr>
          <w:rFonts w:ascii="Times New Roman" w:hAnsi="Times New Roman"/>
          <w:sz w:val="20"/>
        </w:rPr>
      </w:pPr>
      <w:r>
        <w:rPr>
          <w:rFonts w:ascii="Times New Roman" w:hAnsi="Times New Roman"/>
          <w:sz w:val="20"/>
        </w:rPr>
        <w:t xml:space="preserve">(rr) </w:t>
      </w:r>
      <w:r>
        <w:rPr>
          <w:rFonts w:ascii="Times New Roman" w:hAnsi="Times New Roman"/>
          <w:sz w:val="20"/>
          <w:u w:val="single"/>
        </w:rPr>
        <w:t>Compliance with Laws</w:t>
      </w:r>
      <w:r>
        <w:rPr>
          <w:rFonts w:ascii="Times New Roman" w:hAnsi="Times New Roman"/>
          <w:sz w:val="20"/>
        </w:rPr>
        <w:t xml:space="preserve">. The Company and each of its Subsidiaries are in material compliance with all applicable laws, regulations and statutes (including all environmental laws and regulations) in the jurisdictions in which it carries on business; the Company has not received a notice of non-compliance, nor knows of, nor has reasonable grounds to know of, any facts that could give rise to a notice of non-compliance with any such laws, regulations and statutes, and is not aware of any pending change or contemplated change to any applicable law or regulation or governmental position; in each case that would materially adversely affect the business of the Company or the business or legal environment under which the Company operates. </w:t>
      </w:r>
    </w:p>
    <w:p>
      <w:pPr>
        <w:pStyle w:val="TextBody"/>
        <w:bidi w:val="0"/>
        <w:spacing w:before="240" w:after="0"/>
        <w:jc w:val="left"/>
        <w:rPr>
          <w:rFonts w:ascii="Times New Roman" w:hAnsi="Times New Roman"/>
          <w:sz w:val="20"/>
        </w:rPr>
      </w:pPr>
      <w:r>
        <w:rPr>
          <w:rFonts w:ascii="Times New Roman" w:hAnsi="Times New Roman"/>
          <w:sz w:val="20"/>
        </w:rPr>
        <w:t xml:space="preserve">(ss) </w:t>
      </w:r>
      <w:r>
        <w:rPr>
          <w:rFonts w:ascii="Times New Roman" w:hAnsi="Times New Roman"/>
          <w:sz w:val="20"/>
          <w:u w:val="single"/>
        </w:rPr>
        <w:t>Statistical and Market-Related Data</w:t>
      </w:r>
      <w:r>
        <w:rPr>
          <w:rFonts w:ascii="Times New Roman" w:hAnsi="Times New Roman"/>
          <w:sz w:val="20"/>
        </w:rPr>
        <w:t xml:space="preserve">. The statistical and market-related data included in the Registration Statement and Prospectus are based on or derived from sources that the Company believes to be reliable and accurate (but has not independently verified) or represent the Companys good faith estimates that are made on the basis of data derived from such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(tt) </w:t>
      </w:r>
      <w:r>
        <w:rPr>
          <w:rFonts w:ascii="Times New Roman" w:hAnsi="Times New Roman"/>
          <w:sz w:val="20"/>
          <w:u w:val="single"/>
        </w:rPr>
        <w:t>Cybersecurity</w:t>
      </w:r>
      <w:r>
        <w:rPr>
          <w:rFonts w:ascii="Times New Roman" w:hAnsi="Times New Roman"/>
          <w:sz w:val="20"/>
        </w:rPr>
        <w:t>. (i) (x) There has been no material security breach or attack or other compromise of or relating to any of the Companys and its subsidiaries information technology and computer systems, networks, hardware, software, data (including the data of their respective customers, employees, suppliers, vendors and any third party data maintained by or on behalf of them), equipment or technology (</w:t>
      </w:r>
      <w:r>
        <w:rPr>
          <w:rFonts w:ascii="Times New Roman" w:hAnsi="Times New Roman"/>
          <w:b/>
          <w:sz w:val="20"/>
          <w:u w:val="single"/>
        </w:rPr>
        <w:t>IT Systems and Data</w:t>
      </w:r>
      <w:r>
        <w:rPr>
          <w:rFonts w:ascii="Times New Roman" w:hAnsi="Times New Roman"/>
          <w:sz w:val="20"/>
        </w:rPr>
        <w:t>), and (y) the Company and the Subsidiaries have implemented and maintained commercially reasonable controls, policies, procedures, and safeguards to maintain and protect their material confidential information and the integrity, continuous operation, redundancy and security of all Company IT Systems and data (including all personal, personally identifiable, sensitive, confidential or regulated data (</w:t>
      </w:r>
      <w:r>
        <w:rPr>
          <w:rFonts w:ascii="Times New Roman" w:hAnsi="Times New Roman"/>
          <w:b/>
          <w:sz w:val="20"/>
          <w:u w:val="single"/>
        </w:rPr>
        <w:t>Personal Data</w:t>
      </w:r>
      <w:r>
        <w:rPr>
          <w:rFonts w:ascii="Times New Roman" w:hAnsi="Times New Roman"/>
          <w:sz w:val="20"/>
        </w:rPr>
        <w:t xml:space="preserve">)) used in connection with their businesses, and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Company IT Systems and Personal Data and to the protection of such Company IT Systems and Personal Data from unauthorized use, access, misappropriation or modification. and (ii) the Company and its subsidiaries have implemented backup and disaster recovery technology consistent with industry standards and practice. </w:t>
      </w:r>
    </w:p>
    <w:p>
      <w:pPr>
        <w:pStyle w:val="TextBody"/>
        <w:bidi w:val="0"/>
        <w:spacing w:before="240" w:after="0"/>
        <w:jc w:val="left"/>
        <w:rPr>
          <w:rFonts w:ascii="Times New Roman" w:hAnsi="Times New Roman"/>
          <w:sz w:val="20"/>
        </w:rPr>
      </w:pPr>
      <w:r>
        <w:rPr>
          <w:rFonts w:ascii="Times New Roman" w:hAnsi="Times New Roman"/>
          <w:sz w:val="20"/>
        </w:rPr>
        <w:t xml:space="preserve">(uu) </w:t>
      </w:r>
      <w:r>
        <w:rPr>
          <w:rFonts w:ascii="Times New Roman" w:hAnsi="Times New Roman"/>
          <w:sz w:val="20"/>
          <w:u w:val="single"/>
        </w:rPr>
        <w:t>Solvency</w:t>
      </w:r>
      <w:r>
        <w:rPr>
          <w:rFonts w:ascii="Times New Roman" w:hAnsi="Times New Roman"/>
          <w:sz w:val="20"/>
        </w:rPr>
        <w:t xml:space="preserve">. The Company is not as of the date hereof, and after giving effect to the offering and sale of the Placement Shares, will not be Insolvent (as defined below). For purposes of this </w:t>
      </w:r>
      <w:r>
        <w:rPr>
          <w:rFonts w:ascii="Times New Roman" w:hAnsi="Times New Roman"/>
          <w:sz w:val="20"/>
          <w:u w:val="single"/>
        </w:rPr>
        <w:t>Section 6(uu)</w:t>
      </w:r>
      <w:r>
        <w:rPr>
          <w:rFonts w:ascii="Times New Roman" w:hAnsi="Times New Roman"/>
          <w:sz w:val="20"/>
        </w:rPr>
        <w:t>, </w:t>
      </w:r>
      <w:r>
        <w:rPr>
          <w:rFonts w:ascii="Times New Roman" w:hAnsi="Times New Roman"/>
          <w:b/>
          <w:sz w:val="20"/>
          <w:u w:val="single"/>
        </w:rPr>
        <w:t>Insolvent</w:t>
      </w:r>
      <w:r>
        <w:rPr>
          <w:rFonts w:ascii="Times New Roman" w:hAnsi="Times New Roman"/>
          <w:sz w:val="20"/>
        </w:rPr>
        <w:t xml:space="preserve"> means, with respect to any person, (i) the present fair saleable value of such persons assets is less than the amount required to pay such persons total indebtedness, (ii) such person is unable to pay its debts and liabilities, subordinated, contingent or otherwise, as such debts and liabilities become absolute and matured, (iii) such person intends to incur or believes that it will incur debts that would be beyond its ability to pay as such debts mature or (iv) such person has unreasonably small capital with which to conduct the business in which it is engaged as such business is now conducted and is proposed to be conducted. </w:t>
      </w:r>
    </w:p>
    <w:p>
      <w:pPr>
        <w:pStyle w:val="TextBody"/>
        <w:bidi w:val="0"/>
        <w:spacing w:before="240" w:after="0"/>
        <w:jc w:val="left"/>
        <w:rPr>
          <w:rFonts w:ascii="Times New Roman" w:hAnsi="Times New Roman"/>
          <w:sz w:val="20"/>
        </w:rPr>
      </w:pPr>
      <w:r>
        <w:rPr>
          <w:rFonts w:ascii="Times New Roman" w:hAnsi="Times New Roman"/>
          <w:sz w:val="20"/>
        </w:rPr>
        <w:t xml:space="preserve">Any certificate signed by an officer of the Company and delivered to the Agent or to counsel for the Agent pursuant to or in connection with this Agreement shall be deemed to be a representation and warranty by the Company, as applicable, to the Agent as to the matters set forth therein.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Covenants of the Company</w:t>
      </w:r>
      <w:r>
        <w:rPr>
          <w:rFonts w:ascii="Times New Roman" w:hAnsi="Times New Roman"/>
          <w:sz w:val="20"/>
        </w:rPr>
        <w:t xml:space="preserve">. The Company covenants and agrees with the Agent that: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Amendments</w:t>
      </w:r>
      <w:r>
        <w:rPr>
          <w:rFonts w:ascii="Times New Roman" w:hAnsi="Times New Roman"/>
          <w:sz w:val="20"/>
        </w:rPr>
        <w:t xml:space="preserve">. After the date of this Agreement and during any period in which a Prospectus relating to any Placement Shares is required to be delivered by the Agent under the Securities Act (including in circumstances where such requirement may be satisfied pursuant to Rule 172 under the Securities Act or similar rule), (i) the Company will notify the Agent promptly of the time when any subsequent amendment to the Registration Statement, other than documents incorporated by reference, has been filed with the Commission and/or has become effective or any subsequent supplement to the Prospectus has been filed and of any request by the Commission for any amendment or supplement to the Registration Statement or Prospectus or for additional information, (ii) the Company will prepare and file with the Commission,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promptly upon the Agents reasonable request, any amendments or supplements to the Registration Statement or Prospectus that, in the Agents reasonable opinion, may be necessary or advisable in connection with the distribution of the Placement Shares by the Agent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of the Agent to make such request shall not relieve the Company of any obligation or liability hereunder, or affect the Agents right to rely on the representations and warranties made by the Company in this Agreement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the only remedy the Agent shall have with respect to the failure to make such filing shall be to cease making sales under this Agreement until such amendment or supplement is filed); (iii) the Company will not file any amendment or supplement to the Registration Statement or Prospectus relating to the Placement Shares or a security convertible into the Placement Shares unless a copy thereof has been submitted to the Agent within a reasonable period of time before the filing and the Agent has not reasonably objected thereto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failure of the Agent to make such objection shall not relieve the Company of any obligation or liability hereunder, or affect the Agents right to rely on the representations and warranties made by the Company in this Agreement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only remedy the Agent shall have with respect to the failure by the Company to obtain such consent shall be to cease making sales under this Agreement) and the Company will furnish to the Agent at the time of filing thereof a copy of any document that upon filing is deemed to be incorporated by reference into the Registration Statement or Prospectus, except for those documents available via EDGAR; and (iv) the Company will cause each amendment or supplement to the Prospectus to be filed with the Commission as required pursuant to the applicable paragraph of Rule 424(b) of the Securities Act or, in the case of any document to be incorporated therein by reference, to be filed with the Commission as required pursuant to the Exchange Act, within the time period prescribed (the determination to file or not file any amendment or supplement with the Commission under this </w:t>
      </w:r>
      <w:r>
        <w:rPr>
          <w:rFonts w:ascii="Times New Roman" w:hAnsi="Times New Roman"/>
          <w:sz w:val="20"/>
          <w:u w:val="single"/>
        </w:rPr>
        <w:t>Section 7(a)</w:t>
      </w:r>
      <w:r>
        <w:rPr>
          <w:rFonts w:ascii="Times New Roman" w:hAnsi="Times New Roman"/>
          <w:sz w:val="20"/>
        </w:rPr>
        <w:t xml:space="preserve">, based on the Companys reasonable opinion or reasonable objections, shall be made exclusively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 of Commission Stop Orders</w:t>
      </w:r>
      <w:r>
        <w:rPr>
          <w:rFonts w:ascii="Times New Roman" w:hAnsi="Times New Roman"/>
          <w:sz w:val="20"/>
        </w:rPr>
        <w:t xml:space="preserve">. The Company will advise the Agent, promptly after it receives notice or obtains knowledge thereof, of the issuance or threatened issuance by the Commission of any stop order suspending the effectiveness of the Registration Statement, of the suspension of the qualification of the Placement Shares for offering or sale in any jurisdiction, or of the initiation or threatening of any proceeding for any such purpose; and it will promptly use its commercially reasonable efforts to prevent the issuance of any stop order or to obtain its withdrawal if such a stop order should be issued. The Company will advise the Agent promptly after it receives any request by the Commission for any amendments to the Registration Statement or any amendment or supplements to the Prospectus or any Issuer Free Writing Prospectus or for additional information related to the offering of the Placement Shares or for additional information related to the Registration Statement, the Prospectus or any Issuer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Delivery of Prospectus; Subsequent Changes</w:t>
      </w:r>
      <w:r>
        <w:rPr>
          <w:rFonts w:ascii="Times New Roman" w:hAnsi="Times New Roman"/>
          <w:sz w:val="20"/>
        </w:rPr>
        <w:t xml:space="preserve">. During any period in which a Prospectus relating to the Placement Shares is required to be delivered by the Agent under the Securities Act with respect to the offer and sale of the Placement Shares, (including in circumstances where such requirement may be satisfied pursuant to Rule 172 under the Securities Act or similar rule), the Company will comply with all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imposed upon it by the Securities Act, as from time to time in force, and to file on or before their respective due dates all reports and any definitive proxy or information statements required to be filed by the Company with the Commission pursuant to Sections 13(a), 13(c), 14, 15(d) or any other provision of or under the Exchange Act. If the Company has omitted any information from the Registration Statement pursuant to Rule 430B under the Securities Act, it will use its best efforts to comply with the provisions of and make all requisite filings with the Commission pursuant to said Rule 430B and to notify the Agent promptly of all such filings if not available on EDGAR. If during such period any event occurs as a result of which the Prospectus as then amended or supplemented would include an untrue statement of a material fact or omit to state a material fact necessary to make the statements therein, in the light of the circumstances then existing, not misleading, or if during such period it is necessary to amend or supplement the Registration Statement or Prospectus to comply with the Securities Act, the Company will promptly notify the Agent to suspend the offering of Placement Shares during such period and the Company will promptly amend or supplement the Registration Statement or Prospectus (at the expense of the Company) so as to correct such statement or omission or effect such compliance;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may delay any such amendment or supplement if, in the reasonable judgment of the Company, it is in the interests of the Company to do so. Until such time as the Company shall have corrected such misstatement or omission or effected such compliance, the Company shall not notify the Agent to resume the offering of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Listing of Placement Shares</w:t>
      </w:r>
      <w:r>
        <w:rPr>
          <w:rFonts w:ascii="Times New Roman" w:hAnsi="Times New Roman"/>
          <w:sz w:val="20"/>
        </w:rPr>
        <w:t xml:space="preserve">. Prior to the date of the first Placement Notice, the Company will use its reasonable best efforts to cause the Placement Shares to be listed on the Exchange.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Delivery of Registration Statement and Prospectus</w:t>
      </w:r>
      <w:r>
        <w:rPr>
          <w:rFonts w:ascii="Times New Roman" w:hAnsi="Times New Roman"/>
          <w:sz w:val="20"/>
        </w:rPr>
        <w:t xml:space="preserve">. The Company will furnish to the Agent and their counsel (at the expense of the Company) copies of the Registration Statement, the Prospectus (including all documents incorporated by reference therein) and all amendments and supplements to the Registration Statement or Prospectus that are filed with the Commission during any period in which a Prospectus relating to the Placement Shares is required to be delivered under the Securities Act (including all documents filed with the Commission during such period that are deemed to be incorporated by reference therein), in each case as soon as reasonably practicable and in such quantities as the Agent may from time to time reasonably request and, at request of the Agent, will also furnish copies of the Prospectus to each exchange or market on which sales of the Placement Shares may be made;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required to furnish any document (other than the Prospectus) to the Agent.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Earning Statement</w:t>
      </w:r>
      <w:r>
        <w:rPr>
          <w:rFonts w:ascii="Times New Roman" w:hAnsi="Times New Roman"/>
          <w:sz w:val="20"/>
        </w:rPr>
        <w:t xml:space="preserve">. The Company will make generally available to its security holders as soon as practicable, but in any event not later than 15 months after the end of the Companys current fiscal quarter, an earning statement covering a 12-month period that satisfies the provisions of Section 11(a) and Rule 158 of the Securities Act; provided that the Company will be deemed to have furnished such statement to its security holders to the extent it is available on EDGAR.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Use of Proceeds</w:t>
      </w:r>
      <w:r>
        <w:rPr>
          <w:rFonts w:ascii="Times New Roman" w:hAnsi="Times New Roman"/>
          <w:sz w:val="20"/>
        </w:rPr>
        <w:t xml:space="preserve">. The Company will use the Net Proceeds as described in the Prospectus in the section entitled Use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 of Other Sales</w:t>
      </w:r>
      <w:r>
        <w:rPr>
          <w:rFonts w:ascii="Times New Roman" w:hAnsi="Times New Roman"/>
          <w:sz w:val="20"/>
        </w:rPr>
        <w:t xml:space="preserve">. Without the prior written consent of the Agent, the Company will not, directly or indirectly,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during the period beginning on the fifth (5th) Trading Day immediately prior to the date on which any Placement Notice is delivered to the Agent hereunder and ending on the fifth (5th) Trading Day immediately following the final Settlement Date with respect to Placement Shares sold pursuant to such Placement Notice (or, if the Placement Notice has been terminated or suspended prior to the sale of all Placement Shares covered by a Placement Notice, the date of such suspension or termination); and will not directly or indirectly in any other at the market or continuous equity transaction offer to sell, sell, contract to sell, grant any option to sell or otherwise dispose of any Common Stock (other than the Placement Shares offered pursuant to this Agreement) or securities convertible into or exchangeable for Common Stock, warrants or any rights to purchase or acquire, Common Stock prior to the sixtieth (60th) day immediately following the termination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restrictions will not be required in connection with the Companys issuance or sale of (i) Common Stock, options to purchase Common Stock or Common Stock issuable upon the exercise of options, including any Common Stock sold on behalf of an employee to cover tax withholding obligations, pursuant to any employee or director stock option or benefits plan, stock ownership plan or dividend reinvestment plan (but not Common Stock subject to a waiver to exceed plan limits in its dividend reinvestment plan) of the Company whether now in effect or hereafter implemented, (ii) Common Stock issuable upon conversion of securities or the exercise of warrants, options or other rights in effect or outstanding, and disclosed in filings by the Company available on EDGAR or otherwise in writing to the Agent and (iii) Common Stock or securities convertible into or exchangeable for shares of Common Stock as consideration for mergers, acquisitions, other business combinations or research, collaboration, technology license, development, marketing or other similar agreements or strategic partnerships or alliances occurring after the date of this Agreement which are not issued for capital raising purposes.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Change of Circumstances</w:t>
      </w:r>
      <w:r>
        <w:rPr>
          <w:rFonts w:ascii="Times New Roman" w:hAnsi="Times New Roman"/>
          <w:sz w:val="20"/>
        </w:rPr>
        <w:t xml:space="preserve">. The Company will, at any time during the pendency of a Placement Notice advise the Agent promptly after it shall have received notice or obtained knowledge thereof, of any information or fact that would alter or affect in any material respect any opinion, certificate, letter or other document required to be provided to the Agent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Due Diligence Cooperation</w:t>
      </w:r>
      <w:r>
        <w:rPr>
          <w:rFonts w:ascii="Times New Roman" w:hAnsi="Times New Roman"/>
          <w:sz w:val="20"/>
        </w:rPr>
        <w:t xml:space="preserve">. The Company will cooperate with any with the transactions contemplated hereby, including, without limitation, providing information and making available documents and senior corporate officers, during regular business hours and at the Companys principal offices, as the Agent may reasonably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Required Filings Relating to Placement of Placement Shares</w:t>
      </w:r>
      <w:r>
        <w:rPr>
          <w:rFonts w:ascii="Times New Roman" w:hAnsi="Times New Roman"/>
          <w:sz w:val="20"/>
        </w:rPr>
        <w:t>. The Company agrees that on such dates as the Securities Act shall require, with respect to the Placement Shares, the Company will (i) file a prospectus supplement with the Commission under the applicable paragraph of Rule 424(b) under the Securities Act (each and every filing date under Rule 424(b), a </w:t>
      </w:r>
      <w:r>
        <w:rPr>
          <w:rFonts w:ascii="Times New Roman" w:hAnsi="Times New Roman"/>
          <w:b/>
          <w:sz w:val="20"/>
          <w:u w:val="single"/>
        </w:rPr>
        <w:t>Filing Date</w:t>
      </w:r>
      <w:r>
        <w:rPr>
          <w:rFonts w:ascii="Times New Roman" w:hAnsi="Times New Roman"/>
          <w:sz w:val="20"/>
        </w:rPr>
        <w:t xml:space="preserve">), which prospectus supplement will set forth, within the relevant period, the amount of Placement Shares sold through the Agent, the Net Proceeds to the Company and the compensation payable by the Company to the Agent with respect to such Placement Shares, and (ii) deliver such number of copies of each such prospectus supplement to each exchange or market on which such sales were effected as may be required by the rules or regulations of such exchange or market.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Representation Dates; Certificate</w:t>
      </w:r>
      <w:r>
        <w:rPr>
          <w:rFonts w:ascii="Times New Roman" w:hAnsi="Times New Roman"/>
          <w:sz w:val="20"/>
        </w:rPr>
        <w:t xml:space="preserve">. (1) On or prior to the date of the first Placement Notice and (2) each time the Company: </w:t>
      </w:r>
    </w:p>
    <w:p>
      <w:pPr>
        <w:pStyle w:val="TextBody"/>
        <w:bidi w:val="0"/>
        <w:spacing w:before="120" w:after="0"/>
        <w:jc w:val="left"/>
        <w:rPr>
          <w:rFonts w:ascii="Times New Roman" w:hAnsi="Times New Roman"/>
          <w:sz w:val="20"/>
        </w:rPr>
      </w:pPr>
      <w:r>
        <w:rPr>
          <w:rFonts w:ascii="Times New Roman" w:hAnsi="Times New Roman"/>
          <w:sz w:val="20"/>
        </w:rPr>
        <w:t xml:space="preserve">(i) files the Prospectus relating to the Placement Shares or amends or supplements (other than a prospectus supplement relating solely to an offering of securities other than the Placement Shares) the Registration Statement or the Prospectus relating to the Placement Shares by means of a post-effective amendment, sticker or supplement but not by means of incorporation of documents by reference into the Registration Statement or the Prospectus relating to the Placement Shares; </w:t>
      </w:r>
    </w:p>
    <w:p>
      <w:pPr>
        <w:pStyle w:val="TextBody"/>
        <w:bidi w:val="0"/>
        <w:spacing w:before="240" w:after="0"/>
        <w:jc w:val="left"/>
        <w:rPr>
          <w:rFonts w:ascii="Times New Roman" w:hAnsi="Times New Roman"/>
          <w:sz w:val="20"/>
        </w:rPr>
      </w:pPr>
      <w:r>
        <w:rPr>
          <w:rFonts w:ascii="Times New Roman" w:hAnsi="Times New Roman"/>
          <w:sz w:val="20"/>
        </w:rPr>
        <w:t xml:space="preserve">(ii) files an annual report on Form 10-K under the Exchange Act (including any Form 10-K/A containing amended financial information or a material amendment to the previously filed Form 10-K); </w:t>
      </w:r>
    </w:p>
    <w:p>
      <w:pPr>
        <w:pStyle w:val="TextBody"/>
        <w:bidi w:val="0"/>
        <w:spacing w:before="240" w:after="0"/>
        <w:jc w:val="left"/>
        <w:rPr>
          <w:rFonts w:ascii="Times New Roman" w:hAnsi="Times New Roman"/>
          <w:sz w:val="20"/>
        </w:rPr>
      </w:pPr>
      <w:r>
        <w:rPr>
          <w:rFonts w:ascii="Times New Roman" w:hAnsi="Times New Roman"/>
          <w:sz w:val="20"/>
        </w:rPr>
        <w:t xml:space="preserve">(iii) files its quarterly reports on Form 10-Q under the Exchange Act; or </w:t>
      </w:r>
    </w:p>
    <w:p>
      <w:pPr>
        <w:pStyle w:val="TextBody"/>
        <w:bidi w:val="0"/>
        <w:spacing w:before="240" w:after="0"/>
        <w:jc w:val="left"/>
        <w:rPr>
          <w:rFonts w:ascii="Times New Roman" w:hAnsi="Times New Roman"/>
          <w:sz w:val="20"/>
        </w:rPr>
      </w:pPr>
      <w:r>
        <w:rPr>
          <w:rFonts w:ascii="Times New Roman" w:hAnsi="Times New Roman"/>
          <w:sz w:val="20"/>
        </w:rPr>
        <w:t>(iv) files a current report on Form 8-K containing amended financial information (other than information furnished pursuant to Items 2.02 or 7.01 of Form 8-K or to provide disclosure pursuant to Item 8.01 of Form 8-K relating to the reclassification of certain properties as discontinued operations in accordance with Statement of Financial Accounting Standards No. 144) under the Exchange Act (each date of filing of one or more of the documents referred to in clauses (i) through (iv) shall be a </w:t>
      </w:r>
      <w:r>
        <w:rPr>
          <w:rFonts w:ascii="Times New Roman" w:hAnsi="Times New Roman"/>
          <w:b/>
          <w:sz w:val="20"/>
          <w:u w:val="single"/>
        </w:rPr>
        <w:t>Representation Date</w:t>
      </w:r>
      <w:r>
        <w:rPr>
          <w:rFonts w:ascii="Times New Roman" w:hAnsi="Times New Roman"/>
          <w:sz w:val="20"/>
        </w:rPr>
        <w:t xml:space="preserve">); the Company shall furnish the Agent (but in the case of clause (iv) above only if the Agent reasonably determines that the information contained in such Form 8-K is material) with a certificate dated the Representation Date, in the form and substance satisfactory to the Agent and its counsel, substantially similar to the form previously provided to the Agent and its counsel, modified, as necessary, to relate to the Registration Statement and the Prospectus as amended or supplemented. The requirement to provide a certificate under this </w:t>
      </w:r>
      <w:r>
        <w:rPr>
          <w:rFonts w:ascii="Times New Roman" w:hAnsi="Times New Roman"/>
          <w:sz w:val="20"/>
          <w:u w:val="single"/>
        </w:rPr>
        <w:t>Section 7(l)</w:t>
      </w:r>
      <w:r>
        <w:rPr>
          <w:rFonts w:ascii="Times New Roman" w:hAnsi="Times New Roman"/>
          <w:sz w:val="20"/>
        </w:rPr>
        <w:t xml:space="preserve"> shall be waived for any Representation Date, including in connection with a 10-K Filing Event, occurring (i) at a time at which no Placement Notice is pending or (ii) at a time a Suspension is in effect, which waiver shall continue until the earlier to occur of the date the Company delivers instructions for the sale of Placement Shares hereunder (which for such calendar quarter shall be considered a Representation Date) and the next occurring Representation Date. Notwithstanding the foregoing, if the Company subsequently decides to sell Placement Shares following a Representation Date when no Placement Notice is pending or a Suspension was in effect and did not provide the Agent with a certificate under this </w:t>
      </w:r>
      <w:r>
        <w:rPr>
          <w:rFonts w:ascii="Times New Roman" w:hAnsi="Times New Roman"/>
          <w:sz w:val="20"/>
          <w:u w:val="single"/>
        </w:rPr>
        <w:t>Section 7(l)</w:t>
      </w:r>
      <w:r>
        <w:rPr>
          <w:rFonts w:ascii="Times New Roman" w:hAnsi="Times New Roman"/>
          <w:sz w:val="20"/>
        </w:rPr>
        <w:t xml:space="preserve">, then before the Company delivers the instructions for the sale of Placement Shares or the Agent sell any Placement Shares pursuant to such instructions, the Company shall provide the Agent with a certificate in conformity with this </w:t>
      </w:r>
      <w:r>
        <w:rPr>
          <w:rFonts w:ascii="Times New Roman" w:hAnsi="Times New Roman"/>
          <w:sz w:val="20"/>
          <w:u w:val="single"/>
        </w:rPr>
        <w:t>Section 7(l)</w:t>
      </w:r>
      <w:r>
        <w:rPr>
          <w:rFonts w:ascii="Times New Roman" w:hAnsi="Times New Roman"/>
          <w:sz w:val="20"/>
        </w:rPr>
        <w:t xml:space="preserve"> dated as of the date that the instructions for the sale of Placement Shares are issued.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Legal Opinion</w:t>
      </w:r>
      <w:r>
        <w:rPr>
          <w:rFonts w:ascii="Times New Roman" w:hAnsi="Times New Roman"/>
          <w:sz w:val="20"/>
        </w:rPr>
        <w:t xml:space="preserve">. (1) On or prior to the date of the first Placement Notice and (2) within five (5) Trading Days of each Representation Date with respect to which the Company is obligated to deliver a certificate pursuant to </w:t>
      </w:r>
      <w:r>
        <w:rPr>
          <w:rFonts w:ascii="Times New Roman" w:hAnsi="Times New Roman"/>
          <w:sz w:val="20"/>
          <w:u w:val="single"/>
        </w:rPr>
        <w:t>Section 7(l)</w:t>
      </w:r>
      <w:r>
        <w:rPr>
          <w:rFonts w:ascii="Times New Roman" w:hAnsi="Times New Roman"/>
          <w:sz w:val="20"/>
        </w:rPr>
        <w:t xml:space="preserve"> for which no waiver is applicable and excluding the date of this Agreement, the Company shall cause to be furnished to the Agent a written opinion and negative assurance letter from Cooley LLP (</w:t>
      </w:r>
      <w:r>
        <w:rPr>
          <w:rFonts w:ascii="Times New Roman" w:hAnsi="Times New Roman"/>
          <w:b/>
          <w:sz w:val="20"/>
          <w:u w:val="single"/>
        </w:rPr>
        <w:t>Company Counsel</w:t>
      </w:r>
      <w:r>
        <w:rPr>
          <w:rFonts w:ascii="Times New Roman" w:hAnsi="Times New Roman"/>
          <w:sz w:val="20"/>
        </w:rPr>
        <w:t xml:space="preserve">), or other counsel reasonably satisfactory to the Agent, in form and substance satisfactory to the Agent and its counsel, substantially similar to the forms previously provided to the Agent and its counsel, modified, as necessary, to relate to the Registration Statement and the Prospectus as then amended or supplemented;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the Company shall be required to furnish to the Agent no more than one opinion hereunder per calendar year within five (5) Trading Days of each Representation Date related to the Companys filing of its annual report on Form 10-K (each a </w:t>
      </w:r>
      <w:r>
        <w:rPr>
          <w:rFonts w:ascii="Times New Roman" w:hAnsi="Times New Roman"/>
          <w:b/>
          <w:sz w:val="20"/>
          <w:u w:val="single"/>
        </w:rPr>
        <w:t>10-K Filing Event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in lieu of such opinions for subsequent periodic filings under the Exchange Act, counsel may furnish the Agent with a letter (a </w:t>
      </w:r>
      <w:r>
        <w:rPr>
          <w:rFonts w:ascii="Times New Roman" w:hAnsi="Times New Roman"/>
          <w:b/>
          <w:sz w:val="20"/>
          <w:u w:val="single"/>
        </w:rPr>
        <w:t>Reliance Letter</w:t>
      </w:r>
      <w:r>
        <w:rPr>
          <w:rFonts w:ascii="Times New Roman" w:hAnsi="Times New Roman"/>
          <w:sz w:val="20"/>
        </w:rPr>
        <w:t xml:space="preserve">) to the effect that the Agent may rely on a prior opinion delivered under this </w:t>
      </w:r>
      <w:r>
        <w:rPr>
          <w:rFonts w:ascii="Times New Roman" w:hAnsi="Times New Roman"/>
          <w:sz w:val="20"/>
          <w:u w:val="single"/>
        </w:rPr>
        <w:t>Section 7(m)</w:t>
      </w:r>
      <w:r>
        <w:rPr>
          <w:rFonts w:ascii="Times New Roman" w:hAnsi="Times New Roman"/>
          <w:sz w:val="20"/>
        </w:rPr>
        <w:t xml:space="preserve"> to the same extent as if it were dated the date of such letter (except that statements in such prior opinion shall be deemed to relate to the Registration Statement and the Prospectus as amended or supplemented as of the date of the Reliance Letter). </w:t>
      </w:r>
    </w:p>
    <w:p>
      <w:pPr>
        <w:pStyle w:val="TextBody"/>
        <w:bidi w:val="0"/>
        <w:spacing w:before="24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Comfort Letters</w:t>
      </w:r>
      <w:r>
        <w:rPr>
          <w:rFonts w:ascii="Times New Roman" w:hAnsi="Times New Roman"/>
          <w:sz w:val="20"/>
        </w:rPr>
        <w:t xml:space="preserve">. (1) On or prior to the date of the first Placement Notice and (2) within five (5) Trading Days of each Representation Date with respect to which the Company is obligated to deliver a certificate pursuant to </w:t>
      </w:r>
      <w:r>
        <w:rPr>
          <w:rFonts w:ascii="Times New Roman" w:hAnsi="Times New Roman"/>
          <w:sz w:val="20"/>
          <w:u w:val="single"/>
        </w:rPr>
        <w:t>Section 7(l)</w:t>
      </w:r>
      <w:r>
        <w:rPr>
          <w:rFonts w:ascii="Times New Roman" w:hAnsi="Times New Roman"/>
          <w:sz w:val="20"/>
        </w:rPr>
        <w:t xml:space="preserve"> for which no waiver is applicable and excluding the date of this Agreement, the Company shall cause each of the Accountants to furnish the Agent letters (the </w:t>
      </w:r>
      <w:r>
        <w:rPr>
          <w:rFonts w:ascii="Times New Roman" w:hAnsi="Times New Roman"/>
          <w:b/>
          <w:sz w:val="20"/>
          <w:u w:val="single"/>
        </w:rPr>
        <w:t>Comfort Letters</w:t>
      </w:r>
      <w:r>
        <w:rPr>
          <w:rFonts w:ascii="Times New Roman" w:hAnsi="Times New Roman"/>
          <w:sz w:val="20"/>
        </w:rPr>
        <w:t xml:space="preserve">), dated the date the Comfort Letters are delivered, which shall meet the requirements set forth in this </w:t>
      </w:r>
      <w:r>
        <w:rPr>
          <w:rFonts w:ascii="Times New Roman" w:hAnsi="Times New Roman"/>
          <w:sz w:val="20"/>
          <w:u w:val="single"/>
        </w:rPr>
        <w:t>Section 7(n)</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that if requested by the Agent, the Company shall cause Comfort Letters to be furnished to the Agent within ten (10) Trading Days of the date of occurrence of any material transaction or event, including the restatement of the Companys financial statements. The Comfort Letters from the Companys Accountant shall be in a form and substance satisfactory to the Agent, (i) confirming that it is an independent registered public accounting firm within the meaning of the Securities Act and the PCAOB, (ii) stating, as of such date, the conclusions and findings of such firm with respect to the financial information and other matters ordinarily covered by accountants comfort letters to underwriters in connection with registered public offerings (the first such letter, the </w:t>
      </w:r>
      <w:r>
        <w:rPr>
          <w:rFonts w:ascii="Times New Roman" w:hAnsi="Times New Roman"/>
          <w:b/>
          <w:sz w:val="20"/>
          <w:u w:val="single"/>
        </w:rPr>
        <w:t>Initial Comfort Letters</w:t>
      </w:r>
      <w:r>
        <w:rPr>
          <w:rFonts w:ascii="Times New Roman" w:hAnsi="Times New Roman"/>
          <w:sz w:val="20"/>
        </w:rPr>
        <w:t xml:space="preserve">) and (iii) updating the Initial Comfort Letters with any information that would have been included in the Initial Comfort Letters had they been given on such date and modified as necessary to relate to the Registration Statement and the Prospectus, as amended and supplemented to the date of such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Market Activities</w:t>
      </w:r>
      <w:r>
        <w:rPr>
          <w:rFonts w:ascii="Times New Roman" w:hAnsi="Times New Roman"/>
          <w:sz w:val="20"/>
        </w:rPr>
        <w:t xml:space="preserve">. The Company will not, directly or indirectly, (i) take any action designed to cause or result in, or that constitutes or would reasonably be expected to constitute, the stabilization or manipulation of the price of any security of the Company to facilitate the sale or resale of Placement Shares or (ii) sell, bid for, or purchase Common Stock in violation of Regulation M, or pay anyone any compensation for soliciting purchases of the Placement Shares other than the Agent. </w:t>
      </w:r>
    </w:p>
    <w:p>
      <w:pPr>
        <w:pStyle w:val="TextBody"/>
        <w:bidi w:val="0"/>
        <w:spacing w:before="24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Investment Company Act</w:t>
      </w:r>
      <w:r>
        <w:rPr>
          <w:rFonts w:ascii="Times New Roman" w:hAnsi="Times New Roman"/>
          <w:sz w:val="20"/>
        </w:rPr>
        <w:t xml:space="preserve">. The Company will conduct its affairs in such a manner so as to reasonably ensure that neither it nor any of its Subsidiaries will be or become, at any time prior to the termination of this Agreement, required to register as an investment company, as such term is defined in the Investment Company Act. </w:t>
      </w:r>
    </w:p>
    <w:p>
      <w:pPr>
        <w:pStyle w:val="TextBody"/>
        <w:bidi w:val="0"/>
        <w:spacing w:before="240" w:after="0"/>
        <w:jc w:val="left"/>
        <w:rPr>
          <w:rFonts w:ascii="Times New Roman" w:hAnsi="Times New Roman"/>
          <w:sz w:val="20"/>
        </w:rPr>
      </w:pPr>
      <w:r>
        <w:rPr>
          <w:rFonts w:ascii="Times New Roman" w:hAnsi="Times New Roman"/>
          <w:sz w:val="20"/>
        </w:rPr>
        <w:t xml:space="preserve">(q) </w:t>
      </w:r>
      <w:r>
        <w:rPr>
          <w:rFonts w:ascii="Times New Roman" w:hAnsi="Times New Roman"/>
          <w:sz w:val="20"/>
          <w:u w:val="single"/>
        </w:rPr>
        <w:t>No Offer to Sell</w:t>
      </w:r>
      <w:r>
        <w:rPr>
          <w:rFonts w:ascii="Times New Roman" w:hAnsi="Times New Roman"/>
          <w:sz w:val="20"/>
        </w:rPr>
        <w:t xml:space="preserve">. Other than an Issuer Free Writing Prospectus approved in advance by the Company and the Agent in its capacity as agent hereunder, neither the Agent nor the Company (including its agents and representatives, other than the Agent in its capacity as such) will make, use, prepare, authorize, approve or refer to any written communication (as defined in Rule 405 under the Securities Act), required to be filed with the Commission, that constitutes an offer to sell or solicitation of an offer to buy Placement Shares hereunder. </w:t>
      </w:r>
    </w:p>
    <w:p>
      <w:pPr>
        <w:pStyle w:val="TextBody"/>
        <w:bidi w:val="0"/>
        <w:spacing w:before="240" w:after="0"/>
        <w:jc w:val="left"/>
        <w:rPr>
          <w:rFonts w:ascii="Times New Roman" w:hAnsi="Times New Roman"/>
          <w:sz w:val="20"/>
        </w:rPr>
      </w:pPr>
      <w:r>
        <w:rPr>
          <w:rFonts w:ascii="Times New Roman" w:hAnsi="Times New Roman"/>
          <w:sz w:val="20"/>
        </w:rPr>
        <w:t xml:space="preserve">(r) </w:t>
      </w:r>
      <w:r>
        <w:rPr>
          <w:rFonts w:ascii="Times New Roman" w:hAnsi="Times New Roman"/>
          <w:sz w:val="20"/>
          <w:u w:val="single"/>
        </w:rPr>
        <w:t>Blue Sky and Other Qualifications</w:t>
      </w:r>
      <w:r>
        <w:rPr>
          <w:rFonts w:ascii="Times New Roman" w:hAnsi="Times New Roman"/>
          <w:sz w:val="20"/>
        </w:rPr>
        <w:t xml:space="preserve">. The Company will use its commercially reasonable efforts, in cooperation with the Agent, to qualify the Placement Shares for offering and sale, or to obtain an exemption for the Placement Shares to be offered and sold, under the applicable securities laws of such states and other jurisdictions (domestic or foreign) as the Agent may designate and to maintain such qualifications and exemptions in effect for so long as required for the distribution of the Placement Shares (but in no event for less than one year from the date of this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 In each jurisdiction in which the Placement Shares have been so qualified or exempt, the Company will file such statements and reports as may be required by the laws of such jurisdiction to continue such qualification or exemption, as the case may be, in effect for so long as required for the distribution of the Placement Shares (but in no event for less than one year from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 </w:t>
      </w:r>
      <w:r>
        <w:rPr>
          <w:rFonts w:ascii="Times New Roman" w:hAnsi="Times New Roman"/>
          <w:sz w:val="20"/>
          <w:u w:val="single"/>
        </w:rPr>
        <w:t>Sarbanes-Oxley Act</w:t>
      </w:r>
      <w:r>
        <w:rPr>
          <w:rFonts w:ascii="Times New Roman" w:hAnsi="Times New Roman"/>
          <w:sz w:val="20"/>
        </w:rPr>
        <w:t xml:space="preserve">. The Company and the Subsidiaries will maintain and keep accurate books and records reflecting their assets and maintain internal accounting controls in a manner designed to provide reasonable assurance regarding the reliability of financial reporting and the preparation of financial statements for external purposes in accordance with generally accepted accounting principles and including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the preparation of the Companys consolidated financial statements in accordance with generally accepted accounting principles, (iii) that receipts and expenditures of the Company are being made only in accordance with managements and the Companys directors authorization, and (iv) provide reasonable assurance regarding prevention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timely detection of unauthorized acquisition, use or disposition of the Companys assets that could have a material effect on its financial statements. The Company and the Subsidiaries will maintain such controls and other procedures, including, without limitation, those required by Sections 302 and 906 of the Sarbanes-Oxley Act, and the applicable regulations thereunder that are designed to ensure that information required to be disclosed by the Company in the reports that it files or submits under the Exchange Act is recorded, processed, summarized and reported, within the time periods specified in the Commissions rules and forms, including, without limitation, controls and procedures designed to ensure that information required to be disclosed by the Company in the reports that it files or submits under the Exchange Act is accumulated and communicated to the Companys management, including its principal executive officer and principal financial officer, or persons performing similar functions, as appropriate to allow timely decisions regarding required disclosure and to ensure that material information relating to the Company or the Subsidiaries is made known to them by others within those entities, particularly during the period in which such periodic reports are being prepared. </w:t>
      </w:r>
    </w:p>
    <w:p>
      <w:pPr>
        <w:pStyle w:val="TextBody"/>
        <w:bidi w:val="0"/>
        <w:spacing w:before="240" w:after="0"/>
        <w:jc w:val="left"/>
        <w:rPr>
          <w:rFonts w:ascii="Times New Roman" w:hAnsi="Times New Roman"/>
          <w:sz w:val="20"/>
        </w:rPr>
      </w:pPr>
      <w:r>
        <w:rPr>
          <w:rFonts w:ascii="Times New Roman" w:hAnsi="Times New Roman"/>
          <w:sz w:val="20"/>
        </w:rPr>
        <w:t xml:space="preserve">(t) </w:t>
      </w:r>
      <w:r>
        <w:rPr>
          <w:rFonts w:ascii="Times New Roman" w:hAnsi="Times New Roman"/>
          <w:sz w:val="20"/>
          <w:u w:val="single"/>
        </w:rPr>
        <w:t>Secretarys Certificate; Further Documentation</w:t>
      </w:r>
      <w:r>
        <w:rPr>
          <w:rFonts w:ascii="Times New Roman" w:hAnsi="Times New Roman"/>
          <w:sz w:val="20"/>
        </w:rPr>
        <w:t xml:space="preserve">. Prior to the date of the first Placement Notice, the Company shall deliver to the Agent a certificate of the Secretary of the Company and attested to by an executive officer of the Company, dated as of such date, certifying as to (i) the Amended and Restated Articles of Incorporation, as amended, of the Company, (ii) the Amended and Restated By-laws of the Company, (iii) the resolutions of the Board of Directors of the Company authorizing the execution, delivery and performance of this Agreement and the issuance of the Placement Shares and (iv) the incumbency of the officers duly authorized to execute this Agreement and the other documents contemplated by this Agreement. Within five (5) Trading Days of each Representation Date, the Company shall have furnished to the Agent such further information, certificates and documents as the Agent may reasonably request.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Payment of Expenses</w:t>
      </w:r>
      <w:r>
        <w:rPr>
          <w:rFonts w:ascii="Times New Roman" w:hAnsi="Times New Roman"/>
          <w:sz w:val="20"/>
        </w:rPr>
        <w:t xml:space="preserve">. The Company will pay all expenses incident to the performance of its obligations under this Agreement, including (i) the preparation and filing of the Registration Statement, including any fees required by the Commission, and the printing or electronic delivery of the Prospectus as originally filed and of each amendment and supplement thereto, in such number as the Agent shall deem necessary, (ii) the printing and delivery to the Agent of this Agreement and such other documents as may be required in connection with the offering, purchase, sale, issuance or delivery of the Placement Shares, (iii) the preparation, issuance and delivery of the certificates, if any, for the Placement Shares to the Agent, including any stock or other transfer taxes and any capital duties, stamp duties or other duties or taxes payable upon the sale, issuance or delivery of the Placement Shares to the Agent, (iv) the fees and disbursements of the counsel, accountants and other advisors to the Company, (v) the fees and expenses of the Agent including but not limited to the fees and expenses of the counsel to the Agent, payable within 30 days of the execution of this Agreement, in an amount not to exceed $50,000 as of the date of this Agreement, plus an additional amount not to exceed $15,000 per fiscal quarter on an ongoing basis during the term of this Agreement, (vi) the qualification or exemption of the Placement Shares under state securities laws in accordance with the provisions of </w:t>
      </w:r>
      <w:r>
        <w:rPr>
          <w:rFonts w:ascii="Times New Roman" w:hAnsi="Times New Roman"/>
          <w:sz w:val="20"/>
          <w:u w:val="single"/>
        </w:rPr>
        <w:t>Section 7(r)</w:t>
      </w:r>
      <w:r>
        <w:rPr>
          <w:rFonts w:ascii="Times New Roman" w:hAnsi="Times New Roman"/>
          <w:sz w:val="20"/>
        </w:rPr>
        <w:t xml:space="preserve"> hereof, including filing fees, but excluding fees of the Agents counsel, (vii) the printing and delivery to the Agent of copies of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Permitted Issuer Free Writing Prospectus and the Prospectus and any amendments or supplements thereto in such number as the Agent shall deem necessary, (viii) the preparation, printing and delivery to the Agent of copies of the blue sky survey, (ix) the fees and expenses of the transfer agent and registrar for the Common Stock, (x) the filing and other fees incident to any review by FINRA of the terms of the sale of the Placement Shares including the fees of the Agents counsel (subject to the cap, set forth in clause (v) above), and (xi) the fees and expenses incurred in connection with the listing of the Placement Shares on the Exchange.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Conditions to Agents Obligations</w:t>
      </w:r>
      <w:r>
        <w:rPr>
          <w:rFonts w:ascii="Times New Roman" w:hAnsi="Times New Roman"/>
          <w:sz w:val="20"/>
        </w:rPr>
        <w:t xml:space="preserve">. The obligations of the Agent hereunder with respect to a Placement will be subject to the continuing accuracy and completeness of the representations and warranties made by the Company herein, to the due performance by the Company of its obligations hereunder, to the completion by the Agent of a due diligence review satisfactory to the Agent in its reasonable judgment, and to the continuing satisfaction (or waiver by the Agent in its sole discretion) of the following additional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Registration Statement Effective</w:t>
      </w:r>
      <w:r>
        <w:rPr>
          <w:rFonts w:ascii="Times New Roman" w:hAnsi="Times New Roman"/>
          <w:sz w:val="20"/>
        </w:rPr>
        <w:t xml:space="preserve">. The Registration Statement shall be effective and shall be available for the (i) resale of all Placement Shares issued to the Agent and not yet sold by the Agent and (ii) sale of all Placement Shares contemplated to be issued by any Placement Notice.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Material Notices</w:t>
      </w:r>
      <w:r>
        <w:rPr>
          <w:rFonts w:ascii="Times New Roman" w:hAnsi="Times New Roman"/>
          <w:sz w:val="20"/>
        </w:rPr>
        <w:t xml:space="preserve">. None of the following events shall have occurred and be continuing: (i) receipt by the Company or any of its subsidiaries of any request for additional information from the Commission or any other federal or state Governmental Authority during the period of effectiveness of the Registration Statement, the response to which would require any post-effective amendments or supplements to the Registration Statement or the Prospectus; (ii) the issuance by the Commission or any other federal or state Governmental Authority of any stop order suspending the effectiveness of the Registration Statement or the initiation of any proceedings for that purpose; (iii) receipt by the Company of any notification with respect to the suspension of the qualification or exemption from qualification of any of the Placement Shares for sale in any jurisdiction or the initiation or threatening of any proceeding for such purpose; or (iv) the occurrence of any event that makes any statement of a material fact made in the Registration Statement or the Prospectus or any document incorporated or deemed to be incorporated therein by reference untrue or that requires the making of any changes in the Registration Statement, the Prospectus or Incorporated Documents so that, in the case of the Registration Statement, it will not contain an untrue statement of a material fact or omit to state a material fact required to be stated therein or necessary to make the statements therein not misleading and, that in the case of the Prospectus, it will not contain an untrue statement of a material fact or omit to state any material fact required to be stated therein or necessary to make the statements therein, in the light of the circumstances under which they were made, not misleading.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No Misstatement or Material Omission</w:t>
      </w:r>
      <w:r>
        <w:rPr>
          <w:rFonts w:ascii="Times New Roman" w:hAnsi="Times New Roman"/>
          <w:sz w:val="20"/>
        </w:rPr>
        <w:t xml:space="preserve">. The Agent shall not have advised the Company that the Registration Statement or Prospectus, or any amendment or supplement thereto, contains an untrue statement of fact that in the Agents reasonable opinion, in consultation with outside counsel, is material, or omits to state a fact that in the Agents reasonable opinion is material and is required to be stated therein or is necessary to make the statements therein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Material Changes</w:t>
      </w:r>
      <w:r>
        <w:rPr>
          <w:rFonts w:ascii="Times New Roman" w:hAnsi="Times New Roman"/>
          <w:sz w:val="20"/>
        </w:rPr>
        <w:t xml:space="preserve">. Except as contemplated in the Prospectus, or disclosed in the Companys reports filed with the Commission, there shall not have been any material adverse change in the authorized capital stock of the Company or any Material Adverse Effect or any development that would cause a Material Adverse Effect, or a downgrading in or withdrawal of the rating assigned to any of the Companys securities (other than asset backed securities) by any rating organization or a public announcement by any rating organization that it has under surveillance or review its rating of any of the Companys securities (other than asset backed securities), the effect of which, in the case of any such action by a rating organization described above, in the reasonable judgment of the Agent (without relieving the Company of any obligation or liability it may otherwise have), is so material as to make it impracticable or inadvisable to proceed with the offering of the Placement Shares on the terms and in the manner contemplated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Legal Opinions.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Agent shall have received the opinions of each Company Counsel required to be delivered pursuant to </w:t>
      </w:r>
      <w:r>
        <w:rPr>
          <w:rFonts w:ascii="Times New Roman" w:hAnsi="Times New Roman"/>
          <w:sz w:val="20"/>
          <w:u w:val="single"/>
        </w:rPr>
        <w:t>Section 7(m)</w:t>
      </w:r>
      <w:r>
        <w:rPr>
          <w:rFonts w:ascii="Times New Roman" w:hAnsi="Times New Roman"/>
          <w:sz w:val="20"/>
        </w:rPr>
        <w:t xml:space="preserve"> on or before the date on which such delivery of such opinions is required pursuant to </w:t>
      </w:r>
      <w:r>
        <w:rPr>
          <w:rFonts w:ascii="Times New Roman" w:hAnsi="Times New Roman"/>
          <w:sz w:val="20"/>
          <w:u w:val="single"/>
        </w:rPr>
        <w:t>Section 7(m)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On each date on which delivery of opinions by the Company is required pursuant to </w:t>
      </w:r>
      <w:r>
        <w:rPr>
          <w:rFonts w:ascii="Times New Roman" w:hAnsi="Times New Roman"/>
          <w:sz w:val="20"/>
          <w:u w:val="single"/>
        </w:rPr>
        <w:t>Section 7(m)</w:t>
      </w:r>
      <w:r>
        <w:rPr>
          <w:rFonts w:ascii="Times New Roman" w:hAnsi="Times New Roman"/>
          <w:sz w:val="20"/>
        </w:rPr>
        <w:t xml:space="preserve">, the Agent shall have delivered to the Company the opinion and negative assurance letter of Davis Polk &amp; Wardwell LLP, counsel for the Agent, in form and substance satisfactory to the Company, dated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Comfort Letter</w:t>
      </w:r>
      <w:r>
        <w:rPr>
          <w:rFonts w:ascii="Times New Roman" w:hAnsi="Times New Roman"/>
          <w:sz w:val="20"/>
        </w:rPr>
        <w:t xml:space="preserve">. The Agent shall have received the comfort letter required to be delivered pursuant to </w:t>
      </w:r>
      <w:r>
        <w:rPr>
          <w:rFonts w:ascii="Times New Roman" w:hAnsi="Times New Roman"/>
          <w:sz w:val="20"/>
          <w:u w:val="single"/>
        </w:rPr>
        <w:t>Section 7(n)</w:t>
      </w:r>
      <w:r>
        <w:rPr>
          <w:rFonts w:ascii="Times New Roman" w:hAnsi="Times New Roman"/>
          <w:sz w:val="20"/>
        </w:rPr>
        <w:t xml:space="preserve"> on or before the date on which such delivery of such comfort letters are required pursuant to </w:t>
      </w:r>
      <w:r>
        <w:rPr>
          <w:rFonts w:ascii="Times New Roman" w:hAnsi="Times New Roman"/>
          <w:sz w:val="20"/>
          <w:u w:val="single"/>
        </w:rPr>
        <w:t>Section 7(n)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Representation Certificate</w:t>
      </w:r>
      <w:r>
        <w:rPr>
          <w:rFonts w:ascii="Times New Roman" w:hAnsi="Times New Roman"/>
          <w:sz w:val="20"/>
        </w:rPr>
        <w:t xml:space="preserve">. The Agent shall have received the certificate required to be delivered pursuant to </w:t>
      </w:r>
      <w:r>
        <w:rPr>
          <w:rFonts w:ascii="Times New Roman" w:hAnsi="Times New Roman"/>
          <w:sz w:val="20"/>
          <w:u w:val="single"/>
        </w:rPr>
        <w:t>Section 7(l)</w:t>
      </w:r>
      <w:r>
        <w:rPr>
          <w:rFonts w:ascii="Times New Roman" w:hAnsi="Times New Roman"/>
          <w:sz w:val="20"/>
        </w:rPr>
        <w:t xml:space="preserve"> on or before the date on which delivery of such certificate is required pursuant to </w:t>
      </w:r>
      <w:r>
        <w:rPr>
          <w:rFonts w:ascii="Times New Roman" w:hAnsi="Times New Roman"/>
          <w:sz w:val="20"/>
          <w:u w:val="single"/>
        </w:rPr>
        <w:t>Section 7(l)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Suspension</w:t>
      </w:r>
      <w:r>
        <w:rPr>
          <w:rFonts w:ascii="Times New Roman" w:hAnsi="Times New Roman"/>
          <w:sz w:val="20"/>
        </w:rPr>
        <w:t xml:space="preserve">. Trading in the Common Stock shall not have been suspended on the Exchange and the Common Stock shall not have been delisted from the Exchange.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Other Materials</w:t>
      </w:r>
      <w:r>
        <w:rPr>
          <w:rFonts w:ascii="Times New Roman" w:hAnsi="Times New Roman"/>
          <w:sz w:val="20"/>
        </w:rPr>
        <w:t xml:space="preserve">. On each date on which the Company is required to deliver a certificate pursuant to </w:t>
      </w:r>
      <w:r>
        <w:rPr>
          <w:rFonts w:ascii="Times New Roman" w:hAnsi="Times New Roman"/>
          <w:sz w:val="20"/>
          <w:u w:val="single"/>
        </w:rPr>
        <w:t>Section 7(l)</w:t>
      </w:r>
      <w:r>
        <w:rPr>
          <w:rFonts w:ascii="Times New Roman" w:hAnsi="Times New Roman"/>
          <w:sz w:val="20"/>
        </w:rPr>
        <w:t xml:space="preserve">, the Company shall have furnished to the Agent such appropriate further information, opinions, certificates, letters and other documents as the Agent may reasonably request. All such opinions, certificates, letters and other documents will be in compliance with the provisions hereof.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Securities Act Filings Made</w:t>
      </w:r>
      <w:r>
        <w:rPr>
          <w:rFonts w:ascii="Times New Roman" w:hAnsi="Times New Roman"/>
          <w:sz w:val="20"/>
        </w:rPr>
        <w:t xml:space="preserve">. All filings with the Commission required by Rule 424 under the Securities Act to have been filed prior to the issuance of any Placement Notice hereunder shall have been made within the applicable time period prescribed for such filing by Rule 424.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Approval for Listing</w:t>
      </w:r>
      <w:r>
        <w:rPr>
          <w:rFonts w:ascii="Times New Roman" w:hAnsi="Times New Roman"/>
          <w:sz w:val="20"/>
        </w:rPr>
        <w:t xml:space="preserve">. The Placement Shares shall either have been (i) approved for listing on the Exchange, subject only to notice of issuance, or (ii) the Company shall have filed an application for listing of the Placement Shares on the Exchange at, or prior to, the issuance of any Placement Notice and the Exchange shall have reviewed such application and not provided any objections thereto.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FINRA</w:t>
      </w:r>
      <w:r>
        <w:rPr>
          <w:rFonts w:ascii="Times New Roman" w:hAnsi="Times New Roman"/>
          <w:sz w:val="20"/>
        </w:rPr>
        <w:t xml:space="preserve">. If applicable, FINRA shall have raised no objection to the terms of this offering and the amount of compensation allowable or payable to the Agent as described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No Termination Event</w:t>
      </w:r>
      <w:r>
        <w:rPr>
          <w:rFonts w:ascii="Times New Roman" w:hAnsi="Times New Roman"/>
          <w:sz w:val="20"/>
        </w:rPr>
        <w:t xml:space="preserve">. There shall not have occurred any event that would permit the Agent to terminate this Agreement pursuant to </w:t>
      </w:r>
      <w:r>
        <w:rPr>
          <w:rFonts w:ascii="Times New Roman" w:hAnsi="Times New Roman"/>
          <w:sz w:val="20"/>
          <w:u w:val="single"/>
        </w:rPr>
        <w:t>Section 12(a)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Indemnification and Contribution.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Company Indemnification</w:t>
      </w:r>
      <w:r>
        <w:rPr>
          <w:rFonts w:ascii="Times New Roman" w:hAnsi="Times New Roman"/>
          <w:sz w:val="20"/>
        </w:rPr>
        <w:t xml:space="preserve">. The Company agrees to indemnify and hold harmless each Agent, each of their affiliates and their respective partners, members, directors, officers, employees and agents and each person, if any, who controls any Agent or any affiliate within the meaning of Section 15 of the Securities Act or Section 20 of the Exchange Act as follows: </w:t>
      </w:r>
    </w:p>
    <w:p>
      <w:pPr>
        <w:pStyle w:val="TextBody"/>
        <w:bidi w:val="0"/>
        <w:spacing w:before="120" w:after="0"/>
        <w:jc w:val="left"/>
        <w:rPr>
          <w:rFonts w:ascii="Times New Roman" w:hAnsi="Times New Roman"/>
          <w:sz w:val="20"/>
        </w:rPr>
      </w:pPr>
      <w:r>
        <w:rPr>
          <w:rFonts w:ascii="Times New Roman" w:hAnsi="Times New Roman"/>
          <w:sz w:val="20"/>
        </w:rPr>
        <w:t xml:space="preserve">(i) against any and all loss, liability, claim, damage and expense whatsoever, as incurred, joint or several, arising out of or based upon any untrue statement or alleged untrue statement of a material fact contained in the Registration Statement (or any amendment thereto), or the omission or alleged omission therefrom of a material fact required to be stated therein or necessary to make the statements therein not misleading, or arising out of any untrue statement or alleged untrue statement of a material fact included in any related Issuer Free Writing Prospectus or the Prospectus (or any amendment or supplement thereto), or the omission or alleged omission therefrom of a material fact necessary in order to make the statements therein, in the light of the circumstances under which they were made, not misleading; </w:t>
      </w:r>
    </w:p>
    <w:p>
      <w:pPr>
        <w:pStyle w:val="TextBody"/>
        <w:bidi w:val="0"/>
        <w:spacing w:before="240" w:after="0"/>
        <w:jc w:val="left"/>
        <w:rPr>
          <w:rFonts w:ascii="Times New Roman" w:hAnsi="Times New Roman"/>
          <w:sz w:val="20"/>
        </w:rPr>
      </w:pPr>
      <w:r>
        <w:rPr>
          <w:rFonts w:ascii="Times New Roman" w:hAnsi="Times New Roman"/>
          <w:sz w:val="20"/>
        </w:rPr>
        <w:t xml:space="preserve">(ii) against any and all loss, liability, claim, damage and expense whatsoever, as incurred, joint or several, to the extent of the aggregate amount paid in settlement of any litigation, or any investigation or proceeding by any Governmental Authority, commenced or threatened, or of any claim whatsoever based upon any such untrue statement or omission, or any such alleged untrue statement or omission; </w:t>
      </w:r>
      <w:r>
        <w:rPr>
          <w:rFonts w:ascii="Times New Roman" w:hAnsi="Times New Roman"/>
          <w:i/>
          <w:sz w:val="20"/>
        </w:rPr>
        <w:t>provided</w:t>
      </w:r>
      <w:r>
        <w:rPr>
          <w:rFonts w:ascii="Times New Roman" w:hAnsi="Times New Roman"/>
          <w:sz w:val="20"/>
        </w:rPr>
        <w:t xml:space="preserve"> that (subject to </w:t>
      </w:r>
      <w:r>
        <w:rPr>
          <w:rFonts w:ascii="Times New Roman" w:hAnsi="Times New Roman"/>
          <w:sz w:val="20"/>
          <w:u w:val="single"/>
        </w:rPr>
        <w:t>Section 10(d)</w:t>
      </w:r>
      <w:r>
        <w:rPr>
          <w:rFonts w:ascii="Times New Roman" w:hAnsi="Times New Roman"/>
          <w:sz w:val="20"/>
        </w:rPr>
        <w:t xml:space="preserve"> below) any such settlement is effected with the written consent of the Company, which consent shall not unreasonably be delayed or withheld; and </w:t>
      </w:r>
    </w:p>
    <w:p>
      <w:pPr>
        <w:pStyle w:val="TextBody"/>
        <w:bidi w:val="0"/>
        <w:spacing w:before="240" w:after="0"/>
        <w:jc w:val="left"/>
        <w:rPr>
          <w:rFonts w:ascii="Times New Roman" w:hAnsi="Times New Roman"/>
          <w:sz w:val="20"/>
        </w:rPr>
      </w:pPr>
      <w:r>
        <w:rPr>
          <w:rFonts w:ascii="Times New Roman" w:hAnsi="Times New Roman"/>
          <w:sz w:val="20"/>
        </w:rPr>
        <w:t xml:space="preserve">(iii) against any and all expense whatsoever, as incurred (including the reasonable and documented fees and disbursements of counsel), reasonably incurred in investigating, preparing or defending against any litigation, or any investigation or proceeding by any Governmental Authority, commenced or threatened, or any claim whatsoever based upon any such untrue statement or omission, or any such alleged untrue statement or omission (whether or not a party), to the extent that any such expense is not paid under (i) or (ii)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this indemnity agreement shall not apply to any loss, liability, claim, damage or expense to the extent arising out of any untrue statement or omission or alleged untrue statement or omission made solely in reliance upon and in conformity with the Agent Information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Agent Indemnification</w:t>
      </w:r>
      <w:r>
        <w:rPr>
          <w:rFonts w:ascii="Times New Roman" w:hAnsi="Times New Roman"/>
          <w:sz w:val="20"/>
        </w:rPr>
        <w:t xml:space="preserve">. The Agent agrees to indemnify and hold harmless the Company and its directors and each officer of the Company who signed the Registration Statement, and each person, if any, who controls the Company within the meaning of Section 15 of the Securities Act or Section 20 of the Exchange Act against any and all loss, liability, claim, damage and expense described in the indemnity contained in </w:t>
      </w:r>
      <w:r>
        <w:rPr>
          <w:rFonts w:ascii="Times New Roman" w:hAnsi="Times New Roman"/>
          <w:sz w:val="20"/>
          <w:u w:val="single"/>
        </w:rPr>
        <w:t>Section 10(a)</w:t>
      </w:r>
      <w:r>
        <w:rPr>
          <w:rFonts w:ascii="Times New Roman" w:hAnsi="Times New Roman"/>
          <w:sz w:val="20"/>
        </w:rPr>
        <w:t>, as incurred, but only with respect to untrue statements or omissions, or alleged untrue statements or omissions, made in the Registration Statement (or any amendments thereto), the Prospectus (or any amendment or supplement thereto) or any Issuer Free Writing Prospectus (or any amendment or supplement thereto) in reliance upon and in conformity with information relating to the Agent and furnished to the Company in writing by the Agent expressly for use therein. The Company hereby acknowledges that the only information that the Agent have furnished to the Company expressly for use in the Registration Statement, the Prospectus or any Issuer Free Writing Prospectus (or any amendment or supplement thereto) are the statements set forth in the ninth and tenth paragraphs under the caption Plan of Distribution in the Prospectus (the </w:t>
      </w:r>
      <w:r>
        <w:rPr>
          <w:rFonts w:ascii="Times New Roman" w:hAnsi="Times New Roman"/>
          <w:b/>
          <w:sz w:val="20"/>
          <w:u w:val="single"/>
        </w:rPr>
        <w:t>Agent Information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Procedure</w:t>
      </w:r>
      <w:r>
        <w:rPr>
          <w:rFonts w:ascii="Times New Roman" w:hAnsi="Times New Roman"/>
          <w:sz w:val="20"/>
        </w:rPr>
        <w:t xml:space="preserve">. Any party that proposes to assert the right to be indemnified under this </w:t>
      </w:r>
      <w:r>
        <w:rPr>
          <w:rFonts w:ascii="Times New Roman" w:hAnsi="Times New Roman"/>
          <w:sz w:val="20"/>
          <w:u w:val="single"/>
        </w:rPr>
        <w:t>Section 10</w:t>
      </w:r>
      <w:r>
        <w:rPr>
          <w:rFonts w:ascii="Times New Roman" w:hAnsi="Times New Roman"/>
          <w:sz w:val="20"/>
        </w:rPr>
        <w:t xml:space="preserve"> will, promptly after receipt of notice of commencement of any action against such party in respect of which a claim is to be made against an indemnifying party or parties under this </w:t>
      </w:r>
      <w:r>
        <w:rPr>
          <w:rFonts w:ascii="Times New Roman" w:hAnsi="Times New Roman"/>
          <w:sz w:val="20"/>
          <w:u w:val="single"/>
        </w:rPr>
        <w:t>Section 10</w:t>
      </w:r>
      <w:r>
        <w:rPr>
          <w:rFonts w:ascii="Times New Roman" w:hAnsi="Times New Roman"/>
          <w:sz w:val="20"/>
        </w:rPr>
        <w:t xml:space="preserve"> notify each such indemnifying party of the commencement of such action, enclosing a copy of all papers served, but the failure so to notify such indemnifying party will not relieve the indemnifying party from (i) any liability that it might have to any indemnified party otherwise than under this </w:t>
      </w:r>
      <w:r>
        <w:rPr>
          <w:rFonts w:ascii="Times New Roman" w:hAnsi="Times New Roman"/>
          <w:sz w:val="20"/>
          <w:u w:val="single"/>
        </w:rPr>
        <w:t>Section 10</w:t>
      </w:r>
      <w:r>
        <w:rPr>
          <w:rFonts w:ascii="Times New Roman" w:hAnsi="Times New Roman"/>
          <w:sz w:val="20"/>
        </w:rPr>
        <w:t xml:space="preserve"> and (ii) any liability that it may have to any indemnified party under the foregoing provision of this </w:t>
      </w:r>
      <w:r>
        <w:rPr>
          <w:rFonts w:ascii="Times New Roman" w:hAnsi="Times New Roman"/>
          <w:sz w:val="20"/>
          <w:u w:val="single"/>
        </w:rPr>
        <w:t>Section 10</w:t>
      </w:r>
      <w:r>
        <w:rPr>
          <w:rFonts w:ascii="Times New Roman" w:hAnsi="Times New Roman"/>
          <w:sz w:val="20"/>
        </w:rPr>
        <w:t xml:space="preserve"> unless, and only to the extent that such failure results in the forfeiture of substantive rights or defenses by the indemnifying party. If any such action is brought against any indemnified party and it notifies the indemnifying party of its commencement, the indemnifying party will be entitled to participate in and, to the extent that it elects by delivering written notice to the indemnified party promptly after receiving notice of the commencement of the action from the indemnified party, jointly with any other indemnifying party similarly notified, to assume the defense of the action, with counsel reasonably satisfactory to the indemnified party, and after notice from the indemnifying party to the indemnified party of its election to assume the defense, the indemnifying party will not be liable to the indemnified party for any other legal expenses except as provided below and except for the reasonable and documented costs of investigation subsequently incurred by the indemnified party in connection with the defense. The indemnified party will have the right to employ its own counsel in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action, but the fees, expenses and other charges of such counsel will be at the expense of such indemnified party unless (1) the employment of counsel by the indemnified party has been authorized in writing by the indemnifying party, (2) the indemnified party has reasonably concluded (based on advice of counsel) that there may be legal defenses available to it or other indemnified parties that are different from or in addition to those available to the indemnifying party, (3) a conflict or potential conflict exists (based on advice of counsel to the indemnified party) between the indemnified party and the indemnifying party (in which case the indemnifying party will not have the right to direct the defense of such action on behalf of the indemnified party) or (4) the indemnifying party has not in fact employed counsel to assume the defense of such action or counsel reasonably satisfactory to the indemnified party, in each case, within a reasonable time after receiving notice of the commencement of the action; in each of which cases the reasonable and documented fees, disbursements and other charges of counsel will be at the expense of the indemnifying party or parties. It is understood that the indemnifying party or parties shall not, in connection with any proceeding or related proceedings in the same jurisdiction, be liable for the reasonable and documented fees, disbursements and other charges of more than one separate firm (plus local counsel) admitted to practice in such jurisdiction at any one time for all such indemnified party or parties. All such fees, disbursements and other charges will be reimbursed by the indemnifying party after notice received by the indemnified person. An indemnifying party will not, in any event, be liable for any settlement of any action or claim effected without its written consent. No indemnifying party shall, without the prior written consent of each indemnified party, settle or compromise or consent to the entry of any judgment in any pending or threatened claim, action or proceeding relating to the matters contemplated by this </w:t>
      </w:r>
      <w:r>
        <w:rPr>
          <w:rFonts w:ascii="Times New Roman" w:hAnsi="Times New Roman"/>
          <w:sz w:val="20"/>
          <w:u w:val="single"/>
        </w:rPr>
        <w:t>Section 10</w:t>
      </w:r>
      <w:r>
        <w:rPr>
          <w:rFonts w:ascii="Times New Roman" w:hAnsi="Times New Roman"/>
          <w:sz w:val="20"/>
        </w:rPr>
        <w:t xml:space="preserve"> (whether or not any indemnified party is a party thereto), unless such settlement, compromise or consent (1) includes an express and unconditional release of each indemnified party, in form and substance reasonably satisfactory to such indemnified party, from all liability arising out of such litigation, investigation, proceeding or claim and (2) does not include a statement as to or an admission of fault, culpability or a failure to act by or on behalf of any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Settlement Without Consent if Failure to Reimburse</w:t>
      </w:r>
      <w:r>
        <w:rPr>
          <w:rFonts w:ascii="Times New Roman" w:hAnsi="Times New Roman"/>
          <w:sz w:val="20"/>
        </w:rPr>
        <w:t xml:space="preserve">. If an indemnified party shall have requested an indemnifying party to reimburse the indemnified party for reasonable and documented fees and expenses of counsel, such indemnifying party agrees that it shall be liable for any settlement of the nature contemplated by </w:t>
      </w:r>
      <w:r>
        <w:rPr>
          <w:rFonts w:ascii="Times New Roman" w:hAnsi="Times New Roman"/>
          <w:sz w:val="20"/>
          <w:u w:val="single"/>
        </w:rPr>
        <w:t>Section 10(a)(ii)</w:t>
      </w:r>
      <w:r>
        <w:rPr>
          <w:rFonts w:ascii="Times New Roman" w:hAnsi="Times New Roman"/>
          <w:sz w:val="20"/>
        </w:rPr>
        <w:t xml:space="preserve"> effected without its written consent if (1) such settlement is entered into more than 45 days after receipt by such indemnifying party of the aforesaid request, (2) such indemnifying party shall have received notice of the terms of such settlement at least 30 days prior to such settlement being entered into and (3) such indemnifying party shall not have reimbursed such indemnified party in accordance with such request prior to the date of such settlement.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Contribution</w:t>
      </w:r>
      <w:r>
        <w:rPr>
          <w:rFonts w:ascii="Times New Roman" w:hAnsi="Times New Roman"/>
          <w:sz w:val="20"/>
        </w:rPr>
        <w:t xml:space="preserve">. In order to provide for just and equitable contribution in circumstances in which the indemnification provided for in the foregoing paragraphs of this </w:t>
      </w:r>
      <w:r>
        <w:rPr>
          <w:rFonts w:ascii="Times New Roman" w:hAnsi="Times New Roman"/>
          <w:sz w:val="20"/>
          <w:u w:val="single"/>
        </w:rPr>
        <w:t>Section 10</w:t>
      </w:r>
      <w:r>
        <w:rPr>
          <w:rFonts w:ascii="Times New Roman" w:hAnsi="Times New Roman"/>
          <w:sz w:val="20"/>
        </w:rPr>
        <w:t xml:space="preserve"> is applicable in accordance with its terms but for any reason is held to be unavailable or insufficient from the Company or the Agent, the Company and the Agent will contribute to the total losses, claims, liabilities, expenses and damages (including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investigative, legal and other expenses reasonably incurred in connection with, and any amount paid in settlement of, any action, suit or proceeding or any claim asserted) to which the Company and the Agent may be subject in such proportion as shall be appropriate to reflect the relative benefits received by the Company on the one hand and the Agent on the other hand. The relative benefits received by the Company on the one hand and the Agent on the other hand shall be deemed to be in the same proportion as the total net proceeds from the sale of the Placement Shares (before deducting expenses) received by the Company bear to the total compensation received by the Agent from the sale of Placement Shares on behalf of the Company. If, but only if, the allocation provided by the foregoing sentence is not permitted by applicable law, the allocation of contribution shall be made in such proportion as is appropriate to reflect not only the relative benefits referred to in the foregoing sentence but also the relative fault of the Company, on the one hand, and the Agent, on the other hand, with respect to the statements or omission that resulted in such loss, claim, liability, expense or damage, or action in respect thereof, as well as any other relevant equitable considerations with respect to such offering. Such relative fault shall be determined by reference to, among other things, whether the untrue or alleged untrue statement of a material fact or omission or alleged omission to state a material fact relates to information supplied by the Company or the Agent, the intent of the parties and their relative knowledge, access to information and opportunity to correct or prevent such statement or omission. The Company and the Agent agree that it would not be just and equitable if contributions pursuant to this </w:t>
      </w:r>
      <w:r>
        <w:rPr>
          <w:rFonts w:ascii="Times New Roman" w:hAnsi="Times New Roman"/>
          <w:sz w:val="20"/>
          <w:u w:val="single"/>
        </w:rPr>
        <w:t>Section 10(e)</w:t>
      </w:r>
      <w:r>
        <w:rPr>
          <w:rFonts w:ascii="Times New Roman" w:hAnsi="Times New Roman"/>
          <w:sz w:val="20"/>
        </w:rPr>
        <w:t xml:space="preserve"> were to be determined by pro rata allocation or by any other method of allocation that does not take into account the equitable considerations referred to herein. The amount paid or payable by an indemnified party as a result of the loss, claim, liability, expense, or damage, or action in respect thereof, referred to above in this </w:t>
      </w:r>
      <w:r>
        <w:rPr>
          <w:rFonts w:ascii="Times New Roman" w:hAnsi="Times New Roman"/>
          <w:sz w:val="20"/>
          <w:u w:val="single"/>
        </w:rPr>
        <w:t>Section 10(e)</w:t>
      </w:r>
      <w:r>
        <w:rPr>
          <w:rFonts w:ascii="Times New Roman" w:hAnsi="Times New Roman"/>
          <w:sz w:val="20"/>
        </w:rPr>
        <w:t xml:space="preserve"> shall be deemed to include, for the purpose of this </w:t>
      </w:r>
      <w:r>
        <w:rPr>
          <w:rFonts w:ascii="Times New Roman" w:hAnsi="Times New Roman"/>
          <w:sz w:val="20"/>
          <w:u w:val="single"/>
        </w:rPr>
        <w:t>Section 10(e)</w:t>
      </w:r>
      <w:r>
        <w:rPr>
          <w:rFonts w:ascii="Times New Roman" w:hAnsi="Times New Roman"/>
          <w:sz w:val="20"/>
        </w:rPr>
        <w:t xml:space="preserve">, any legal or other expenses reasonably incurred by such indemnified party in connection with investigating or defending any such action or claim to the extent consistent with </w:t>
      </w:r>
      <w:r>
        <w:rPr>
          <w:rFonts w:ascii="Times New Roman" w:hAnsi="Times New Roman"/>
          <w:sz w:val="20"/>
          <w:u w:val="single"/>
        </w:rPr>
        <w:t>Section 10(c)</w:t>
      </w:r>
      <w:r>
        <w:rPr>
          <w:rFonts w:ascii="Times New Roman" w:hAnsi="Times New Roman"/>
          <w:sz w:val="20"/>
        </w:rPr>
        <w:t xml:space="preserve"> hereof. Notwithstanding the foregoing provisions of this </w:t>
      </w:r>
      <w:r>
        <w:rPr>
          <w:rFonts w:ascii="Times New Roman" w:hAnsi="Times New Roman"/>
          <w:sz w:val="20"/>
          <w:u w:val="single"/>
        </w:rPr>
        <w:t>Section 10(e)</w:t>
      </w:r>
      <w:r>
        <w:rPr>
          <w:rFonts w:ascii="Times New Roman" w:hAnsi="Times New Roman"/>
          <w:sz w:val="20"/>
        </w:rPr>
        <w:t xml:space="preserve">, the Agent shall not be required to contribute any amount in excess of the commissions received by it under this Agreement and no person found guilty of fraudulent misrepresentation (within the meaning of Section 11(f) of the Securities Act) will be entitled to contribution from any person who was not guilty of such fraudulent misrepresentation. For purposes of this </w:t>
      </w:r>
      <w:r>
        <w:rPr>
          <w:rFonts w:ascii="Times New Roman" w:hAnsi="Times New Roman"/>
          <w:sz w:val="20"/>
          <w:u w:val="single"/>
        </w:rPr>
        <w:t>Section 10(e)</w:t>
      </w:r>
      <w:r>
        <w:rPr>
          <w:rFonts w:ascii="Times New Roman" w:hAnsi="Times New Roman"/>
          <w:sz w:val="20"/>
        </w:rPr>
        <w:t xml:space="preserve">, any person who controls a party to this Agreement within the meaning of the Securities Act, any affiliates of the Agent and any officers, directors, partners, employees or agents of the Agent or any of their affiliates, will have the same rights to contribution as that party, and each director of the Company and each officer of the Company who signed the Registration Statement will have the same rights to contribution as the Company, subject in each case to the provisions hereof. Any party entitled to contribution, promptly after receipt of notice of commencement of any action against such party in respect of which a claim for contribution may be made under this </w:t>
      </w:r>
      <w:r>
        <w:rPr>
          <w:rFonts w:ascii="Times New Roman" w:hAnsi="Times New Roman"/>
          <w:sz w:val="20"/>
          <w:u w:val="single"/>
        </w:rPr>
        <w:t>Section 10(e)</w:t>
      </w:r>
      <w:r>
        <w:rPr>
          <w:rFonts w:ascii="Times New Roman" w:hAnsi="Times New Roman"/>
          <w:sz w:val="20"/>
        </w:rPr>
        <w:t xml:space="preserve">, will notify any such party or parties from whom contribution may be sought, but the omission to so notify will not relieve that party or parties from whom contribution may be sought from any other obligation it or they may have under this </w:t>
      </w:r>
      <w:r>
        <w:rPr>
          <w:rFonts w:ascii="Times New Roman" w:hAnsi="Times New Roman"/>
          <w:sz w:val="20"/>
          <w:u w:val="single"/>
        </w:rPr>
        <w:t>Section 10(e)</w:t>
      </w:r>
      <w:r>
        <w:rPr>
          <w:rFonts w:ascii="Times New Roman" w:hAnsi="Times New Roman"/>
          <w:sz w:val="20"/>
        </w:rPr>
        <w:t xml:space="preserve"> except to the extent that the failure to so notify such other party materially prejudiced the substantive rights or defenses of the party from whom contribution is sought. Except for a settlement entered into pursuant to the last sentence of </w:t>
      </w:r>
      <w:r>
        <w:rPr>
          <w:rFonts w:ascii="Times New Roman" w:hAnsi="Times New Roman"/>
          <w:sz w:val="20"/>
          <w:u w:val="single"/>
        </w:rPr>
        <w:t>Section 10(c)</w:t>
      </w:r>
      <w:r>
        <w:rPr>
          <w:rFonts w:ascii="Times New Roman" w:hAnsi="Times New Roman"/>
          <w:sz w:val="20"/>
        </w:rPr>
        <w:t xml:space="preserve"> hereof, no party will be liable for contribution with respect to any action or claim settled without its written consent if such consent is required pursuant to </w:t>
      </w:r>
      <w:r>
        <w:rPr>
          <w:rFonts w:ascii="Times New Roman" w:hAnsi="Times New Roman"/>
          <w:sz w:val="20"/>
          <w:u w:val="single"/>
        </w:rPr>
        <w:t>Section 10(c)</w:t>
      </w:r>
      <w:r>
        <w:rPr>
          <w:rFonts w:ascii="Times New Roman" w:hAnsi="Times New Roman"/>
          <w:sz w:val="20"/>
        </w:rPr>
        <w:t xml:space="preserve">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Representations and Agreements to Survive Delivery</w:t>
      </w:r>
      <w:r>
        <w:rPr>
          <w:rFonts w:ascii="Times New Roman" w:hAnsi="Times New Roman"/>
          <w:sz w:val="20"/>
        </w:rPr>
        <w:t xml:space="preserve">. The indemnity and contribution agreements contained in </w:t>
      </w:r>
      <w:r>
        <w:rPr>
          <w:rFonts w:ascii="Times New Roman" w:hAnsi="Times New Roman"/>
          <w:sz w:val="20"/>
          <w:u w:val="single"/>
        </w:rPr>
        <w:t>Section 10</w:t>
      </w:r>
      <w:r>
        <w:rPr>
          <w:rFonts w:ascii="Times New Roman" w:hAnsi="Times New Roman"/>
          <w:sz w:val="20"/>
        </w:rPr>
        <w:t xml:space="preserve"> of this Agreement and all representations and warranties of the Company herein or in certificates delivered pursuant hereto shall survive, as of their respective dates, regardless of (i) any investigation made by or on behalf of the Agent, any controlling persons, or the Company (or any of their respective officers, directors, employees or controlling persons), (ii) delivery and acceptance of the Placement Shares and payment therefor or (iii) any termination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Agent may terminate this Agreement, by notice to the Company, as hereinafter specified at any time (1) if there has been, since the time of execution of this Agreement or since the date as of which information is given in the Prospectus, any change, or any development or event involving a prospective change, in the condition, financial or otherwise, or in the business, properties, earnings, results of operations or prospects of the Company and its Subsidiaries considered as one enterprise, whether or not arising in the ordinary course of business, which individually or in the aggregate, in the sole judgment of the Agent is material and adverse and makes it impractical or inadvisable to market the Placement Shares or to enforce contracts for the sale of the Placement Shares, (2)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Agent, impracticable or inadvisable to market the Placement Shares or to enforce contracts for the sale of the Placement Shares, (3) if trading in the Common Stock has been suspended or limited by the Commission or the Exchange, or if trading generally on the Exchange has been suspended or limited, or minimum prices for trading have been fixed on the Exchange, (4) if any suspension of trading of any securities of the Company on any exchange or in the over-the-counter market shall have occurred and be continuing, (5) if a major disruption of securities settlements or clearance services in the United States shall have occurred and be continuing, or (6) if a banking moratorium has been declared by either U.S. Federal or New York authorities. Any such termination shall be without liability of any party to any other party except that the provisions of </w:t>
      </w:r>
      <w:r>
        <w:rPr>
          <w:rFonts w:ascii="Times New Roman" w:hAnsi="Times New Roman"/>
          <w:sz w:val="20"/>
          <w:u w:val="single"/>
        </w:rPr>
        <w:t>Section 8</w:t>
      </w:r>
      <w:r>
        <w:rPr>
          <w:rFonts w:ascii="Times New Roman" w:hAnsi="Times New Roman"/>
          <w:sz w:val="20"/>
        </w:rPr>
        <w:t xml:space="preserve"> (Payment of Expenses), </w:t>
      </w:r>
      <w:r>
        <w:rPr>
          <w:rFonts w:ascii="Times New Roman" w:hAnsi="Times New Roman"/>
          <w:sz w:val="20"/>
          <w:u w:val="single"/>
        </w:rPr>
        <w:t>Section 10</w:t>
      </w:r>
      <w:r>
        <w:rPr>
          <w:rFonts w:ascii="Times New Roman" w:hAnsi="Times New Roman"/>
          <w:sz w:val="20"/>
        </w:rPr>
        <w:t xml:space="preserve"> (Indemnification and Contribution), </w:t>
      </w:r>
      <w:r>
        <w:rPr>
          <w:rFonts w:ascii="Times New Roman" w:hAnsi="Times New Roman"/>
          <w:sz w:val="20"/>
          <w:u w:val="single"/>
        </w:rPr>
        <w:t>Section 11</w:t>
      </w:r>
      <w:r>
        <w:rPr>
          <w:rFonts w:ascii="Times New Roman" w:hAnsi="Times New Roman"/>
          <w:sz w:val="20"/>
        </w:rPr>
        <w:t xml:space="preserve"> (Representations and Agreements to Survive Delivery), </w:t>
      </w:r>
      <w:r>
        <w:rPr>
          <w:rFonts w:ascii="Times New Roman" w:hAnsi="Times New Roman"/>
          <w:sz w:val="20"/>
          <w:u w:val="single"/>
        </w:rPr>
        <w:t>Section 17</w:t>
      </w:r>
      <w:r>
        <w:rPr>
          <w:rFonts w:ascii="Times New Roman" w:hAnsi="Times New Roman"/>
          <w:sz w:val="20"/>
        </w:rPr>
        <w:t xml:space="preserve"> (Governing Law and Time; Waiver of Jury Trial) and </w:t>
      </w:r>
      <w:r>
        <w:rPr>
          <w:rFonts w:ascii="Times New Roman" w:hAnsi="Times New Roman"/>
          <w:sz w:val="20"/>
          <w:u w:val="single"/>
        </w:rPr>
        <w:t>Section 18</w:t>
      </w:r>
      <w:r>
        <w:rPr>
          <w:rFonts w:ascii="Times New Roman" w:hAnsi="Times New Roman"/>
          <w:sz w:val="20"/>
        </w:rPr>
        <w:t xml:space="preserve"> (Consent to Jurisdiction) hereof shall remain in full force and effect notwithstanding such termination. If the Agent elects to terminate this Agreement as provided in this </w:t>
      </w:r>
      <w:r>
        <w:rPr>
          <w:rFonts w:ascii="Times New Roman" w:hAnsi="Times New Roman"/>
          <w:sz w:val="20"/>
          <w:u w:val="single"/>
        </w:rPr>
        <w:t>Section 12(a)</w:t>
      </w:r>
      <w:r>
        <w:rPr>
          <w:rFonts w:ascii="Times New Roman" w:hAnsi="Times New Roman"/>
          <w:sz w:val="20"/>
        </w:rPr>
        <w:t xml:space="preserve">, the Agent shall provide the required notice as specified in </w:t>
      </w:r>
      <w:r>
        <w:rPr>
          <w:rFonts w:ascii="Times New Roman" w:hAnsi="Times New Roman"/>
          <w:sz w:val="20"/>
          <w:u w:val="single"/>
        </w:rPr>
        <w:t>Section 13</w:t>
      </w:r>
      <w:r>
        <w:rPr>
          <w:rFonts w:ascii="Times New Roman" w:hAnsi="Times New Roman"/>
          <w:sz w:val="20"/>
        </w:rPr>
        <w:t xml:space="preserve"> (Notices).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shall have the right, by giving ten (10) days notice as hereinafter specified to the Agent to terminate this Agreement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8</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18</w:t>
      </w:r>
      <w:r>
        <w:rPr>
          <w:rFonts w:ascii="Times New Roman" w:hAnsi="Times New Roman"/>
          <w:sz w:val="20"/>
        </w:rPr>
        <w:t xml:space="preserve"> hereof shall remain in full force and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(c) The Agent shall have the right, by giving ten (10) days notice as hereinafter specified to terminate this Agreement in its sole discretion at any time after the date of this Agreement. Any such termination shall be without liability of any party to any other party except that the provisions of </w:t>
      </w:r>
      <w:r>
        <w:rPr>
          <w:rFonts w:ascii="Times New Roman" w:hAnsi="Times New Roman"/>
          <w:sz w:val="20"/>
          <w:u w:val="single"/>
        </w:rPr>
        <w:t>Section 8</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18</w:t>
      </w:r>
      <w:r>
        <w:rPr>
          <w:rFonts w:ascii="Times New Roman" w:hAnsi="Times New Roman"/>
          <w:sz w:val="20"/>
        </w:rPr>
        <w:t xml:space="preserve"> hereof shall remain in full force and effect notwithstanding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(d) This Agreement shall remain in full force and effect unless terminated pursuant to </w:t>
      </w:r>
      <w:r>
        <w:rPr>
          <w:rFonts w:ascii="Times New Roman" w:hAnsi="Times New Roman"/>
          <w:sz w:val="20"/>
          <w:u w:val="single"/>
        </w:rPr>
        <w:t>Sections 12(a)</w:t>
      </w:r>
      <w:r>
        <w:rPr>
          <w:rFonts w:ascii="Times New Roman" w:hAnsi="Times New Roman"/>
          <w:sz w:val="20"/>
        </w:rPr>
        <w:t xml:space="preserve">, </w:t>
      </w:r>
      <w:r>
        <w:rPr>
          <w:rFonts w:ascii="Times New Roman" w:hAnsi="Times New Roman"/>
          <w:sz w:val="20"/>
          <w:u w:val="single"/>
        </w:rPr>
        <w:t>(b)</w:t>
      </w:r>
      <w:r>
        <w:rPr>
          <w:rFonts w:ascii="Times New Roman" w:hAnsi="Times New Roman"/>
          <w:sz w:val="20"/>
        </w:rPr>
        <w:t xml:space="preserve">, or </w:t>
      </w:r>
      <w:r>
        <w:rPr>
          <w:rFonts w:ascii="Times New Roman" w:hAnsi="Times New Roman"/>
          <w:sz w:val="20"/>
          <w:u w:val="single"/>
        </w:rPr>
        <w:t>(c)</w:t>
      </w:r>
      <w:r>
        <w:rPr>
          <w:rFonts w:ascii="Times New Roman" w:hAnsi="Times New Roman"/>
          <w:sz w:val="20"/>
        </w:rPr>
        <w:t xml:space="preserve"> above or otherwise by mutual agreement of the parties;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such termination by mutual agreement shall in all cases be deemed to provide that </w:t>
      </w:r>
      <w:r>
        <w:rPr>
          <w:rFonts w:ascii="Times New Roman" w:hAnsi="Times New Roman"/>
          <w:sz w:val="20"/>
          <w:u w:val="single"/>
        </w:rPr>
        <w:t>Section 8</w:t>
      </w:r>
      <w:r>
        <w:rPr>
          <w:rFonts w:ascii="Times New Roman" w:hAnsi="Times New Roman"/>
          <w:sz w:val="20"/>
        </w:rPr>
        <w:t xml:space="preserve">, </w:t>
      </w:r>
      <w:r>
        <w:rPr>
          <w:rFonts w:ascii="Times New Roman" w:hAnsi="Times New Roman"/>
          <w:sz w:val="20"/>
          <w:u w:val="single"/>
        </w:rPr>
        <w:t>Section 10</w:t>
      </w:r>
      <w:r>
        <w:rPr>
          <w:rFonts w:ascii="Times New Roman" w:hAnsi="Times New Roman"/>
          <w:sz w:val="20"/>
        </w:rPr>
        <w:t xml:space="preserve">, </w:t>
      </w:r>
      <w:r>
        <w:rPr>
          <w:rFonts w:ascii="Times New Roman" w:hAnsi="Times New Roman"/>
          <w:sz w:val="20"/>
          <w:u w:val="single"/>
        </w:rPr>
        <w:t>Section 11</w:t>
      </w:r>
      <w:r>
        <w:rPr>
          <w:rFonts w:ascii="Times New Roman" w:hAnsi="Times New Roman"/>
          <w:sz w:val="20"/>
        </w:rPr>
        <w:t xml:space="preserve">, </w:t>
      </w:r>
      <w:r>
        <w:rPr>
          <w:rFonts w:ascii="Times New Roman" w:hAnsi="Times New Roman"/>
          <w:sz w:val="20"/>
          <w:u w:val="single"/>
        </w:rPr>
        <w:t>Section 17</w:t>
      </w:r>
      <w:r>
        <w:rPr>
          <w:rFonts w:ascii="Times New Roman" w:hAnsi="Times New Roman"/>
          <w:sz w:val="20"/>
        </w:rPr>
        <w:t xml:space="preserve"> and </w:t>
      </w:r>
      <w:r>
        <w:rPr>
          <w:rFonts w:ascii="Times New Roman" w:hAnsi="Times New Roman"/>
          <w:sz w:val="20"/>
          <w:u w:val="single"/>
        </w:rPr>
        <w:t>Section 18</w:t>
      </w:r>
      <w:r>
        <w:rPr>
          <w:rFonts w:ascii="Times New Roman" w:hAnsi="Times New Roman"/>
          <w:sz w:val="20"/>
        </w:rPr>
        <w:t xml:space="preserve"> shall remain in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(e) Any termination of this Agreement shall be effective on the date specified in such notice of termination;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termination shall not be effective until the close of business on the date of receipt of such notice by the Agent or the Company, as the case may be. If such termination shall occur prior to the Settlement Date for any sale of Placement Shares, such Placement Shares shall settle in accordance with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Notices</w:t>
      </w:r>
      <w:r>
        <w:rPr>
          <w:rFonts w:ascii="Times New Roman" w:hAnsi="Times New Roman"/>
          <w:sz w:val="20"/>
        </w:rPr>
        <w:t xml:space="preserve">. All notices or other communications required or permitted to be given by any party to any other party pursuant to the terms of this Agreement shall be in writing, unless otherwise specified, and if sent to the Agent, shall be delivered to: </w:t>
      </w:r>
    </w:p>
    <w:p>
      <w:pPr>
        <w:pStyle w:val="TextBody"/>
        <w:bidi w:val="0"/>
        <w:spacing w:before="120" w:after="0"/>
        <w:jc w:val="left"/>
        <w:rPr>
          <w:rFonts w:ascii="Times New Roman" w:hAnsi="Times New Roman"/>
          <w:sz w:val="20"/>
        </w:rPr>
      </w:pPr>
      <w:r>
        <w:rPr>
          <w:rFonts w:ascii="Times New Roman" w:hAnsi="Times New Roman"/>
          <w:sz w:val="20"/>
        </w:rPr>
        <w:t xml:space="preserve">Stifel, Nicolaus &amp; Company, Incorporated </w:t>
      </w:r>
    </w:p>
    <w:p>
      <w:pPr>
        <w:pStyle w:val="TextBody"/>
        <w:bidi w:val="0"/>
        <w:spacing w:before="0" w:after="0"/>
        <w:jc w:val="left"/>
        <w:rPr>
          <w:rFonts w:ascii="Times New Roman" w:hAnsi="Times New Roman"/>
          <w:sz w:val="20"/>
        </w:rPr>
      </w:pPr>
      <w:r>
        <w:rPr>
          <w:rFonts w:ascii="Times New Roman" w:hAnsi="Times New Roman"/>
          <w:sz w:val="20"/>
        </w:rPr>
        <w:t xml:space="preserve">One Montgomery Street </w:t>
      </w:r>
    </w:p>
    <w:p>
      <w:pPr>
        <w:pStyle w:val="TextBody"/>
        <w:bidi w:val="0"/>
        <w:spacing w:before="0" w:after="0"/>
        <w:jc w:val="left"/>
        <w:rPr>
          <w:rFonts w:ascii="Times New Roman" w:hAnsi="Times New Roman"/>
          <w:sz w:val="20"/>
        </w:rPr>
      </w:pPr>
      <w:r>
        <w:rPr>
          <w:rFonts w:ascii="Times New Roman" w:hAnsi="Times New Roman"/>
          <w:sz w:val="20"/>
        </w:rPr>
        <w:t xml:space="preserve">Suite 3700 San </w:t>
      </w:r>
    </w:p>
    <w:p>
      <w:pPr>
        <w:pStyle w:val="TextBody"/>
        <w:bidi w:val="0"/>
        <w:spacing w:before="0" w:after="0"/>
        <w:jc w:val="left"/>
        <w:rPr>
          <w:rFonts w:ascii="Times New Roman" w:hAnsi="Times New Roman"/>
          <w:sz w:val="20"/>
        </w:rPr>
      </w:pPr>
      <w:r>
        <w:rPr>
          <w:rFonts w:ascii="Times New Roman" w:hAnsi="Times New Roman"/>
          <w:sz w:val="20"/>
        </w:rPr>
        <w:t xml:space="preserve">Francisco, California 94104 </w:t>
      </w:r>
    </w:p>
    <w:p>
      <w:pPr>
        <w:pStyle w:val="TextBody"/>
        <w:bidi w:val="0"/>
        <w:spacing w:before="0" w:after="0"/>
        <w:jc w:val="left"/>
        <w:rPr>
          <w:rFonts w:ascii="Times New Roman" w:hAnsi="Times New Roman"/>
          <w:sz w:val="20"/>
        </w:rPr>
      </w:pPr>
      <w:r>
        <w:rPr>
          <w:rFonts w:ascii="Times New Roman" w:hAnsi="Times New Roman"/>
          <w:sz w:val="20"/>
        </w:rPr>
        <w:t xml:space="preserve">Attention: Legal Department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Davis Polk &amp; Wardwell LLP </w:t>
      </w:r>
    </w:p>
    <w:p>
      <w:pPr>
        <w:pStyle w:val="TextBody"/>
        <w:bidi w:val="0"/>
        <w:spacing w:before="0" w:after="0"/>
        <w:jc w:val="left"/>
        <w:rPr>
          <w:rFonts w:ascii="Times New Roman" w:hAnsi="Times New Roman"/>
          <w:sz w:val="20"/>
        </w:rPr>
      </w:pPr>
      <w:r>
        <w:rPr>
          <w:rFonts w:ascii="Times New Roman" w:hAnsi="Times New Roman"/>
          <w:sz w:val="20"/>
        </w:rPr>
        <w:t xml:space="preserve">1600 El Camino Real </w:t>
      </w:r>
    </w:p>
    <w:p>
      <w:pPr>
        <w:pStyle w:val="TextBody"/>
        <w:bidi w:val="0"/>
        <w:spacing w:before="0" w:after="0"/>
        <w:jc w:val="left"/>
        <w:rPr>
          <w:rFonts w:ascii="Times New Roman" w:hAnsi="Times New Roman"/>
          <w:sz w:val="20"/>
        </w:rPr>
      </w:pPr>
      <w:r>
        <w:rPr>
          <w:rFonts w:ascii="Times New Roman" w:hAnsi="Times New Roman"/>
          <w:sz w:val="20"/>
        </w:rPr>
        <w:t xml:space="preserve">Menlo Park, California 94025 </w:t>
      </w:r>
    </w:p>
    <w:p>
      <w:pPr>
        <w:pStyle w:val="TextBody"/>
        <w:bidi w:val="0"/>
        <w:spacing w:before="0" w:after="0"/>
        <w:jc w:val="left"/>
        <w:rPr>
          <w:rFonts w:ascii="Times New Roman" w:hAnsi="Times New Roman"/>
          <w:sz w:val="20"/>
        </w:rPr>
      </w:pPr>
      <w:r>
        <w:rPr>
          <w:rFonts w:ascii="Times New Roman" w:hAnsi="Times New Roman"/>
          <w:sz w:val="20"/>
        </w:rPr>
        <w:t xml:space="preserve">Attention: Alan F. Denenberg </w:t>
      </w:r>
    </w:p>
    <w:p>
      <w:pPr>
        <w:pStyle w:val="TextBody"/>
        <w:bidi w:val="0"/>
        <w:spacing w:before="120" w:after="0"/>
        <w:jc w:val="left"/>
        <w:rPr>
          <w:rFonts w:ascii="Times New Roman" w:hAnsi="Times New Roman"/>
          <w:sz w:val="20"/>
        </w:rPr>
      </w:pPr>
      <w:r>
        <w:rPr>
          <w:rFonts w:ascii="Times New Roman" w:hAnsi="Times New Roman"/>
          <w:sz w:val="20"/>
        </w:rPr>
        <w:t xml:space="preserve">and if to the Company, shall be delivered to: </w:t>
      </w:r>
    </w:p>
    <w:p>
      <w:pPr>
        <w:pStyle w:val="TextBody"/>
        <w:bidi w:val="0"/>
        <w:spacing w:before="120" w:after="0"/>
        <w:jc w:val="left"/>
        <w:rPr>
          <w:rFonts w:ascii="Times New Roman" w:hAnsi="Times New Roman"/>
          <w:sz w:val="20"/>
        </w:rPr>
      </w:pPr>
      <w:r>
        <w:rPr>
          <w:rFonts w:ascii="Times New Roman" w:hAnsi="Times New Roman"/>
          <w:sz w:val="20"/>
        </w:rPr>
        <w:t xml:space="preserve">SiTime Corporation </w:t>
      </w:r>
    </w:p>
    <w:p>
      <w:pPr>
        <w:pStyle w:val="TextBody"/>
        <w:bidi w:val="0"/>
        <w:spacing w:before="0" w:after="0"/>
        <w:jc w:val="left"/>
        <w:rPr>
          <w:rFonts w:ascii="Times New Roman" w:hAnsi="Times New Roman"/>
          <w:sz w:val="20"/>
        </w:rPr>
      </w:pPr>
      <w:r>
        <w:rPr>
          <w:rFonts w:ascii="Times New Roman" w:hAnsi="Times New Roman"/>
          <w:sz w:val="20"/>
        </w:rPr>
        <w:t xml:space="preserve">5451 Patrick Henry Drive </w:t>
      </w:r>
    </w:p>
    <w:p>
      <w:pPr>
        <w:pStyle w:val="TextBody"/>
        <w:bidi w:val="0"/>
        <w:spacing w:before="0" w:after="0"/>
        <w:jc w:val="left"/>
        <w:rPr>
          <w:rFonts w:ascii="Times New Roman" w:hAnsi="Times New Roman"/>
          <w:sz w:val="20"/>
        </w:rPr>
      </w:pPr>
      <w:r>
        <w:rPr>
          <w:rFonts w:ascii="Times New Roman" w:hAnsi="Times New Roman"/>
          <w:sz w:val="20"/>
        </w:rPr>
        <w:t xml:space="preserve">Santa Clara, California, 95054 </w:t>
      </w:r>
    </w:p>
    <w:p>
      <w:pPr>
        <w:pStyle w:val="TextBody"/>
        <w:bidi w:val="0"/>
        <w:spacing w:before="0" w:after="0"/>
        <w:jc w:val="left"/>
        <w:rPr>
          <w:rFonts w:ascii="Times New Roman" w:hAnsi="Times New Roman"/>
          <w:sz w:val="20"/>
        </w:rPr>
      </w:pPr>
      <w:r>
        <w:rPr>
          <w:rFonts w:ascii="Times New Roman" w:hAnsi="Times New Roman"/>
          <w:sz w:val="20"/>
        </w:rPr>
        <w:t xml:space="preserve">Attention: Rajesh Vashist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Cooley LLP </w:t>
      </w:r>
    </w:p>
    <w:p>
      <w:pPr>
        <w:pStyle w:val="TextBody"/>
        <w:bidi w:val="0"/>
        <w:spacing w:before="0" w:after="0"/>
        <w:jc w:val="left"/>
        <w:rPr>
          <w:rFonts w:ascii="Times New Roman" w:hAnsi="Times New Roman"/>
          <w:sz w:val="20"/>
        </w:rPr>
      </w:pPr>
      <w:r>
        <w:rPr>
          <w:rFonts w:ascii="Times New Roman" w:hAnsi="Times New Roman"/>
          <w:sz w:val="20"/>
        </w:rPr>
        <w:t xml:space="preserve">3175 Hanover Street </w:t>
      </w:r>
    </w:p>
    <w:p>
      <w:pPr>
        <w:pStyle w:val="TextBody"/>
        <w:bidi w:val="0"/>
        <w:spacing w:before="0" w:after="0"/>
        <w:jc w:val="left"/>
        <w:rPr>
          <w:rFonts w:ascii="Times New Roman" w:hAnsi="Times New Roman"/>
          <w:sz w:val="20"/>
        </w:rPr>
      </w:pPr>
      <w:r>
        <w:rPr>
          <w:rFonts w:ascii="Times New Roman" w:hAnsi="Times New Roman"/>
          <w:sz w:val="20"/>
        </w:rPr>
        <w:t xml:space="preserve">Palo Alto, CA 94304 </w:t>
      </w:r>
    </w:p>
    <w:p>
      <w:pPr>
        <w:pStyle w:val="TextBody"/>
        <w:bidi w:val="0"/>
        <w:spacing w:before="0" w:after="0"/>
        <w:jc w:val="left"/>
        <w:rPr>
          <w:rFonts w:ascii="Times New Roman" w:hAnsi="Times New Roman"/>
          <w:sz w:val="20"/>
        </w:rPr>
      </w:pPr>
      <w:r>
        <w:rPr>
          <w:rFonts w:ascii="Times New Roman" w:hAnsi="Times New Roman"/>
          <w:sz w:val="20"/>
        </w:rPr>
        <w:t xml:space="preserve">Attn: Matthew B. Hemington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party to this Agreement may change such address for notices by sending to the parties to this Agreement written notice of a new address for such purpose. Each such notice or other communication shall be deemed given (i) when delivered personally or by verifiable facsimile transmission (with an original to follow) on or before 4:30 p.m., New York City time, on a Business Day or, if such day is not a Business Day, on the next succeeding Business Day, (ii) on the next Business Day after timely delivery to a nationally-recognized overnight courier and (iii) on the Business Day actually received if deposited in the U.S. mail (certified or registered mail, return receipt requested, postage prepaid). For purposes of this Agreement, Business Day shall mean any day on which the Exchange and commercial banks in the City of New York are open for business. </w:t>
      </w:r>
    </w:p>
    <w:p>
      <w:pPr>
        <w:pStyle w:val="TextBody"/>
        <w:bidi w:val="0"/>
        <w:spacing w:before="240" w:after="0"/>
        <w:jc w:val="left"/>
        <w:rPr>
          <w:rFonts w:ascii="Times New Roman" w:hAnsi="Times New Roman"/>
          <w:sz w:val="20"/>
        </w:rPr>
      </w:pPr>
      <w:r>
        <w:rPr>
          <w:rFonts w:ascii="Times New Roman" w:hAnsi="Times New Roman"/>
          <w:sz w:val="20"/>
        </w:rPr>
        <w:t>An electronic communication (</w:t>
      </w:r>
      <w:r>
        <w:rPr>
          <w:rFonts w:ascii="Times New Roman" w:hAnsi="Times New Roman"/>
          <w:b/>
          <w:sz w:val="20"/>
          <w:u w:val="single"/>
        </w:rPr>
        <w:t>Electronic Notice</w:t>
      </w:r>
      <w:r>
        <w:rPr>
          <w:rFonts w:ascii="Times New Roman" w:hAnsi="Times New Roman"/>
          <w:sz w:val="20"/>
        </w:rPr>
        <w:t xml:space="preserve">) shall be deemed written notice for purposes of this </w:t>
      </w:r>
      <w:r>
        <w:rPr>
          <w:rFonts w:ascii="Times New Roman" w:hAnsi="Times New Roman"/>
          <w:sz w:val="20"/>
          <w:u w:val="single"/>
        </w:rPr>
        <w:t>Section 13</w:t>
      </w:r>
      <w:r>
        <w:rPr>
          <w:rFonts w:ascii="Times New Roman" w:hAnsi="Times New Roman"/>
          <w:sz w:val="20"/>
        </w:rPr>
        <w:t xml:space="preserve"> if sent to the electronic mail address specified by the receiving party under separate cover. Electronic Notice shall be deemed received at the time the party sending Electronic Notice receives verification of receipt by the receiving party. Any party receiving Electronic Notice may request and shall be entitled to receive the notice on paper, in a nonelectronic form (</w:t>
      </w:r>
      <w:r>
        <w:rPr>
          <w:rFonts w:ascii="Times New Roman" w:hAnsi="Times New Roman"/>
          <w:b/>
          <w:sz w:val="20"/>
          <w:u w:val="single"/>
        </w:rPr>
        <w:t>Nonelectronic Notice</w:t>
      </w:r>
      <w:r>
        <w:rPr>
          <w:rFonts w:ascii="Times New Roman" w:hAnsi="Times New Roman"/>
          <w:sz w:val="20"/>
        </w:rPr>
        <w:t xml:space="preserve">) which shall be sent to the requesting party within ten (10) days of receipt of the written request for Nonelectronic Notice.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Successors and Assigns</w:t>
      </w:r>
      <w:r>
        <w:rPr>
          <w:rFonts w:ascii="Times New Roman" w:hAnsi="Times New Roman"/>
          <w:sz w:val="20"/>
        </w:rPr>
        <w:t xml:space="preserve">. This Agreement shall inure to the benefit of and be binding upon the Company and the Agent and their respective successors and the parties referred to in </w:t>
      </w:r>
      <w:r>
        <w:rPr>
          <w:rFonts w:ascii="Times New Roman" w:hAnsi="Times New Roman"/>
          <w:sz w:val="20"/>
          <w:u w:val="single"/>
        </w:rPr>
        <w:t>Section 10</w:t>
      </w:r>
      <w:r>
        <w:rPr>
          <w:rFonts w:ascii="Times New Roman" w:hAnsi="Times New Roman"/>
          <w:sz w:val="20"/>
        </w:rPr>
        <w:t xml:space="preserve"> hereof. References to any of the parties contained in this Agreement shall be deemed to include the successors and permitted assigns of such party. Nothing in this Agreement, express or implied, is intended to confer upon any party other than the parties hereto or their respective successors and permitted assigns any rights, remedies, obligations or liabilities under or by reason of this Agreement, except as expressly provided in this Agreement. Neither party may assign its rights or obligations under this Agreement without the prior written consent of the other party;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Agent may assign its rights and obligations hereunder to an affiliate thereof without obtaining the Companys consent.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Adjustments for Stock Splits</w:t>
      </w:r>
      <w:r>
        <w:rPr>
          <w:rFonts w:ascii="Times New Roman" w:hAnsi="Times New Roman"/>
          <w:sz w:val="20"/>
        </w:rPr>
        <w:t xml:space="preserve">. The parties acknowledge and agree that all share-related numbers contained in this Agreement shall be adjusted to take into account any stock split, stock dividend or similar event effected with respect to the Placement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Entire Agreement; Amendment; Severability; Waiver</w:t>
      </w:r>
      <w:r>
        <w:rPr>
          <w:rFonts w:ascii="Times New Roman" w:hAnsi="Times New Roman"/>
          <w:sz w:val="20"/>
        </w:rPr>
        <w:t xml:space="preserve">. This Agreement (including all schedules and exhibits attached hereto and Placement Notices issued pursuant hereto) constitutes the entire agreement and supersedes all other prior and contemporaneous agreements and undertakings, both written and oral, among the parties hereto with regard to the subject matter hereof. Neither this Agreement nor any term hereof may be amended except pursuant to a written instrument executed by the Company and the Agent. In the event that any one or more of the provisions contained herein, or the application thereof in any circumstance, is held invalid, illegal or unenforceable as written by a court of competent jurisdiction, then such provision shall be given full force and effect to the fullest possible extent that it is valid, legal and enforceable, and the remainder of the terms and provisions herein shall be construed as if such invalid, illegal or unenforceable term or provision was not contained herein, but only to the extent that giving effect to such provision and the remainder of the terms and provisions hereof shall be in accordance with the intent of the parties as reflected in this Agreement. No implied waiver by a party shall arise in the absence of a waiver in writing signed by such party. No failure or delay in exercising any right, power, or privilege hereunder shall operate as a waiver thereof, nor shall any single or partial exercise thereof preclude any other or further exercise thereof or the exercise of any right, power, or privilege hereunder.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b/>
          <w:sz w:val="20"/>
          <w:u w:val="single"/>
        </w:rPr>
        <w:t>GOVERNING LAW AND TIME; WAIVER OF JURY TRIAL</w:t>
      </w:r>
      <w:r>
        <w:rPr>
          <w:rFonts w:ascii="Times New Roman" w:hAnsi="Times New Roman"/>
          <w:b/>
          <w:sz w:val="20"/>
        </w:rPr>
        <w:t>. THIS AGREEMENT SHALL BE GOVERNED BY AND CONSTRUED IN ACCORDANCE WITH THE LAWS OF THE STATE OF NEW YORK WITHOUT REGARD TO THE PRINCIPLES OF CONFLICTS OF LAWS. SPECIFIED TIMES OF DAY REFER TO NEW YORK CITY TIME. EACH PARTY HEREBY IRREVOCABLY WAIVES, TO THE FULLEST EXTENT PERMITTED BY APPLICABLE LAW, ANY AND ALL RIGHT TO TRIAL BY JURY IN ANY LEGAL PROCEEDING ARISING OUT OF OR RELATING TO THIS AGREEMENT OR THE TRANSACTIONS CONTEMPLATED HEREBY.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b/>
          <w:sz w:val="20"/>
          <w:u w:val="single"/>
        </w:rPr>
        <w:t>CONSENT TO JURISDICTION</w:t>
      </w:r>
      <w:r>
        <w:rPr>
          <w:rFonts w:ascii="Times New Roman" w:hAnsi="Times New Roman"/>
          <w:b/>
          <w:sz w:val="20"/>
        </w:rPr>
        <w:t>. EACH PARTY HEREBY IRREVOCABLY SUBMITS TO THE EXCLUSIVE JURISDICTION OF THE STATE AND FEDERAL COURTS SITTING IN THE CITY OF NEW YORK, BOROUGH OF MANHATTAN, FOR THE ADJUDICATION OF ANY DISPUTE HEREUNDER OR IN CONNECTION WITH ANY TRANSACTION CONTEMPLATED HEREBY,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(CERTIFIED OR REGISTERED MAIL, RETURN RECEIPT REQUESTED)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Delivery of an executed Agreement by one party to the other may be made by facsimile or electronic transmission.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Construction</w:t>
      </w:r>
      <w:r>
        <w:rPr>
          <w:rFonts w:ascii="Times New Roman" w:hAnsi="Times New Roman"/>
          <w:sz w:val="20"/>
        </w:rPr>
        <w:t xml:space="preserve">. The section and exhibit headings herein are for convenience only and shall not affect the construction hereof. References herein to any law, statute, ordinance, code, regulation, rule or other requirement of any Governmental Authority shall be deemed to refer to such law, statute, ordinance, code, regulation, rule or other requirement of any Governmental Authority as amended, reenacted, supplemented or superseded in whole or in part and in effect from time to time and also to all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Permitted Free Writing Prospectuses</w:t>
      </w:r>
      <w:r>
        <w:rPr>
          <w:rFonts w:ascii="Times New Roman" w:hAnsi="Times New Roman"/>
          <w:sz w:val="20"/>
        </w:rPr>
        <w:t xml:space="preserve">. The Company represents, warrants and agrees that, unless it obtains the prior written consent of the Agent (which consent shall not be unreasonably withheld or delayed), and the Agent represents, warrants and agrees that, unless it has obtained the prior written consent of the Company, it has not made and will not make any offer relating to the Placement Shares that would constitute an Issuer Free Writing Prospectus, or that would otherwise constitute a free writing prospectus, as defined in Rule 405, required to be filed with the Commission. Any such free writing prospectus consented to by the Agent or by the Company, as the case may be, is hereinafter referred to as a Permitted Free Writing Prospectus. The Company represents and warrants that it has treated and agrees that it will treat each Permitted Free Writing Prospectus as an Issuer Free Writing Prospectus, as defined in Rule 433, and has complied and will comply with the requirements of Rule 433 applicable to any Permitted Free Writing Prospectus, including timely filing with the Commission where required, legending and record keeping. For the purposes of clarity, the parties hereto agree that all free writing prospectuses, if any, listed in Exhibit 1 hereto are Permitted Free Writing Prospectuses. </w:t>
      </w:r>
    </w:p>
    <w:p>
      <w:pPr>
        <w:pStyle w:val="TextBody"/>
        <w:bidi w:val="0"/>
        <w:spacing w:before="24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Absence of Fiduciary Relationship</w:t>
      </w:r>
      <w:r>
        <w:rPr>
          <w:rFonts w:ascii="Times New Roman" w:hAnsi="Times New Roman"/>
          <w:sz w:val="20"/>
        </w:rPr>
        <w:t xml:space="preserve">. The Company acknowledges and agrees that: </w:t>
      </w:r>
    </w:p>
    <w:p>
      <w:pPr>
        <w:pStyle w:val="TextBody"/>
        <w:bidi w:val="0"/>
        <w:spacing w:before="120" w:after="0"/>
        <w:jc w:val="left"/>
        <w:rPr>
          <w:rFonts w:ascii="Times New Roman" w:hAnsi="Times New Roman"/>
          <w:sz w:val="20"/>
        </w:rPr>
      </w:pPr>
      <w:r>
        <w:rPr>
          <w:rFonts w:ascii="Times New Roman" w:hAnsi="Times New Roman"/>
          <w:sz w:val="20"/>
        </w:rPr>
        <w:t xml:space="preserve">(a) the Agent is acting solely as agent in connection with the public offering of the Placement Shares and in connection with each transaction contemplated by this Agreement and the process leading to such transactions, and no fiduciary or advisory relationship between the Company or any of its respective affiliates, stockholders (or other equity holders), creditors or employees or any other party, on the one hand, and the Agent, on the other hand, have been or will be created in respect of any of the transactions contemplated by this Agreement, irrespective of whether or not the Agent has advised or is advising the Company on other matters, and the Agent has no obligation to the Company with respect to the transactions contemplated by this Agreement except the obligations expressly set forth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it is capable of evaluating and understanding, and understands and accepts, the terms, risks and conditions of the transactions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neither the Agent nor its affiliates have provided any legal, accounting, have consulted their own legal, accounting, regulatory and tax advisors to the extent it has deemed appropriate; </w:t>
      </w:r>
    </w:p>
    <w:p>
      <w:pPr>
        <w:pStyle w:val="TextBody"/>
        <w:bidi w:val="0"/>
        <w:spacing w:before="240" w:after="0"/>
        <w:jc w:val="left"/>
        <w:rPr>
          <w:rFonts w:ascii="Times New Roman" w:hAnsi="Times New Roman"/>
          <w:sz w:val="20"/>
        </w:rPr>
      </w:pPr>
      <w:r>
        <w:rPr>
          <w:rFonts w:ascii="Times New Roman" w:hAnsi="Times New Roman"/>
          <w:sz w:val="20"/>
        </w:rPr>
        <w:t xml:space="preserve">(d) it is aware that the Agent and its affiliates are engaged in a broad range of transactions which may involve interests that differ from those of the Company and the Agent and its affiliates have no obligation to disclose such interests and transactions to the Company by virtue of any fiduciary, advisory or agency relationship or otherwise; and </w:t>
      </w:r>
    </w:p>
    <w:p>
      <w:pPr>
        <w:pStyle w:val="TextBody"/>
        <w:bidi w:val="0"/>
        <w:spacing w:before="240" w:after="0"/>
        <w:jc w:val="left"/>
        <w:rPr>
          <w:rFonts w:ascii="Times New Roman" w:hAnsi="Times New Roman"/>
          <w:sz w:val="20"/>
        </w:rPr>
      </w:pPr>
      <w:r>
        <w:rPr>
          <w:rFonts w:ascii="Times New Roman" w:hAnsi="Times New Roman"/>
          <w:sz w:val="20"/>
        </w:rPr>
        <w:t xml:space="preserve">(e) it waives, to the fullest extent permitted by law, any claims it may have against the Agent or their affiliates for breach of fiduciary duty or alleged breach of fiduciary duty in connection with the sale of Placement Shares under this Agreement and agrees that the Agent and its affiliates shall not have any liability (whether direct or indirect, in contract, tort or otherwise) to it in respect of such a fiduciary duty claim or to any person asserting a fiduciary duty claim on its behalf or in right of it or the Company, employees or creditors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Definitions</w:t>
      </w:r>
      <w:r>
        <w:rPr>
          <w:rFonts w:ascii="Times New Roman" w:hAnsi="Times New Roman"/>
          <w:sz w:val="20"/>
        </w:rPr>
        <w:t xml:space="preserve">. As used in this Agreement, the following terms have the respective meanings set forth below: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Applicable Time</w:t>
      </w:r>
      <w:r>
        <w:rPr>
          <w:rFonts w:ascii="Times New Roman" w:hAnsi="Times New Roman"/>
          <w:sz w:val="20"/>
        </w:rPr>
        <w:t xml:space="preserve"> means (i) each Representation Date, (ii) the time of each sale of any Placement Shares pursuant to this Agreement and (iii) each Settlement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Governmental Authority</w:t>
      </w:r>
      <w:r>
        <w:rPr>
          <w:rFonts w:ascii="Times New Roman" w:hAnsi="Times New Roman"/>
          <w:sz w:val="20"/>
        </w:rPr>
        <w:t xml:space="preserve"> means (i) any federal, provincial, state, local, municipal, national or international government or governmental authority, regulatory or administrative agency, governmental commission, department, board, bureau, agency or instrumentality, court, tribunal, arbitrator or arbitral body (public or private); (ii) any self-regulatory organization; or (iii) any political subdivision of any of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Issuer Free Writing Prospectus</w:t>
      </w:r>
      <w:r>
        <w:rPr>
          <w:rFonts w:ascii="Times New Roman" w:hAnsi="Times New Roman"/>
          <w:sz w:val="20"/>
        </w:rPr>
        <w:t xml:space="preserve"> means any issuer free writing prospectus, as defined in Rule 433, relating to the Placement Shares that (1) is required to be filed with the Commission by the Company, (2) is a road show that is a written communication within the meaning of Rule 433(d)(8)(i) whether or not required to be filed with the Commission, or (3) is exempt from filing pursuant to Rule 433(d)(5)(i) because it contains a description of the Placement Shares or of the offering that does not reflect the final terms, in each case in the form filed or required to be filed with the Commission or, if not required to be filed, in the form retained in the Companys records pursuant to Rule 433(g) under the Securities Act Regulations.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b/>
          <w:sz w:val="20"/>
          <w:u w:val="single"/>
        </w:rPr>
        <w:t>Rule 164,</w:t>
      </w:r>
      <w:r>
        <w:rPr>
          <w:rFonts w:ascii="Times New Roman" w:hAnsi="Times New Roman"/>
          <w:sz w:val="20"/>
        </w:rPr>
        <w:t> </w:t>
      </w:r>
      <w:r>
        <w:rPr>
          <w:rFonts w:ascii="Times New Roman" w:hAnsi="Times New Roman"/>
          <w:b/>
          <w:sz w:val="20"/>
          <w:u w:val="single"/>
        </w:rPr>
        <w:t>Rule 172</w:t>
      </w:r>
      <w:r>
        <w:rPr>
          <w:rFonts w:ascii="Times New Roman" w:hAnsi="Times New Roman"/>
          <w:sz w:val="20"/>
        </w:rPr>
        <w:t>, </w:t>
      </w:r>
      <w:r>
        <w:rPr>
          <w:rFonts w:ascii="Times New Roman" w:hAnsi="Times New Roman"/>
          <w:b/>
          <w:sz w:val="20"/>
          <w:u w:val="single"/>
        </w:rPr>
        <w:t>Rule 405</w:t>
      </w:r>
      <w:r>
        <w:rPr>
          <w:rFonts w:ascii="Times New Roman" w:hAnsi="Times New Roman"/>
          <w:sz w:val="20"/>
        </w:rPr>
        <w:t>, </w:t>
      </w:r>
      <w:r>
        <w:rPr>
          <w:rFonts w:ascii="Times New Roman" w:hAnsi="Times New Roman"/>
          <w:b/>
          <w:sz w:val="20"/>
          <w:u w:val="single"/>
        </w:rPr>
        <w:t>Rule 415</w:t>
      </w:r>
      <w:r>
        <w:rPr>
          <w:rFonts w:ascii="Times New Roman" w:hAnsi="Times New Roman"/>
          <w:sz w:val="20"/>
        </w:rPr>
        <w:t>, </w:t>
      </w:r>
      <w:r>
        <w:rPr>
          <w:rFonts w:ascii="Times New Roman" w:hAnsi="Times New Roman"/>
          <w:b/>
          <w:sz w:val="20"/>
          <w:u w:val="single"/>
        </w:rPr>
        <w:t>Rule 424</w:t>
      </w:r>
      <w:r>
        <w:rPr>
          <w:rFonts w:ascii="Times New Roman" w:hAnsi="Times New Roman"/>
          <w:sz w:val="20"/>
        </w:rPr>
        <w:t>, </w:t>
      </w:r>
      <w:r>
        <w:rPr>
          <w:rFonts w:ascii="Times New Roman" w:hAnsi="Times New Roman"/>
          <w:b/>
          <w:sz w:val="20"/>
          <w:u w:val="single"/>
        </w:rPr>
        <w:t>Rule 424(b)</w:t>
      </w:r>
      <w:r>
        <w:rPr>
          <w:rFonts w:ascii="Times New Roman" w:hAnsi="Times New Roman"/>
          <w:sz w:val="20"/>
        </w:rPr>
        <w:t>, </w:t>
      </w:r>
      <w:r>
        <w:rPr>
          <w:rFonts w:ascii="Times New Roman" w:hAnsi="Times New Roman"/>
          <w:b/>
          <w:sz w:val="20"/>
          <w:u w:val="single"/>
        </w:rPr>
        <w:t>Rule 430B</w:t>
      </w:r>
      <w:r>
        <w:rPr>
          <w:rFonts w:ascii="Times New Roman" w:hAnsi="Times New Roman"/>
          <w:sz w:val="20"/>
        </w:rPr>
        <w:t>, and </w:t>
      </w:r>
      <w:r>
        <w:rPr>
          <w:rFonts w:ascii="Times New Roman" w:hAnsi="Times New Roman"/>
          <w:b/>
          <w:sz w:val="20"/>
          <w:u w:val="single"/>
        </w:rPr>
        <w:t>Rule 433</w:t>
      </w:r>
      <w:r>
        <w:rPr>
          <w:rFonts w:ascii="Times New Roman" w:hAnsi="Times New Roman"/>
          <w:sz w:val="20"/>
        </w:rPr>
        <w:t xml:space="preserve"> refer to such rules under the Securities Act Regulations.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Agreement to financial statements and schedules and other information that is contained, included or stated in the Registration Statement or the Prospectus (and all other references of like import) shall be deemed to mean and include all such financial statements and schedules and other information that is incorporated by reference in the Registration Statement or the Prospectus,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references in this Agreement to the Registration Statement, the Prospectus or any amendment or supplement to any of the foregoing shall be deemed to include the copy filed with the Commission pursuant to EDGAR; all references in this Agreement to any Issuer Free Writing Prospectus (other than any Issuer Free Writing Prospectuses that, pursuant to Rule 433, are not required to be filed with the Commission) shall be deemed to include the copy thereof filed with the Commission pursuant to EDGAR; and all references in this Agreement to supplements to the Prospectus shall include, without limitation, any supplements, wrappers or similar materials prepared in connection with any offering, sale or private placement of any Placement Shares by the Agent outside of the United States.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the foregoing correctly sets forth the understanding between the Company and the Agent, please so indicate in the space provided below for that purpose, whereupon this letter shall constitute a binding agreement between the Company and the Agent.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3"/>
        <w:gridCol w:w="61"/>
        <w:gridCol w:w="3348"/>
      </w:tblGrid>
      <w:tr>
        <w:trPr/>
        <w:tc>
          <w:tcPr>
            <w:tcW w:w="67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SiTime Corporation</w:t>
            </w:r>
          </w:p>
        </w:tc>
      </w:tr>
      <w:tr>
        <w:trPr>
          <w:trHeight w:val="240" w:hRule="atLeast"/>
        </w:trPr>
        <w:tc>
          <w:tcPr>
            <w:tcW w:w="673" w:type="dxa"/>
            <w:tcBorders/>
            <w:vAlign w:val="center"/>
          </w:tcPr>
          <w:p>
            <w:pPr>
              <w:pStyle w:val="TableContents"/>
              <w:bidi w:val="0"/>
              <w:spacing w:before="0" w:after="283"/>
              <w:jc w:val="left"/>
              <w:rPr>
                <w:sz w:val="4"/>
                <w:szCs w:val="4"/>
              </w:rPr>
            </w:pPr>
            <w:r>
              <w:rPr>
                <w:sz w:val="4"/>
                <w:szCs w:val="4"/>
              </w:rPr>
            </w:r>
          </w:p>
        </w:tc>
        <w:tc>
          <w:tcPr>
            <w:tcW w:w="3409" w:type="dxa"/>
            <w:gridSpan w:val="2"/>
            <w:tcBorders/>
            <w:vAlign w:val="center"/>
          </w:tcPr>
          <w:p>
            <w:pPr>
              <w:pStyle w:val="TableContents"/>
              <w:bidi w:val="0"/>
              <w:spacing w:before="0" w:after="283"/>
              <w:jc w:val="left"/>
              <w:rPr>
                <w:sz w:val="4"/>
                <w:szCs w:val="4"/>
              </w:rPr>
            </w:pPr>
            <w:r>
              <w:rPr>
                <w:sz w:val="4"/>
                <w:szCs w:val="4"/>
              </w:rPr>
            </w:r>
          </w:p>
        </w:tc>
      </w:tr>
      <w:tr>
        <w:trPr/>
        <w:tc>
          <w:tcPr>
            <w:tcW w:w="673"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48" w:type="dxa"/>
            <w:tcBorders>
              <w:bottom w:val="single" w:sz="2" w:space="0" w:color="000000"/>
            </w:tcBorders>
            <w:tcMar>
              <w:bottom w:w="28" w:type="dxa"/>
            </w:tcMar>
            <w:vAlign w:val="bottom"/>
          </w:tcPr>
          <w:p>
            <w:pPr>
              <w:pStyle w:val="TableContents"/>
              <w:bidi w:val="0"/>
              <w:spacing w:before="0" w:after="283"/>
              <w:jc w:val="left"/>
              <w:rPr/>
            </w:pPr>
            <w:r>
              <w:rPr/>
              <w:t>/s/ Elizabeth A. Howe</w:t>
            </w:r>
          </w:p>
        </w:tc>
      </w:tr>
      <w:tr>
        <w:trPr/>
        <w:tc>
          <w:tcPr>
            <w:tcW w:w="673"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Elizabeth A. Howe</w:t>
            </w:r>
          </w:p>
        </w:tc>
      </w:tr>
      <w:tr>
        <w:trPr/>
        <w:tc>
          <w:tcPr>
            <w:tcW w:w="673"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8" w:type="dxa"/>
            <w:tcBorders/>
            <w:vAlign w:val="bottom"/>
          </w:tcPr>
          <w:p>
            <w:pPr>
              <w:pStyle w:val="TableContents"/>
              <w:bidi w:val="0"/>
              <w:spacing w:before="0" w:after="283"/>
              <w:jc w:val="left"/>
              <w:rPr/>
            </w:pPr>
            <w:r>
              <w:rPr/>
              <w:t>Chief Financial Officer</w:t>
            </w:r>
          </w:p>
        </w:tc>
      </w:tr>
    </w:tbl>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ACCEPTED as of the date first-above written: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STIFEL, NICOLAUS &amp; COMPANY, INCORPORATED</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4" w:type="dxa"/>
            <w:tcBorders>
              <w:bottom w:val="single" w:sz="2" w:space="0" w:color="000000"/>
            </w:tcBorders>
            <w:tcMar>
              <w:bottom w:w="28" w:type="dxa"/>
            </w:tcMar>
          </w:tcPr>
          <w:p>
            <w:pPr>
              <w:pStyle w:val="TableContents"/>
              <w:bidi w:val="0"/>
              <w:spacing w:before="0" w:after="283"/>
              <w:jc w:val="left"/>
              <w:rPr/>
            </w:pPr>
            <w:r>
              <w:rPr/>
              <w:t>/s/ Lewis Chia</w:t>
            </w:r>
          </w:p>
        </w:tc>
      </w:tr>
      <w:tr>
        <w:trPr/>
        <w:tc>
          <w:tcPr>
            <w:tcW w:w="68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Lewis Chia</w:t>
            </w:r>
          </w:p>
        </w:tc>
      </w:tr>
      <w:tr>
        <w:trPr/>
        <w:tc>
          <w:tcPr>
            <w:tcW w:w="68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Sales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Placement Notice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396"/>
        <w:gridCol w:w="120"/>
        <w:gridCol w:w="8689"/>
      </w:tblGrid>
      <w:tr>
        <w:trPr/>
        <w:tc>
          <w:tcPr>
            <w:tcW w:w="139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89" w:type="dxa"/>
            <w:tcBorders/>
            <w:vAlign w:val="center"/>
          </w:tcPr>
          <w:p>
            <w:pPr>
              <w:pStyle w:val="TableContents"/>
              <w:bidi w:val="0"/>
              <w:spacing w:before="0" w:after="283"/>
              <w:jc w:val="left"/>
              <w:rPr>
                <w:sz w:val="4"/>
                <w:szCs w:val="4"/>
              </w:rPr>
            </w:pPr>
            <w:r>
              <w:rPr>
                <w:sz w:val="4"/>
                <w:szCs w:val="4"/>
              </w:rPr>
            </w:r>
          </w:p>
        </w:tc>
      </w:tr>
      <w:tr>
        <w:trPr/>
        <w:tc>
          <w:tcPr>
            <w:tcW w:w="1396" w:type="dxa"/>
            <w:tcBorders/>
          </w:tcPr>
          <w:p>
            <w:pPr>
              <w:pStyle w:val="TableContents"/>
              <w:bidi w:val="0"/>
              <w:spacing w:before="0" w:after="0"/>
              <w:jc w:val="left"/>
              <w:rPr>
                <w:rFonts w:ascii="Times New Roman" w:hAnsi="Times New Roman"/>
                <w:sz w:val="20"/>
              </w:rPr>
            </w:pPr>
            <w:r>
              <w:rPr>
                <w:rFonts w:ascii="Times New Roman" w:hAnsi="Times New Roman"/>
                <w:sz w:val="20"/>
              </w:rPr>
              <w:t>From:</w:t>
            </w:r>
          </w:p>
        </w:tc>
        <w:tc>
          <w:tcPr>
            <w:tcW w:w="120"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left"/>
              <w:rPr/>
            </w:pPr>
            <w:r>
              <w:rPr/>
              <w:t>SiTime Corporation</w:t>
            </w:r>
          </w:p>
        </w:tc>
      </w:tr>
      <w:tr>
        <w:trPr>
          <w:trHeight w:val="120" w:hRule="atLeast"/>
        </w:trPr>
        <w:tc>
          <w:tcPr>
            <w:tcW w:w="1396"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r>
      <w:tr>
        <w:trPr/>
        <w:tc>
          <w:tcPr>
            <w:tcW w:w="1396" w:type="dxa"/>
            <w:tcBorders/>
          </w:tcPr>
          <w:p>
            <w:pPr>
              <w:pStyle w:val="TableContents"/>
              <w:bidi w:val="0"/>
              <w:spacing w:before="0" w:after="0"/>
              <w:jc w:val="left"/>
              <w:rPr>
                <w:rFonts w:ascii="Times New Roman" w:hAnsi="Times New Roman"/>
                <w:sz w:val="20"/>
              </w:rPr>
            </w:pPr>
            <w:r>
              <w:rPr>
                <w:rFonts w:ascii="Times New Roman" w:hAnsi="Times New Roman"/>
                <w:sz w:val="20"/>
              </w:rPr>
              <w:t>To:</w:t>
            </w:r>
          </w:p>
        </w:tc>
        <w:tc>
          <w:tcPr>
            <w:tcW w:w="120"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left"/>
              <w:rPr/>
            </w:pPr>
            <w:r>
              <w:rPr/>
              <w:t>Stifel, Nicolaus &amp; Company, Incorporated Attention: []</w:t>
            </w:r>
          </w:p>
        </w:tc>
      </w:tr>
      <w:tr>
        <w:trPr>
          <w:trHeight w:val="120" w:hRule="atLeast"/>
        </w:trPr>
        <w:tc>
          <w:tcPr>
            <w:tcW w:w="1396"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r>
      <w:tr>
        <w:trPr/>
        <w:tc>
          <w:tcPr>
            <w:tcW w:w="1396" w:type="dxa"/>
            <w:tcBorders/>
          </w:tcPr>
          <w:p>
            <w:pPr>
              <w:pStyle w:val="TableContents"/>
              <w:bidi w:val="0"/>
              <w:spacing w:before="0" w:after="0"/>
              <w:jc w:val="left"/>
              <w:rPr>
                <w:rFonts w:ascii="Times New Roman" w:hAnsi="Times New Roman"/>
                <w:sz w:val="20"/>
              </w:rPr>
            </w:pPr>
            <w:r>
              <w:rPr>
                <w:rFonts w:ascii="Times New Roman" w:hAnsi="Times New Roman"/>
                <w:sz w:val="20"/>
              </w:rPr>
              <w:t>Subject:</w:t>
            </w:r>
          </w:p>
        </w:tc>
        <w:tc>
          <w:tcPr>
            <w:tcW w:w="120"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left"/>
              <w:rPr/>
            </w:pPr>
            <w:r>
              <w:rPr/>
              <w:t>Placement Notice</w:t>
            </w:r>
          </w:p>
        </w:tc>
      </w:tr>
      <w:tr>
        <w:trPr>
          <w:trHeight w:val="120" w:hRule="atLeast"/>
        </w:trPr>
        <w:tc>
          <w:tcPr>
            <w:tcW w:w="1396" w:type="dxa"/>
            <w:tcBorders/>
            <w:vAlign w:val="center"/>
          </w:tcPr>
          <w:p>
            <w:pPr>
              <w:pStyle w:val="TableContents"/>
              <w:bidi w:val="0"/>
              <w:spacing w:before="0" w:after="283"/>
              <w:jc w:val="left"/>
              <w:rPr>
                <w:sz w:val="4"/>
                <w:szCs w:val="4"/>
              </w:rPr>
            </w:pPr>
            <w:r>
              <w:rPr>
                <w:sz w:val="4"/>
                <w:szCs w:val="4"/>
              </w:rPr>
            </w:r>
          </w:p>
        </w:tc>
        <w:tc>
          <w:tcPr>
            <w:tcW w:w="8809" w:type="dxa"/>
            <w:gridSpan w:val="2"/>
            <w:tcBorders/>
            <w:vAlign w:val="center"/>
          </w:tcPr>
          <w:p>
            <w:pPr>
              <w:pStyle w:val="TableContents"/>
              <w:bidi w:val="0"/>
              <w:spacing w:before="0" w:after="283"/>
              <w:jc w:val="left"/>
              <w:rPr>
                <w:sz w:val="4"/>
                <w:szCs w:val="4"/>
              </w:rPr>
            </w:pPr>
            <w:r>
              <w:rPr>
                <w:sz w:val="4"/>
                <w:szCs w:val="4"/>
              </w:rPr>
            </w:r>
          </w:p>
        </w:tc>
      </w:tr>
      <w:tr>
        <w:trPr/>
        <w:tc>
          <w:tcPr>
            <w:tcW w:w="1396" w:type="dxa"/>
            <w:tcBorders/>
          </w:tcPr>
          <w:p>
            <w:pPr>
              <w:pStyle w:val="TableContents"/>
              <w:bidi w:val="0"/>
              <w:spacing w:before="0" w:after="0"/>
              <w:jc w:val="left"/>
              <w:rPr>
                <w:rFonts w:ascii="Times New Roman" w:hAnsi="Times New Roman"/>
                <w:sz w:val="20"/>
              </w:rPr>
            </w:pPr>
            <w:r>
              <w:rPr>
                <w:rFonts w:ascii="Times New Roman" w:hAnsi="Times New Roman"/>
                <w:sz w:val="20"/>
              </w:rPr>
              <w:t>Date:</w:t>
            </w:r>
          </w:p>
        </w:tc>
        <w:tc>
          <w:tcPr>
            <w:tcW w:w="120" w:type="dxa"/>
            <w:tcBorders/>
            <w:vAlign w:val="bottom"/>
          </w:tcPr>
          <w:p>
            <w:pPr>
              <w:pStyle w:val="TableContents"/>
              <w:bidi w:val="0"/>
              <w:spacing w:before="0" w:after="283"/>
              <w:jc w:val="left"/>
              <w:rPr/>
            </w:pPr>
            <w:r>
              <w:rPr/>
              <w:t>  </w:t>
            </w:r>
          </w:p>
        </w:tc>
        <w:tc>
          <w:tcPr>
            <w:tcW w:w="8689" w:type="dxa"/>
            <w:tcBorders/>
          </w:tcPr>
          <w:p>
            <w:pPr>
              <w:pStyle w:val="TableContents"/>
              <w:bidi w:val="0"/>
              <w:spacing w:before="0" w:after="283"/>
              <w:jc w:val="left"/>
              <w:rPr/>
            </w:pPr>
            <w:r>
              <w:rPr/>
              <w:t>[], 20[]</w:t>
            </w:r>
          </w:p>
        </w:tc>
      </w:tr>
    </w:tbl>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Pursuant to the terms and subject to the conditions contained in the Sales Agreement among SiTime Corporation., a Delaware corporation (the </w:t>
      </w:r>
      <w:r>
        <w:rPr>
          <w:rFonts w:ascii="Times New Roman" w:hAnsi="Times New Roman"/>
          <w:b/>
          <w:sz w:val="20"/>
          <w:u w:val="single"/>
        </w:rPr>
        <w:t>Company</w:t>
      </w:r>
      <w:r>
        <w:rPr>
          <w:rFonts w:ascii="Times New Roman" w:hAnsi="Times New Roman"/>
          <w:sz w:val="20"/>
        </w:rPr>
        <w:t xml:space="preserve">), and Stifel, Nicolaus &amp; Company, Incorporated, dated [], 2024, the Company hereby requests that Stifel, Nicolaus &amp; Company, Incorporated sell up to [] of the Companys common stock, par value $0.0001 per share, at a minimum market price of $[] per share, during the time period beginning [month, day, time] and ending [month, day, time].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2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Compensation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to the Agent in cash, upon each sale of Placement Shares through the Agent pursuant to this Agreement, an amount up to (three percent) 3.0% of the aggregate gross proceeds from each sale of Placement Shares.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3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Parties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The Company </w:t>
      </w:r>
    </w:p>
    <w:p>
      <w:pPr>
        <w:pStyle w:val="TextBody"/>
        <w:bidi w:val="0"/>
        <w:spacing w:before="120" w:after="0"/>
        <w:jc w:val="left"/>
        <w:rPr>
          <w:rFonts w:ascii="Times New Roman" w:hAnsi="Times New Roman"/>
          <w:sz w:val="20"/>
        </w:rPr>
      </w:pPr>
      <w:r>
        <w:rPr>
          <w:rFonts w:ascii="Times New Roman" w:hAnsi="Times New Roman"/>
          <w:sz w:val="20"/>
        </w:rPr>
        <w:t xml:space="preserve">Rajesh Vashist (rvashist@sitime.com) </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The Agent </w:t>
      </w:r>
    </w:p>
    <w:p>
      <w:pPr>
        <w:pStyle w:val="TextBody"/>
        <w:bidi w:val="0"/>
        <w:spacing w:before="120" w:after="0"/>
        <w:jc w:val="left"/>
        <w:rPr>
          <w:rFonts w:ascii="Times New Roman" w:hAnsi="Times New Roman"/>
          <w:i/>
          <w:sz w:val="20"/>
        </w:rPr>
      </w:pPr>
      <w:r>
        <w:rPr>
          <w:rFonts w:ascii="Times New Roman" w:hAnsi="Times New Roman"/>
          <w:i/>
          <w:sz w:val="20"/>
        </w:rPr>
        <w:t xml:space="preserve">c/o Stifel, Nicolaus &amp; Company, Incorporated </w:t>
      </w:r>
    </w:p>
    <w:p>
      <w:pPr>
        <w:pStyle w:val="TextBody"/>
        <w:bidi w:val="0"/>
        <w:spacing w:before="240" w:after="0"/>
        <w:jc w:val="left"/>
        <w:rPr>
          <w:rFonts w:ascii="Times New Roman" w:hAnsi="Times New Roman"/>
          <w:sz w:val="20"/>
        </w:rPr>
      </w:pPr>
      <w:r>
        <w:rPr>
          <w:rFonts w:ascii="Times New Roman" w:hAnsi="Times New Roman"/>
          <w:sz w:val="20"/>
        </w:rPr>
        <w:t xml:space="preserve">Dan Covatta (dcovatta@stifel.com) </w:t>
      </w:r>
    </w:p>
    <w:p>
      <w:pPr>
        <w:pStyle w:val="TextBody"/>
        <w:bidi w:val="0"/>
        <w:spacing w:before="240" w:after="0"/>
        <w:jc w:val="left"/>
        <w:rPr>
          <w:rFonts w:ascii="Times New Roman" w:hAnsi="Times New Roman"/>
          <w:sz w:val="20"/>
        </w:rPr>
      </w:pPr>
      <w:r>
        <w:rPr>
          <w:rFonts w:ascii="Times New Roman" w:hAnsi="Times New Roman"/>
          <w:sz w:val="20"/>
        </w:rPr>
        <w:t xml:space="preserve">With copies to: </w:t>
      </w:r>
    </w:p>
    <w:p>
      <w:pPr>
        <w:pStyle w:val="TextBody"/>
        <w:bidi w:val="0"/>
        <w:spacing w:before="120" w:after="0"/>
        <w:jc w:val="left"/>
        <w:rPr>
          <w:rFonts w:ascii="Times New Roman" w:hAnsi="Times New Roman"/>
          <w:sz w:val="20"/>
        </w:rPr>
      </w:pPr>
      <w:r>
        <w:rPr>
          <w:rFonts w:ascii="Times New Roman" w:hAnsi="Times New Roman"/>
          <w:sz w:val="20"/>
        </w:rPr>
        <w:t xml:space="preserve">jashaduk@stifel.com </w:t>
      </w:r>
    </w:p>
    <w:p>
      <w:pPr>
        <w:pStyle w:val="TextBody"/>
        <w:bidi w:val="0"/>
        <w:spacing w:before="240" w:after="0"/>
        <w:jc w:val="left"/>
        <w:rPr>
          <w:rFonts w:ascii="Times New Roman" w:hAnsi="Times New Roman"/>
          <w:sz w:val="20"/>
        </w:rPr>
      </w:pPr>
      <w:r>
        <w:rPr>
          <w:rFonts w:ascii="Times New Roman" w:hAnsi="Times New Roman"/>
          <w:sz w:val="20"/>
        </w:rPr>
        <w:t xml:space="preserve">sahill@stifel.com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Subsidiaries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16"/>
        <w:gridCol w:w="122"/>
        <w:gridCol w:w="4867"/>
      </w:tblGrid>
      <w:tr>
        <w:trPr/>
        <w:tc>
          <w:tcPr>
            <w:tcW w:w="521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7" w:type="dxa"/>
            <w:tcBorders/>
            <w:vAlign w:val="center"/>
          </w:tcPr>
          <w:p>
            <w:pPr>
              <w:pStyle w:val="TableContents"/>
              <w:bidi w:val="0"/>
              <w:spacing w:before="0" w:after="283"/>
              <w:jc w:val="left"/>
              <w:rPr>
                <w:sz w:val="4"/>
                <w:szCs w:val="4"/>
              </w:rPr>
            </w:pPr>
            <w:r>
              <w:rPr>
                <w:sz w:val="4"/>
                <w:szCs w:val="4"/>
              </w:rPr>
            </w:r>
          </w:p>
        </w:tc>
      </w:tr>
      <w:tr>
        <w:trPr/>
        <w:tc>
          <w:tcPr>
            <w:tcW w:w="521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Subsidiary</w:t>
            </w:r>
          </w:p>
        </w:tc>
        <w:tc>
          <w:tcPr>
            <w:tcW w:w="122" w:type="dxa"/>
            <w:tcBorders/>
            <w:vAlign w:val="bottom"/>
          </w:tcPr>
          <w:p>
            <w:pPr>
              <w:pStyle w:val="TableContents"/>
              <w:bidi w:val="0"/>
              <w:spacing w:before="0" w:after="283"/>
              <w:jc w:val="left"/>
              <w:rPr/>
            </w:pPr>
            <w:r>
              <w:rPr/>
              <w:t>  </w:t>
            </w:r>
          </w:p>
        </w:tc>
        <w:tc>
          <w:tcPr>
            <w:tcW w:w="486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Jurisdiction</w:t>
            </w:r>
          </w:p>
        </w:tc>
      </w:tr>
      <w:tr>
        <w:trPr/>
        <w:tc>
          <w:tcPr>
            <w:tcW w:w="5216" w:type="dxa"/>
            <w:tcBorders/>
          </w:tcPr>
          <w:p>
            <w:pPr>
              <w:pStyle w:val="TableContents"/>
              <w:bidi w:val="0"/>
              <w:spacing w:before="0" w:after="283"/>
              <w:jc w:val="left"/>
              <w:rPr/>
            </w:pPr>
            <w:r>
              <w:rPr/>
              <w:t>SiTime Ukraine, LLC</w:t>
            </w:r>
          </w:p>
        </w:tc>
        <w:tc>
          <w:tcPr>
            <w:tcW w:w="122"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center"/>
              <w:rPr/>
            </w:pPr>
            <w:r>
              <w:rPr/>
              <w:t>Ukraine</w:t>
            </w:r>
          </w:p>
        </w:tc>
      </w:tr>
      <w:tr>
        <w:trPr/>
        <w:tc>
          <w:tcPr>
            <w:tcW w:w="5216" w:type="dxa"/>
            <w:tcBorders/>
          </w:tcPr>
          <w:p>
            <w:pPr>
              <w:pStyle w:val="TableContents"/>
              <w:bidi w:val="0"/>
              <w:spacing w:before="0" w:after="283"/>
              <w:jc w:val="left"/>
              <w:rPr/>
            </w:pPr>
            <w:r>
              <w:rPr/>
              <w:t>SiTime Netherlands, B.V.</w:t>
            </w:r>
          </w:p>
        </w:tc>
        <w:tc>
          <w:tcPr>
            <w:tcW w:w="122"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center"/>
              <w:rPr/>
            </w:pPr>
            <w:r>
              <w:rPr/>
              <w:t>Netherlands</w:t>
            </w:r>
          </w:p>
        </w:tc>
      </w:tr>
      <w:tr>
        <w:trPr/>
        <w:tc>
          <w:tcPr>
            <w:tcW w:w="5216" w:type="dxa"/>
            <w:tcBorders/>
          </w:tcPr>
          <w:p>
            <w:pPr>
              <w:pStyle w:val="TableContents"/>
              <w:bidi w:val="0"/>
              <w:spacing w:before="0" w:after="283"/>
              <w:jc w:val="left"/>
              <w:rPr/>
            </w:pPr>
            <w:r>
              <w:rPr/>
              <w:t>SiTime Japan GK</w:t>
            </w:r>
          </w:p>
        </w:tc>
        <w:tc>
          <w:tcPr>
            <w:tcW w:w="122"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center"/>
              <w:rPr/>
            </w:pPr>
            <w:r>
              <w:rPr/>
              <w:t>Japan</w:t>
            </w:r>
          </w:p>
        </w:tc>
      </w:tr>
      <w:tr>
        <w:trPr/>
        <w:tc>
          <w:tcPr>
            <w:tcW w:w="5216" w:type="dxa"/>
            <w:tcBorders/>
          </w:tcPr>
          <w:p>
            <w:pPr>
              <w:pStyle w:val="TableContents"/>
              <w:bidi w:val="0"/>
              <w:spacing w:before="0" w:after="283"/>
              <w:jc w:val="left"/>
              <w:rPr/>
            </w:pPr>
            <w:r>
              <w:rPr/>
              <w:t>SiTime France</w:t>
            </w:r>
          </w:p>
        </w:tc>
        <w:tc>
          <w:tcPr>
            <w:tcW w:w="122"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center"/>
              <w:rPr/>
            </w:pPr>
            <w:r>
              <w:rPr/>
              <w:t>France</w:t>
            </w:r>
          </w:p>
        </w:tc>
      </w:tr>
      <w:tr>
        <w:trPr/>
        <w:tc>
          <w:tcPr>
            <w:tcW w:w="5216" w:type="dxa"/>
            <w:tcBorders/>
          </w:tcPr>
          <w:p>
            <w:pPr>
              <w:pStyle w:val="TableContents"/>
              <w:bidi w:val="0"/>
              <w:spacing w:before="0" w:after="283"/>
              <w:jc w:val="left"/>
              <w:rPr/>
            </w:pPr>
            <w:r>
              <w:rPr/>
              <w:t>SiTime Malaysia SDN. BHD.</w:t>
            </w:r>
          </w:p>
        </w:tc>
        <w:tc>
          <w:tcPr>
            <w:tcW w:w="122"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center"/>
              <w:rPr/>
            </w:pPr>
            <w:r>
              <w:rPr/>
              <w:t>Malaysia</w:t>
            </w:r>
          </w:p>
        </w:tc>
      </w:tr>
      <w:tr>
        <w:trPr/>
        <w:tc>
          <w:tcPr>
            <w:tcW w:w="5216" w:type="dxa"/>
            <w:tcBorders/>
          </w:tcPr>
          <w:p>
            <w:pPr>
              <w:pStyle w:val="TableContents"/>
              <w:bidi w:val="0"/>
              <w:spacing w:before="0" w:after="283"/>
              <w:jc w:val="left"/>
              <w:rPr/>
            </w:pPr>
            <w:r>
              <w:rPr/>
              <w:t>SiTime Taiwan Limited</w:t>
            </w:r>
          </w:p>
        </w:tc>
        <w:tc>
          <w:tcPr>
            <w:tcW w:w="122"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center"/>
              <w:rPr/>
            </w:pPr>
            <w:r>
              <w:rPr/>
              <w:t>Taiwan</w:t>
            </w:r>
          </w:p>
        </w:tc>
      </w:tr>
      <w:tr>
        <w:trPr/>
        <w:tc>
          <w:tcPr>
            <w:tcW w:w="5216" w:type="dxa"/>
            <w:tcBorders/>
          </w:tcPr>
          <w:p>
            <w:pPr>
              <w:pStyle w:val="TableContents"/>
              <w:bidi w:val="0"/>
              <w:spacing w:before="0" w:after="283"/>
              <w:jc w:val="left"/>
              <w:rPr/>
            </w:pPr>
            <w:r>
              <w:rPr/>
              <w:t>SiTime Finland Oy</w:t>
            </w:r>
          </w:p>
        </w:tc>
        <w:tc>
          <w:tcPr>
            <w:tcW w:w="122"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center"/>
              <w:rPr/>
            </w:pPr>
            <w:r>
              <w:rPr/>
              <w:t>Finland</w:t>
            </w:r>
          </w:p>
        </w:tc>
      </w:tr>
      <w:tr>
        <w:trPr/>
        <w:tc>
          <w:tcPr>
            <w:tcW w:w="5216" w:type="dxa"/>
            <w:tcBorders/>
          </w:tcPr>
          <w:p>
            <w:pPr>
              <w:pStyle w:val="TableContents"/>
              <w:bidi w:val="0"/>
              <w:spacing w:before="0" w:after="283"/>
              <w:jc w:val="left"/>
              <w:rPr/>
            </w:pPr>
            <w:r>
              <w:rPr/>
              <w:t>SiTime Korea Ltd.</w:t>
            </w:r>
          </w:p>
        </w:tc>
        <w:tc>
          <w:tcPr>
            <w:tcW w:w="122"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center"/>
              <w:rPr/>
            </w:pPr>
            <w:r>
              <w:rPr/>
              <w:t>South Korea</w:t>
            </w:r>
          </w:p>
        </w:tc>
      </w:tr>
      <w:tr>
        <w:trPr/>
        <w:tc>
          <w:tcPr>
            <w:tcW w:w="5216" w:type="dxa"/>
            <w:tcBorders/>
          </w:tcPr>
          <w:p>
            <w:pPr>
              <w:pStyle w:val="TableContents"/>
              <w:bidi w:val="0"/>
              <w:spacing w:before="0" w:after="283"/>
              <w:jc w:val="left"/>
              <w:rPr/>
            </w:pPr>
            <w:r>
              <w:rPr/>
              <w:t>SiTime India Semiconductor Private Limited</w:t>
            </w:r>
          </w:p>
        </w:tc>
        <w:tc>
          <w:tcPr>
            <w:tcW w:w="122"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center"/>
              <w:rPr/>
            </w:pPr>
            <w:r>
              <w:rPr/>
              <w:t>India</w:t>
            </w:r>
          </w:p>
        </w:tc>
      </w:tr>
      <w:tr>
        <w:trPr/>
        <w:tc>
          <w:tcPr>
            <w:tcW w:w="5216" w:type="dxa"/>
            <w:tcBorders/>
          </w:tcPr>
          <w:p>
            <w:pPr>
              <w:pStyle w:val="TableContents"/>
              <w:bidi w:val="0"/>
              <w:spacing w:before="0" w:after="283"/>
              <w:jc w:val="left"/>
              <w:rPr/>
            </w:pPr>
            <w:r>
              <w:rPr/>
              <w:t>SiTime Germany GmbH</w:t>
            </w:r>
          </w:p>
        </w:tc>
        <w:tc>
          <w:tcPr>
            <w:tcW w:w="122" w:type="dxa"/>
            <w:tcBorders/>
            <w:vAlign w:val="bottom"/>
          </w:tcPr>
          <w:p>
            <w:pPr>
              <w:pStyle w:val="TableContents"/>
              <w:bidi w:val="0"/>
              <w:spacing w:before="0" w:after="283"/>
              <w:jc w:val="left"/>
              <w:rPr/>
            </w:pPr>
            <w:r>
              <w:rPr/>
              <w:t>  </w:t>
            </w:r>
          </w:p>
        </w:tc>
        <w:tc>
          <w:tcPr>
            <w:tcW w:w="4867" w:type="dxa"/>
            <w:tcBorders/>
          </w:tcPr>
          <w:p>
            <w:pPr>
              <w:pStyle w:val="TableContents"/>
              <w:bidi w:val="0"/>
              <w:spacing w:before="0" w:after="283"/>
              <w:jc w:val="center"/>
              <w:rPr/>
            </w:pPr>
            <w:r>
              <w:rPr/>
              <w:t>Germany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SITIME 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EXECUTIVE OFFICERS CERTIFICATE </w:t>
      </w:r>
    </w:p>
    <w:p>
      <w:pPr>
        <w:pStyle w:val="TextBody"/>
        <w:bidi w:val="0"/>
        <w:spacing w:before="120" w:after="0"/>
        <w:jc w:val="center"/>
        <w:rPr>
          <w:rFonts w:ascii="Times New Roman" w:hAnsi="Times New Roman"/>
          <w:b/>
          <w:sz w:val="20"/>
        </w:rPr>
      </w:pP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undersigned, the duly qualified and elected Chief Financial Officer, of SiTime Corporation, a Delaware corporation (the </w:t>
      </w:r>
      <w:r>
        <w:rPr>
          <w:rFonts w:ascii="Times New Roman" w:hAnsi="Times New Roman"/>
          <w:sz w:val="20"/>
          <w:u w:val="single"/>
        </w:rPr>
        <w:t>Company</w:t>
      </w:r>
      <w:r>
        <w:rPr>
          <w:rFonts w:ascii="Times New Roman" w:hAnsi="Times New Roman"/>
          <w:sz w:val="20"/>
        </w:rPr>
        <w:t xml:space="preserve">), does hereby certify in such capacity and on behalf of the Company, pursuant to </w:t>
      </w:r>
      <w:r>
        <w:rPr>
          <w:rFonts w:ascii="Times New Roman" w:hAnsi="Times New Roman"/>
          <w:sz w:val="20"/>
          <w:u w:val="single"/>
        </w:rPr>
        <w:t>Section 7(l)</w:t>
      </w:r>
      <w:r>
        <w:rPr>
          <w:rFonts w:ascii="Times New Roman" w:hAnsi="Times New Roman"/>
          <w:sz w:val="20"/>
        </w:rPr>
        <w:t xml:space="preserve"> of the Sales Agreement, dated [], 2024 (the </w:t>
      </w:r>
      <w:r>
        <w:rPr>
          <w:rFonts w:ascii="Times New Roman" w:hAnsi="Times New Roman"/>
          <w:sz w:val="20"/>
          <w:u w:val="single"/>
        </w:rPr>
        <w:t>Sales Agreement</w:t>
      </w:r>
      <w:r>
        <w:rPr>
          <w:rFonts w:ascii="Times New Roman" w:hAnsi="Times New Roman"/>
          <w:sz w:val="20"/>
        </w:rPr>
        <w:t xml:space="preserve">), by and between the Company and Stifel, Nicolaus &amp; Company, Incorporated, that to the best of the knowledge of the undersigned: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(i)</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and warranties of the Company in Section 6 of the Sales Agreement (A) to the extent such representations and warranties are subject to qualifications and exceptions contained therein relating to materiality or Material Adverse effect, are true and correct on and as of the date hereof with the same force and effect as if expressly made on and as of the date hereof, except for those representations and warranties that speak solely as of a specific date and which were true and correct as of such date, and (B) to the extent that such representations and warranties are not subject to any qualifications or exceptions, are true and correct in all material respects as of the date hereof as if made on and as of the date hereof with the same force and effect as if expressly made on and as of the date hereof except for those representations and warranties that speak solely as of a specific date and which were true and correct as of such date; provided, however, that such representations and warranties also shall be qualified by the disclosure included or incorporated by reference in the Registration Statement and Prospectus;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complied with all agreements and satisfied all conditions on its part to be performed or satisfied pursuant to the Sales Agreement at or prior to the date 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Capitalized terms used herein without definition shall have the meanings given to such terms in the Sales Agreement.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SITIME CORPORATION</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36"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86" w:type="dxa"/>
            <w:tcBorders/>
            <w:vAlign w:val="bottom"/>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Elizabeth A. Howe</w:t>
            </w:r>
          </w:p>
        </w:tc>
      </w:tr>
      <w:tr>
        <w:trPr/>
        <w:tc>
          <w:tcPr>
            <w:tcW w:w="686" w:type="dxa"/>
            <w:tcBorders/>
            <w:vAlign w:val="bottom"/>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vAlign w:val="bottom"/>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1 </w:t>
      </w:r>
    </w:p>
    <w:p>
      <w:pPr>
        <w:pStyle w:val="TextBody"/>
        <w:bidi w:val="0"/>
        <w:spacing w:before="120" w:after="0"/>
        <w:jc w:val="center"/>
        <w:rPr>
          <w:rFonts w:ascii="Times New Roman" w:hAnsi="Times New Roman"/>
          <w:b/>
          <w:sz w:val="20"/>
        </w:rPr>
      </w:pPr>
      <w:r>
        <w:rPr>
          <w:rFonts w:ascii="Times New Roman" w:hAnsi="Times New Roman"/>
          <w:b/>
          <w:sz w:val="20"/>
        </w:rPr>
        <w:t xml:space="preserve">Permitted Free Writing Prospectus </w:t>
      </w:r>
    </w:p>
    <w:p>
      <w:pPr>
        <w:pStyle w:val="TextBody"/>
        <w:bidi w:val="0"/>
        <w:spacing w:before="240" w:after="0"/>
        <w:jc w:val="left"/>
        <w:rPr>
          <w:rFonts w:ascii="Times New Roman" w:hAnsi="Times New Roman"/>
          <w:sz w:val="20"/>
        </w:rPr>
      </w:pPr>
      <w:r>
        <w:rPr>
          <w:rFonts w:ascii="Times New Roman" w:hAnsi="Times New Roman"/>
          <w:sz w:val="20"/>
        </w:rPr>
        <w:t xml:space="preserve">None. </w:t>
      </w:r>
    </w:p>
    <w:p>
      <w:pPr>
        <w:pStyle w:val="TextBody"/>
        <w:bidi w:val="0"/>
        <w:spacing w:before="0" w:after="0"/>
        <w:jc w:val="right"/>
        <w:rPr>
          <w:rFonts w:ascii="Times New Roman" w:hAnsi="Times New Roman"/>
          <w:b/>
          <w:sz w:val="20"/>
        </w:rPr>
      </w:pPr>
      <w:bookmarkStart w:id="4" w:name="d777098dex51.htm"/>
      <w:bookmarkStart w:id="5" w:name="ksd777098dex51"/>
      <w:bookmarkEnd w:id="4"/>
      <w:bookmarkEnd w:id="5"/>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Matthew B. Hemington </w:t>
      </w:r>
    </w:p>
    <w:p>
      <w:pPr>
        <w:pStyle w:val="TextBody"/>
        <w:bidi w:val="0"/>
        <w:spacing w:before="0" w:after="0"/>
        <w:jc w:val="left"/>
        <w:rPr>
          <w:rFonts w:ascii="Times New Roman" w:hAnsi="Times New Roman"/>
          <w:sz w:val="20"/>
        </w:rPr>
      </w:pPr>
      <w:r>
        <w:rPr>
          <w:rFonts w:ascii="Times New Roman" w:hAnsi="Times New Roman"/>
          <w:sz w:val="20"/>
        </w:rPr>
        <w:t xml:space="preserve">T: +1 650 843 5062 </w:t>
      </w:r>
    </w:p>
    <w:p>
      <w:pPr>
        <w:pStyle w:val="TextBody"/>
        <w:bidi w:val="0"/>
        <w:spacing w:before="0" w:after="0"/>
        <w:jc w:val="left"/>
        <w:rPr>
          <w:rFonts w:ascii="Times New Roman" w:hAnsi="Times New Roman"/>
          <w:sz w:val="20"/>
        </w:rPr>
      </w:pPr>
      <w:r>
        <w:rPr>
          <w:rFonts w:ascii="Times New Roman" w:hAnsi="Times New Roman"/>
          <w:sz w:val="20"/>
        </w:rPr>
        <w:t xml:space="preserve">hemingtonmb@cooley.com </w:t>
      </w:r>
    </w:p>
    <w:p>
      <w:pPr>
        <w:pStyle w:val="TextBody"/>
        <w:bidi w:val="0"/>
        <w:spacing w:before="240" w:after="0"/>
        <w:jc w:val="left"/>
        <w:rPr>
          <w:rFonts w:ascii="Times New Roman" w:hAnsi="Times New Roman"/>
          <w:sz w:val="20"/>
        </w:rPr>
      </w:pPr>
      <w:r>
        <w:rPr>
          <w:rFonts w:ascii="Times New Roman" w:hAnsi="Times New Roman"/>
          <w:sz w:val="20"/>
        </w:rPr>
        <w:t xml:space="preserve">February 27, 2024 </w:t>
      </w:r>
    </w:p>
    <w:p>
      <w:pPr>
        <w:pStyle w:val="TextBody"/>
        <w:bidi w:val="0"/>
        <w:spacing w:before="240" w:after="0"/>
        <w:jc w:val="left"/>
        <w:rPr>
          <w:rFonts w:ascii="Times New Roman" w:hAnsi="Times New Roman"/>
          <w:sz w:val="20"/>
        </w:rPr>
      </w:pPr>
      <w:r>
        <w:rPr>
          <w:rFonts w:ascii="Times New Roman" w:hAnsi="Times New Roman"/>
          <w:sz w:val="20"/>
        </w:rPr>
        <w:t xml:space="preserve">SiTime Corporation </w:t>
      </w:r>
    </w:p>
    <w:p>
      <w:pPr>
        <w:pStyle w:val="TextBody"/>
        <w:bidi w:val="0"/>
        <w:spacing w:before="0" w:after="0"/>
        <w:jc w:val="left"/>
        <w:rPr>
          <w:rFonts w:ascii="Times New Roman" w:hAnsi="Times New Roman"/>
          <w:sz w:val="20"/>
        </w:rPr>
      </w:pPr>
      <w:r>
        <w:rPr>
          <w:rFonts w:ascii="Times New Roman" w:hAnsi="Times New Roman"/>
          <w:sz w:val="20"/>
        </w:rPr>
        <w:t xml:space="preserve">5451 Patrick Henry Drive </w:t>
      </w:r>
    </w:p>
    <w:p>
      <w:pPr>
        <w:pStyle w:val="TextBody"/>
        <w:bidi w:val="0"/>
        <w:spacing w:before="0" w:after="0"/>
        <w:jc w:val="left"/>
        <w:rPr>
          <w:rFonts w:ascii="Times New Roman" w:hAnsi="Times New Roman"/>
          <w:sz w:val="20"/>
        </w:rPr>
      </w:pPr>
      <w:r>
        <w:rPr>
          <w:rFonts w:ascii="Times New Roman" w:hAnsi="Times New Roman"/>
          <w:sz w:val="20"/>
        </w:rPr>
        <w:t xml:space="preserve">Santa Clara, CA 95054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acted as counsel to SiTime Corporation, a Delaware corporation (the </w:t>
      </w:r>
      <w:r>
        <w:rPr>
          <w:rFonts w:ascii="Times New Roman" w:hAnsi="Times New Roman"/>
          <w:b/>
          <w:i/>
          <w:sz w:val="20"/>
        </w:rPr>
        <w:t>Company</w:t>
      </w:r>
      <w:r>
        <w:rPr>
          <w:rFonts w:ascii="Times New Roman" w:hAnsi="Times New Roman"/>
          <w:sz w:val="20"/>
        </w:rPr>
        <w:t>), in connection with the offering by the Company of up to 1,200,000 shares of the Companys common stock, par value $0.0001 (the </w:t>
      </w:r>
      <w:r>
        <w:rPr>
          <w:rFonts w:ascii="Times New Roman" w:hAnsi="Times New Roman"/>
          <w:b/>
          <w:i/>
          <w:sz w:val="20"/>
        </w:rPr>
        <w:t>Shares</w:t>
      </w:r>
      <w:r>
        <w:rPr>
          <w:rFonts w:ascii="Times New Roman" w:hAnsi="Times New Roman"/>
          <w:sz w:val="20"/>
        </w:rPr>
        <w:t>), pursuant to a Registration Statement on Form S-3 (File No. 333-277373) (the </w:t>
      </w:r>
      <w:r>
        <w:rPr>
          <w:rFonts w:ascii="Times New Roman" w:hAnsi="Times New Roman"/>
          <w:b/>
          <w:i/>
          <w:sz w:val="20"/>
        </w:rPr>
        <w:t>Registration Statement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under the Securities Act of 1933, as amended (the </w:t>
      </w:r>
      <w:r>
        <w:rPr>
          <w:rFonts w:ascii="Times New Roman" w:hAnsi="Times New Roman"/>
          <w:b/>
          <w:i/>
          <w:sz w:val="20"/>
        </w:rPr>
        <w:t>Securities Act</w:t>
      </w:r>
      <w:r>
        <w:rPr>
          <w:rFonts w:ascii="Times New Roman" w:hAnsi="Times New Roman"/>
          <w:sz w:val="20"/>
        </w:rPr>
        <w:t>), the prospectus included in the Registration Statement (the </w:t>
      </w:r>
      <w:r>
        <w:rPr>
          <w:rFonts w:ascii="Times New Roman" w:hAnsi="Times New Roman"/>
          <w:b/>
          <w:i/>
          <w:sz w:val="20"/>
        </w:rPr>
        <w:t>Base Prospectus</w:t>
      </w:r>
      <w:r>
        <w:rPr>
          <w:rFonts w:ascii="Times New Roman" w:hAnsi="Times New Roman"/>
          <w:sz w:val="20"/>
        </w:rPr>
        <w:t>), and the prospectus supplement dated February 27, 2024, filed with the Commission pursuant to Rule 424(b) under the Act (together with the Base Prospectus, the </w:t>
      </w:r>
      <w:r>
        <w:rPr>
          <w:rFonts w:ascii="Times New Roman" w:hAnsi="Times New Roman"/>
          <w:b/>
          <w:i/>
          <w:sz w:val="20"/>
        </w:rPr>
        <w:t>Prospectus</w:t>
      </w:r>
      <w:r>
        <w:rPr>
          <w:rFonts w:ascii="Times New Roman" w:hAnsi="Times New Roman"/>
          <w:sz w:val="20"/>
        </w:rPr>
        <w:t>). The Shares are to be sold by the Company in accordance with the Sales Agreement, dated February 27, 2024, by and between the Company and Stifel, Nicolaus &amp; Company, Incorporated (the </w:t>
      </w:r>
      <w:r>
        <w:rPr>
          <w:rFonts w:ascii="Times New Roman" w:hAnsi="Times New Roman"/>
          <w:b/>
          <w:i/>
          <w:sz w:val="20"/>
        </w:rPr>
        <w:t>Agreement</w:t>
      </w:r>
      <w:r>
        <w:rPr>
          <w:rFonts w:ascii="Times New Roman" w:hAnsi="Times New Roman"/>
          <w:sz w:val="20"/>
        </w:rPr>
        <w:t xml:space="preserve">), as described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and the Prospectus, the Agreement,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We have assumed (i) that each sale of Shares will be duly authorized by the Board of Directors of the Company, a duly authorized committee thereof or a person or body pursuant to an authorization granted in accordance with Section 152 of the General Corporation Law of the State of Delaware (the </w:t>
      </w:r>
      <w:r>
        <w:rPr>
          <w:rFonts w:ascii="Times New Roman" w:hAnsi="Times New Roman"/>
          <w:b/>
          <w:i/>
          <w:sz w:val="20"/>
        </w:rPr>
        <w:t>DGCL</w:t>
      </w:r>
      <w:r>
        <w:rPr>
          <w:rFonts w:ascii="Times New Roman" w:hAnsi="Times New Roman"/>
          <w:sz w:val="20"/>
        </w:rPr>
        <w:t xml:space="preserve">), (ii) that no more than 1,200,000 Shares will be sold under the Agreement pursuant to the Prospectus and (iii) that the price at which the Shares are sold will equal or exceed the par value of the Shares. We express no opinion to the extent that future issuances of securities of the Company, anti-dilution adjustments to outstanding securities of the Company or other matters cause the number of shares of the Companys common stock issuable under the Agreement to exceed the number of shares of common stock available for issuance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DGCL.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and subject to the qualifications stated herein, we are of the opinion that the Shares, when sold and issued against payment therefor in accordance with the Agreement, the Registration Statement and the Prospectus, will be validly issued, fully paid, and nonassessable.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LLP 3175 Hanover Street  Palo Alto, CA 94304-1130 </w:t>
      </w:r>
    </w:p>
    <w:p>
      <w:pPr>
        <w:pStyle w:val="TextBody"/>
        <w:bidi w:val="0"/>
        <w:spacing w:before="0" w:after="0"/>
        <w:jc w:val="center"/>
        <w:rPr>
          <w:rFonts w:ascii="Times New Roman" w:hAnsi="Times New Roman"/>
          <w:sz w:val="20"/>
        </w:rPr>
      </w:pPr>
      <w:r>
        <w:rPr>
          <w:rFonts w:ascii="Times New Roman" w:hAnsi="Times New Roman"/>
          <w:sz w:val="20"/>
        </w:rPr>
        <w:t xml:space="preserve">t: (650) 843-5000 f: (650) 849-7400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SiTime Corporation </w:t>
      </w:r>
    </w:p>
    <w:p>
      <w:pPr>
        <w:pStyle w:val="TextBody"/>
        <w:bidi w:val="0"/>
        <w:spacing w:before="0" w:after="0"/>
        <w:jc w:val="left"/>
        <w:rPr>
          <w:rFonts w:ascii="Times New Roman" w:hAnsi="Times New Roman"/>
          <w:sz w:val="20"/>
        </w:rPr>
      </w:pPr>
      <w:r>
        <w:rPr>
          <w:rFonts w:ascii="Times New Roman" w:hAnsi="Times New Roman"/>
          <w:sz w:val="20"/>
        </w:rPr>
        <w:t xml:space="preserve">February 27, 2024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This opinion is limited to the matters expressly stated herein, and no opinion has been or should be implied, or may be inferred, beyond the matters expressly stated. This opinion speaks only as to law and facts in effect or existing on the date hereof, and we have no obligation or responsibility to update or supplement this letter to reflect any facts or circumstances that may hereafter may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heading Legal Matters in the Prospectus and to the filing of this opinion as an exhibit to the Companys Current Report on Form 8-K to be filed with the Commission for incorporation by reference into the Registration Statement. In giving such consent, we do not thereby admit that we are in the category of persons whose consent is required under Section 7 of the Securities Act, or the rules and regulations of the Commission thereunder.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50"/>
        <w:gridCol w:w="60"/>
        <w:gridCol w:w="3672"/>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Cooley LLP</w:t>
            </w:r>
          </w:p>
        </w:tc>
      </w:tr>
      <w:tr>
        <w:trPr>
          <w:trHeight w:val="240" w:hRule="atLeast"/>
        </w:trPr>
        <w:tc>
          <w:tcPr>
            <w:tcW w:w="350" w:type="dxa"/>
            <w:tcBorders/>
            <w:vAlign w:val="center"/>
          </w:tcPr>
          <w:p>
            <w:pPr>
              <w:pStyle w:val="TableContents"/>
              <w:bidi w:val="0"/>
              <w:spacing w:before="0" w:after="283"/>
              <w:jc w:val="left"/>
              <w:rPr>
                <w:sz w:val="4"/>
                <w:szCs w:val="4"/>
              </w:rPr>
            </w:pPr>
            <w:r>
              <w:rPr>
                <w:sz w:val="4"/>
                <w:szCs w:val="4"/>
              </w:rPr>
            </w:r>
          </w:p>
        </w:tc>
        <w:tc>
          <w:tcPr>
            <w:tcW w:w="3732" w:type="dxa"/>
            <w:gridSpan w:val="2"/>
            <w:tcBorders/>
            <w:vAlign w:val="center"/>
          </w:tcPr>
          <w:p>
            <w:pPr>
              <w:pStyle w:val="TableContents"/>
              <w:bidi w:val="0"/>
              <w:spacing w:before="0" w:after="283"/>
              <w:jc w:val="left"/>
              <w:rPr>
                <w:sz w:val="4"/>
                <w:szCs w:val="4"/>
              </w:rPr>
            </w:pPr>
            <w:r>
              <w:rPr>
                <w:sz w:val="4"/>
                <w:szCs w:val="4"/>
              </w:rPr>
            </w:r>
          </w:p>
        </w:tc>
      </w:tr>
      <w:tr>
        <w:trPr/>
        <w:tc>
          <w:tcPr>
            <w:tcW w:w="35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2" w:type="dxa"/>
            <w:tcBorders>
              <w:bottom w:val="single" w:sz="2" w:space="0" w:color="000000"/>
            </w:tcBorders>
            <w:tcMar>
              <w:bottom w:w="28" w:type="dxa"/>
            </w:tcMar>
          </w:tcPr>
          <w:p>
            <w:pPr>
              <w:pStyle w:val="TableContents"/>
              <w:bidi w:val="0"/>
              <w:spacing w:before="0" w:after="283"/>
              <w:jc w:val="left"/>
              <w:rPr/>
            </w:pPr>
            <w:r>
              <w:rPr/>
              <w:t>/s/ Matthew B. Hemington</w:t>
            </w:r>
          </w:p>
        </w:tc>
      </w:tr>
      <w:tr>
        <w:trPr/>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2" w:type="dxa"/>
            <w:tcBorders/>
            <w:vAlign w:val="bottom"/>
          </w:tcPr>
          <w:p>
            <w:pPr>
              <w:pStyle w:val="TableContents"/>
              <w:bidi w:val="0"/>
              <w:spacing w:before="0" w:after="283"/>
              <w:jc w:val="left"/>
              <w:rPr>
                <w:b/>
              </w:rPr>
            </w:pPr>
            <w:r>
              <w:rPr>
                <w:b/>
              </w:rPr>
              <w:t>Matthew B. Hemington</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Cooley LLP 3175 Hanover Street  Palo Alto, CA 94304-1130 </w:t>
      </w:r>
    </w:p>
    <w:p>
      <w:pPr>
        <w:pStyle w:val="TextBody"/>
        <w:bidi w:val="0"/>
        <w:spacing w:before="0" w:after="0"/>
        <w:jc w:val="center"/>
        <w:rPr>
          <w:rFonts w:ascii="Times New Roman" w:hAnsi="Times New Roman"/>
          <w:sz w:val="20"/>
        </w:rPr>
      </w:pPr>
      <w:r>
        <w:rPr>
          <w:rFonts w:ascii="Times New Roman" w:hAnsi="Times New Roman"/>
          <w:sz w:val="20"/>
        </w:rPr>
        <w:t xml:space="preserve">t: (650) 843-5000 f: (650) 849-7400 cooley.com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51</Pages>
  <Words>24051</Words>
  <Characters>123998</Characters>
  <CharactersWithSpaces>147611</CharactersWithSpaces>
  <Paragraphs>573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