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33" w:lineRule="auto"/>
        <w:rPr>
          <w:sz w:val="20"/>
          <w:szCs w:val="20"/>
          <w:color w:val="auto"/>
        </w:rPr>
      </w:pPr>
      <w:r>
        <w:rPr>
          <w:rFonts w:ascii="Arial" w:cs="Arial" w:eastAsia="Arial" w:hAnsi="Arial"/>
          <w:sz w:val="27"/>
          <w:szCs w:val="27"/>
          <w:b w:val="1"/>
          <w:bCs w:val="1"/>
          <w:color w:val="auto"/>
        </w:rPr>
        <w:t>SECURITIES AND EXCHANGE COMMISSION</w:t>
      </w:r>
    </w:p>
    <w:p>
      <w:pPr>
        <w:ind w:left="476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34925</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48"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43180</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5" w:lineRule="exact"/>
        <w:rPr>
          <w:rFonts w:ascii="MS PGothic" w:cs="MS PGothic" w:eastAsia="MS PGothic" w:hAnsi="MS PGothic"/>
          <w:sz w:val="18"/>
          <w:szCs w:val="18"/>
          <w:color w:val="auto"/>
          <w:highlight w:val="black"/>
        </w:rPr>
      </w:pPr>
    </w:p>
    <w:p>
      <w:pPr>
        <w:ind w:left="41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2021</w:t>
      </w:r>
    </w:p>
    <w:p>
      <w:pPr>
        <w:spacing w:after="0" w:line="8"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OR</w:t>
      </w:r>
    </w:p>
    <w:p>
      <w:pPr>
        <w:spacing w:after="0" w:line="18" w:lineRule="exact"/>
        <w:rPr>
          <w:rFonts w:ascii="MS PGothic" w:cs="MS PGothic" w:eastAsia="MS PGothic" w:hAnsi="MS PGothic"/>
          <w:sz w:val="18"/>
          <w:szCs w:val="18"/>
          <w:color w:val="auto"/>
          <w:highlight w:val="black"/>
        </w:rPr>
      </w:pPr>
    </w:p>
    <w:p>
      <w:pPr>
        <w:ind w:left="480" w:hanging="459"/>
        <w:spacing w:after="0" w:line="228" w:lineRule="auto"/>
        <w:tabs>
          <w:tab w:leader="none" w:pos="480"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ind w:left="480"/>
        <w:spacing w:after="0"/>
        <w:tabs>
          <w:tab w:leader="none" w:pos="3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31750</wp:posOffset>
            </wp:positionV>
            <wp:extent cx="2108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8" w:lineRule="exact"/>
        <w:rPr>
          <w:sz w:val="24"/>
          <w:szCs w:val="24"/>
          <w:color w:val="auto"/>
        </w:rPr>
      </w:pPr>
    </w:p>
    <w:tbl>
      <w:tblPr>
        <w:tblLayout w:type="fixed"/>
        <w:tblInd w:w="1620" w:type="dxa"/>
        <w:tblCellMar>
          <w:top w:w="0" w:type="dxa"/>
          <w:left w:w="0" w:type="dxa"/>
          <w:bottom w:w="0" w:type="dxa"/>
          <w:right w:w="0" w:type="dxa"/>
        </w:tblCellMar>
      </w:tblPr>
      <w:tr>
        <w:trPr>
          <w:trHeight w:val="437"/>
        </w:trPr>
        <w:tc>
          <w:tcPr>
            <w:tcW w:w="2340" w:type="dxa"/>
            <w:vAlign w:val="bottom"/>
          </w:tcPr>
          <w:p>
            <w:pPr>
              <w:spacing w:after="0"/>
              <w:rPr>
                <w:sz w:val="24"/>
                <w:szCs w:val="24"/>
                <w:color w:val="auto"/>
              </w:rPr>
            </w:pPr>
          </w:p>
        </w:tc>
        <w:tc>
          <w:tcPr>
            <w:tcW w:w="3700" w:type="dxa"/>
            <w:vAlign w:val="bottom"/>
            <w:gridSpan w:val="2"/>
          </w:tcPr>
          <w:p>
            <w:pPr>
              <w:jc w:val="center"/>
              <w:ind w:right="360"/>
              <w:spacing w:after="0"/>
              <w:rPr>
                <w:sz w:val="20"/>
                <w:szCs w:val="20"/>
                <w:color w:val="auto"/>
              </w:rPr>
            </w:pPr>
            <w:r>
              <w:rPr>
                <w:rFonts w:ascii="Arial" w:cs="Arial" w:eastAsia="Arial" w:hAnsi="Arial"/>
                <w:sz w:val="38"/>
                <w:szCs w:val="38"/>
                <w:b w:val="1"/>
                <w:bCs w:val="1"/>
                <w:color w:val="auto"/>
                <w:w w:val="92"/>
              </w:rPr>
              <w:t>SiTime Corporation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40" w:type="dxa"/>
            <w:vAlign w:val="bottom"/>
            <w:gridSpan w:val="3"/>
          </w:tcPr>
          <w:p>
            <w:pPr>
              <w:jc w:val="center"/>
              <w:ind w:left="1842"/>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040" w:type="dxa"/>
            <w:vAlign w:val="bottom"/>
            <w:gridSpan w:val="3"/>
          </w:tcPr>
          <w:p>
            <w:pPr>
              <w:jc w:val="center"/>
              <w:ind w:right="3640"/>
              <w:spacing w:after="0" w:line="201" w:lineRule="exact"/>
              <w:rPr>
                <w:sz w:val="20"/>
                <w:szCs w:val="20"/>
                <w:color w:val="auto"/>
              </w:rPr>
            </w:pPr>
            <w:r>
              <w:rPr>
                <w:rFonts w:ascii="Arial" w:cs="Arial" w:eastAsia="Arial" w:hAnsi="Arial"/>
                <w:sz w:val="18"/>
                <w:szCs w:val="18"/>
                <w:b w:val="1"/>
                <w:bCs w:val="1"/>
                <w:color w:val="auto"/>
                <w:w w:val="91"/>
              </w:rPr>
              <w:t>Delaware</w:t>
            </w:r>
          </w:p>
        </w:tc>
        <w:tc>
          <w:tcPr>
            <w:tcW w:w="1340" w:type="dxa"/>
            <w:vAlign w:val="bottom"/>
          </w:tcPr>
          <w:p>
            <w:pPr>
              <w:jc w:val="right"/>
              <w:ind w:right="63"/>
              <w:spacing w:after="0" w:line="201" w:lineRule="exact"/>
              <w:rPr>
                <w:sz w:val="20"/>
                <w:szCs w:val="20"/>
                <w:color w:val="auto"/>
              </w:rPr>
            </w:pPr>
            <w:r>
              <w:rPr>
                <w:rFonts w:ascii="Arial" w:cs="Arial" w:eastAsia="Arial" w:hAnsi="Arial"/>
                <w:sz w:val="18"/>
                <w:szCs w:val="18"/>
                <w:b w:val="1"/>
                <w:bCs w:val="1"/>
                <w:color w:val="auto"/>
              </w:rPr>
              <w:t>02-0713868</w:t>
            </w:r>
          </w:p>
        </w:tc>
        <w:tc>
          <w:tcPr>
            <w:tcW w:w="0" w:type="dxa"/>
            <w:vAlign w:val="bottom"/>
          </w:tcPr>
          <w:p>
            <w:pPr>
              <w:spacing w:after="0"/>
              <w:rPr>
                <w:sz w:val="1"/>
                <w:szCs w:val="1"/>
                <w:color w:val="auto"/>
              </w:rPr>
            </w:pPr>
          </w:p>
        </w:tc>
      </w:tr>
      <w:tr>
        <w:trPr>
          <w:trHeight w:val="144"/>
        </w:trPr>
        <w:tc>
          <w:tcPr>
            <w:tcW w:w="6040" w:type="dxa"/>
            <w:vAlign w:val="bottom"/>
            <w:gridSpan w:val="3"/>
          </w:tcPr>
          <w:p>
            <w:pPr>
              <w:jc w:val="center"/>
              <w:ind w:right="36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3"/>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62"/>
        </w:trPr>
        <w:tc>
          <w:tcPr>
            <w:tcW w:w="6040" w:type="dxa"/>
            <w:vAlign w:val="bottom"/>
            <w:gridSpan w:val="3"/>
          </w:tcPr>
          <w:p>
            <w:pPr>
              <w:jc w:val="center"/>
              <w:ind w:right="364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2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62"/>
        </w:trPr>
        <w:tc>
          <w:tcPr>
            <w:tcW w:w="6040" w:type="dxa"/>
            <w:vAlign w:val="bottom"/>
            <w:gridSpan w:val="3"/>
          </w:tcPr>
          <w:p>
            <w:pPr>
              <w:ind w:left="280"/>
              <w:spacing w:after="0" w:line="162" w:lineRule="exact"/>
              <w:rPr>
                <w:sz w:val="20"/>
                <w:szCs w:val="20"/>
                <w:color w:val="auto"/>
              </w:rPr>
            </w:pPr>
            <w:r>
              <w:rPr>
                <w:rFonts w:ascii="Arial" w:cs="Arial" w:eastAsia="Arial" w:hAnsi="Arial"/>
                <w:sz w:val="16"/>
                <w:szCs w:val="16"/>
                <w:b w:val="1"/>
                <w:bCs w:val="1"/>
                <w:color w:val="auto"/>
              </w:rPr>
              <w:t>5451 Patrick Henry Drive</w:t>
            </w:r>
          </w:p>
        </w:tc>
        <w:tc>
          <w:tcPr>
            <w:tcW w:w="1340" w:type="dxa"/>
            <w:vAlign w:val="bottom"/>
            <w:vMerge w:val="restart"/>
          </w:tcPr>
          <w:p>
            <w:pPr>
              <w:jc w:val="right"/>
              <w:ind w:right="283"/>
              <w:spacing w:after="0"/>
              <w:rPr>
                <w:sz w:val="20"/>
                <w:szCs w:val="20"/>
                <w:color w:val="auto"/>
              </w:rPr>
            </w:pPr>
            <w:r>
              <w:rPr>
                <w:rFonts w:ascii="Arial" w:cs="Arial" w:eastAsia="Arial" w:hAnsi="Arial"/>
                <w:sz w:val="16"/>
                <w:szCs w:val="16"/>
                <w:b w:val="1"/>
                <w:bCs w:val="1"/>
                <w:color w:val="auto"/>
              </w:rPr>
              <w:t>95054</w:t>
            </w:r>
          </w:p>
        </w:tc>
        <w:tc>
          <w:tcPr>
            <w:tcW w:w="0" w:type="dxa"/>
            <w:vAlign w:val="bottom"/>
          </w:tcPr>
          <w:p>
            <w:pPr>
              <w:spacing w:after="0"/>
              <w:rPr>
                <w:sz w:val="1"/>
                <w:szCs w:val="1"/>
                <w:color w:val="auto"/>
              </w:rPr>
            </w:pPr>
          </w:p>
        </w:tc>
      </w:tr>
      <w:tr>
        <w:trPr>
          <w:trHeight w:val="180"/>
        </w:trPr>
        <w:tc>
          <w:tcPr>
            <w:tcW w:w="6040" w:type="dxa"/>
            <w:vAlign w:val="bottom"/>
            <w:gridSpan w:val="3"/>
          </w:tcPr>
          <w:p>
            <w:pPr>
              <w:jc w:val="center"/>
              <w:ind w:right="3660"/>
              <w:spacing w:after="0" w:line="180" w:lineRule="exact"/>
              <w:rPr>
                <w:sz w:val="20"/>
                <w:szCs w:val="20"/>
                <w:color w:val="auto"/>
              </w:rPr>
            </w:pPr>
            <w:r>
              <w:rPr>
                <w:rFonts w:ascii="Arial" w:cs="Arial" w:eastAsia="Arial" w:hAnsi="Arial"/>
                <w:sz w:val="16"/>
                <w:szCs w:val="16"/>
                <w:b w:val="1"/>
                <w:bCs w:val="1"/>
                <w:color w:val="auto"/>
                <w:w w:val="94"/>
              </w:rPr>
              <w:t>Santa Clara, CA</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40" w:type="dxa"/>
            <w:vAlign w:val="bottom"/>
            <w:gridSpan w:val="3"/>
          </w:tcPr>
          <w:p>
            <w:pPr>
              <w:jc w:val="center"/>
              <w:ind w:right="36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30480</wp:posOffset>
            </wp:positionV>
            <wp:extent cx="2108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3"/>
        </w:trPr>
        <w:tc>
          <w:tcPr>
            <w:tcW w:w="4500" w:type="dxa"/>
            <w:vAlign w:val="bottom"/>
          </w:tcPr>
          <w:p>
            <w:pPr>
              <w:jc w:val="center"/>
              <w:spacing w:after="0"/>
              <w:rPr>
                <w:sz w:val="20"/>
                <w:szCs w:val="20"/>
                <w:color w:val="auto"/>
              </w:rPr>
            </w:pPr>
            <w:r>
              <w:rPr>
                <w:rFonts w:ascii="Arial" w:cs="Arial" w:eastAsia="Arial" w:hAnsi="Arial"/>
                <w:sz w:val="14"/>
                <w:szCs w:val="14"/>
                <w:color w:val="auto"/>
                <w:w w:val="91"/>
              </w:rPr>
              <w:t>Common Stock, $0.0001 par value per share</w:t>
            </w: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SITM</w:t>
            </w:r>
          </w:p>
        </w:tc>
        <w:tc>
          <w:tcPr>
            <w:tcW w:w="12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86"/>
        </w:trPr>
        <w:tc>
          <w:tcPr>
            <w:tcW w:w="450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spacing w:after="0"/>
              <w:rPr>
                <w:sz w:val="16"/>
                <w:szCs w:val="16"/>
                <w:color w:val="auto"/>
              </w:rPr>
            </w:pPr>
          </w:p>
        </w:tc>
      </w:tr>
    </w:tbl>
    <w:p>
      <w:pPr>
        <w:ind w:right="3540"/>
        <w:spacing w:after="0" w:line="19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60"/>
              <w:spacing w:after="0"/>
              <w:rPr>
                <w:sz w:val="20"/>
                <w:szCs w:val="20"/>
                <w:color w:val="auto"/>
              </w:rPr>
            </w:pPr>
            <w:r>
              <w:rPr>
                <w:rFonts w:ascii="Arial" w:cs="Arial" w:eastAsia="Arial" w:hAnsi="Arial"/>
                <w:sz w:val="14"/>
                <w:szCs w:val="14"/>
                <w:color w:val="auto"/>
              </w:rPr>
              <w:t>Accelerated filer</w:t>
            </w:r>
          </w:p>
        </w:tc>
        <w:tc>
          <w:tcPr>
            <w:tcW w:w="3120" w:type="dxa"/>
            <w:vAlign w:val="bottom"/>
          </w:tcPr>
          <w:p>
            <w:pPr>
              <w:ind w:left="29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8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60"/>
              <w:spacing w:after="0"/>
              <w:rPr>
                <w:sz w:val="20"/>
                <w:szCs w:val="20"/>
                <w:color w:val="auto"/>
              </w:rPr>
            </w:pPr>
            <w:r>
              <w:rPr>
                <w:rFonts w:ascii="Arial" w:cs="Arial" w:eastAsia="Arial" w:hAnsi="Arial"/>
                <w:sz w:val="14"/>
                <w:szCs w:val="14"/>
                <w:color w:val="auto"/>
              </w:rPr>
              <w:t>Smaller reporting company</w:t>
            </w:r>
          </w:p>
        </w:tc>
        <w:tc>
          <w:tcPr>
            <w:tcW w:w="3120" w:type="dxa"/>
            <w:vAlign w:val="bottom"/>
          </w:tcPr>
          <w:p>
            <w:pPr>
              <w:ind w:left="29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20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ind w:right="560"/>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6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400"/>
        <w:spacing w:after="0" w:line="239"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based on the last reported sale of the common stock on June 30, 2021, on the Nasdaq Global Market, was $1,592,780,318 based on the closing price of the registrant’s common stock on such date of $126.59 per share.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17, 2022 was 20,824,740.</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1"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Part III incorporates by reference certain information from the registrant’s definitive proxy statement for the 2022 Annual Meeting of Stockholders to be filed no later than 120 days after the conclusion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380" w:type="dxa"/>
            <w:vAlign w:val="bottom"/>
            <w:gridSpan w:val="17"/>
            <w:vMerge w:val="restart"/>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20" w:type="dxa"/>
            <w:vAlign w:val="bottom"/>
            <w:gridSpan w:val="4"/>
          </w:tcPr>
          <w:p>
            <w:pPr>
              <w:spacing w:after="0" w:line="169" w:lineRule="exact"/>
              <w:rPr>
                <w:rFonts w:ascii="Arial" w:cs="Arial" w:eastAsia="Arial" w:hAnsi="Arial"/>
                <w:sz w:val="18"/>
                <w:szCs w:val="18"/>
                <w:color w:val="0000FF"/>
                <w:w w:val="96"/>
              </w:rPr>
            </w:pPr>
            <w:hyperlink w:anchor="page39">
              <w:r>
                <w:rPr>
                  <w:rFonts w:ascii="Arial" w:cs="Arial" w:eastAsia="Arial" w:hAnsi="Arial"/>
                  <w:sz w:val="18"/>
                  <w:szCs w:val="18"/>
                  <w:color w:val="0000FF"/>
                  <w:w w:val="96"/>
                </w:rPr>
                <w:t>Unresolved</w:t>
              </w:r>
            </w:hyperlink>
          </w:p>
        </w:tc>
        <w:tc>
          <w:tcPr>
            <w:tcW w:w="83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40" w:type="dxa"/>
            <w:vAlign w:val="bottom"/>
            <w:gridSpan w:val="9"/>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Properties</w:t>
              </w:r>
            </w:hyperlink>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0" w:lineRule="exact"/>
              <w:rPr>
                <w:rFonts w:ascii="Arial" w:cs="Arial" w:eastAsia="Arial" w:hAnsi="Arial"/>
                <w:sz w:val="18"/>
                <w:szCs w:val="18"/>
                <w:color w:val="0000FF"/>
              </w:rPr>
            </w:pPr>
            <w:hyperlink w:anchor="page40">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060" w:type="dxa"/>
            <w:vAlign w:val="bottom"/>
            <w:gridSpan w:val="20"/>
          </w:tcPr>
          <w:p>
            <w:pPr>
              <w:spacing w:after="0" w:line="169" w:lineRule="exact"/>
              <w:rPr>
                <w:rFonts w:ascii="Arial" w:cs="Arial" w:eastAsia="Arial" w:hAnsi="Arial"/>
                <w:sz w:val="18"/>
                <w:szCs w:val="18"/>
                <w:color w:val="0000FF"/>
              </w:rPr>
            </w:pPr>
            <w:hyperlink w:anchor="page42">
              <w:r>
                <w:rPr>
                  <w:rFonts w:ascii="Arial" w:cs="Arial" w:eastAsia="Arial" w:hAnsi="Arial"/>
                  <w:sz w:val="18"/>
                  <w:szCs w:val="18"/>
                  <w:color w:val="0000FF"/>
                </w:rPr>
                <w:t>[Reserved</w:t>
              </w:r>
            </w:hyperlink>
            <w:r>
              <w:rPr>
                <w:rFonts w:ascii="Arial" w:cs="Arial" w:eastAsia="Arial" w:hAnsi="Arial"/>
                <w:sz w:val="18"/>
                <w:szCs w:val="18"/>
                <w:color w:val="000000"/>
              </w:rPr>
              <w:t>]</w:t>
            </w:r>
          </w:p>
        </w:tc>
        <w:tc>
          <w:tcPr>
            <w:tcW w:w="1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6460" w:type="dxa"/>
            <w:vAlign w:val="bottom"/>
            <w:gridSpan w:val="17"/>
          </w:tcPr>
          <w:p>
            <w:pPr>
              <w:spacing w:after="0" w:line="169" w:lineRule="exact"/>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4360" w:type="dxa"/>
            <w:vAlign w:val="bottom"/>
            <w:gridSpan w:val="14"/>
          </w:tcPr>
          <w:p>
            <w:pPr>
              <w:spacing w:after="0" w:line="169" w:lineRule="exact"/>
              <w:rPr>
                <w:rFonts w:ascii="Arial" w:cs="Arial" w:eastAsia="Arial" w:hAnsi="Arial"/>
                <w:sz w:val="18"/>
                <w:szCs w:val="18"/>
                <w:color w:val="0000FF"/>
              </w:rPr>
            </w:pPr>
            <w:hyperlink w:anchor="page52">
              <w:r>
                <w:rPr>
                  <w:rFonts w:ascii="Arial" w:cs="Arial" w:eastAsia="Arial" w:hAnsi="Arial"/>
                  <w:sz w:val="18"/>
                  <w:szCs w:val="18"/>
                  <w:color w:val="0000FF"/>
                </w:rPr>
                <w:t>Financial Statements and Supplementary Data</w:t>
              </w:r>
            </w:hyperlink>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78">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6500" w:type="dxa"/>
            <w:vAlign w:val="bottom"/>
            <w:gridSpan w:val="18"/>
          </w:tcPr>
          <w:p>
            <w:pPr>
              <w:spacing w:after="0" w:line="169" w:lineRule="exact"/>
              <w:rPr>
                <w:rFonts w:ascii="Arial" w:cs="Arial" w:eastAsia="Arial" w:hAnsi="Arial"/>
                <w:sz w:val="18"/>
                <w:szCs w:val="18"/>
                <w:color w:val="0000FF"/>
              </w:rPr>
            </w:pPr>
            <w:hyperlink w:anchor="page78">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gridSpan w:val="2"/>
            <w:vMerge w:val="restart"/>
          </w:tcPr>
          <w:p>
            <w:pPr>
              <w:spacing w:after="0" w:line="20" w:lineRule="exact"/>
              <w:rPr>
                <w:sz w:val="1"/>
                <w:szCs w:val="1"/>
                <w:color w:val="auto"/>
              </w:rPr>
            </w:pPr>
          </w:p>
        </w:tc>
        <w:tc>
          <w:tcPr>
            <w:tcW w:w="860" w:type="dxa"/>
            <w:vAlign w:val="bottom"/>
            <w:gridSpan w:val="2"/>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760" w:type="dxa"/>
            <w:vAlign w:val="bottom"/>
            <w:gridSpan w:val="7"/>
          </w:tcPr>
          <w:p>
            <w:pPr>
              <w:spacing w:after="0" w:line="169" w:lineRule="exact"/>
              <w:rPr>
                <w:rFonts w:ascii="Arial" w:cs="Arial" w:eastAsia="Arial" w:hAnsi="Arial"/>
                <w:sz w:val="18"/>
                <w:szCs w:val="18"/>
                <w:color w:val="0000FF"/>
              </w:rPr>
            </w:pPr>
            <w:hyperlink w:anchor="page80">
              <w:r>
                <w:rPr>
                  <w:rFonts w:ascii="Arial" w:cs="Arial" w:eastAsia="Arial" w:hAnsi="Arial"/>
                  <w:sz w:val="18"/>
                  <w:szCs w:val="18"/>
                  <w:color w:val="0000FF"/>
                </w:rPr>
                <w:t>Other Information</w:t>
              </w:r>
            </w:hyperlink>
          </w:p>
        </w:tc>
        <w:tc>
          <w:tcPr>
            <w:tcW w:w="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40" w:type="dxa"/>
            <w:vAlign w:val="bottom"/>
            <w:tcBorders>
              <w:right w:val="single" w:sz="8" w:color="0000FF"/>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260" w:type="dxa"/>
            <w:vAlign w:val="bottom"/>
            <w:gridSpan w:val="20"/>
          </w:tcPr>
          <w:p>
            <w:pPr>
              <w:spacing w:after="0" w:line="169" w:lineRule="exact"/>
              <w:rPr>
                <w:rFonts w:ascii="Arial" w:cs="Arial" w:eastAsia="Arial" w:hAnsi="Arial"/>
                <w:sz w:val="18"/>
                <w:szCs w:val="18"/>
                <w:color w:val="0000FF"/>
              </w:rPr>
            </w:pPr>
            <w:hyperlink w:anchor="page80">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line="190" w:lineRule="exact"/>
              <w:rPr>
                <w:rFonts w:ascii="Arial" w:cs="Arial" w:eastAsia="Arial" w:hAnsi="Arial"/>
                <w:sz w:val="18"/>
                <w:szCs w:val="18"/>
                <w:color w:val="0000FF"/>
              </w:rPr>
            </w:pPr>
            <w:hyperlink w:anchor="page81">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4080" w:type="dxa"/>
            <w:vAlign w:val="bottom"/>
            <w:gridSpan w:val="13"/>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7480" w:type="dxa"/>
            <w:vAlign w:val="bottom"/>
            <w:gridSpan w:val="13"/>
            <w:vMerge w:val="restart"/>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820" w:type="dxa"/>
            <w:vAlign w:val="bottom"/>
            <w:gridSpan w:val="8"/>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Security Ownership of</w:t>
              </w:r>
            </w:hyperlink>
          </w:p>
        </w:tc>
        <w:tc>
          <w:tcPr>
            <w:tcW w:w="74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7280" w:type="dxa"/>
            <w:vAlign w:val="bottom"/>
            <w:gridSpan w:val="19"/>
          </w:tcPr>
          <w:p>
            <w:pPr>
              <w:spacing w:after="0" w:line="169" w:lineRule="exact"/>
              <w:rPr>
                <w:rFonts w:ascii="Arial" w:cs="Arial" w:eastAsia="Arial" w:hAnsi="Arial"/>
                <w:sz w:val="18"/>
                <w:szCs w:val="18"/>
                <w:color w:val="0000FF"/>
              </w:rPr>
            </w:pPr>
            <w:hyperlink w:anchor="page82">
              <w:r>
                <w:rPr>
                  <w:rFonts w:ascii="Arial" w:cs="Arial" w:eastAsia="Arial" w:hAnsi="Arial"/>
                  <w:sz w:val="18"/>
                  <w:szCs w:val="18"/>
                  <w:color w:val="0000FF"/>
                </w:rPr>
                <w:t>Certain Relationships and Related Transactions, and Director Independence</w:t>
              </w:r>
            </w:hyperlink>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8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5440" w:type="dxa"/>
            <w:vAlign w:val="bottom"/>
            <w:gridSpan w:val="16"/>
          </w:tcPr>
          <w:p>
            <w:pPr>
              <w:spacing w:after="0" w:line="169" w:lineRule="exact"/>
              <w:rPr>
                <w:rFonts w:ascii="Arial" w:cs="Arial" w:eastAsia="Arial" w:hAnsi="Arial"/>
                <w:sz w:val="18"/>
                <w:szCs w:val="18"/>
                <w:color w:val="0000FF"/>
              </w:rPr>
            </w:pPr>
            <w:hyperlink w:anchor="page82">
              <w:r>
                <w:rPr>
                  <w:rFonts w:ascii="Arial" w:cs="Arial" w:eastAsia="Arial" w:hAnsi="Arial"/>
                  <w:sz w:val="18"/>
                  <w:szCs w:val="18"/>
                  <w:color w:val="0000FF"/>
                </w:rPr>
                <w:t>Principal Accounting Fees and Services</w:t>
              </w:r>
            </w:hyperlink>
          </w:p>
        </w:tc>
        <w:tc>
          <w:tcPr>
            <w:tcW w:w="386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300" w:type="dxa"/>
            <w:vAlign w:val="bottom"/>
            <w:gridSpan w:val="21"/>
          </w:tcPr>
          <w:p>
            <w:pPr>
              <w:spacing w:after="0" w:line="190" w:lineRule="exact"/>
              <w:rPr>
                <w:rFonts w:ascii="Arial" w:cs="Arial" w:eastAsia="Arial" w:hAnsi="Arial"/>
                <w:sz w:val="18"/>
                <w:szCs w:val="18"/>
                <w:color w:val="0000FF"/>
              </w:rPr>
            </w:pPr>
            <w:hyperlink w:anchor="page83">
              <w:r>
                <w:rPr>
                  <w:rFonts w:ascii="Arial" w:cs="Arial" w:eastAsia="Arial" w:hAnsi="Arial"/>
                  <w:sz w:val="18"/>
                  <w:szCs w:val="18"/>
                  <w:color w:val="0000FF"/>
                </w:rPr>
                <w:t>Exhibits and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4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3160" w:type="dxa"/>
            <w:vAlign w:val="bottom"/>
            <w:gridSpan w:val="11"/>
          </w:tcPr>
          <w:p>
            <w:pPr>
              <w:spacing w:after="0" w:line="169" w:lineRule="exact"/>
              <w:rPr>
                <w:rFonts w:ascii="Arial" w:cs="Arial" w:eastAsia="Arial" w:hAnsi="Arial"/>
                <w:sz w:val="18"/>
                <w:szCs w:val="18"/>
                <w:color w:val="0000FF"/>
              </w:rPr>
            </w:pPr>
            <w:hyperlink w:anchor="page87">
              <w:r>
                <w:rPr>
                  <w:rFonts w:ascii="Arial" w:cs="Arial" w:eastAsia="Arial" w:hAnsi="Arial"/>
                  <w:sz w:val="18"/>
                  <w:szCs w:val="18"/>
                  <w:color w:val="0000FF"/>
                </w:rPr>
                <w:t>Form 10-K Summary</w:t>
              </w:r>
            </w:hyperlink>
          </w:p>
        </w:tc>
        <w:tc>
          <w:tcPr>
            <w:tcW w:w="614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left="7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 information in this Annual Report on Form 10-K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3" w:name="page4"/>
    <w:bookmarkEnd w:id="3"/>
    <w:p>
      <w:pPr>
        <w:ind w:right="380"/>
        <w:spacing w:after="0" w:line="261" w:lineRule="auto"/>
        <w:rPr>
          <w:sz w:val="20"/>
          <w:szCs w:val="20"/>
          <w:color w:val="auto"/>
        </w:rPr>
      </w:pPr>
      <w:r>
        <w:rPr>
          <w:rFonts w:ascii="Arial" w:cs="Arial" w:eastAsia="Arial" w:hAnsi="Arial"/>
          <w:sz w:val="18"/>
          <w:szCs w:val="18"/>
          <w:color w:val="auto"/>
        </w:rPr>
        <w:t>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49" w:lineRule="exact"/>
        <w:rPr>
          <w:sz w:val="20"/>
          <w:szCs w:val="20"/>
          <w:color w:val="auto"/>
        </w:rPr>
      </w:pPr>
    </w:p>
    <w:p>
      <w:pPr>
        <w:ind w:left="760" w:right="300" w:hanging="378"/>
        <w:spacing w:after="0" w:line="246"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to focus on oscillators, clock ICs, resonators and timing synchronization solutions and to aggressively expand our presence in these markets;</w:t>
      </w:r>
    </w:p>
    <w:p>
      <w:pPr>
        <w:spacing w:after="0" w:line="61" w:lineRule="exact"/>
        <w:rPr>
          <w:rFonts w:ascii="Arial" w:cs="Arial" w:eastAsia="Arial" w:hAnsi="Arial"/>
          <w:sz w:val="18"/>
          <w:szCs w:val="18"/>
          <w:color w:val="auto"/>
        </w:rPr>
      </w:pPr>
    </w:p>
    <w:p>
      <w:pPr>
        <w:ind w:left="760" w:right="100" w:hanging="378"/>
        <w:spacing w:after="0" w:line="246"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will have on our business, employees, revenue and other operating results, liquidity, and cash flows, and its impact on the businesses of our suppliers and customers, and our anticipated responses thereto;</w:t>
      </w:r>
    </w:p>
    <w:p>
      <w:pPr>
        <w:spacing w:after="0" w:line="61" w:lineRule="exact"/>
        <w:rPr>
          <w:rFonts w:ascii="Arial" w:cs="Arial" w:eastAsia="Arial" w:hAnsi="Arial"/>
          <w:sz w:val="18"/>
          <w:szCs w:val="18"/>
          <w:color w:val="auto"/>
        </w:rPr>
      </w:pPr>
    </w:p>
    <w:p>
      <w:pPr>
        <w:ind w:left="760" w:right="180" w:hanging="378"/>
        <w:spacing w:after="0" w:line="246"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ability to address market and customer demands and to timely develop new or enhanced solutions to meet those demands;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90" w:lineRule="exact"/>
        <w:rPr>
          <w:rFonts w:ascii="Arial" w:cs="Arial" w:eastAsia="Arial" w:hAnsi="Arial"/>
          <w:sz w:val="18"/>
          <w:szCs w:val="18"/>
          <w:color w:val="auto"/>
        </w:rPr>
      </w:pPr>
    </w:p>
    <w:p>
      <w:pPr>
        <w:ind w:left="760" w:hanging="378"/>
        <w:spacing w:after="0" w:line="235"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and funds available for borrowing under our credit facilities to meet our cash needs for at least the next 12 months and our future capital requirements over the longer term, including the potential impact of the COVID-19 pandemic thereon;</w:t>
      </w:r>
    </w:p>
    <w:p>
      <w:pPr>
        <w:spacing w:after="0" w:line="66"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dependence on our largest customer;</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success, cost, and timing of new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solutions, and our ability to serve and expand our presence in those markets;</w:t>
      </w:r>
    </w:p>
    <w:p>
      <w:pPr>
        <w:spacing w:after="0" w:line="90" w:lineRule="exact"/>
        <w:rPr>
          <w:rFonts w:ascii="Arial" w:cs="Arial" w:eastAsia="Arial" w:hAnsi="Arial"/>
          <w:sz w:val="18"/>
          <w:szCs w:val="18"/>
          <w:color w:val="auto"/>
        </w:rPr>
      </w:pPr>
    </w:p>
    <w:p>
      <w:pPr>
        <w:ind w:left="760" w:right="320" w:hanging="378"/>
        <w:spacing w:after="0" w:line="307"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spacing w:after="0" w:line="15"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goal to become the leading timing solution provider for advanced and challenging applications;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positioning of being designed into current systems as well as future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enable the smallest footprints in the industry;</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future markets;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performance of, and our relationships with, our third-party suppliers and manufacturers;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and our customers’ ability to respond successfully to technological or industry developments;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ability to attract and retain key personnel;</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intellectual property and related litigation;</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accuracy of our estimates regarding capital requirements, expectations regarding renewal of loans, and needs for additional financing.</w:t>
      </w:r>
    </w:p>
    <w:p>
      <w:pPr>
        <w:spacing w:after="0" w:line="210" w:lineRule="exact"/>
        <w:rPr>
          <w:sz w:val="20"/>
          <w:szCs w:val="20"/>
          <w:color w:val="auto"/>
        </w:rPr>
      </w:pPr>
    </w:p>
    <w:p>
      <w:pPr>
        <w:ind w:firstLine="749"/>
        <w:spacing w:after="0" w:line="225" w:lineRule="auto"/>
        <w:rPr>
          <w:sz w:val="20"/>
          <w:szCs w:val="20"/>
          <w:color w:val="auto"/>
        </w:rPr>
      </w:pPr>
      <w:r>
        <w:rPr>
          <w:rFonts w:ascii="Arial" w:cs="Arial" w:eastAsia="Arial" w:hAnsi="Arial"/>
          <w:sz w:val="18"/>
          <w:szCs w:val="18"/>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the “Risk Factor Summary” below and under Item 1.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81"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 w:name="page5"/>
    <w:bookmarkEnd w:id="4"/>
    <w:p>
      <w:pPr>
        <w:ind w:right="40"/>
        <w:spacing w:after="0" w:line="231" w:lineRule="auto"/>
        <w:rPr>
          <w:sz w:val="20"/>
          <w:szCs w:val="20"/>
          <w:color w:val="auto"/>
        </w:rPr>
      </w:pPr>
      <w:r>
        <w:rPr>
          <w:rFonts w:ascii="Arial" w:cs="Arial" w:eastAsia="Arial" w:hAnsi="Arial"/>
          <w:sz w:val="18"/>
          <w:szCs w:val="18"/>
          <w:color w:val="auto"/>
        </w:rPr>
        <w:t>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175" w:lineRule="exact"/>
        <w:rPr>
          <w:sz w:val="20"/>
          <w:szCs w:val="20"/>
          <w:color w:val="auto"/>
        </w:rPr>
      </w:pPr>
    </w:p>
    <w:p>
      <w:pPr>
        <w:ind w:right="60" w:firstLine="749"/>
        <w:spacing w:after="0" w:line="22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8"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auto"/>
        </w:rPr>
        <w:t>Our business is subject to numerous risks, as more fully described in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95" w:lineRule="exact"/>
        <w:rPr>
          <w:sz w:val="20"/>
          <w:szCs w:val="20"/>
          <w:color w:val="auto"/>
        </w:rPr>
      </w:pPr>
    </w:p>
    <w:p>
      <w:pPr>
        <w:ind w:left="760" w:right="12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uncertainty related to the ongoing COVID-19 pandemic could adversely impact our business, results of operations and financial condition, as well as the businesses of our suppliers and customers;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downturn in the worldwide economy may harm our business;</w:t>
      </w:r>
    </w:p>
    <w:p>
      <w:pPr>
        <w:spacing w:after="0" w:line="103" w:lineRule="exact"/>
        <w:rPr>
          <w:rFonts w:ascii="Arial" w:cs="Arial" w:eastAsia="Arial" w:hAnsi="Arial"/>
          <w:sz w:val="18"/>
          <w:szCs w:val="18"/>
          <w:color w:val="auto"/>
        </w:rPr>
      </w:pPr>
    </w:p>
    <w:p>
      <w:pPr>
        <w:ind w:left="760" w:right="40" w:hanging="378"/>
        <w:spacing w:after="0" w:line="24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79"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rFonts w:ascii="Arial" w:cs="Arial" w:eastAsia="Arial" w:hAnsi="Arial"/>
          <w:sz w:val="18"/>
          <w:szCs w:val="18"/>
          <w:color w:val="auto"/>
        </w:rPr>
      </w:pPr>
    </w:p>
    <w:p>
      <w:pPr>
        <w:ind w:left="760" w:right="10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expand or further diversify our customer base, our business, financial condition, and results of operations could suffer;</w:t>
      </w:r>
    </w:p>
    <w:p>
      <w:pPr>
        <w:spacing w:after="0" w:line="115" w:lineRule="exact"/>
        <w:rPr>
          <w:rFonts w:ascii="Arial" w:cs="Arial" w:eastAsia="Arial" w:hAnsi="Arial"/>
          <w:sz w:val="17"/>
          <w:szCs w:val="17"/>
          <w:color w:val="auto"/>
        </w:rPr>
      </w:pPr>
    </w:p>
    <w:p>
      <w:pPr>
        <w:ind w:left="760" w:right="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generally do not have long-term purchase commitments with our customers, and orders may be cancelled, reduced, or rescheduled with little or no notice, which in turn exposes us to inventory risk and may harm our operating results;</w:t>
      </w:r>
    </w:p>
    <w:p>
      <w:pPr>
        <w:spacing w:after="0" w:line="62" w:lineRule="exact"/>
        <w:rPr>
          <w:rFonts w:ascii="Arial" w:cs="Arial" w:eastAsia="Arial" w:hAnsi="Arial"/>
          <w:sz w:val="18"/>
          <w:szCs w:val="18"/>
          <w:color w:val="auto"/>
        </w:rPr>
      </w:pPr>
    </w:p>
    <w:p>
      <w:pPr>
        <w:ind w:left="760" w:right="100" w:hanging="378"/>
        <w:spacing w:after="0" w:line="24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operating results may fluctuate from period to period due to, among other factors, the impact of the COVID-19 pandemic on our business as well as our suppliers and customers, customer demand, product life cycles, fluctuations in inventories held by our distributors or end customers, the gain or loss of significant customers, the availability of capacity in our supply chain, research and development costs, and product warranty claims. This in turn could cause our stock price to decline;</w:t>
      </w:r>
    </w:p>
    <w:p>
      <w:pPr>
        <w:spacing w:after="0" w:line="79"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38" w:lineRule="exact"/>
        <w:rPr>
          <w:rFonts w:ascii="Arial" w:cs="Arial" w:eastAsia="Arial" w:hAnsi="Arial"/>
          <w:sz w:val="17"/>
          <w:szCs w:val="17"/>
          <w:color w:val="auto"/>
        </w:rPr>
      </w:pPr>
    </w:p>
    <w:p>
      <w:pPr>
        <w:ind w:left="760" w:right="42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not able to successfully introduce and ship in volume new products in a timely manner, our business and revenue will suffer;</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gross margins may fluctuate due to a variety of factors, which could negatively impact our results of operations and our financial condition;</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recent periods may not be indicative of future performance and our revenue may fluctuate over time;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 w:name="page6"/>
    <w:bookmarkEnd w:id="5"/>
    <w:p>
      <w:pPr>
        <w:jc w:val="both"/>
        <w:ind w:left="380" w:right="340" w:hanging="378"/>
        <w:spacing w:after="0" w:line="248"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73" w:lineRule="exact"/>
        <w:rPr>
          <w:rFonts w:ascii="Arial" w:cs="Arial" w:eastAsia="Arial" w:hAnsi="Arial"/>
          <w:sz w:val="18"/>
          <w:szCs w:val="18"/>
          <w:color w:val="auto"/>
        </w:rPr>
      </w:pPr>
    </w:p>
    <w:p>
      <w:pPr>
        <w:ind w:left="380" w:right="34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Defects in our products could harm our relationships with our customers and damage our reputation;</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compete effectively, we may lose or fail to gain market share, which could negatively impact our operating results and our business;</w:t>
      </w:r>
    </w:p>
    <w:p>
      <w:pPr>
        <w:spacing w:after="0" w:line="126" w:lineRule="exact"/>
        <w:rPr>
          <w:rFonts w:ascii="Arial" w:cs="Arial" w:eastAsia="Arial" w:hAnsi="Arial"/>
          <w:sz w:val="16"/>
          <w:szCs w:val="16"/>
          <w:color w:val="auto"/>
        </w:rPr>
      </w:pPr>
    </w:p>
    <w:p>
      <w:pPr>
        <w:ind w:left="380" w:hanging="378"/>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able to accurately predict our future capital needs, and we may not be able to obtain additional financing to fund our operations;</w:t>
      </w:r>
    </w:p>
    <w:p>
      <w:pPr>
        <w:spacing w:after="0" w:line="126" w:lineRule="exact"/>
        <w:rPr>
          <w:rFonts w:ascii="Arial" w:cs="Arial" w:eastAsia="Arial" w:hAnsi="Arial"/>
          <w:sz w:val="16"/>
          <w:szCs w:val="16"/>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seek, or be required to seek debt financing in the immediate or near term;</w:t>
      </w:r>
    </w:p>
    <w:p>
      <w:pPr>
        <w:spacing w:after="0" w:line="103" w:lineRule="exact"/>
        <w:rPr>
          <w:rFonts w:ascii="Arial" w:cs="Arial" w:eastAsia="Arial" w:hAnsi="Arial"/>
          <w:sz w:val="18"/>
          <w:szCs w:val="18"/>
          <w:color w:val="auto"/>
        </w:rPr>
      </w:pPr>
    </w:p>
    <w:p>
      <w:pPr>
        <w:ind w:left="380" w:right="22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significant tariffs or other trade restrictions are placed on our products or third-party suppliers, our revenue and results of operations may be materially harmed;</w:t>
      </w:r>
    </w:p>
    <w:p>
      <w:pPr>
        <w:spacing w:after="0" w:line="62" w:lineRule="exact"/>
        <w:rPr>
          <w:rFonts w:ascii="Arial" w:cs="Arial" w:eastAsia="Arial" w:hAnsi="Arial"/>
          <w:sz w:val="18"/>
          <w:szCs w:val="18"/>
          <w:color w:val="auto"/>
        </w:rPr>
      </w:pPr>
    </w:p>
    <w:p>
      <w:pPr>
        <w:ind w:left="380" w:right="62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the laws associated with our activities outside of the United States could subject us to penalties and other adverse consequences;</w:t>
      </w:r>
    </w:p>
    <w:p>
      <w:pPr>
        <w:spacing w:after="0" w:line="62" w:lineRule="exact"/>
        <w:rPr>
          <w:rFonts w:ascii="Arial" w:cs="Arial" w:eastAsia="Arial" w:hAnsi="Arial"/>
          <w:sz w:val="18"/>
          <w:szCs w:val="18"/>
          <w:color w:val="auto"/>
        </w:rPr>
      </w:pPr>
    </w:p>
    <w:p>
      <w:pPr>
        <w:ind w:left="380" w:right="20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spacing w:after="0" w:line="62" w:lineRule="exact"/>
        <w:rPr>
          <w:rFonts w:ascii="Arial" w:cs="Arial" w:eastAsia="Arial" w:hAnsi="Arial"/>
          <w:sz w:val="18"/>
          <w:szCs w:val="18"/>
          <w:color w:val="auto"/>
        </w:rPr>
      </w:pPr>
    </w:p>
    <w:p>
      <w:pPr>
        <w:ind w:left="380" w:right="40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future changes to U.S. and non-U.S. tax laws, or tax regulatory authorities disagreeing with our positions and conclusions regarding certain tax positions, could materially adversely affect us;</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or other disruptions of our security systems may damage our reputation and adversely affect our business;</w:t>
      </w:r>
    </w:p>
    <w:p>
      <w:pPr>
        <w:spacing w:after="0" w:line="103" w:lineRule="exact"/>
        <w:rPr>
          <w:rFonts w:ascii="Arial" w:cs="Arial" w:eastAsia="Arial" w:hAnsi="Arial"/>
          <w:sz w:val="18"/>
          <w:szCs w:val="18"/>
          <w:color w:val="auto"/>
        </w:rPr>
      </w:pPr>
    </w:p>
    <w:p>
      <w:pPr>
        <w:ind w:left="380" w:hanging="378"/>
        <w:spacing w:after="0" w:line="248"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73" w:lineRule="exact"/>
        <w:rPr>
          <w:rFonts w:ascii="Arial" w:cs="Arial" w:eastAsia="Arial" w:hAnsi="Arial"/>
          <w:sz w:val="18"/>
          <w:szCs w:val="18"/>
          <w:color w:val="auto"/>
        </w:rPr>
      </w:pPr>
    </w:p>
    <w:p>
      <w:pPr>
        <w:ind w:left="380" w:right="220" w:hanging="378"/>
        <w:spacing w:after="0" w:line="294"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spacing w:after="0" w:line="39" w:lineRule="exact"/>
        <w:rPr>
          <w:rFonts w:ascii="Arial" w:cs="Arial" w:eastAsia="Arial" w:hAnsi="Arial"/>
          <w:sz w:val="16"/>
          <w:szCs w:val="16"/>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future sales of our common stock could cause the market price of our common stock to decline; and</w:t>
      </w:r>
    </w:p>
    <w:p>
      <w:pPr>
        <w:spacing w:after="0" w:line="103" w:lineRule="exact"/>
        <w:rPr>
          <w:rFonts w:ascii="Arial" w:cs="Arial" w:eastAsia="Arial" w:hAnsi="Arial"/>
          <w:sz w:val="18"/>
          <w:szCs w:val="18"/>
          <w:color w:val="auto"/>
        </w:rPr>
      </w:pPr>
    </w:p>
    <w:p>
      <w:pPr>
        <w:ind w:left="380" w:right="8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436"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We are a leading provider of silicon timing solutions. Our timing solutions are the heartbeat of our customers’ electronic systems. They solve complex timing problems and enable industry-leading products. We provide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mobile, Internet of Thing (“IoT”), and consumer. Our current solutions include various types of oscillators, as well as resonators and clock integrated circuits (“ICs”). Our all-silicon solutions are based on three fundamental areas of expertise: micro-electro-mechanical systems (“MEMS”), analog mixed-signal design capabilities, and advanced system-level integration expertise. This expertise allows us to design MEMS resonators, analog circuits, as well as systems and packaging, and put these all together to deliver a system level solution that solves customers’ complex timing problems. In this aspect, we are different than quartz-based providers, who typically have expertise in designing and manufacturing resonators, but usually outsource the analog and packaging. We are also different in that our MEMS resonators are made with silicon, while the quartz suppliers use quartz crystal technology. Our timing solutions are designed to be resilient to environmental stresses. For the communications and enterprise market, our timing solutions provide high performance and resilience in dense, less-controlled environments that experience harsh conditions–an advantage as equipment moves closer to the customer with the rollout of 5G. For the automotive market, our solutions can be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lower acceleration sensitivity for end products that operate in rugged conditions. For the mobile, IoT and consumer market, our silicon-based timing solutions have the advantage of offering high performance at optimal power consumption and size, as our customers fit more functionality into smaller devices.</w:t>
      </w:r>
    </w:p>
    <w:p>
      <w:pPr>
        <w:spacing w:after="0" w:line="7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commenced commercial shipments of our first oscillator products in 2006. Substantially all of our revenue to date has been derived from sales of oscillator systems across our target end markets. We recently introduced products into the clock IC market, which we began sampling in 2019, and intend to focus on clock IC and timing sync solutions in the future. We seek to aggressively expand our presence in these two markets.</w:t>
      </w:r>
    </w:p>
    <w:p>
      <w:pPr>
        <w:spacing w:after="0" w:line="56"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Based on sell-through information provided by these distributors, we believe the majority of our end customers are based in the U.S.</w:t>
      </w:r>
    </w:p>
    <w:p>
      <w:pPr>
        <w:spacing w:after="0" w:line="63"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Timing Solutions Enable Innovation and are Rapidly Evolving</w:t>
      </w:r>
    </w:p>
    <w:p>
      <w:pPr>
        <w:spacing w:after="0" w:line="10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ability to accurately measure and reference time has been essential to many of humankind’s greatest inventions and technological progress. Timing technology has continued to evolve over centuries, forming a critical aspect of broader technological advancement. Timing is the heartbeat of digital electronic systems, ensuring that the system runs smoothly and reliably by providing and distributing clock signals to various critical components such as CPUs, communication and interface chips, and radio frequency components. As electronics are expected to operate at higher performance levels in increasingly challenging environments, while also being more complex and footprint-constrained, we believe they will require more sophisticated timing solutions. For example, as 5G communications networks evolve, we expect that they will require higher precision from a greater number of oscillators and timing devices.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Key Building Blocks of Timing Solutions</w:t>
      </w:r>
    </w:p>
    <w:p>
      <w:pPr>
        <w:spacing w:after="0" w:line="104"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Timing solutions comprise three key building blocks: resonators, oscillators, and clock ICs. While simpler systems generally require only an external resonator coupled with a basic embedded oscillator circuit, more complex systems require advanced timing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right="140"/>
        <w:spacing w:after="0" w:line="248" w:lineRule="auto"/>
        <w:rPr>
          <w:sz w:val="20"/>
          <w:szCs w:val="20"/>
          <w:color w:val="auto"/>
        </w:rPr>
      </w:pPr>
      <w:r>
        <w:rPr>
          <w:rFonts w:ascii="Arial" w:cs="Arial" w:eastAsia="Arial" w:hAnsi="Arial"/>
          <w:sz w:val="18"/>
          <w:szCs w:val="18"/>
          <w:color w:val="auto"/>
        </w:rPr>
        <w:t>solutions that may integrate a variety of resonators, oscillators, and clock ICs in a single chip package. The complexity of these timing solutions increases significantly when the performance requirements of the systems that use them increase, such as electronic systems required to support the 5G communication network infrastructure.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building blocks of SiTime’s timing solutions are:</w:t>
      </w:r>
    </w:p>
    <w:p>
      <w:pPr>
        <w:spacing w:after="0" w:line="104"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Resonators – mechanical silicon structures that vibrate at a precise frequency and provide the core accuracy and stability in oscillator systems;</w:t>
      </w:r>
    </w:p>
    <w:p>
      <w:pPr>
        <w:spacing w:after="0" w:line="126" w:lineRule="exact"/>
        <w:rPr>
          <w:rFonts w:ascii="Arial" w:cs="Arial" w:eastAsia="Arial" w:hAnsi="Arial"/>
          <w:sz w:val="16"/>
          <w:szCs w:val="16"/>
          <w:color w:val="auto"/>
        </w:rPr>
      </w:pPr>
    </w:p>
    <w:p>
      <w:pPr>
        <w:ind w:left="760" w:right="20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Oscillators – active systems that combine resonators with analog mixed-signal ICs that cause the resonators to vibrate, generating accurate and stable clock signals; and</w:t>
      </w:r>
    </w:p>
    <w:p>
      <w:pPr>
        <w:spacing w:after="0" w:line="62" w:lineRule="exact"/>
        <w:rPr>
          <w:rFonts w:ascii="Arial" w:cs="Arial" w:eastAsia="Arial" w:hAnsi="Arial"/>
          <w:sz w:val="18"/>
          <w:szCs w:val="18"/>
          <w:color w:val="auto"/>
        </w:rPr>
      </w:pPr>
    </w:p>
    <w:p>
      <w:pPr>
        <w:jc w:val="both"/>
        <w:ind w:left="760" w:right="18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Clock ICs – integrated analog mixed-signal circuits that use phase-locked loops (“PLLs”), clock dividers, and drivers, and have multiple clock signals on the output of the system. Clock ICs require resonators and oscillators for timing references and may integrate these components into complex systems.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three building blocks may be used individually or in combination, depending on the end product’s performance, price, and size requirements.</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Limitations of Legacy Quartz-based Solutions</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For over 70 years, quartz crystal has been the predominant technology of choice for resonators and will continue to play a role in the timing market. In a quartz oscillator, a quartz crystal resonator is paired with a silicon-based clock IC in a ceramic package. However, quartz timing devices, largely unchanged in decades, have many inherent limitations, including limited frequency ranges, sensitivity to rapid temperature changes, vulnerability to vibration and mechanical shock, susceptibility to frequency jumps at particular temperatures, and limited programmability. Quartz devices must be housed in ceramic packaging, and thus are difficult to integrate into standard semiconductor packages. Quartz products require dedicated manufacturing facilities and have relatively long lead times due to the need to specify various characteristics well in advance of production, without the ability to reconfigure them during the design cycle. In addition, as electronic systems become more complex, feature-rich, and robust, they require more sophisticated timing systems that can seamlessly integrate a variety of resonators, oscillators, and clock ICs in various system-level combinations. This seamless integration is more difficult with legacy quartz systems.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Silicon Timing Solutions Poised to Disrupt the Market</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recent years, advances in silicon-based manufacturing and packaging techniques have allowed the development of alternatives to quartz crystal technology. We believe that silicon MEMS is an ideal technology for resonator design. Specifically, its ability to integrate with other circuits in standard semiconductor packages has made scalable standard silicon manufacturing possible for resonators and broader timing technology. MEMS and silicon-based technologies can operate in a wide range of frequencies, are more resistant to vibration, mechanical shock, and temperature changes, and are less susceptible to frequency jumps. These technologies are also inherently well-suited to produce timing solutions that are small, and offer high performance, robustness and programmability. Timing solutions based on these technologies are manufactured using semiconductor processes in fabrication plants with high capacity, allowing for cost-effective high-volume manufacturing.</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Market Opportunity for Timing Solutions</w:t>
      </w:r>
    </w:p>
    <w:p>
      <w:pPr>
        <w:spacing w:after="0" w:line="104"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According to Dedalus Consulting - 2019 Frequency Control Components Global Markets, End-Users, Applications &amp; Competitors: Analysis &amp; Forecasts and our estimates, the global timing market is expected to grow to $10.1 billion by 2024. Dedalus Consulting estimates that oscillators and standalone resonators will represent approximately $5.0 billion and $4.0 billion total addressable markets, respectively, in 2024. Based on our internal estimates, we believe clock ICs represent an approximate $1.0 billion total addressable market. As a subset of the broader timing market, the market for MEMS timing devices is projected to grow from $0.24 billion in 2021 to $1 billion by 2024, representing a compound annual growth rate of 62%, according to internal company estimates.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Opportunity for Advanced Solutions</w:t>
      </w:r>
    </w:p>
    <w:p>
      <w:pPr>
        <w:spacing w:after="0" w:line="10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From high-performance network infrastructure equipment to low-power battery-operated devices, precise timing solutions enable virtually all electronics. The complexity of such timing solutions increases significantly with the performance requirements of the systems in which they are used. Below are some examples of end markets in which we believe our silicon-based timing is enabling or has the potential to enable, greater functionality than legacy solutions: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Communications and Enterprise</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Communications infrastructure equipment used in wireless base stations, wired infrastructure equipment, enterprise networks, and cloud data centers must provide high performance and stability in demanding environments, which may include temperature fluctuations, mechanical shocks, and vibration. If the timing solution within the equipment fails, networks can shut down, leading to service disruptions and higher operating costs. According to Gartner, “Recent reports on 5G pilots and testing have identified a wide range of projected data throughput speeds ranging from 10 times up to 1,000 times faster than 4G. Other reports estimate ranges of one to 10 gigabytes per second.”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Automotive, Industrial, and Aerospace</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For automotive applications, timing technology must perform reliably over the life of an automobile in an environment characterized by vibration, mechanical shocks, electromagnetic interference, wide temperature ranges, and rapid temperature change. The AECC (Automotive Edge Computing Consortium) estimated in 2020 that “data traffic from connected vehicles will exceed 1,000 times the present volume, surpassing 10 exabytes per month by 2025.” These communication systems will require highly-reliable precise timing. We believe silicon-based timing can address many of the challenges associated with this demanding automotive ecosystem.</w:t>
      </w:r>
    </w:p>
    <w:p>
      <w:pPr>
        <w:spacing w:after="0" w:line="8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Industrial equipment, ranging from factory machinery to medical devices, is often exposed to environments characterized by temperature fluctuation, mechanical shocks, vibration, and electromagnetic interference. We believe silicon-based timing solutions can perform better than legacy quartz-based solutions in demanding industrial environments at comparable cost and with lower power consumption and higher reliability. In addition, with the highly diverse nature of industrial applications and the need for unique operating frequencies, we believe the programmable architecture of silicon timing products provides an advantage.</w:t>
      </w:r>
    </w:p>
    <w:p>
      <w:pPr>
        <w:spacing w:after="0" w:line="81" w:lineRule="exact"/>
        <w:rPr>
          <w:sz w:val="20"/>
          <w:szCs w:val="20"/>
          <w:color w:val="auto"/>
        </w:rPr>
      </w:pPr>
    </w:p>
    <w:p>
      <w:pPr>
        <w:jc w:val="both"/>
        <w:ind w:right="40" w:firstLine="509"/>
        <w:spacing w:after="0" w:line="294" w:lineRule="auto"/>
        <w:rPr>
          <w:sz w:val="20"/>
          <w:szCs w:val="20"/>
          <w:color w:val="auto"/>
        </w:rPr>
      </w:pPr>
      <w:r>
        <w:rPr>
          <w:rFonts w:ascii="Arial" w:cs="Arial" w:eastAsia="Arial" w:hAnsi="Arial"/>
          <w:sz w:val="16"/>
          <w:szCs w:val="16"/>
          <w:color w:val="auto"/>
        </w:rPr>
        <w:t>Timing devices used in aerospace and defense applications such as rockets and satellites need to withstand extreme vibration forces and temperature gradients during operation. Quartz-based solutions can be impacted by vibrating forces acting on the whole system. MEMS timing devices are well-suited for these applications, as they provide up to 50 times better acceleration sensitivity under vibration than comparable quartz-based solutions.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Mobile, IoT and Consumer</w:t>
      </w:r>
    </w:p>
    <w:p>
      <w:pPr>
        <w:spacing w:after="0" w:line="10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The growing reliance on mobile devices and the IoT revolution has enabled the proliferation of billions of internet-connected devices in industrial and consumer applications. These devices range from smartphones and personal wearable devices to electronics embedded in appliances and industrial machinery. Many of these devices need to package a significant amount of electronics in a limited battery-powered and size-constrained form factor, while still requiring high performance and high accuracy. Due to the ability to integrate with ICs, we believe silicon-based timing solutions are well-suited to optimize footprint, reliability, and power consumption of the overall system within mobile, IoT and consumer devices.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Technology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silicon timing solutions comprise:</w:t>
      </w:r>
    </w:p>
    <w:p>
      <w:pPr>
        <w:spacing w:after="0" w:line="100" w:lineRule="exact"/>
        <w:rPr>
          <w:sz w:val="20"/>
          <w:szCs w:val="20"/>
          <w:color w:val="auto"/>
        </w:rPr>
      </w:pPr>
    </w:p>
    <w:p>
      <w:pPr>
        <w:ind w:left="760" w:right="240" w:hanging="378"/>
        <w:spacing w:after="0" w:line="242"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MEMS resonators</w:t>
      </w:r>
      <w:r>
        <w:rPr>
          <w:rFonts w:ascii="Arial" w:cs="Arial" w:eastAsia="Arial" w:hAnsi="Arial"/>
          <w:sz w:val="18"/>
          <w:szCs w:val="18"/>
          <w:color w:val="auto"/>
        </w:rPr>
        <w:t>: We pioneered the silicon MEMS-based timing industry with the MEMS First®, EpiSeal®, and TempFlat® processes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These manufacturing processes have allowed the hermetically-sealed resonator die to be housed in industry-standard, low-cost plastic packages. These processes and technologies improve resonator stability, increase quality and reliability, and decrease aging effects. We believe our MEMS resonators are easy to integrate into silicon-based oscillators and clock ICs, and allow us to develop tightly-integrated high performance timing solutions.</w:t>
      </w:r>
    </w:p>
    <w:p>
      <w:pPr>
        <w:spacing w:after="0" w:line="76" w:lineRule="exact"/>
        <w:rPr>
          <w:rFonts w:ascii="Arial" w:cs="Arial" w:eastAsia="Arial" w:hAnsi="Arial"/>
          <w:sz w:val="18"/>
          <w:szCs w:val="18"/>
          <w:color w:val="auto"/>
        </w:rPr>
      </w:pPr>
    </w:p>
    <w:p>
      <w:pPr>
        <w:ind w:left="760" w:right="60" w:hanging="378"/>
        <w:spacing w:after="0" w:line="25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Oscillators and Clock ICs</w:t>
      </w:r>
      <w:r>
        <w:rPr>
          <w:rFonts w:ascii="Arial" w:cs="Arial" w:eastAsia="Arial" w:hAnsi="Arial"/>
          <w:sz w:val="18"/>
          <w:szCs w:val="18"/>
          <w:color w:val="auto"/>
        </w:rPr>
        <w:t>: We have a dedicated analog and mixed-signal engineering team focused on the most complex challenges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oscillators and clock ICs. Our analog mixed-signal technologies include several innovative low-noise circuit-based oscillators, high-performance PLLs, low-noise data converters, and precision low-aging reference circuits.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 w:name="page10"/>
    <w:bookmarkEnd w:id="9"/>
    <w:p>
      <w:pPr>
        <w:ind w:left="760"/>
        <w:spacing w:after="0" w:line="243" w:lineRule="auto"/>
        <w:rPr>
          <w:sz w:val="20"/>
          <w:szCs w:val="20"/>
          <w:color w:val="auto"/>
        </w:rPr>
      </w:pPr>
      <w:r>
        <w:rPr>
          <w:rFonts w:ascii="Arial" w:cs="Arial" w:eastAsia="Arial" w:hAnsi="Arial"/>
          <w:sz w:val="18"/>
          <w:szCs w:val="18"/>
          <w:color w:val="auto"/>
        </w:rPr>
        <w:t>Many of our oscillators use temperature sensing to maximize frequency stability. Our low-power nano-ampere and high-resolution DualMEMS® micro-kelvin-resolution sensing technologies stabilize our timing solutions despite rapid temperature changes. We also offer what we consider to be leading solutions across a range of attributes, including Allan deviation, power supply noise rejection, temperature-sensing resolution, and integrated phase jitter.</w:t>
      </w:r>
    </w:p>
    <w:p>
      <w:pPr>
        <w:spacing w:after="0" w:line="76" w:lineRule="exact"/>
        <w:rPr>
          <w:sz w:val="20"/>
          <w:szCs w:val="20"/>
          <w:color w:val="auto"/>
        </w:rPr>
      </w:pPr>
    </w:p>
    <w:p>
      <w:pPr>
        <w:ind w:left="760" w:right="180" w:hanging="378"/>
        <w:spacing w:after="0" w:line="245"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Advanced system-level integration</w:t>
      </w:r>
      <w:r>
        <w:rPr>
          <w:rFonts w:ascii="Arial" w:cs="Arial" w:eastAsia="Arial" w:hAnsi="Arial"/>
          <w:sz w:val="18"/>
          <w:szCs w:val="18"/>
          <w:color w:val="auto"/>
        </w:rPr>
        <w:t>: We have extensive know-how in integrating various timing components into elegant system-level</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Our ability to integrate MEMS-based resonators with analog mixed-signal products allows us to develop oscillators and clock ICs in diverse permutations, which helps us solve difficult timing challenges. Using advanced packaging designs, we believe we can design our products to fit in the smallest footprints in the industry.</w:t>
      </w:r>
    </w:p>
    <w:p>
      <w:pPr>
        <w:spacing w:after="0" w:line="185"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We design each key building block of the timing system, from MEMS resonators to oscillator circuits to clock ICs. Our ability to combine our MEMS resonators with analog-mixed signal components in a fabless semiconductor supply chain allows us to build full timing solutions from the ground up, enabling our customers to focus on their core expertise.</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flexible and programmable timing solutions offer the following benefits:</w:t>
      </w:r>
    </w:p>
    <w:p>
      <w:pPr>
        <w:spacing w:after="0" w:line="100" w:lineRule="exact"/>
        <w:rPr>
          <w:sz w:val="20"/>
          <w:szCs w:val="20"/>
          <w:color w:val="auto"/>
        </w:rPr>
      </w:pPr>
    </w:p>
    <w:p>
      <w:pPr>
        <w:ind w:left="760" w:right="120" w:hanging="378"/>
        <w:spacing w:after="0" w:line="296"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High performance</w:t>
      </w:r>
      <w:r>
        <w:rPr>
          <w:rFonts w:ascii="Arial" w:cs="Arial" w:eastAsia="Arial" w:hAnsi="Arial"/>
          <w:sz w:val="17"/>
          <w:szCs w:val="17"/>
          <w:color w:val="auto"/>
        </w:rPr>
        <w:t>: Our portfolio of silicon-based MEMS timing products allows us to provide our customers with high performance solutions</w:t>
      </w:r>
      <w:r>
        <w:rPr>
          <w:rFonts w:ascii="Arial" w:cs="Arial" w:eastAsia="Arial" w:hAnsi="Arial"/>
          <w:sz w:val="17"/>
          <w:szCs w:val="17"/>
          <w:b w:val="1"/>
          <w:bCs w:val="1"/>
          <w:color w:val="auto"/>
        </w:rPr>
        <w:t xml:space="preserve"> </w:t>
      </w:r>
      <w:r>
        <w:rPr>
          <w:rFonts w:ascii="Arial" w:cs="Arial" w:eastAsia="Arial" w:hAnsi="Arial"/>
          <w:sz w:val="17"/>
          <w:szCs w:val="17"/>
          <w:color w:val="auto"/>
        </w:rPr>
        <w:t>across a wide range of attributes including stability over temperature, vibration, phase jitter, and other metrics.</w:t>
      </w:r>
    </w:p>
    <w:p>
      <w:pPr>
        <w:spacing w:after="0" w:line="30" w:lineRule="exact"/>
        <w:rPr>
          <w:rFonts w:ascii="Arial" w:cs="Arial" w:eastAsia="Arial" w:hAnsi="Arial"/>
          <w:sz w:val="17"/>
          <w:szCs w:val="17"/>
          <w:color w:val="auto"/>
        </w:rPr>
      </w:pPr>
    </w:p>
    <w:p>
      <w:pPr>
        <w:ind w:left="760" w:right="6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Small size</w:t>
      </w:r>
      <w:r>
        <w:rPr>
          <w:rFonts w:ascii="Arial" w:cs="Arial" w:eastAsia="Arial" w:hAnsi="Arial"/>
          <w:sz w:val="18"/>
          <w:szCs w:val="18"/>
          <w:color w:val="auto"/>
        </w:rPr>
        <w:t>: Our solutions have a small footprint and package size, optimizing the end customer’s board area. Additionally, many of our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have added integrated functions such as on-chip regulators and load capacitors which reduce the need for external components and decrease the overall system size.</w:t>
      </w:r>
    </w:p>
    <w:p>
      <w:pPr>
        <w:spacing w:after="0" w:line="68" w:lineRule="exact"/>
        <w:rPr>
          <w:rFonts w:ascii="Arial" w:cs="Arial" w:eastAsia="Arial" w:hAnsi="Arial"/>
          <w:sz w:val="18"/>
          <w:szCs w:val="18"/>
          <w:color w:val="auto"/>
        </w:rPr>
      </w:pPr>
    </w:p>
    <w:p>
      <w:pPr>
        <w:ind w:left="760" w:right="220" w:hanging="378"/>
        <w:spacing w:after="0" w:line="26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Low power</w:t>
      </w:r>
      <w:r>
        <w:rPr>
          <w:rFonts w:ascii="Arial" w:cs="Arial" w:eastAsia="Arial" w:hAnsi="Arial"/>
          <w:sz w:val="18"/>
          <w:szCs w:val="18"/>
          <w:color w:val="auto"/>
        </w:rPr>
        <w:t>: Our solutions operate at low power levels and have differentiated power-saving features such as NanoDrive™ and FlexSwing™,</w:t>
      </w:r>
      <w:r>
        <w:rPr>
          <w:rFonts w:ascii="Arial" w:cs="Arial" w:eastAsia="Arial" w:hAnsi="Arial"/>
          <w:sz w:val="18"/>
          <w:szCs w:val="18"/>
          <w:b w:val="1"/>
          <w:bCs w:val="1"/>
          <w:color w:val="auto"/>
        </w:rPr>
        <w:t xml:space="preserve"> </w:t>
      </w:r>
      <w:r>
        <w:rPr>
          <w:rFonts w:ascii="Arial" w:cs="Arial" w:eastAsia="Arial" w:hAnsi="Arial"/>
          <w:sz w:val="18"/>
          <w:szCs w:val="18"/>
          <w:color w:val="auto"/>
        </w:rPr>
        <w:t>making them well-suited for mobile, IoT and other battery-operated applications.</w:t>
      </w:r>
    </w:p>
    <w:p>
      <w:pPr>
        <w:spacing w:after="0" w:line="54" w:lineRule="exact"/>
        <w:rPr>
          <w:rFonts w:ascii="Arial" w:cs="Arial" w:eastAsia="Arial" w:hAnsi="Arial"/>
          <w:sz w:val="18"/>
          <w:szCs w:val="18"/>
          <w:color w:val="auto"/>
        </w:rPr>
      </w:pPr>
    </w:p>
    <w:p>
      <w:pPr>
        <w:ind w:left="760" w:right="20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Programmability</w:t>
      </w:r>
      <w:r>
        <w:rPr>
          <w:rFonts w:ascii="Arial" w:cs="Arial" w:eastAsia="Arial" w:hAnsi="Arial"/>
          <w:sz w:val="18"/>
          <w:szCs w:val="18"/>
          <w:color w:val="auto"/>
        </w:rPr>
        <w:t>: Our devices are configurable across a wide range of parameters, including frequency, stability metrics, voltage parameters,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temperature ranges, among others, resulting in design flexibility for the customer, and enabling us to produce a vast number of custom timing products on demand with short lead times.</w:t>
      </w:r>
    </w:p>
    <w:p>
      <w:pPr>
        <w:spacing w:after="0" w:line="68" w:lineRule="exact"/>
        <w:rPr>
          <w:rFonts w:ascii="Arial" w:cs="Arial" w:eastAsia="Arial" w:hAnsi="Arial"/>
          <w:sz w:val="18"/>
          <w:szCs w:val="18"/>
          <w:color w:val="auto"/>
        </w:rPr>
      </w:pPr>
    </w:p>
    <w:p>
      <w:pPr>
        <w:ind w:left="760" w:right="62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High quality and reliability</w:t>
      </w:r>
      <w:r>
        <w:rPr>
          <w:rFonts w:ascii="Arial" w:cs="Arial" w:eastAsia="Arial" w:hAnsi="Arial"/>
          <w:sz w:val="18"/>
          <w:szCs w:val="18"/>
          <w:color w:val="auto"/>
        </w:rPr>
        <w:t>: The combination of our materials, design, and manufacturing processes enables us to produce high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with long-term reliability. Our solutions offer low sensitivity to electromagnetic energy, mechanical shock, vibration, airflow, temperature gradients and power supply noise.</w:t>
      </w:r>
    </w:p>
    <w:p>
      <w:pPr>
        <w:spacing w:after="0" w:line="68" w:lineRule="exact"/>
        <w:rPr>
          <w:rFonts w:ascii="Arial" w:cs="Arial" w:eastAsia="Arial" w:hAnsi="Arial"/>
          <w:sz w:val="18"/>
          <w:szCs w:val="18"/>
          <w:color w:val="auto"/>
        </w:rPr>
      </w:pPr>
    </w:p>
    <w:p>
      <w:pPr>
        <w:ind w:left="760" w:right="220" w:hanging="378"/>
        <w:spacing w:after="0" w:line="26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Flexible integration</w:t>
      </w:r>
      <w:r>
        <w:rPr>
          <w:rFonts w:ascii="Arial" w:cs="Arial" w:eastAsia="Arial" w:hAnsi="Arial"/>
          <w:sz w:val="18"/>
          <w:szCs w:val="18"/>
          <w:color w:val="auto"/>
        </w:rPr>
        <w:t>: Our MEMS resonators and clock ICs allow a wide range of packaging and integration methodologies to support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levels of size, cost, and electrical, thermal, and mechanical performance.</w:t>
      </w:r>
    </w:p>
    <w:p>
      <w:pPr>
        <w:spacing w:after="0" w:line="54" w:lineRule="exact"/>
        <w:rPr>
          <w:rFonts w:ascii="Arial" w:cs="Arial" w:eastAsia="Arial" w:hAnsi="Arial"/>
          <w:sz w:val="18"/>
          <w:szCs w:val="18"/>
          <w:color w:val="auto"/>
        </w:rPr>
      </w:pPr>
    </w:p>
    <w:p>
      <w:pPr>
        <w:ind w:left="760" w:right="280" w:hanging="378"/>
        <w:spacing w:after="0" w:line="296"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Leveraged product development</w:t>
      </w:r>
      <w:r>
        <w:rPr>
          <w:rFonts w:ascii="Arial" w:cs="Arial" w:eastAsia="Arial" w:hAnsi="Arial"/>
          <w:sz w:val="17"/>
          <w:szCs w:val="17"/>
          <w:color w:val="auto"/>
        </w:rPr>
        <w:t>: Our solutions employ different combinations of MEMS and circuit components, enabling us to generate a</w:t>
      </w:r>
      <w:r>
        <w:rPr>
          <w:rFonts w:ascii="Arial" w:cs="Arial" w:eastAsia="Arial" w:hAnsi="Arial"/>
          <w:sz w:val="17"/>
          <w:szCs w:val="17"/>
          <w:b w:val="1"/>
          <w:bCs w:val="1"/>
          <w:color w:val="auto"/>
        </w:rPr>
        <w:t xml:space="preserve"> </w:t>
      </w:r>
      <w:r>
        <w:rPr>
          <w:rFonts w:ascii="Arial" w:cs="Arial" w:eastAsia="Arial" w:hAnsi="Arial"/>
          <w:sz w:val="17"/>
          <w:szCs w:val="17"/>
          <w:color w:val="auto"/>
        </w:rPr>
        <w:t>vast number of custom part numbers, including over 40,000 unique part numbers shipped as of December 31, 2021.</w:t>
      </w:r>
    </w:p>
    <w:p>
      <w:pPr>
        <w:spacing w:after="0" w:line="30" w:lineRule="exact"/>
        <w:rPr>
          <w:rFonts w:ascii="Arial" w:cs="Arial" w:eastAsia="Arial" w:hAnsi="Arial"/>
          <w:sz w:val="17"/>
          <w:szCs w:val="17"/>
          <w:color w:val="auto"/>
        </w:rPr>
      </w:pPr>
    </w:p>
    <w:p>
      <w:pPr>
        <w:ind w:left="760" w:right="120" w:hanging="378"/>
        <w:spacing w:after="0" w:line="26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Rapid time to market</w:t>
      </w:r>
      <w:r>
        <w:rPr>
          <w:rFonts w:ascii="Arial" w:cs="Arial" w:eastAsia="Arial" w:hAnsi="Arial"/>
          <w:sz w:val="18"/>
          <w:szCs w:val="18"/>
          <w:color w:val="auto"/>
        </w:rPr>
        <w:t>: Our solutions can typically be delivered within weeks of initial customer order and configuration, enabling us to reduce</w:t>
      </w:r>
      <w:r>
        <w:rPr>
          <w:rFonts w:ascii="Arial" w:cs="Arial" w:eastAsia="Arial" w:hAnsi="Arial"/>
          <w:sz w:val="18"/>
          <w:szCs w:val="18"/>
          <w:b w:val="1"/>
          <w:bCs w:val="1"/>
          <w:color w:val="auto"/>
        </w:rPr>
        <w:t xml:space="preserve"> </w:t>
      </w:r>
      <w:r>
        <w:rPr>
          <w:rFonts w:ascii="Arial" w:cs="Arial" w:eastAsia="Arial" w:hAnsi="Arial"/>
          <w:sz w:val="18"/>
          <w:szCs w:val="18"/>
          <w:color w:val="auto"/>
        </w:rPr>
        <w:t>our end customers’ time to market.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Our objective is to be the leading timing solution provider for advanced and challenging applications. Our solutions not only displace existing products by providing improved performance across a range of operational attributes, but also enable next-generation devices by providing high performance at affordable price points. Key elements of our strategy include:</w:t>
      </w:r>
    </w:p>
    <w:p>
      <w:pPr>
        <w:spacing w:after="0" w:line="70" w:lineRule="exact"/>
        <w:rPr>
          <w:sz w:val="20"/>
          <w:szCs w:val="20"/>
          <w:color w:val="auto"/>
        </w:rPr>
      </w:pPr>
    </w:p>
    <w:p>
      <w:pPr>
        <w:jc w:val="both"/>
        <w:ind w:left="760" w:right="220" w:hanging="378"/>
        <w:spacing w:after="0" w:line="272"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Extend our silicon-based timing leadership</w:t>
      </w:r>
      <w:r>
        <w:rPr>
          <w:rFonts w:ascii="Arial" w:cs="Arial" w:eastAsia="Arial" w:hAnsi="Arial"/>
          <w:sz w:val="17"/>
          <w:szCs w:val="17"/>
          <w:color w:val="auto"/>
        </w:rPr>
        <w:t>. We intend to continue driving innovation in the timing market and working with our ecosystem</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to help set the timing standards of the future. We plan to improve the performance of our current solution suite across a variety of key metrics, including size, power, frequency stability, phase noise, and signal quality, while adding new functionality.</w:t>
      </w:r>
    </w:p>
    <w:p>
      <w:pPr>
        <w:spacing w:after="0" w:line="50" w:lineRule="exact"/>
        <w:rPr>
          <w:rFonts w:ascii="Arial" w:cs="Arial" w:eastAsia="Arial" w:hAnsi="Arial"/>
          <w:sz w:val="17"/>
          <w:szCs w:val="17"/>
          <w:color w:val="auto"/>
        </w:rPr>
      </w:pPr>
    </w:p>
    <w:p>
      <w:pPr>
        <w:ind w:left="760" w:right="200" w:hanging="378"/>
        <w:spacing w:after="0" w:line="266"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Advocate benefits of silicon technology</w:t>
      </w:r>
      <w:r>
        <w:rPr>
          <w:rFonts w:ascii="Arial" w:cs="Arial" w:eastAsia="Arial" w:hAnsi="Arial"/>
          <w:sz w:val="18"/>
          <w:szCs w:val="18"/>
          <w:color w:val="auto"/>
        </w:rPr>
        <w:t>. We intend to continue to educate current and prospective customers about the benefits of our silicon</w:t>
      </w:r>
      <w:r>
        <w:rPr>
          <w:rFonts w:ascii="Arial" w:cs="Arial" w:eastAsia="Arial" w:hAnsi="Arial"/>
          <w:sz w:val="18"/>
          <w:szCs w:val="18"/>
          <w:b w:val="1"/>
          <w:bCs w:val="1"/>
          <w:color w:val="auto"/>
        </w:rPr>
        <w:t xml:space="preserve"> </w:t>
      </w:r>
      <w:r>
        <w:rPr>
          <w:rFonts w:ascii="Arial" w:cs="Arial" w:eastAsia="Arial" w:hAnsi="Arial"/>
          <w:sz w:val="18"/>
          <w:szCs w:val="18"/>
          <w:color w:val="auto"/>
        </w:rPr>
        <w:t>timing systems solutions relative to their existing and future products.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 w:name="page11"/>
    <w:bookmarkEnd w:id="10"/>
    <w:p>
      <w:pPr>
        <w:ind w:left="380" w:hanging="378"/>
        <w:spacing w:after="0" w:line="329"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Identify and promote new and emerging applications for our technologies</w:t>
      </w:r>
      <w:r>
        <w:rPr>
          <w:rFonts w:ascii="Arial" w:cs="Arial" w:eastAsia="Arial" w:hAnsi="Arial"/>
          <w:sz w:val="16"/>
          <w:szCs w:val="16"/>
          <w:color w:val="auto"/>
        </w:rPr>
        <w:t>. We intend to continue to collaborate with our end customers to</w:t>
      </w:r>
      <w:r>
        <w:rPr>
          <w:rFonts w:ascii="Arial" w:cs="Arial" w:eastAsia="Arial" w:hAnsi="Arial"/>
          <w:sz w:val="16"/>
          <w:szCs w:val="16"/>
          <w:b w:val="1"/>
          <w:bCs w:val="1"/>
          <w:color w:val="auto"/>
        </w:rPr>
        <w:t xml:space="preserve"> </w:t>
      </w:r>
      <w:r>
        <w:rPr>
          <w:rFonts w:ascii="Arial" w:cs="Arial" w:eastAsia="Arial" w:hAnsi="Arial"/>
          <w:sz w:val="16"/>
          <w:szCs w:val="16"/>
          <w:color w:val="auto"/>
        </w:rPr>
        <w:t>identify timing challenges related to their product roadmaps and to develop innovative solutions to help them realize these products.</w:t>
      </w:r>
    </w:p>
    <w:p>
      <w:pPr>
        <w:spacing w:after="0" w:line="8" w:lineRule="exact"/>
        <w:rPr>
          <w:rFonts w:ascii="Arial" w:cs="Arial" w:eastAsia="Arial" w:hAnsi="Arial"/>
          <w:sz w:val="16"/>
          <w:szCs w:val="16"/>
          <w:color w:val="auto"/>
        </w:rPr>
      </w:pPr>
    </w:p>
    <w:p>
      <w:pPr>
        <w:ind w:left="380" w:right="160" w:hanging="378"/>
        <w:spacing w:after="0" w:line="266"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Enable future technology innovation</w:t>
      </w:r>
      <w:r>
        <w:rPr>
          <w:rFonts w:ascii="Arial" w:cs="Arial" w:eastAsia="Arial" w:hAnsi="Arial"/>
          <w:sz w:val="18"/>
          <w:szCs w:val="18"/>
          <w:color w:val="auto"/>
        </w:rPr>
        <w:t>. We plan to continue to apply our MEMS analog and mixed-signal, and systems expertise,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with leading technology companies to develop innovative products.</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700" w:top="432" w:right="579" w:bottom="1440" w:gutter="0" w:footer="0" w:header="0"/>
        </w:sectPr>
      </w:pPr>
    </w:p>
    <w:bookmarkStart w:id="11" w:name="page12"/>
    <w:bookmarkEnd w:id="11"/>
    <w:p>
      <w:pPr>
        <w:ind w:left="760" w:hanging="378"/>
        <w:spacing w:after="0" w:line="26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Broaden our product portfolio</w:t>
      </w:r>
      <w:r>
        <w:rPr>
          <w:rFonts w:ascii="Arial" w:cs="Arial" w:eastAsia="Arial" w:hAnsi="Arial"/>
          <w:sz w:val="18"/>
          <w:szCs w:val="18"/>
          <w:color w:val="auto"/>
        </w:rPr>
        <w:t>. We intend to continue to broaden our product portfolio by offering additional varieties of oscillators, expanding</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in standalone resonators, and expanding into the clock IC market.</w:t>
      </w:r>
    </w:p>
    <w:p>
      <w:pPr>
        <w:spacing w:after="0" w:line="54" w:lineRule="exact"/>
        <w:rPr>
          <w:rFonts w:ascii="Arial" w:cs="Arial" w:eastAsia="Arial" w:hAnsi="Arial"/>
          <w:sz w:val="18"/>
          <w:szCs w:val="18"/>
          <w:color w:val="auto"/>
        </w:rPr>
      </w:pPr>
    </w:p>
    <w:p>
      <w:pPr>
        <w:ind w:left="760" w:right="520" w:hanging="378"/>
        <w:spacing w:after="0" w:line="250"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Continue to attract and acquire new customers</w:t>
      </w:r>
      <w:r>
        <w:rPr>
          <w:rFonts w:ascii="Arial" w:cs="Arial" w:eastAsia="Arial" w:hAnsi="Arial"/>
          <w:sz w:val="18"/>
          <w:szCs w:val="18"/>
          <w:color w:val="auto"/>
        </w:rPr>
        <w:t>. We intend to expand our end customer base by focusing on direct dialogue with large</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accounts as well as partnerships with large distributors and resellers. We believe this multi-track strategy will allow us to provide differentiated solutions to a broad array of customers.</w:t>
      </w:r>
    </w:p>
    <w:p>
      <w:pPr>
        <w:spacing w:after="0" w:line="68" w:lineRule="exact"/>
        <w:rPr>
          <w:rFonts w:ascii="Arial" w:cs="Arial" w:eastAsia="Arial" w:hAnsi="Arial"/>
          <w:sz w:val="18"/>
          <w:szCs w:val="18"/>
          <w:color w:val="auto"/>
        </w:rPr>
      </w:pPr>
    </w:p>
    <w:p>
      <w:pPr>
        <w:ind w:left="760" w:right="160" w:hanging="378"/>
        <w:spacing w:after="0" w:line="329"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Drive margin expansion of our products</w:t>
      </w:r>
      <w:r>
        <w:rPr>
          <w:rFonts w:ascii="Arial" w:cs="Arial" w:eastAsia="Arial" w:hAnsi="Arial"/>
          <w:sz w:val="16"/>
          <w:szCs w:val="16"/>
          <w:color w:val="auto"/>
        </w:rPr>
        <w:t>. We intend to use our technological expertise to deliver higher value and higher margin products.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we intend to continue to reduce our costs through operational improvements and supply-chain management initiatives.</w:t>
      </w:r>
    </w:p>
    <w:p>
      <w:pPr>
        <w:spacing w:after="0" w:line="8" w:lineRule="exact"/>
        <w:rPr>
          <w:rFonts w:ascii="Arial" w:cs="Arial" w:eastAsia="Arial" w:hAnsi="Arial"/>
          <w:sz w:val="16"/>
          <w:szCs w:val="16"/>
          <w:color w:val="auto"/>
        </w:rPr>
      </w:pPr>
    </w:p>
    <w:p>
      <w:pPr>
        <w:ind w:left="760" w:right="300" w:hanging="378"/>
        <w:spacing w:after="0" w:line="272"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Offer value on business metrics</w:t>
      </w:r>
      <w:r>
        <w:rPr>
          <w:rFonts w:ascii="Arial" w:cs="Arial" w:eastAsia="Arial" w:hAnsi="Arial"/>
          <w:sz w:val="17"/>
          <w:szCs w:val="17"/>
          <w:color w:val="auto"/>
        </w:rPr>
        <w:t>. In addition to differentiating our solutions based on technical features and value, we also intend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value to our customers on business metrics by leveraging our fabless semiconductor infrastructure. These benefits may include shorter lead times, higher quality and reliability, and therefore lower cost of ownership for the end customer.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340" w:firstLine="509"/>
        <w:spacing w:after="0" w:line="235" w:lineRule="auto"/>
        <w:rPr>
          <w:sz w:val="20"/>
          <w:szCs w:val="20"/>
          <w:color w:val="auto"/>
        </w:rPr>
      </w:pPr>
      <w:r>
        <w:rPr>
          <w:rFonts w:ascii="Arial" w:cs="Arial" w:eastAsia="Arial" w:hAnsi="Arial"/>
          <w:sz w:val="18"/>
          <w:szCs w:val="18"/>
          <w:color w:val="auto"/>
        </w:rPr>
        <w:t>Our silicon timing products are designed to address a wide range of applications across a broad array of end markets. Our product portfolio encompasses oscillators, clock ICs, and resonators. The programmability of our product platforms enables us to generate solutions quickly to customer specifications.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Today, we primarily supply oscillator products that comprise a MEMS resonator and an analog mixed-signal IC that are integrated into a package.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our current portfolio of promoted products by target end market: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2256790</wp:posOffset>
            </wp:positionH>
            <wp:positionV relativeFrom="page">
              <wp:posOffset>217805</wp:posOffset>
            </wp:positionV>
            <wp:extent cx="3008630" cy="4886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3008630" cy="488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primarily sell our timing products to distributors and resellers, who in turn sell our products to our end customers. We work closely with our end customers throughout their design cycles and are able to develop long-term relationships as our technology becomes embedded in their products and at times sell directly to our end customers. As a result, we believe our products are well-positioned to be designed into their current systems and we are well-positioned to develop next generation solutions for their future products.</w:t>
      </w:r>
    </w:p>
    <w:p>
      <w:pPr>
        <w:spacing w:after="0" w:line="18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Pernas Electronics Co., Ltd. (“Pernas”) directly accounted for 24%, 26%, and 17% of our revenue for the years ended December 31, 2021, 2020 and 2019, respectively, Quantek Technology Corporation (“Quantek”) directly accounted for 10%, 18%, and 22% of our revenue for the years ended December 31, 2021, 2020, and 2019, respectively and Arrow Electronics, Inc. (“Arrow”) directly accounted for 14%, 15%, and 19% of our revenue for the years ended December 31, 2021, 2020, and 2019, respectively. Other than Pernas, Quantek, and Arrow, no other single customer accounted for more than 10% of our revenue in the years ended December 31, 2021, 2020, and 2019.</w:t>
      </w:r>
    </w:p>
    <w:p>
      <w:pPr>
        <w:spacing w:after="0" w:line="189"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Based on the sell-through information provided to us from distributors and resellers who identify end customers, we believe that the majority of our products sold to Pernas and Quantek are in turn incorporated into products of Apple Inc. (“Apple”), our largest end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ind w:right="140"/>
        <w:spacing w:after="0" w:line="261" w:lineRule="auto"/>
        <w:rPr>
          <w:sz w:val="20"/>
          <w:szCs w:val="20"/>
          <w:color w:val="auto"/>
        </w:rPr>
      </w:pPr>
      <w:r>
        <w:rPr>
          <w:rFonts w:ascii="Arial" w:cs="Arial" w:eastAsia="Arial" w:hAnsi="Arial"/>
          <w:sz w:val="18"/>
          <w:szCs w:val="18"/>
          <w:color w:val="auto"/>
        </w:rPr>
        <w:t>customer. As a result, we believe revenue attributable to our largest end customer accounted for approximately 22%, 40%, and 35% of our revenue for the years ended December 31, 2021, 2020, and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Our customers’ design cycle from initial engagement to volume shipment typically ranges from six months to three years, with product life cycles of up to ten years or more. For many of our products, early engagement with our 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such as Nokia for the communications markets, to anticipate end customer market needs. In some cases, we work with our end customers to better understand the end customers’ market trends and new requirements that are being placed on our customers.</w:t>
      </w:r>
    </w:p>
    <w:p>
      <w:pPr>
        <w:spacing w:after="0" w:line="175"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We sell our products worldwide through multiple channels, including our direct sales force and a network of distributors, contract manufacturers, contracted sales representatives, resellers, and independent design houses. Our global sales strategy includes direct sales and distributors covering over 15,000 end customer accounts since inception.</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a strategic accounts strategy with dedicated account owners and our direct sales force focused on key decision-makers to provide high-value solutions for unique customer requirements. We intend to continue to expand our sales and marketing efforts through increased collaboration with our distributors, resellers, and contracted sales representatives. In addition, we intend to introduce a self-service web portal, which will support 24/7 availability and leverage an inside sales team to support a “self-service model” for customers.</w:t>
      </w:r>
    </w:p>
    <w:p>
      <w:pPr>
        <w:spacing w:after="0" w:line="18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promote our products and brand through various means including digital marketing and online advertising, press releases, contributed articles, speaking opportunities, trade events, customer events, public relations and industry analyst relations.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Our revenue is subject to some seasonal variation. Based on the production schedules of key customers, our products typically see stronger revenue in the second half of our fiscal year. However, there can be no assurance that this trend will continue.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We operate a fabless business model and use third-party foundries and assembly and test contractors to manufacture, assemble and test our semiconductor products. This outsourced manufacturing approach allows us to focus our resources on the design, sale, and marketing of our products. In addition, we believe that outsourcing many of our manufacturing and assembly activities provides us with the flexibility needed to respond to new market opportunities and scale for customer demand, simplifies our operations, and significantly reduces our capital commitments.</w:t>
      </w:r>
    </w:p>
    <w:p>
      <w:pPr>
        <w:spacing w:after="0" w:line="159"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subject our third-party manufacturing contractors to rigorous qualification requirements to meet the high quality and reliability standards required of our products. We carefully qualify each of our partners and their processes before applying the technology to our products. Our engineers work closely with our foundries and other contractors to increase yield, lower manufacturing costs, and improve product quality.</w:t>
      </w:r>
    </w:p>
    <w:p>
      <w:pPr>
        <w:spacing w:after="0" w:line="66" w:lineRule="exact"/>
        <w:rPr>
          <w:sz w:val="20"/>
          <w:szCs w:val="20"/>
          <w:color w:val="auto"/>
        </w:rPr>
      </w:pPr>
    </w:p>
    <w:p>
      <w:pPr>
        <w:ind w:left="760" w:right="100" w:hanging="378"/>
        <w:spacing w:after="0" w:line="250"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Fabrication</w:t>
      </w:r>
      <w:r>
        <w:rPr>
          <w:rFonts w:ascii="Arial" w:cs="Arial" w:eastAsia="Arial" w:hAnsi="Arial"/>
          <w:sz w:val="18"/>
          <w:szCs w:val="18"/>
          <w:color w:val="auto"/>
        </w:rPr>
        <w:t>. We currently utilize a range of semiconductor process generations to develop and manufacture our products. We use Robert Bosch</w:t>
      </w:r>
      <w:r>
        <w:rPr>
          <w:rFonts w:ascii="Arial" w:cs="Arial" w:eastAsia="Arial" w:hAnsi="Arial"/>
          <w:sz w:val="18"/>
          <w:szCs w:val="18"/>
          <w:b w:val="1"/>
          <w:bCs w:val="1"/>
          <w:color w:val="auto"/>
        </w:rPr>
        <w:t xml:space="preserve"> </w:t>
      </w:r>
      <w:r>
        <w:rPr>
          <w:rFonts w:ascii="Arial" w:cs="Arial" w:eastAsia="Arial" w:hAnsi="Arial"/>
          <w:sz w:val="18"/>
          <w:szCs w:val="18"/>
          <w:color w:val="auto"/>
        </w:rPr>
        <w:t>LLC (“Bosch”) in Germany and Taiwan Semiconductor Manufacturing Company (“TSMC”) in Taiwan as our primary foundries and suppliers for our MEMS timing devices and analog mixed-signal circuit ICs, respectively.</w:t>
      </w:r>
    </w:p>
    <w:p>
      <w:pPr>
        <w:spacing w:after="0" w:line="68" w:lineRule="exact"/>
        <w:rPr>
          <w:rFonts w:ascii="Arial" w:cs="Arial" w:eastAsia="Arial" w:hAnsi="Arial"/>
          <w:sz w:val="18"/>
          <w:szCs w:val="18"/>
          <w:color w:val="auto"/>
        </w:rPr>
      </w:pPr>
    </w:p>
    <w:p>
      <w:pPr>
        <w:ind w:left="760" w:right="80" w:hanging="378"/>
        <w:spacing w:after="0" w:line="245"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Package, Assembly and Testing</w:t>
      </w:r>
      <w:r>
        <w:rPr>
          <w:rFonts w:ascii="Arial" w:cs="Arial" w:eastAsia="Arial" w:hAnsi="Arial"/>
          <w:sz w:val="18"/>
          <w:szCs w:val="18"/>
          <w:color w:val="auto"/>
        </w:rPr>
        <w:t>. Upon the completion of processing at the foundry, we use third-party contractors for packaging, assembly and</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including Advanced Semiconductor Engineering, Inc. (“ASE”), Carsem (M) Sdn Bhd. (“Carsem”), and United Test and Assembly Center Ltd. (“UTAC”) in Taiwan, Malaysia, and Thailand, respectively, as well as Daishinku Corp. (“Daishinku”), UTAC, Hana Semiconductor (Ayutthaya) Co., Ltd, and ASE for ceramic packaging for some of our products.</w:t>
      </w:r>
    </w:p>
    <w:p>
      <w:pPr>
        <w:spacing w:after="0" w:line="72" w:lineRule="exact"/>
        <w:rPr>
          <w:rFonts w:ascii="Arial" w:cs="Arial" w:eastAsia="Arial" w:hAnsi="Arial"/>
          <w:sz w:val="18"/>
          <w:szCs w:val="18"/>
          <w:color w:val="auto"/>
        </w:rPr>
      </w:pPr>
    </w:p>
    <w:p>
      <w:pPr>
        <w:ind w:left="760" w:right="460" w:hanging="378"/>
        <w:spacing w:after="0" w:line="26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Warehousing</w:t>
      </w:r>
      <w:r>
        <w:rPr>
          <w:rFonts w:ascii="Arial" w:cs="Arial" w:eastAsia="Arial" w:hAnsi="Arial"/>
          <w:sz w:val="18"/>
          <w:szCs w:val="18"/>
          <w:color w:val="auto"/>
        </w:rPr>
        <w:t>. Our products are warehoused at our outsourced semiconductor assembly and test facilities located in Malaysia, Taiwan,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Thailand.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ind w:right="100" w:firstLine="509"/>
        <w:spacing w:after="0" w:line="241" w:lineRule="auto"/>
        <w:rPr>
          <w:sz w:val="20"/>
          <w:szCs w:val="20"/>
          <w:color w:val="auto"/>
        </w:rPr>
      </w:pPr>
      <w:r>
        <w:rPr>
          <w:rFonts w:ascii="Arial" w:cs="Arial" w:eastAsia="Arial" w:hAnsi="Arial"/>
          <w:sz w:val="18"/>
          <w:szCs w:val="18"/>
          <w:color w:val="auto"/>
        </w:rPr>
        <w:t>We have a supply agreement with Bosch under which Bosch has agreed to fabricate our MEMS wafers based on purchase orders placed by us. Bosch has discretion whether to accept our purchase orders, and we can terminate purchase orders for convenience by giving written notice prior to shipment. The initial term of the supply agreement is for ten years through February 2027 and automatically renews unless terminated by either party with three years’ advance notice beginning in February 2024. Other than Bosch, we do not have long-term supply agreements with most of our third-party manufacturing contractors, and we purchase products on a purchase order basis.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0" w:lineRule="exact"/>
        <w:rPr>
          <w:sz w:val="20"/>
          <w:szCs w:val="20"/>
          <w:color w:val="auto"/>
        </w:rPr>
      </w:pPr>
    </w:p>
    <w:p>
      <w:pPr>
        <w:ind w:right="40" w:firstLine="509"/>
        <w:spacing w:after="0" w:line="233" w:lineRule="auto"/>
        <w:rPr>
          <w:sz w:val="20"/>
          <w:szCs w:val="20"/>
          <w:color w:val="auto"/>
        </w:rPr>
      </w:pPr>
      <w:r>
        <w:rPr>
          <w:rFonts w:ascii="Arial" w:cs="Arial" w:eastAsia="Arial" w:hAnsi="Arial"/>
          <w:sz w:val="22"/>
          <w:szCs w:val="22"/>
          <w:color w:val="auto"/>
        </w:rPr>
        <w:t xml:space="preserve">We </w:t>
      </w:r>
      <w:r>
        <w:rPr>
          <w:rFonts w:ascii="Arial" w:cs="Arial" w:eastAsia="Arial" w:hAnsi="Arial"/>
          <w:sz w:val="17"/>
          <w:szCs w:val="17"/>
          <w:color w:val="auto"/>
        </w:rPr>
        <w:t>believe that our future success depends on our ability to introduce enhancements on our existing products and to develop new products for both</w:t>
      </w:r>
      <w:r>
        <w:rPr>
          <w:rFonts w:ascii="Arial" w:cs="Arial" w:eastAsia="Arial" w:hAnsi="Arial"/>
          <w:sz w:val="22"/>
          <w:szCs w:val="22"/>
          <w:color w:val="auto"/>
        </w:rPr>
        <w:t xml:space="preserve"> </w:t>
      </w:r>
      <w:r>
        <w:rPr>
          <w:rFonts w:ascii="Arial" w:cs="Arial" w:eastAsia="Arial" w:hAnsi="Arial"/>
          <w:sz w:val="17"/>
          <w:szCs w:val="17"/>
          <w:color w:val="auto"/>
        </w:rPr>
        <w:t>existing and new markets. As a result, a significant majority of our operating expenses has been allocated towards this effort. Our research and development efforts are focused primarily on MEMS and advanced clock IC design and advanced system-level integration for timing solutions.</w:t>
      </w:r>
    </w:p>
    <w:p>
      <w:pPr>
        <w:spacing w:after="0" w:line="190" w:lineRule="exact"/>
        <w:rPr>
          <w:sz w:val="20"/>
          <w:szCs w:val="20"/>
          <w:color w:val="auto"/>
        </w:rPr>
      </w:pPr>
    </w:p>
    <w:p>
      <w:pPr>
        <w:ind w:right="220" w:firstLine="509"/>
        <w:spacing w:after="0" w:line="271" w:lineRule="auto"/>
        <w:rPr>
          <w:sz w:val="20"/>
          <w:szCs w:val="20"/>
          <w:color w:val="auto"/>
        </w:rPr>
      </w:pPr>
      <w:r>
        <w:rPr>
          <w:rFonts w:ascii="Arial" w:cs="Arial" w:eastAsia="Arial" w:hAnsi="Arial"/>
          <w:sz w:val="16"/>
          <w:szCs w:val="16"/>
          <w:color w:val="auto"/>
        </w:rPr>
        <w:t>We have assembled a core team of experienced engineers and systems designers who conduct research and development activities in the United States, the Netherlands, Japan, Taiwan, and Ukraine. As of December 31, 2021, we had 85 engineers worldwide (representing approximately 30% of our</w:t>
      </w:r>
    </w:p>
    <w:p>
      <w:pPr>
        <w:spacing w:after="0"/>
        <w:rPr>
          <w:sz w:val="20"/>
          <w:szCs w:val="20"/>
          <w:color w:val="auto"/>
        </w:rPr>
      </w:pPr>
      <w:r>
        <w:rPr>
          <w:rFonts w:ascii="Arial" w:cs="Arial" w:eastAsia="Arial" w:hAnsi="Arial"/>
          <w:sz w:val="18"/>
          <w:szCs w:val="18"/>
          <w:color w:val="auto"/>
        </w:rPr>
        <w:t>total employee base)</w:t>
      </w:r>
      <w:r>
        <w:rPr>
          <w:rFonts w:ascii="Arial" w:cs="Arial" w:eastAsia="Arial" w:hAnsi="Arial"/>
          <w:sz w:val="21"/>
          <w:szCs w:val="21"/>
          <w:color w:val="auto"/>
        </w:rPr>
        <w: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non-disclosure agreements, and other contractual protections, to protect our technologies and proprietary know-how. As of December 31, 2021, we had 83 issued U.S. patents, expiring generally between 2026 and 2039, and 38 pending U.S. patent applications. We also had two foreign issued patents expiring in 2035 and four pending foreign patent applications. Our issued patents and pending patent applications generally relate to our MEMS fabrication process, MEMS resonators, circuits, packaging, and oscillator systems.</w:t>
      </w:r>
    </w:p>
    <w:p>
      <w:pPr>
        <w:spacing w:after="0" w:line="18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to our own intellectual property, we also use third-party licenses for certain technologies embedded in our MEMS solutions. For example, we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188" w:lineRule="exact"/>
        <w:rPr>
          <w:sz w:val="20"/>
          <w:szCs w:val="20"/>
          <w:color w:val="auto"/>
        </w:rPr>
      </w:pPr>
    </w:p>
    <w:p>
      <w:pPr>
        <w:ind w:right="140" w:firstLine="509"/>
        <w:spacing w:after="0" w:line="270" w:lineRule="auto"/>
        <w:rPr>
          <w:sz w:val="20"/>
          <w:szCs w:val="20"/>
          <w:color w:val="auto"/>
        </w:rPr>
      </w:pPr>
      <w:r>
        <w:rPr>
          <w:rFonts w:ascii="Arial" w:cs="Arial" w:eastAsia="Arial" w:hAnsi="Arial"/>
          <w:sz w:val="16"/>
          <w:szCs w:val="16"/>
          <w:color w:val="auto"/>
        </w:rPr>
        <w:t>We generally control access to and use of our confidential information and trade secrets through the use of internal and external controls, including contractual protections with employees, contractors, and customers. We rely in part on the laws of the United States and international laws to protect our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 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 w:name="page16"/>
    <w:bookmarkEnd w:id="15"/>
    <w:p>
      <w:pPr>
        <w:ind w:right="40" w:firstLine="509"/>
        <w:spacing w:after="0" w:line="276" w:lineRule="auto"/>
        <w:rPr>
          <w:sz w:val="20"/>
          <w:szCs w:val="20"/>
          <w:color w:val="auto"/>
        </w:rPr>
      </w:pPr>
      <w:r>
        <w:rPr>
          <w:rFonts w:ascii="Arial" w:cs="Arial" w:eastAsia="Arial" w:hAnsi="Arial"/>
          <w:sz w:val="16"/>
          <w:szCs w:val="16"/>
          <w:color w:val="auto"/>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The global semiconductor market in general, and the timing market in particular, is highly competitive. We compete in different target markets based on a number of competitive factors. We expect competition to increase and intensify as additional companies enter our markets and as internal resources of large original equipment manufacturers (“OEMs”) grow. Increased competition could result in price pressure, reduced gross margins, and loss of market share, any of which could harm our business, financial condition, and results of operations.</w:t>
      </w:r>
    </w:p>
    <w:p>
      <w:pPr>
        <w:spacing w:after="0" w:line="17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competitors range from large, international companies offering a wide range of timing products to smaller companies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Silicon Laboratories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These quartz crystal suppliers typically own their own quartz manufacturing facilities.</w:t>
      </w:r>
    </w:p>
    <w:p>
      <w:pPr>
        <w:spacing w:after="0" w:line="19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Our ability to compete successfully depends on elements both within and outside of our control, including industry and general economic trends. During past periods of downturns in our industry, competition in the markets in which we operate intensified as our customers reduced their purchase orders.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better withstand similar adverse economic or market conditions in the future. Any such development may materially and adversely affect our current and future target markets and our ability to compete successfully in those markets. We maintain our competitive position through our ability to successfully design, develop, and market complex timing solutions for the customers we serve.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Our business activities are worldwide and subject to various federal, state, local and foreign regulations and our products are governed by a number of rules and regulations. To date, our compliance with these regulations has not had a material impact on our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 and Empowerment</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believe that our company culture, which promotes innovation, open communication, and teamwork, has been critical to our success. Our success depends largely upon the continued services of our executive officers and other key employees and on our ability to continue to attract, retain and motivate qualified employees, particularly highly-skilled engineers involved in the design, development, support and manufacture of new and existing products and processes and our sales and marketing team which is critical to achieving design wins, creating our brand awareness and reputation, and building long-lasting relationships with our customers and other industry participants. In order for us to attract the best talent, we aim to offer challenging work in an environment that enables our employees to learn, grow, and reach their full potential.</w:t>
      </w:r>
    </w:p>
    <w:p>
      <w:pPr>
        <w:spacing w:after="0" w:line="17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We use a combination of fixed and variable pay including base salary,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bonuses, performance awards and stock-based compensation. The principal purposes of our equity incentive plans are to attract, retain, and motivate selected employees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and paid counseling assistance. For further information concerning our equity incentive plans, see Note 9, Stock-based Compensation, of the Notes to Consolidated Financial Statements contained in Part II, Item 8 of this Annual Report on Form 10-K.</w:t>
      </w:r>
    </w:p>
    <w:p>
      <w:pPr>
        <w:spacing w:after="0" w:line="18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are committed to the health, safety and wellness of our employees. We provide our employees and their families with access to a variety of health and wellness programs, including benefits that support their physical and mental health. In response to the COVID-19 pandemic, we implemented safety measures designed to protect our employees. We believe we have been able to preserve our business continuity without sacrificing our commitment to keeping our employees safe during the COVID-19 pandemic.</w:t>
      </w:r>
    </w:p>
    <w:p>
      <w:pPr>
        <w:spacing w:after="0" w:line="18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regularly review our employees and assess the needs of the business to identify our talent needs. We encourage all employees to continue learning and provide internal opportunities for cross functional work to support this. We regularly review succession plans and focus on promoting internal talent to help grow our employees' careers.</w:t>
      </w:r>
    </w:p>
    <w:p>
      <w:pPr>
        <w:spacing w:after="0" w:line="18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conducted a survey in fiscal 2020 and had a participation rate of over 80% of all our employees and the survey results indicated that we excel in areas including initiative, empowerment, opportunities to learn and grow, and overall culture.</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As of December 31, 2021, we had 279 full-time equivalent employees located in the United States, France, Malaysia, the Netherlands, Taiwan, Japan and Ukraine, including 137 in research and development, 109 in sales, general, and administrative, and 33 in operations. We consider relations with our employees to be good and have never experienced a work stoppage.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jc w:val="both"/>
        <w:ind w:right="160" w:firstLine="509"/>
        <w:spacing w:after="0" w:line="241" w:lineRule="auto"/>
        <w:rPr>
          <w:sz w:val="20"/>
          <w:szCs w:val="20"/>
          <w:color w:val="auto"/>
        </w:rPr>
      </w:pPr>
      <w:r>
        <w:rPr>
          <w:rFonts w:ascii="Arial" w:cs="Arial" w:eastAsia="Arial" w:hAnsi="Arial"/>
          <w:sz w:val="18"/>
          <w:szCs w:val="18"/>
          <w:color w:val="auto"/>
        </w:rPr>
        <w:t>We were incorporated in Delaware on December 3, 2003. Our principal executive offices are located at 5451 Patrick Henry Drive, Santa Clara, California 95054, and our telephone number is (408) 328-4400. Our corporate website address is www.sitime.com. Information found on, or accessible through, our website is not a part of, and is not incorporated into, this Annual Report on Form 10-K. Unless the context requires otherwise, references in this Annual Report on Form 10-K to “SiTime,” “the company,” “we,” “us” and “our” refer to SiTime Corporation and its wholly-owned subsidiaries on a consolidated basis.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jc w:val="both"/>
        <w:ind w:right="120" w:firstLine="509"/>
        <w:spacing w:after="0" w:line="284" w:lineRule="auto"/>
        <w:rPr>
          <w:sz w:val="20"/>
          <w:szCs w:val="20"/>
          <w:color w:val="auto"/>
        </w:rPr>
      </w:pPr>
      <w:r>
        <w:rPr>
          <w:rFonts w:ascii="Arial" w:cs="Arial" w:eastAsia="Arial" w:hAnsi="Arial"/>
          <w:sz w:val="16"/>
          <w:szCs w:val="16"/>
          <w:color w:val="auto"/>
        </w:rPr>
        <w:t>Our website is located at https://www.sitime.com.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website is www.sec.gov.</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effects of the ongoing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from time to time imposed measures such as quarantines and “shelter-in-place” orders that restrict business operations and travel and require individuals to work from home (“WFH”), which has impacted all aspects of our business as well as those of the third-parties we rely upon for our manufacturing, assembly, testing, shipping, and other operations. Among other things, the continued COVID-19 pandemic may result in:</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7" w:name="page18"/>
    <w:bookmarkEnd w:id="17"/>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10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6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a result of the COVID-19 pandemic, we believe we have experienced some delay and disruption in the manufacture, shipment, and sales of our products. In addition, we believe the production capabilities of our suppliers has been, and will likely continue to be, impacted as a result of quarantines, closures of production facilities, lack of supplies, or delays caused by restrictions on travel or WFH orders. Further, as WFH orders terminate and individuals return to work in offices, we may experience a reduction in demand for certain of our products that are incorporated in our customers’ products that experienced higher demand as a result of the increase in WFH during the COVID-19 pandemic. The continued disruption in the manufacture, shipment and sales of our products may negatively and materially impact our operating results. The resumption of normal business operations after such disruptions may be delayed and resurgences of COVID-19 could result in continued disruption to us, our suppliers, and/or our customers. As a result, the effects of the COVID-19 pandemic could have a material adverse impact on our business, results of operations, and financial condition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could cause an extended downturn in the worldwide economy, which would likely result in reduced demand for our products and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 and other parties. Adverse economic conditions may also result in a higher rate of losses on our accounts receivables due to credit defaults. As a result, a downturn in the worldwide economy could have a material adverse effect on our business, results of operations, and financial condition.</w:t>
      </w:r>
    </w:p>
    <w:p>
      <w:pPr>
        <w:spacing w:after="0" w:line="8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60" w:lineRule="exact"/>
        <w:rPr>
          <w:sz w:val="20"/>
          <w:szCs w:val="20"/>
          <w:color w:val="auto"/>
        </w:rPr>
      </w:pPr>
    </w:p>
    <w:p>
      <w:pPr>
        <w:jc w:val="both"/>
        <w:ind w:right="160"/>
        <w:spacing w:after="0" w:line="241" w:lineRule="auto"/>
        <w:rPr>
          <w:sz w:val="20"/>
          <w:szCs w:val="20"/>
          <w:color w:val="auto"/>
        </w:rPr>
      </w:pPr>
      <w:r>
        <w:rPr>
          <w:rFonts w:ascii="Arial" w:cs="Arial" w:eastAsia="Arial" w:hAnsi="Arial"/>
          <w:sz w:val="18"/>
          <w:szCs w:val="18"/>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7"/>
          <w:szCs w:val="17"/>
          <w:color w:val="auto"/>
        </w:rPr>
        <w:t>any increases in their wafer or materials prices could adversely affect our gross margins and our ability to meet customer demands in a timely manner, or at all, and lead to reduced revenue. There are currently a number of industry-wide supply constraints affecting the supply of analog circuits manufactured by certain foundries, including TSMC, and affecting outsourced semiconductor assembly and test providers (“OSATs”), which has limited and may continue to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7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currently primarily rely on Advanced Semiconductor Engineering, Inc. (“ASE”), Carsem (M) Sdn. Bhd. (“Carsem”), and United Test and Assembly Center Ltd. (“UTAC”) for assembly and testing, as well as Daishinku Corp. (“Daishinku”) and UTAC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8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5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outsource the fabrication and assembly of all of our products to third parties that are primarily located in Germany and Asia. In addition, we conduct research and development activities in the United States, Japan, the Netherlands, Taiwan, and Ukraine and work with third-party contractors in Russia. We also conduct marketing and administrative functions in the United States, Japan, the Netherlands, China, Taiwan, Malaysia, and Ukraine. Certain of the critical functions for our business are performed in locations outside of the United States. In addition, members of our sales force are located in various locations outside of the United States. In addition, approximately 94%, 93% and 93% of our revenue for the years ended December 31, 2021, 2020 and 2019, respectively, was from distributors with ship-to locations outside the United States, although we believe the majority of our end customers are based 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9" w:name="page20"/>
    <w:bookmarkEnd w:id="19"/>
    <w:p>
      <w:pPr>
        <w:ind w:right="260"/>
        <w:spacing w:after="0" w:line="261" w:lineRule="auto"/>
        <w:rPr>
          <w:sz w:val="20"/>
          <w:szCs w:val="20"/>
          <w:color w:val="auto"/>
        </w:rPr>
      </w:pPr>
      <w:r>
        <w:rPr>
          <w:rFonts w:ascii="Arial" w:cs="Arial" w:eastAsia="Arial" w:hAnsi="Arial"/>
          <w:sz w:val="18"/>
          <w:szCs w:val="18"/>
          <w:color w:val="auto"/>
        </w:rPr>
        <w:t>the U.S. based on sell-through information provided by these distributors. As a result of our international focus, we face numerous challenges and risks, including:</w:t>
      </w:r>
    </w:p>
    <w:p>
      <w:pPr>
        <w:spacing w:after="0" w:line="63" w:lineRule="exact"/>
        <w:rPr>
          <w:sz w:val="20"/>
          <w:szCs w:val="20"/>
          <w:color w:val="auto"/>
        </w:rPr>
      </w:pPr>
    </w:p>
    <w:p>
      <w:pPr>
        <w:ind w:left="1020" w:right="2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local laws and regulations and unanticipated changes in local laws and regulations, including tax laws and regulations;</w:t>
      </w:r>
    </w:p>
    <w:p>
      <w:pPr>
        <w:spacing w:after="0" w:line="115"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03" w:lineRule="exact"/>
        <w:rPr>
          <w:rFonts w:ascii="Arial" w:cs="Arial" w:eastAsia="Arial" w:hAnsi="Arial"/>
          <w:sz w:val="18"/>
          <w:szCs w:val="18"/>
          <w:color w:val="auto"/>
        </w:rPr>
      </w:pPr>
    </w:p>
    <w:p>
      <w:pPr>
        <w:ind w:left="1020" w:right="120" w:hanging="503"/>
        <w:spacing w:after="0" w:line="324"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6" w:lineRule="exact"/>
        <w:rPr>
          <w:rFonts w:ascii="Arial" w:cs="Arial" w:eastAsia="Arial" w:hAnsi="Arial"/>
          <w:sz w:val="16"/>
          <w:szCs w:val="16"/>
          <w:color w:val="auto"/>
        </w:rPr>
      </w:pPr>
    </w:p>
    <w:p>
      <w:pPr>
        <w:ind w:left="1020" w:right="2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and China. If political tensions between China and Taiwan were to increase further, it could disrupt our business and adversely affect our financial condition and results of operations given that we rely primarily on TSMC in Taiwan for our analog circuits. In addition, given the current political and military situation in Russia and Ukraine, or if the relationship between Russia and the United States worsens further, or if either Russia or the United States imposes significant new economic sanctions or restrictions on doing business, and we are restricted or precluded from continuing our operations in Russia or Ukraine, it could disrupt our business,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remains uncertain but it may materially adversely affect our business, financial condition or results of operations.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0" w:name="page21"/>
    <w:bookmarkEnd w:id="20"/>
    <w:p>
      <w:pPr>
        <w:ind w:right="440"/>
        <w:spacing w:after="0" w:line="291"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22%, 40% and 35% of our revenue for the years ended December 31, 2021, 2020 and 2019, respectively. Revenue attributable to this end customer increased from 2019 to 2020 and increased in absolute dollars but decreased as a percentage of revenue from years ended December 31, 2020 to 2021.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67"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Because most of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w:t>
      </w:r>
    </w:p>
    <w:p>
      <w:pPr>
        <w:spacing w:after="0" w:line="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1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We also sell directly to our end customers. For the years ended December 31, 2021, 2020 and 2019, our top three distributors by revenue together accounted for approximately 48%, 59%, and 59% of our revenue, respectively. Based on our shipment information, we believe that revenue attributable to our ten largest end customers accounted for 49%, 58%, and 57% of our revenue in the years ended December 31, 2021, 2020 and 2019, respectively. Sales attributable to our largest end customer accounted for approximately 22%, 40%, and 35%, respectively of our revenue for the years ended December 31, 2021, 2020 and 2019,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8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3"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ind w:right="60"/>
        <w:spacing w:after="0" w:line="243" w:lineRule="auto"/>
        <w:rPr>
          <w:sz w:val="20"/>
          <w:szCs w:val="20"/>
          <w:color w:val="auto"/>
        </w:rPr>
      </w:pPr>
      <w:r>
        <w:rPr>
          <w:rFonts w:ascii="Arial" w:cs="Arial" w:eastAsia="Arial" w:hAnsi="Arial"/>
          <w:sz w:val="18"/>
          <w:szCs w:val="18"/>
          <w:color w:val="auto"/>
        </w:rPr>
        <w:t>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04"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Though our ASP increased in 2021 compared to 2020, we may not be able to sustain ASP increases in the future. Factors relating to our business that may contribute to fluctuations in our operating results include the following factors, as well as other factors described elsewhere in this report:</w:t>
      </w:r>
    </w:p>
    <w:p>
      <w:pPr>
        <w:spacing w:after="0" w:line="81"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seasonality and fluctuations in sales by product manufacturers that incorporate our silicon timing systems solutions into their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w:t>
      </w:r>
    </w:p>
    <w:p>
      <w:pPr>
        <w:spacing w:after="0" w:line="10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2" w:name="page23"/>
    <w:bookmarkEnd w:id="22"/>
    <w:p>
      <w:pPr>
        <w:spacing w:after="0" w:line="248"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8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51"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Arial" w:cs="Arial" w:eastAsia="Arial" w:hAnsi="Arial"/>
          <w:sz w:val="18"/>
          <w:szCs w:val="18"/>
          <w:b w:val="1"/>
          <w:bCs w:val="1"/>
          <w:i w:val="1"/>
          <w:iCs w:val="1"/>
          <w:color w:val="auto"/>
        </w:rPr>
        <w:t>.</w:t>
      </w:r>
    </w:p>
    <w:p>
      <w:pPr>
        <w:spacing w:after="0" w:line="74"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6"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5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ind w:right="900"/>
        <w:spacing w:after="0" w:line="261"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Our target markets include the communications and enterprise, automotive, industrial, aerospace, and mobile, IoT, and consumer markets. Substantially all of our revenue for the years ended December 31, 2021, 2020 and 2019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73"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4"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8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1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27"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spacing w:after="0" w:line="284"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expect to see increases in our manufacturing costs in fiscal year 2022 due to an industry wide increase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3"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recent revenue should not be considered indicative of our future performance. For the years ended December 31, 2021, 2020 and 2019, our revenue was $218.8 million, $116.2 million, and $84.1 million,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our failure to capitalize on growth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1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7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55" w:lineRule="exact"/>
        <w:rPr>
          <w:sz w:val="20"/>
          <w:szCs w:val="20"/>
          <w:color w:val="auto"/>
        </w:rPr>
      </w:pPr>
    </w:p>
    <w:p>
      <w:pPr>
        <w:ind w:right="200"/>
        <w:spacing w:after="0" w:line="356"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ind w:right="160"/>
        <w:spacing w:after="0" w:line="261"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8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silicon timing systems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in our products or failures to meet product specifications could harm our relationships with our customers and damage our reputation.</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67"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4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6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6" w:name="page27"/>
    <w:bookmarkEnd w:id="26"/>
    <w:p>
      <w:pPr>
        <w:jc w:val="both"/>
        <w:ind w:right="60"/>
        <w:spacing w:after="0" w:line="262" w:lineRule="auto"/>
        <w:rPr>
          <w:sz w:val="20"/>
          <w:szCs w:val="20"/>
          <w:color w:val="auto"/>
        </w:rPr>
      </w:pPr>
      <w:r>
        <w:rPr>
          <w:rFonts w:ascii="Arial" w:cs="Arial" w:eastAsia="Arial" w:hAnsi="Arial"/>
          <w:sz w:val="17"/>
          <w:szCs w:val="17"/>
          <w:color w:val="auto"/>
        </w:rPr>
        <w:t>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0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2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and quartz products to smaller companies, including start-ups,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Skyworks Solutions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as well as semiconductor suppliers such as Skyworks Solutions Inc. In the Aerospace-defense market for oscillators, we also typically complete against, small, specialized companies that offer quartz-based solutions for various applications.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COVID-19 pandemic, in the future and significantly reduce their pricing so as to compete against us. Our ability to compete successfully will depend on a number of factors, including:</w:t>
      </w:r>
    </w:p>
    <w:p>
      <w:pPr>
        <w:spacing w:after="0" w:line="66" w:lineRule="exact"/>
        <w:rPr>
          <w:sz w:val="20"/>
          <w:szCs w:val="20"/>
          <w:color w:val="auto"/>
        </w:rPr>
      </w:pPr>
    </w:p>
    <w:p>
      <w:pPr>
        <w:ind w:left="1020" w:right="2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secure capacity with our foundry and assembly partners to manufacture and assemble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8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3" w:lineRule="exact"/>
        <w:rPr>
          <w:sz w:val="20"/>
          <w:szCs w:val="20"/>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8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shortages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7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4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global recessions. These downturns have been characterized by diminished product demand, production overcapacity, high inventory levels, and accelerated erosion of average selling prices. Any downturns in the semiconductor industry could harm our business, financial condition, and results of operations. Furthermore, any significant upturn in the semiconductor industry could result in increased competition for access to third-party foundry and assembly capacity. We are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9" w:name="page30"/>
    <w:bookmarkEnd w:id="29"/>
    <w:p>
      <w:pPr>
        <w:ind w:right="300"/>
        <w:spacing w:after="0" w:line="261" w:lineRule="auto"/>
        <w:rPr>
          <w:sz w:val="20"/>
          <w:szCs w:val="20"/>
          <w:color w:val="auto"/>
        </w:rPr>
      </w:pPr>
      <w:r>
        <w:rPr>
          <w:rFonts w:ascii="Arial" w:cs="Arial" w:eastAsia="Arial" w:hAnsi="Arial"/>
          <w:sz w:val="18"/>
          <w:szCs w:val="18"/>
          <w:color w:val="auto"/>
        </w:rPr>
        <w:t>dependent on the availability of this capacity to manufacture and assemble our products and we can provide no assurance that adequate capacity will be available to us in the future.</w:t>
      </w:r>
    </w:p>
    <w:p>
      <w:pPr>
        <w:spacing w:after="0" w:line="6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However, the extent of the COVID-19 pandemic’s impact on credit and financial markets is unknown, which creates uncertainty as to the financial condition of our distributors and customers. Based on our review of our customers annually and as of December 31, 2021, substantially all of which are large distributors, resellers, OEMs, and system manufacturers, we had $0.1 million and $0.1 million in allowance for credit losses as of December 31, 2021 and December 31, 2020, respectively. If our credit losses, however, were to exceed our current or future allowance for credit losses, our business, financial condition, and results of operations would be adversely affected.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 be required to seek, debt financing in the immediate or near term.</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39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If significant tariffs or other trade restrictions are placed on our products or third-party suppliers, our revenue and results of operations may be materially harmed.</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Then the prior U.S. administration imposed new or additional tariffs on Chinese products with short notice and China then imposed certain retaliatory tariffs. It is uncertain if the current U.S. administration may further alter trade agreements and terms between China and the United States, including limiting trade with China and imposing additional tariffs on imports from China. In the event that these or future tariffs are imposed on imports of our products or on our third-party suppliers,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7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France, and Ukraine, and we have engineering consultants 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right="240"/>
        <w:spacing w:after="0" w:line="243" w:lineRule="auto"/>
        <w:rPr>
          <w:sz w:val="20"/>
          <w:szCs w:val="20"/>
          <w:color w:val="auto"/>
        </w:rPr>
      </w:pPr>
      <w:r>
        <w:rPr>
          <w:rFonts w:ascii="Arial" w:cs="Arial" w:eastAsia="Arial" w:hAnsi="Arial"/>
          <w:sz w:val="18"/>
          <w:szCs w:val="18"/>
          <w:color w:val="auto"/>
        </w:rPr>
        <w:t>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8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2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0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right="340"/>
        <w:spacing w:after="0" w:line="294" w:lineRule="auto"/>
        <w:rPr>
          <w:sz w:val="20"/>
          <w:szCs w:val="20"/>
          <w:color w:val="auto"/>
        </w:rPr>
      </w:pPr>
      <w:r>
        <w:rPr>
          <w:rFonts w:ascii="Arial" w:cs="Arial" w:eastAsia="Arial" w:hAnsi="Arial"/>
          <w:sz w:val="16"/>
          <w:szCs w:val="16"/>
          <w:color w:val="auto"/>
        </w:rPr>
        <w:t>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3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spacing w:after="0" w:line="63"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materially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right="280"/>
        <w:spacing w:after="0" w:line="248" w:lineRule="auto"/>
        <w:rPr>
          <w:sz w:val="20"/>
          <w:szCs w:val="20"/>
          <w:color w:val="auto"/>
        </w:rPr>
      </w:pPr>
      <w:r>
        <w:rPr>
          <w:rFonts w:ascii="Arial" w:cs="Arial" w:eastAsia="Arial" w:hAnsi="Arial"/>
          <w:sz w:val="18"/>
          <w:szCs w:val="18"/>
          <w:color w:val="auto"/>
        </w:rPr>
        <w:t>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p>
    <w:p>
      <w:pPr>
        <w:spacing w:after="0" w:line="74"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As of December 31, 2021, we had U.S. federal and state net operating loss (“NOL”), carryforwards of approximately $259.6 million and $64.5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CARES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December 31, 2021, we had 83 issued U.S. patents, expiring generally between 2026 and 2039 and 38 pending U.S. patent applications (including two provisional applications). We also had two foreign issued patents expiring in 2036 and four pending foreign patent applications. Our issued patents and pending patent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40"/>
        <w:spacing w:after="0" w:line="252" w:lineRule="auto"/>
        <w:rPr>
          <w:sz w:val="20"/>
          <w:szCs w:val="20"/>
          <w:color w:val="auto"/>
        </w:rPr>
      </w:pPr>
      <w:r>
        <w:rPr>
          <w:rFonts w:ascii="Arial" w:cs="Arial" w:eastAsia="Arial" w:hAnsi="Arial"/>
          <w:sz w:val="17"/>
          <w:szCs w:val="17"/>
          <w:color w:val="auto"/>
        </w:rPr>
        <w:t>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7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74"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4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8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9" w:lineRule="exact"/>
        <w:rPr>
          <w:sz w:val="20"/>
          <w:szCs w:val="20"/>
          <w:color w:val="auto"/>
        </w:rPr>
      </w:pPr>
    </w:p>
    <w:p>
      <w:pPr>
        <w:jc w:val="both"/>
        <w:ind w:right="420"/>
        <w:spacing w:after="0" w:line="241" w:lineRule="auto"/>
        <w:rPr>
          <w:sz w:val="20"/>
          <w:szCs w:val="20"/>
          <w:color w:val="auto"/>
        </w:rPr>
      </w:pPr>
      <w:r>
        <w:rPr>
          <w:rFonts w:ascii="Arial" w:cs="Arial" w:eastAsia="Arial" w:hAnsi="Arial"/>
          <w:sz w:val="18"/>
          <w:szCs w:val="18"/>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The District Court ruled in our favor, VTT filed an appeal with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40"/>
        <w:spacing w:after="0" w:line="257" w:lineRule="auto"/>
        <w:rPr>
          <w:sz w:val="20"/>
          <w:szCs w:val="20"/>
          <w:color w:val="auto"/>
        </w:rPr>
      </w:pPr>
      <w:r>
        <w:rPr>
          <w:rFonts w:ascii="Arial" w:cs="Arial" w:eastAsia="Arial" w:hAnsi="Arial"/>
          <w:sz w:val="17"/>
          <w:szCs w:val="17"/>
          <w:color w:val="auto"/>
        </w:rPr>
        <w:t>the U.S. Court of Appeals for the Federal Circuit (“CAFC”), on June 9, 2021, a hearing was held at the CAFC, and on June 10, 2021 the CAFC affirmed the District Court’s judgment.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For more information regarding this matter, see Note 6 in Notes to the Consolidated Financial Statements in Item 8 of Part II of this Report.</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6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1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6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spacing w:after="0" w:line="276" w:lineRule="auto"/>
        <w:rPr>
          <w:sz w:val="20"/>
          <w:szCs w:val="20"/>
          <w:color w:val="auto"/>
        </w:rPr>
      </w:pPr>
      <w:r>
        <w:rPr>
          <w:rFonts w:ascii="Arial" w:cs="Arial" w:eastAsia="Arial" w:hAnsi="Arial"/>
          <w:sz w:val="16"/>
          <w:szCs w:val="16"/>
          <w:color w:val="auto"/>
        </w:rPr>
        <w:t>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MegaChips owns 5,000,000 shares of our common stock, representing approximately 24% of our outstanding common stock as of December 31, 2021. For so long as MegaChips or its successors in interest continue to hold the largest ownership position in our outstanding common stock, we expect MegaChips to continue to hold at least one out of eight seats on our board of directors, and to be influential in electing members of our board of directors. As long as MegaChips continues to be our largest stockholder, it will continue to have significant influence over us.</w:t>
      </w:r>
    </w:p>
    <w:p>
      <w:pPr>
        <w:spacing w:after="0" w:line="6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For example, as long as MegaChips continues to hold a significant or the largest ownership position in our outstanding common stock, MegaChips may have the ability to affect the outcome of any stockholder vote during this period. As a result, MegaChips will have the ability to exert significant influence over many matters affecting us, either through its board representative or as a stockholder, including:</w:t>
      </w:r>
    </w:p>
    <w:p>
      <w:pPr>
        <w:spacing w:after="0" w:line="74"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0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5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04"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distributions by MegaChips of our products under our distribution agreement with MegaChips;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6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have entered into an integration and purchase agreement with MegaChips for the sale of resonators by us to MegaChips. The agreements we entered into with MegaChips may be amended upon agreement between the parties. Because MegaChips is a major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660"/>
        <w:spacing w:after="0" w:line="261" w:lineRule="auto"/>
        <w:rPr>
          <w:sz w:val="20"/>
          <w:szCs w:val="20"/>
          <w:color w:val="auto"/>
        </w:rPr>
      </w:pPr>
      <w:r>
        <w:rPr>
          <w:rFonts w:ascii="Arial" w:cs="Arial" w:eastAsia="Arial" w:hAnsi="Arial"/>
          <w:sz w:val="18"/>
          <w:szCs w:val="18"/>
          <w:color w:val="auto"/>
        </w:rPr>
        <w:t>stockholder with representatives on our board of directors, we may not have the leverage to negotiate amendments to these agreements on terms as favorable to us compared to those we would negotiate with an unaffiliated third party.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104"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74"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88" w:lineRule="exact"/>
        <w:rPr>
          <w:sz w:val="20"/>
          <w:szCs w:val="20"/>
          <w:color w:val="auto"/>
        </w:rPr>
      </w:pPr>
    </w:p>
    <w:p>
      <w:pPr>
        <w:ind w:left="1020" w:right="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26" w:lineRule="exact"/>
        <w:rPr>
          <w:rFonts w:ascii="Arial" w:cs="Arial" w:eastAsia="Arial" w:hAnsi="Arial"/>
          <w:sz w:val="16"/>
          <w:szCs w:val="16"/>
          <w:color w:val="auto"/>
        </w:rPr>
      </w:pPr>
    </w:p>
    <w:p>
      <w:pPr>
        <w:ind w:left="1020" w:right="1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15" w:lineRule="exact"/>
        <w:rPr>
          <w:rFonts w:ascii="Arial" w:cs="Arial" w:eastAsia="Arial" w:hAnsi="Arial"/>
          <w:sz w:val="17"/>
          <w:szCs w:val="17"/>
          <w:color w:val="auto"/>
        </w:rPr>
      </w:pPr>
    </w:p>
    <w:p>
      <w:pPr>
        <w:ind w:left="1020" w:right="5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1" w:lineRule="exact"/>
        <w:rPr>
          <w:sz w:val="20"/>
          <w:szCs w:val="20"/>
          <w:color w:val="auto"/>
        </w:rPr>
      </w:pPr>
    </w:p>
    <w:p>
      <w:pPr>
        <w:ind w:right="120"/>
        <w:spacing w:after="0" w:line="322"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80"/>
        <w:spacing w:after="0" w:line="271"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6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5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our stockholder investment.</w:t>
      </w:r>
    </w:p>
    <w:p>
      <w:pPr>
        <w:spacing w:after="0" w:line="1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3" w:lineRule="exact"/>
        <w:rPr>
          <w:sz w:val="20"/>
          <w:szCs w:val="20"/>
          <w:color w:val="auto"/>
        </w:rPr>
      </w:pPr>
    </w:p>
    <w:p>
      <w:pPr>
        <w:ind w:left="1020" w:right="2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2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81" w:lineRule="exact"/>
        <w:rPr>
          <w:sz w:val="20"/>
          <w:szCs w:val="20"/>
          <w:color w:val="auto"/>
        </w:rPr>
      </w:pPr>
    </w:p>
    <w:p>
      <w:pPr>
        <w:ind w:right="700"/>
        <w:spacing w:after="0" w:line="291" w:lineRule="auto"/>
        <w:rPr>
          <w:sz w:val="20"/>
          <w:szCs w:val="20"/>
          <w:color w:val="auto"/>
        </w:rPr>
      </w:pPr>
      <w:r>
        <w:rPr>
          <w:rFonts w:ascii="Arial" w:cs="Arial" w:eastAsia="Arial" w:hAnsi="Arial"/>
          <w:sz w:val="17"/>
          <w:szCs w:val="17"/>
          <w:b w:val="1"/>
          <w:bCs w:val="1"/>
          <w:i w:val="1"/>
          <w:iCs w:val="1"/>
          <w:color w:val="auto"/>
        </w:rPr>
        <w:t>We are a smaller reporting company, and any decision on our part to comply only with certain reduced reporting and disclosure requirements applicable to smaller reporting companies could make our common stock less attractive to investors.</w:t>
      </w:r>
    </w:p>
    <w:p>
      <w:pPr>
        <w:spacing w:after="0" w:line="3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are a smaller reporting company, and will cease to be able to report as a smaller reporting company commencing with our Quarterly Report on Form 10-Q for the quarter ended March 31, 2022. As a result, we will be able to take advantage of the reduced disclosure obligations regarding executive compensation in our 2022 proxy statement. If some investors find our common stock less attractive because we rely on any of these exemptions, there may be a less active trading market for our common stock and the market price of our common stock may be more volatile.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principal executive offices are located in a leased facility in Santa Clara, California, consisting of approximately 50,400 square feet of office space under lease that expires in March 2027. This facility accommodates our principal engineering, sales, marketing, operations, finance, and administrative activities. We also lease offices in Michigan, Japan, Malaysia, the Netherlands, Taiwan and Ukraine. We do not own any real property. We believe that our leased facilities are adequate to meet our current needs and that additional facilities will be available on commercially reasonable terms for lease to meet future needs.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00"/>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common stock has been quoted on the Nasdaq Global Market under the symbol “SITM” since our initial public offering in November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Prior to that time, there was no public market for our common stock.</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February 17, 2022, there were 17 holders of record (not including beneficial holders of stock held in street names) of our common stock.</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have never paid any cash dividends on our common stock. Our board of directors currently intends to retain any future earnings to support operations and to finance the growth and development of our business and does not intend to pay cash dividends on our common stock for the foreseeable future. Any future determination related to our dividend policy will be made at the discretion of our board.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following information shall not be deemed to be soliciting material or to be filed with the SEC, or subject to Regulations 14A or 14C under the Exchange Act or to the liabilities of Section 18 of the Exchange Act nor shall such information be incorporated by reference into any future filing under the Securities Act or the Exchange Act, except to the extent that we specifically incorporate it by reference into such filing.</w:t>
      </w:r>
    </w:p>
    <w:p>
      <w:pPr>
        <w:spacing w:after="0" w:line="16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following line graph compares for the period beginning November 21, 2019, the initial trading date of our common stock on the Nasdaq Global Market, and ending on December 31, 2021, the last day of our fiscal year, the cumulative total stockholder return for our common stock, the Nasdaq Composite Index and Philadelphia Semiconductor Index and assumes reinvestment of any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0" w:name="page41"/>
    <w:bookmarkEnd w:id="40"/>
    <w:p>
      <w:pPr>
        <w:ind w:right="100"/>
        <w:spacing w:after="0" w:line="261" w:lineRule="auto"/>
        <w:rPr>
          <w:sz w:val="20"/>
          <w:szCs w:val="20"/>
          <w:color w:val="auto"/>
        </w:rPr>
      </w:pPr>
      <w:r>
        <w:rPr>
          <w:rFonts w:ascii="Arial" w:cs="Arial" w:eastAsia="Arial" w:hAnsi="Arial"/>
          <w:sz w:val="18"/>
          <w:szCs w:val="18"/>
          <w:color w:val="auto"/>
        </w:rPr>
        <w:t>dividends. The stockholder return shown in the graph below is not necessarily indicative of, nor is it intended to forecast, the potential future performance of our common stock,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177800</wp:posOffset>
            </wp:positionV>
            <wp:extent cx="4886325" cy="3215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86325"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77"/>
              </w:rPr>
              <w:t>Base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w w:val="95"/>
              </w:rPr>
              <w:t>September</w:t>
            </w:r>
          </w:p>
        </w:tc>
        <w:tc>
          <w:tcPr>
            <w:tcW w:w="18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December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w w:val="92"/>
              </w:rPr>
              <w:t>September</w:t>
            </w:r>
          </w:p>
        </w:tc>
        <w:tc>
          <w:tcPr>
            <w:tcW w:w="16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w w:val="98"/>
              </w:rPr>
              <w:t>December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Period</w:t>
            </w: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9"/>
                <w:szCs w:val="9"/>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9"/>
                <w:szCs w:val="9"/>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9"/>
                <w:szCs w:val="9"/>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60" w:type="dxa"/>
            <w:vAlign w:val="bottom"/>
            <w:gridSpan w:val="2"/>
          </w:tcPr>
          <w:p>
            <w:pPr>
              <w:jc w:val="right"/>
              <w:ind w:right="248"/>
              <w:spacing w:after="0" w:line="144" w:lineRule="exact"/>
              <w:rPr>
                <w:sz w:val="20"/>
                <w:szCs w:val="20"/>
                <w:color w:val="auto"/>
              </w:rPr>
            </w:pPr>
            <w:r>
              <w:rPr>
                <w:rFonts w:ascii="Arial" w:cs="Arial" w:eastAsia="Arial" w:hAnsi="Arial"/>
                <w:sz w:val="13"/>
                <w:szCs w:val="13"/>
                <w:b w:val="1"/>
                <w:bCs w:val="1"/>
                <w:color w:val="auto"/>
              </w:rPr>
              <w:t>30,</w:t>
            </w:r>
          </w:p>
        </w:tc>
        <w:tc>
          <w:tcPr>
            <w:tcW w:w="940" w:type="dxa"/>
            <w:vAlign w:val="bottom"/>
            <w:gridSpan w:val="2"/>
          </w:tcPr>
          <w:p>
            <w:pPr>
              <w:ind w:left="480"/>
              <w:spacing w:after="0" w:line="144"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920" w:type="dxa"/>
            <w:vAlign w:val="bottom"/>
            <w:gridSpan w:val="2"/>
          </w:tcPr>
          <w:p>
            <w:pPr>
              <w:jc w:val="right"/>
              <w:ind w:right="228"/>
              <w:spacing w:after="0" w:line="144" w:lineRule="exact"/>
              <w:rPr>
                <w:sz w:val="20"/>
                <w:szCs w:val="20"/>
                <w:color w:val="auto"/>
              </w:rPr>
            </w:pPr>
            <w:r>
              <w:rPr>
                <w:rFonts w:ascii="Arial" w:cs="Arial" w:eastAsia="Arial" w:hAnsi="Arial"/>
                <w:sz w:val="13"/>
                <w:szCs w:val="13"/>
                <w:b w:val="1"/>
                <w:bCs w:val="1"/>
                <w:color w:val="auto"/>
              </w:rPr>
              <w:t>30,</w:t>
            </w:r>
          </w:p>
        </w:tc>
        <w:tc>
          <w:tcPr>
            <w:tcW w:w="920" w:type="dxa"/>
            <w:vAlign w:val="bottom"/>
            <w:gridSpan w:val="2"/>
          </w:tcPr>
          <w:p>
            <w:pPr>
              <w:jc w:val="right"/>
              <w:ind w:right="228"/>
              <w:spacing w:after="0" w:line="144" w:lineRule="exact"/>
              <w:rPr>
                <w:sz w:val="20"/>
                <w:szCs w:val="20"/>
                <w:color w:val="auto"/>
              </w:rPr>
            </w:pPr>
            <w:r>
              <w:rPr>
                <w:rFonts w:ascii="Arial" w:cs="Arial" w:eastAsia="Arial" w:hAnsi="Arial"/>
                <w:sz w:val="13"/>
                <w:szCs w:val="13"/>
                <w:b w:val="1"/>
                <w:bCs w:val="1"/>
                <w:color w:val="auto"/>
              </w:rPr>
              <w:t>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Company Name/Index</w:t>
            </w: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6"/>
              </w:rPr>
              <w:t>11/21/2019</w:t>
            </w:r>
          </w:p>
        </w:tc>
        <w:tc>
          <w:tcPr>
            <w:tcW w:w="960" w:type="dxa"/>
            <w:vAlign w:val="bottom"/>
            <w:gridSpan w:val="2"/>
          </w:tcPr>
          <w:p>
            <w:pPr>
              <w:jc w:val="right"/>
              <w:ind w:right="188"/>
              <w:spacing w:after="0" w:line="140" w:lineRule="exact"/>
              <w:rPr>
                <w:sz w:val="20"/>
                <w:szCs w:val="20"/>
                <w:color w:val="auto"/>
              </w:rPr>
            </w:pPr>
            <w:r>
              <w:rPr>
                <w:rFonts w:ascii="Arial" w:cs="Arial" w:eastAsia="Arial" w:hAnsi="Arial"/>
                <w:sz w:val="13"/>
                <w:szCs w:val="13"/>
                <w:b w:val="1"/>
                <w:bCs w:val="1"/>
                <w:color w:val="auto"/>
              </w:rPr>
              <w:t>2019</w:t>
            </w:r>
          </w:p>
        </w:tc>
        <w:tc>
          <w:tcPr>
            <w:tcW w:w="980" w:type="dxa"/>
            <w:vAlign w:val="bottom"/>
            <w:gridSpan w:val="2"/>
          </w:tcPr>
          <w:p>
            <w:pPr>
              <w:jc w:val="right"/>
              <w:ind w:right="188"/>
              <w:spacing w:after="0" w:line="140" w:lineRule="exact"/>
              <w:rPr>
                <w:sz w:val="20"/>
                <w:szCs w:val="20"/>
                <w:color w:val="auto"/>
              </w:rPr>
            </w:pPr>
            <w:r>
              <w:rPr>
                <w:rFonts w:ascii="Arial" w:cs="Arial" w:eastAsia="Arial" w:hAnsi="Arial"/>
                <w:sz w:val="13"/>
                <w:szCs w:val="13"/>
                <w:b w:val="1"/>
                <w:bCs w:val="1"/>
                <w:color w:val="auto"/>
              </w:rPr>
              <w:t>2020</w:t>
            </w:r>
          </w:p>
        </w:tc>
        <w:tc>
          <w:tcPr>
            <w:tcW w:w="980" w:type="dxa"/>
            <w:vAlign w:val="bottom"/>
            <w:gridSpan w:val="2"/>
          </w:tcPr>
          <w:p>
            <w:pPr>
              <w:jc w:val="right"/>
              <w:ind w:right="208"/>
              <w:spacing w:after="0" w:line="140" w:lineRule="exact"/>
              <w:rPr>
                <w:sz w:val="20"/>
                <w:szCs w:val="20"/>
                <w:color w:val="auto"/>
              </w:rPr>
            </w:pPr>
            <w:r>
              <w:rPr>
                <w:rFonts w:ascii="Arial" w:cs="Arial" w:eastAsia="Arial" w:hAnsi="Arial"/>
                <w:sz w:val="13"/>
                <w:szCs w:val="13"/>
                <w:b w:val="1"/>
                <w:bCs w:val="1"/>
                <w:color w:val="auto"/>
              </w:rPr>
              <w:t>2020</w:t>
            </w:r>
          </w:p>
        </w:tc>
        <w:tc>
          <w:tcPr>
            <w:tcW w:w="960" w:type="dxa"/>
            <w:vAlign w:val="bottom"/>
            <w:gridSpan w:val="2"/>
          </w:tcPr>
          <w:p>
            <w:pPr>
              <w:jc w:val="right"/>
              <w:ind w:right="188"/>
              <w:spacing w:after="0" w:line="140" w:lineRule="exact"/>
              <w:rPr>
                <w:sz w:val="20"/>
                <w:szCs w:val="20"/>
                <w:color w:val="auto"/>
              </w:rPr>
            </w:pPr>
            <w:r>
              <w:rPr>
                <w:rFonts w:ascii="Arial" w:cs="Arial" w:eastAsia="Arial" w:hAnsi="Arial"/>
                <w:sz w:val="13"/>
                <w:szCs w:val="13"/>
                <w:b w:val="1"/>
                <w:bCs w:val="1"/>
                <w:color w:val="auto"/>
              </w:rPr>
              <w:t>2020</w:t>
            </w:r>
          </w:p>
        </w:tc>
        <w:tc>
          <w:tcPr>
            <w:tcW w:w="940" w:type="dxa"/>
            <w:vAlign w:val="bottom"/>
            <w:gridSpan w:val="2"/>
          </w:tcPr>
          <w:p>
            <w:pPr>
              <w:jc w:val="right"/>
              <w:ind w:right="188"/>
              <w:spacing w:after="0" w:line="140" w:lineRule="exact"/>
              <w:rPr>
                <w:sz w:val="20"/>
                <w:szCs w:val="20"/>
                <w:color w:val="auto"/>
              </w:rPr>
            </w:pPr>
            <w:r>
              <w:rPr>
                <w:rFonts w:ascii="Arial" w:cs="Arial" w:eastAsia="Arial" w:hAnsi="Arial"/>
                <w:sz w:val="13"/>
                <w:szCs w:val="13"/>
                <w:b w:val="1"/>
                <w:bCs w:val="1"/>
                <w:color w:val="auto"/>
              </w:rPr>
              <w:t>2020</w:t>
            </w:r>
          </w:p>
        </w:tc>
        <w:tc>
          <w:tcPr>
            <w:tcW w:w="920" w:type="dxa"/>
            <w:vAlign w:val="bottom"/>
            <w:gridSpan w:val="2"/>
          </w:tcPr>
          <w:p>
            <w:pPr>
              <w:jc w:val="right"/>
              <w:ind w:right="188"/>
              <w:spacing w:after="0" w:line="140" w:lineRule="exact"/>
              <w:rPr>
                <w:sz w:val="20"/>
                <w:szCs w:val="20"/>
                <w:color w:val="auto"/>
              </w:rPr>
            </w:pPr>
            <w:r>
              <w:rPr>
                <w:rFonts w:ascii="Arial" w:cs="Arial" w:eastAsia="Arial" w:hAnsi="Arial"/>
                <w:sz w:val="13"/>
                <w:szCs w:val="13"/>
                <w:b w:val="1"/>
                <w:bCs w:val="1"/>
                <w:color w:val="auto"/>
              </w:rPr>
              <w:t>2021</w:t>
            </w:r>
          </w:p>
        </w:tc>
        <w:tc>
          <w:tcPr>
            <w:tcW w:w="900" w:type="dxa"/>
            <w:vAlign w:val="bottom"/>
            <w:gridSpan w:val="2"/>
          </w:tcPr>
          <w:p>
            <w:pPr>
              <w:jc w:val="right"/>
              <w:ind w:right="168"/>
              <w:spacing w:after="0" w:line="140" w:lineRule="exact"/>
              <w:rPr>
                <w:sz w:val="20"/>
                <w:szCs w:val="20"/>
                <w:color w:val="auto"/>
              </w:rPr>
            </w:pPr>
            <w:r>
              <w:rPr>
                <w:rFonts w:ascii="Arial" w:cs="Arial" w:eastAsia="Arial" w:hAnsi="Arial"/>
                <w:sz w:val="13"/>
                <w:szCs w:val="13"/>
                <w:b w:val="1"/>
                <w:bCs w:val="1"/>
                <w:color w:val="auto"/>
              </w:rPr>
              <w:t>2021</w:t>
            </w:r>
          </w:p>
        </w:tc>
        <w:tc>
          <w:tcPr>
            <w:tcW w:w="920" w:type="dxa"/>
            <w:vAlign w:val="bottom"/>
            <w:gridSpan w:val="2"/>
          </w:tcPr>
          <w:p>
            <w:pPr>
              <w:jc w:val="right"/>
              <w:ind w:right="168"/>
              <w:spacing w:after="0" w:line="140" w:lineRule="exact"/>
              <w:rPr>
                <w:sz w:val="20"/>
                <w:szCs w:val="20"/>
                <w:color w:val="auto"/>
              </w:rPr>
            </w:pPr>
            <w:r>
              <w:rPr>
                <w:rFonts w:ascii="Arial" w:cs="Arial" w:eastAsia="Arial" w:hAnsi="Arial"/>
                <w:sz w:val="13"/>
                <w:szCs w:val="13"/>
                <w:b w:val="1"/>
                <w:bCs w:val="1"/>
                <w:color w:val="auto"/>
              </w:rPr>
              <w:t>2021</w:t>
            </w:r>
          </w:p>
        </w:tc>
        <w:tc>
          <w:tcPr>
            <w:tcW w:w="920" w:type="dxa"/>
            <w:vAlign w:val="bottom"/>
            <w:gridSpan w:val="2"/>
          </w:tcPr>
          <w:p>
            <w:pPr>
              <w:jc w:val="right"/>
              <w:ind w:right="168"/>
              <w:spacing w:after="0" w:line="140" w:lineRule="exact"/>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gridSpan w:val="3"/>
            <w:shd w:val="clear" w:color="auto" w:fill="CFF0FC"/>
          </w:tcPr>
          <w:p>
            <w:pPr>
              <w:ind w:left="20"/>
              <w:spacing w:after="0" w:line="170" w:lineRule="exact"/>
              <w:rPr>
                <w:sz w:val="20"/>
                <w:szCs w:val="20"/>
                <w:color w:val="auto"/>
              </w:rPr>
            </w:pPr>
            <w:r>
              <w:rPr>
                <w:rFonts w:ascii="Arial" w:cs="Arial" w:eastAsia="Arial" w:hAnsi="Arial"/>
                <w:sz w:val="16"/>
                <w:szCs w:val="16"/>
                <w:color w:val="auto"/>
              </w:rPr>
              <w:t>SiTime Corporation</w:t>
            </w:r>
          </w:p>
        </w:tc>
        <w:tc>
          <w:tcPr>
            <w:tcW w:w="7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100.00</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150.89</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128.82</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280.53</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497.22</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ind w:left="300"/>
              <w:spacing w:after="0" w:line="170" w:lineRule="exact"/>
              <w:rPr>
                <w:sz w:val="20"/>
                <w:szCs w:val="20"/>
                <w:color w:val="auto"/>
              </w:rPr>
            </w:pPr>
            <w:r>
              <w:rPr>
                <w:rFonts w:ascii="Arial" w:cs="Arial" w:eastAsia="Arial" w:hAnsi="Arial"/>
                <w:sz w:val="16"/>
                <w:szCs w:val="16"/>
                <w:color w:val="auto"/>
                <w:w w:val="89"/>
              </w:rPr>
              <w:t>662.31</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583.43</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749.05</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1,208.11</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1,731.01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gridSpan w:val="3"/>
          </w:tcPr>
          <w:p>
            <w:pPr>
              <w:ind w:left="20"/>
              <w:spacing w:after="0"/>
              <w:rPr>
                <w:sz w:val="20"/>
                <w:szCs w:val="20"/>
                <w:color w:val="auto"/>
              </w:rPr>
            </w:pPr>
            <w:r>
              <w:rPr>
                <w:rFonts w:ascii="Arial" w:cs="Arial" w:eastAsia="Arial" w:hAnsi="Arial"/>
                <w:sz w:val="16"/>
                <w:szCs w:val="16"/>
                <w:color w:val="auto"/>
              </w:rPr>
              <w:t>Nasdaq composite index</w:t>
            </w:r>
          </w:p>
        </w:tc>
        <w:tc>
          <w:tcPr>
            <w:tcW w:w="780" w:type="dxa"/>
            <w:vAlign w:val="bottom"/>
          </w:tcPr>
          <w:p>
            <w:pPr>
              <w:jc w:val="right"/>
              <w:spacing w:after="0"/>
              <w:rPr>
                <w:sz w:val="20"/>
                <w:szCs w:val="20"/>
                <w:color w:val="auto"/>
              </w:rPr>
            </w:pPr>
            <w:r>
              <w:rPr>
                <w:rFonts w:ascii="Arial" w:cs="Arial" w:eastAsia="Arial" w:hAnsi="Arial"/>
                <w:sz w:val="16"/>
                <w:szCs w:val="16"/>
                <w:color w:val="auto"/>
              </w:rPr>
              <w:t>100.00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105.22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90.29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117.95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130.95</w:t>
            </w:r>
          </w:p>
        </w:tc>
        <w:tc>
          <w:tcPr>
            <w:tcW w:w="940" w:type="dxa"/>
            <w:vAlign w:val="bottom"/>
            <w:gridSpan w:val="2"/>
          </w:tcPr>
          <w:p>
            <w:pPr>
              <w:ind w:left="480"/>
              <w:spacing w:after="0"/>
              <w:rPr>
                <w:sz w:val="20"/>
                <w:szCs w:val="20"/>
                <w:color w:val="auto"/>
              </w:rPr>
            </w:pPr>
            <w:r>
              <w:rPr>
                <w:rFonts w:ascii="Arial" w:cs="Arial" w:eastAsia="Arial" w:hAnsi="Arial"/>
                <w:sz w:val="16"/>
                <w:szCs w:val="16"/>
                <w:color w:val="auto"/>
                <w:w w:val="89"/>
              </w:rPr>
              <w:t>151.13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155.34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170.08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169.43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183.46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20" w:type="dxa"/>
            <w:vAlign w:val="bottom"/>
            <w:gridSpan w:val="3"/>
            <w:shd w:val="clear" w:color="auto" w:fill="CFF0FC"/>
          </w:tcPr>
          <w:p>
            <w:pPr>
              <w:ind w:left="20"/>
              <w:spacing w:after="0" w:line="152" w:lineRule="exact"/>
              <w:rPr>
                <w:sz w:val="20"/>
                <w:szCs w:val="20"/>
                <w:color w:val="auto"/>
              </w:rPr>
            </w:pPr>
            <w:r>
              <w:rPr>
                <w:rFonts w:ascii="Arial" w:cs="Arial" w:eastAsia="Arial" w:hAnsi="Arial"/>
                <w:sz w:val="16"/>
                <w:szCs w:val="16"/>
                <w:color w:val="auto"/>
              </w:rPr>
              <w:t>Philadelphia</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900" w:type="dxa"/>
            <w:vAlign w:val="bottom"/>
            <w:gridSpan w:val="2"/>
            <w:shd w:val="clear" w:color="auto" w:fill="CFF0FC"/>
          </w:tcPr>
          <w:p>
            <w:pPr>
              <w:ind w:left="120"/>
              <w:spacing w:after="0" w:line="162" w:lineRule="exact"/>
              <w:rPr>
                <w:sz w:val="20"/>
                <w:szCs w:val="20"/>
                <w:color w:val="auto"/>
              </w:rPr>
            </w:pPr>
            <w:r>
              <w:rPr>
                <w:rFonts w:ascii="Arial" w:cs="Arial" w:eastAsia="Arial" w:hAnsi="Arial"/>
                <w:sz w:val="16"/>
                <w:szCs w:val="16"/>
                <w:color w:val="auto"/>
              </w:rPr>
              <w:t>Semiconductor</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9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109.24</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89.22</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117.91</w:t>
            </w:r>
          </w:p>
        </w:tc>
        <w:tc>
          <w:tcPr>
            <w:tcW w:w="9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132.54</w:t>
            </w:r>
          </w:p>
        </w:tc>
        <w:tc>
          <w:tcPr>
            <w:tcW w:w="940" w:type="dxa"/>
            <w:vAlign w:val="bottom"/>
            <w:gridSpan w:val="2"/>
            <w:vMerge w:val="restart"/>
            <w:shd w:val="clear" w:color="auto" w:fill="CFF0FC"/>
          </w:tcPr>
          <w:p>
            <w:pPr>
              <w:ind w:left="480"/>
              <w:spacing w:after="0"/>
              <w:rPr>
                <w:sz w:val="20"/>
                <w:szCs w:val="20"/>
                <w:color w:val="auto"/>
              </w:rPr>
            </w:pPr>
            <w:r>
              <w:rPr>
                <w:rFonts w:ascii="Arial" w:cs="Arial" w:eastAsia="Arial" w:hAnsi="Arial"/>
                <w:sz w:val="16"/>
                <w:szCs w:val="16"/>
                <w:color w:val="auto"/>
                <w:w w:val="89"/>
              </w:rPr>
              <w:t>165.10</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184.56</w:t>
            </w: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197.58</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192.43</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233.06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index</w:t>
            </w:r>
          </w:p>
        </w:tc>
        <w:tc>
          <w:tcPr>
            <w:tcW w:w="780" w:type="dxa"/>
            <w:vAlign w:val="bottom"/>
            <w:vMerge w:val="continue"/>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Management’s Discussion and Analysis of Financial Condition and Results of Operations (“MD&amp;A”) should be read in conjunction with the financial statements and the notes thereto included elsewhere in this Annual Report on Form 10-K. The MD&amp;A contains forward-looking statements within the meaning of Section 27A of the Securities Act and Section 21E of the Exchange Act that involve risks and uncertainties, which are discussed under Item 1A.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509"/>
        <w:spacing w:after="0" w:line="219" w:lineRule="auto"/>
        <w:rPr>
          <w:sz w:val="20"/>
          <w:szCs w:val="20"/>
          <w:color w:val="auto"/>
        </w:rPr>
      </w:pPr>
      <w:r>
        <w:rPr>
          <w:rFonts w:ascii="Arial" w:cs="Arial" w:eastAsia="Arial" w:hAnsi="Arial"/>
          <w:sz w:val="18"/>
          <w:szCs w:val="18"/>
          <w:color w:val="auto"/>
        </w:rPr>
        <w:t>We are a leading provider of silicon timing solutions. Our timing solutions are the heartbeat of our customers’ electronic systems. They solve complex timing problems and enable industry-leading products. We provide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mobile, IoT and consumer.</w:t>
      </w:r>
    </w:p>
    <w:p>
      <w:pPr>
        <w:spacing w:after="0" w:line="55" w:lineRule="exact"/>
        <w:rPr>
          <w:sz w:val="20"/>
          <w:szCs w:val="20"/>
          <w:color w:val="auto"/>
        </w:rPr>
      </w:pPr>
    </w:p>
    <w:p>
      <w:pPr>
        <w:ind w:right="20" w:firstLine="509"/>
        <w:spacing w:after="0" w:line="216" w:lineRule="auto"/>
        <w:rPr>
          <w:sz w:val="20"/>
          <w:szCs w:val="20"/>
          <w:color w:val="auto"/>
        </w:rPr>
      </w:pPr>
      <w:r>
        <w:rPr>
          <w:rFonts w:ascii="Arial" w:cs="Arial" w:eastAsia="Arial" w:hAnsi="Arial"/>
          <w:sz w:val="18"/>
          <w:szCs w:val="18"/>
          <w:color w:val="auto"/>
        </w:rPr>
        <w:t>In 2021, we advanced our technology, expanded our product portfolio, increased our worldwide workforce, and generated a significant increase in revenue and profit. We saw continued strong revenue growth, increased gross margins, increased operating margins, increased net income and positive cash flow. Revenue grew 88% from $116.2 million in 2020 to $218.8 million in 2021. Gross margins increased by 14% from 50% in 2020 to 64% in 2021, while operating margins expanded from a 7% loss in 2020 to a 15% income in 2021. In addition, we raised $460.6 million during the year from our two stock offerings.</w:t>
      </w:r>
    </w:p>
    <w:p>
      <w:pPr>
        <w:spacing w:after="0" w:line="162" w:lineRule="exact"/>
        <w:rPr>
          <w:sz w:val="20"/>
          <w:szCs w:val="20"/>
          <w:color w:val="auto"/>
        </w:rPr>
      </w:pPr>
    </w:p>
    <w:p>
      <w:pPr>
        <w:ind w:firstLine="509"/>
        <w:spacing w:after="0" w:line="224" w:lineRule="auto"/>
        <w:rPr>
          <w:sz w:val="20"/>
          <w:szCs w:val="20"/>
          <w:color w:val="auto"/>
        </w:rPr>
      </w:pPr>
      <w:r>
        <w:rPr>
          <w:rFonts w:ascii="Arial" w:cs="Arial" w:eastAsia="Arial" w:hAnsi="Arial"/>
          <w:sz w:val="18"/>
          <w:szCs w:val="18"/>
          <w:color w:val="auto"/>
        </w:rPr>
        <w:t>We commenced commercial shipments of our first oscillator products in 2006. Substantially all of our revenue to date has been derived from sales of oscillator systems across our target end markets. We intend to focus on clock IC and timing sync solutions in the future. We seek to aggressively expand our presence in these two markets.</w:t>
      </w:r>
    </w:p>
    <w:p>
      <w:pPr>
        <w:spacing w:after="0" w:line="163" w:lineRule="exact"/>
        <w:rPr>
          <w:sz w:val="20"/>
          <w:szCs w:val="20"/>
          <w:color w:val="auto"/>
        </w:rPr>
      </w:pPr>
    </w:p>
    <w:p>
      <w:pPr>
        <w:ind w:right="20" w:firstLine="509"/>
        <w:spacing w:after="0" w:line="224"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We also sell products directly to end customers who integrate our products into their applications. Based on sell-through information provided by our distributors, we believe the majority of our end customers are based in the U.S.</w:t>
      </w:r>
    </w:p>
    <w:p>
      <w:pPr>
        <w:spacing w:after="0" w:line="163" w:lineRule="exact"/>
        <w:rPr>
          <w:sz w:val="20"/>
          <w:szCs w:val="20"/>
          <w:color w:val="auto"/>
        </w:rPr>
      </w:pPr>
    </w:p>
    <w:p>
      <w:pPr>
        <w:ind w:right="60" w:firstLine="509"/>
        <w:spacing w:after="0" w:line="232"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62" w:lineRule="exact"/>
        <w:rPr>
          <w:sz w:val="20"/>
          <w:szCs w:val="20"/>
          <w:color w:val="auto"/>
        </w:rPr>
      </w:pPr>
    </w:p>
    <w:p>
      <w:pPr>
        <w:ind w:right="60" w:firstLine="509"/>
        <w:spacing w:after="0" w:line="225" w:lineRule="auto"/>
        <w:rPr>
          <w:sz w:val="20"/>
          <w:szCs w:val="20"/>
          <w:color w:val="auto"/>
        </w:rPr>
      </w:pPr>
      <w:r>
        <w:rPr>
          <w:rFonts w:ascii="Arial" w:cs="Arial" w:eastAsia="Arial" w:hAnsi="Arial"/>
          <w:sz w:val="18"/>
          <w:szCs w:val="18"/>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On June 16, 2020, we completed a follow-on public offering, in which we issued and sold 1,525,000 shares of our common stock and MegaChips sold 2,500,000 shares of our common stock held by it. On February 22, 2021, we completed an additional follow-on public offering, in which we issued and sold 1,500,000 shares of our common stock and MegaChips sold 1,500,000 shares of our common stock held by it. On November 10, 2021 we completed a follow-on public offering, in which we issued and sold 1,300,000 shares of our common stock and MegaChips sold 1,000,000 shares of our common stock held by it. MegaChips continues to be our largest stockholder and held approximately 24.0% of our common stock as of December 31, 2021.</w:t>
      </w:r>
    </w:p>
    <w:p>
      <w:pPr>
        <w:spacing w:after="0" w:line="176" w:lineRule="exact"/>
        <w:rPr>
          <w:sz w:val="20"/>
          <w:szCs w:val="20"/>
          <w:color w:val="auto"/>
        </w:rPr>
      </w:pPr>
    </w:p>
    <w:p>
      <w:pPr>
        <w:ind w:right="40" w:firstLine="509"/>
        <w:spacing w:after="0" w:line="254" w:lineRule="auto"/>
        <w:rPr>
          <w:sz w:val="20"/>
          <w:szCs w:val="20"/>
          <w:color w:val="auto"/>
        </w:rPr>
      </w:pPr>
      <w:r>
        <w:rPr>
          <w:rFonts w:ascii="Arial" w:cs="Arial" w:eastAsia="Arial" w:hAnsi="Arial"/>
          <w:sz w:val="16"/>
          <w:szCs w:val="16"/>
          <w:color w:val="auto"/>
        </w:rPr>
        <w:t>We are currently experiencing a growth in demand for some of our products, however, there are a number of industry-wide supply constraints affecting the supply of analog circuits manufactured by certain foundries, including Taiwan Semiconductor Manufacturing Company, and affecting outsourced semiconductor assembly and test providers, which may limit our ability to fully satisfy the increase in demand. If we cannot ship our products to our customers on time and in the quantity required as a result of this supply constraint our sales could decline or could grow at a lower rate and we could lose customers. We believe that the effects of the industry-wide supply constraints on other timing device suppliers have contributed in part to our revenue and gross margin growth in 2021; however, we may not be able to sustain these revenue and gross margin increases in the future. It is not clear how long the industry-wide supply constraints will continue, or what the resulting impact will be on our gross margin and revenue when the industry-wide supply constraints resolve. For additional discussion please see Part I, Item 1A Risk Factors of this report, especially the risk factor titled “Our revenue and operating results may fluctuate from period to period, which could cause our stock price to fluctuate."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spacing w:after="0" w:line="272" w:lineRule="auto"/>
        <w:rPr>
          <w:sz w:val="20"/>
          <w:szCs w:val="20"/>
          <w:color w:val="auto"/>
        </w:rPr>
      </w:pPr>
      <w:r>
        <w:rPr>
          <w:rFonts w:ascii="Arial" w:cs="Arial" w:eastAsia="Arial" w:hAnsi="Arial"/>
          <w:sz w:val="16"/>
          <w:szCs w:val="16"/>
          <w:color w:val="auto"/>
        </w:rPr>
        <w:t>The future impact of the ongoing COVID-19 pandemic on our business remains unknown. In an effort to protect the health and safety of our employees, we implemented safety measures at our locations around the world, including requiring employees to work from home (“WFH”) in certain locations at times, reducing the number of people in certain of our sites at any one time, and limiting employee travel. In an effort to contain the COVID-19 pandemic or slow its spread, governments around the world have also enacted various measures, including orders to close all businesses not deemed “essential,” isolate residents in their homes or places of residence, and practice social distancing. In addition, the United States and other countries in which we operate have from time to time imposed measures such as quarantines and “shelter-in-place” orders that restrict business operations and travel and require individuals to WFH, which has impacted all aspects of our business, as well as those of the third-parties we rely upon for our manufacturing, assembly, testing, shipping and other operations. The current and future spread of COVID-19 variants may cause the reinstatement of one or more of these measures.</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We anticipate the COVID-19 pandemic will continue to impact business activity across the globe and will continue to impact our business, employees and operations for the foreseeable future. We believe that as a result of the COVID-19 pandemic we have experienced some delay and disruption in the manufacture, shipment, and sales of our products. In addition, we believe the production capabilities of our suppliers has been, and will likely continue to be, impacted as a result of quarantines, closures of production facilities, lack of supplies, or delays caused by restrictions on travel or WFH orders. These restrictions could limit our suppliers’ ability to operate their manufacturing facilities in that country. Any delay or disruption in the manufacture, shipment and sales of, or overall demand for, our products in turn may negatively and materially impact our operating and financial results, including revenue, gross margins, operating margins, cash flows and other operating results. Further, the resumption of normal business operations after such disruptions may be delayed and a resurgence of COVID-19 could result in continued disruption to us, our suppliers, and/or our customers. To date, we have experienced minimal impact from any supplier disruption resulting from COVID-19.</w:t>
      </w:r>
    </w:p>
    <w:p>
      <w:pPr>
        <w:spacing w:after="0" w:line="18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duration and full magnitude of the COVID-19 pandemic’s impact on credit and financial markets is also unknown, which creates uncertainty as to the financial condition of our distributors or customers. In addition, the deterioration in credit markets could limit our ability to obtain external financing to fund our operations and capital expenditures. We may also experience losses on our holdings of cash and investments due to failures of financial institutions and other parties.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currently have employees, third-party contractors, distributors, and customers in numerous countries throughout the world that have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We cannot predict with certainty what other impacts the COVID-19 pandemic may have on our business, employees, service providers, customers and results of operations.</w:t>
      </w:r>
    </w:p>
    <w:p>
      <w:pPr>
        <w:spacing w:after="0" w:line="17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There remains a high degree of uncertainty in the global business environment given the impact of the COVID-19 pandemic which creates challenges with visibility beyond the near term. Further, as WFH orders terminate and individuals return to work in offices, we may experience a reduction in demand for certain of our products that are incorporated in our customers’ products that experienced higher demand as a result of the increase in WFH during the COVID-19 pandemic.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2022 and beyond. For additional discussion, please see Part I, Item 1A Risk Factors of this report.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Customer Orders and Forecasts</w:t>
      </w:r>
    </w:p>
    <w:p>
      <w:pPr>
        <w:spacing w:after="0" w:line="90" w:lineRule="exact"/>
        <w:rPr>
          <w:sz w:val="20"/>
          <w:szCs w:val="20"/>
          <w:color w:val="auto"/>
        </w:rPr>
      </w:pPr>
    </w:p>
    <w:p>
      <w:pPr>
        <w:ind w:right="280" w:firstLine="509"/>
        <w:spacing w:after="0" w:line="228" w:lineRule="auto"/>
        <w:rPr>
          <w:sz w:val="20"/>
          <w:szCs w:val="20"/>
          <w:color w:val="auto"/>
        </w:rPr>
      </w:pPr>
      <w:r>
        <w:rPr>
          <w:rFonts w:ascii="Arial" w:cs="Arial" w:eastAsia="Arial" w:hAnsi="Arial"/>
          <w:sz w:val="18"/>
          <w:szCs w:val="18"/>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left="520"/>
        <w:spacing w:after="0"/>
        <w:rPr>
          <w:sz w:val="20"/>
          <w:szCs w:val="20"/>
          <w:color w:val="auto"/>
        </w:rPr>
      </w:pPr>
      <w:r>
        <w:rPr>
          <w:rFonts w:ascii="Arial" w:cs="Arial" w:eastAsia="Arial" w:hAnsi="Arial"/>
          <w:sz w:val="18"/>
          <w:szCs w:val="18"/>
          <w:b w:val="1"/>
          <w:bCs w:val="1"/>
          <w:i w:val="1"/>
          <w:iCs w:val="1"/>
          <w:color w:val="auto"/>
        </w:rPr>
        <w:t>Design Wins with New and Existing Customers</w:t>
      </w:r>
    </w:p>
    <w:p>
      <w:pPr>
        <w:spacing w:after="0" w:line="90" w:lineRule="exact"/>
        <w:rPr>
          <w:sz w:val="20"/>
          <w:szCs w:val="20"/>
          <w:color w:val="auto"/>
        </w:rPr>
      </w:pPr>
    </w:p>
    <w:p>
      <w:pPr>
        <w:ind w:firstLine="509"/>
        <w:spacing w:after="0" w:line="258" w:lineRule="auto"/>
        <w:rPr>
          <w:sz w:val="20"/>
          <w:szCs w:val="20"/>
          <w:color w:val="auto"/>
        </w:rPr>
      </w:pPr>
      <w:r>
        <w:rPr>
          <w:rFonts w:ascii="Arial" w:cs="Arial" w:eastAsia="Arial" w:hAnsi="Arial"/>
          <w:sz w:val="16"/>
          <w:szCs w:val="16"/>
          <w:color w:val="auto"/>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with higher average selling prices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Customer Demand and Product Life Cycles</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Once customers design our silicon timing systems solutions into their products, we closely monitor all aspects of their demand cycle, including the initial design phase, prototype production, volume production, and inventories, as well as end-market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Product Adoption within New Markets and Applications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As we evaluate new market opportunities and bring new products to market, we pay particular attention to forecasts by industry analysts and the adoption curve of technology. We also analyze in detail potential competing forces that could hinder such adoption. If we fail to anticipate or respond to technological shifts or market demands, or to timely develop new or enhanced products or technologies in response to the same, it could result in decreased revenue and the loss of our design wins to our competitors.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Pricing, Product Cost, and Product Mix</w:t>
      </w:r>
    </w:p>
    <w:p>
      <w:pPr>
        <w:spacing w:after="0" w:line="104"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ASPs of our products vary significantly. While the ASP of any individual product generally decreases over time, our average ASPs have historically remained relatively flat as we continue to introduce new higher-end products with higher ASPs. Our pricing and margins depend on customer demand as well as the volumes and the features of the timing devices we provide 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and increase yields.</w:t>
      </w:r>
    </w:p>
    <w:p>
      <w:pPr>
        <w:spacing w:after="0" w:line="17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Gross margin, or gross profit as a percentage of revenue, has been, and will continue to be, affected by a variety of factors, including ASPs, and product mix in a given period, material costs, yields, inventory write-downs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Downturns in the semiconductor industry have been characterized by diminished product demand, production overcapacity, high inventory levels, and accelerated erosion of average selling prices. Any prolonged or significant downturn in the semiconductor industry generally could adversely affect our business and reduce demand for our products and otherwise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w w:val="94"/>
              </w:rPr>
              <w:t>Year Ended December 31,</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7"/>
              </w:rPr>
              <w:t>Change 2021 vs 2020</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70"/>
              <w:spacing w:after="0"/>
              <w:rPr>
                <w:sz w:val="20"/>
                <w:szCs w:val="20"/>
                <w:color w:val="auto"/>
              </w:rPr>
            </w:pPr>
            <w:r>
              <w:rPr>
                <w:rFonts w:ascii="Arial" w:cs="Arial" w:eastAsia="Arial" w:hAnsi="Arial"/>
                <w:sz w:val="14"/>
                <w:szCs w:val="14"/>
                <w:b w:val="1"/>
                <w:bCs w:val="1"/>
                <w:color w:val="auto"/>
              </w:rPr>
              <w:t>(in thousands, except percentage)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218,808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116,156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84,074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102,652</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79,346</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58,224</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44,516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21,122</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139,462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57,932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39,558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81,530</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52,104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31,652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23,795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20,452</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3"/>
        </w:trPr>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54,515</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34,893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20,636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19,622</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106,619</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66,545</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44,431</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40,074</w:t>
            </w:r>
          </w:p>
        </w:tc>
        <w:tc>
          <w:tcPr>
            <w:tcW w:w="1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32,843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(8,613 )</w:t>
            </w:r>
          </w:p>
        </w:tc>
        <w:tc>
          <w:tcPr>
            <w:tcW w:w="280" w:type="dxa"/>
            <w:vAlign w:val="bottom"/>
          </w:tcPr>
          <w:p>
            <w:pPr>
              <w:spacing w:after="0"/>
              <w:rPr>
                <w:sz w:val="17"/>
                <w:szCs w:val="17"/>
                <w:color w:val="auto"/>
              </w:rPr>
            </w:pPr>
          </w:p>
        </w:tc>
        <w:tc>
          <w:tcPr>
            <w:tcW w:w="10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(4,873 )</w:t>
            </w: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41,456</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(726 )</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(1,714 )</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726</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7"/>
                <w:szCs w:val="17"/>
                <w:color w:val="auto"/>
              </w:rPr>
            </w:pPr>
          </w:p>
        </w:tc>
        <w:tc>
          <w:tcPr>
            <w:tcW w:w="9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(488 )</w:t>
            </w:r>
          </w:p>
        </w:tc>
        <w:tc>
          <w:tcPr>
            <w:tcW w:w="260" w:type="dxa"/>
            <w:vAlign w:val="bottom"/>
          </w:tcPr>
          <w:p>
            <w:pPr>
              <w:spacing w:after="0"/>
              <w:rPr>
                <w:sz w:val="17"/>
                <w:szCs w:val="17"/>
                <w:color w:val="auto"/>
              </w:rPr>
            </w:pPr>
          </w:p>
        </w:tc>
        <w:tc>
          <w:tcPr>
            <w:tcW w:w="10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(32 )</w:t>
            </w:r>
          </w:p>
        </w:tc>
        <w:tc>
          <w:tcPr>
            <w:tcW w:w="280" w:type="dxa"/>
            <w:vAlign w:val="bottom"/>
          </w:tcPr>
          <w:p>
            <w:pPr>
              <w:spacing w:after="0"/>
              <w:rPr>
                <w:sz w:val="17"/>
                <w:szCs w:val="17"/>
                <w:color w:val="auto"/>
              </w:rPr>
            </w:pPr>
          </w:p>
        </w:tc>
        <w:tc>
          <w:tcPr>
            <w:tcW w:w="10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(28 )</w:t>
            </w:r>
          </w:p>
        </w:tc>
        <w:tc>
          <w:tcPr>
            <w:tcW w:w="2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(456 )</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1425 %</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32,355</w:t>
            </w: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(9,371</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(6,615</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41,726</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(445 %)</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7"/>
                <w:szCs w:val="17"/>
                <w:color w:val="auto"/>
              </w:rPr>
            </w:pPr>
          </w:p>
        </w:tc>
        <w:tc>
          <w:tcPr>
            <w:tcW w:w="9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(78 )</w:t>
            </w:r>
          </w:p>
        </w:tc>
        <w:tc>
          <w:tcPr>
            <w:tcW w:w="260" w:type="dxa"/>
            <w:vAlign w:val="bottom"/>
          </w:tcPr>
          <w:p>
            <w:pPr>
              <w:spacing w:after="0"/>
              <w:rPr>
                <w:sz w:val="17"/>
                <w:szCs w:val="17"/>
                <w:color w:val="auto"/>
              </w:rPr>
            </w:pPr>
          </w:p>
        </w:tc>
        <w:tc>
          <w:tcPr>
            <w:tcW w:w="10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(1 )</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(77 )</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7700 %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Net income (loss) attributable to common</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32,277</w:t>
            </w:r>
          </w:p>
        </w:tc>
        <w:tc>
          <w:tcPr>
            <w:tcW w:w="22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FF0FC"/>
          </w:tcPr>
          <w:p>
            <w:pPr>
              <w:jc w:val="right"/>
              <w:ind w:right="61"/>
              <w:spacing w:after="0"/>
              <w:rPr>
                <w:sz w:val="20"/>
                <w:szCs w:val="20"/>
                <w:color w:val="auto"/>
              </w:rPr>
            </w:pPr>
            <w:r>
              <w:rPr>
                <w:rFonts w:ascii="Arial" w:cs="Arial" w:eastAsia="Arial" w:hAnsi="Arial"/>
                <w:sz w:val="18"/>
                <w:szCs w:val="18"/>
                <w:color w:val="auto"/>
              </w:rPr>
              <w:t>(9,372 )</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(6,607 )</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41,649</w:t>
            </w:r>
          </w:p>
        </w:tc>
        <w:tc>
          <w:tcPr>
            <w:tcW w:w="18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195"/>
        </w:trPr>
        <w:tc>
          <w:tcPr>
            <w:tcW w:w="4000" w:type="dxa"/>
            <w:vAlign w:val="bottom"/>
            <w:shd w:val="clear" w:color="auto" w:fill="CFF0FC"/>
          </w:tcPr>
          <w:p>
            <w:pPr>
              <w:ind w:left="140"/>
              <w:spacing w:after="0" w:line="156" w:lineRule="exact"/>
              <w:rPr>
                <w:sz w:val="20"/>
                <w:szCs w:val="20"/>
                <w:color w:val="auto"/>
              </w:rPr>
            </w:pPr>
            <w:r>
              <w:rPr>
                <w:rFonts w:ascii="Arial" w:cs="Arial" w:eastAsia="Arial" w:hAnsi="Arial"/>
                <w:sz w:val="18"/>
                <w:szCs w:val="18"/>
                <w:color w:val="auto"/>
              </w:rPr>
              <w:t>stockholders and comprehensive income (loss)</w:t>
            </w:r>
          </w:p>
        </w:tc>
        <w:tc>
          <w:tcPr>
            <w:tcW w:w="240" w:type="dxa"/>
            <w:vAlign w:val="bottom"/>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-904875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-904875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-904875</wp:posOffset>
            </wp:positionV>
            <wp:extent cx="596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59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A discussion of changes in our results of operations from fiscal 2019 to fiscal 2020 has been omitted from this Form 10-K, but may be found in “Item 7. Management’s Discussion and Analysis of Financial Condition and Results of Operations” of our Form 10-K for fiscal 2020 filed with the Securities and Exchange Commission on February 16,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Change 2021 vs 2020</w:t>
            </w:r>
          </w:p>
        </w:tc>
      </w:tr>
      <w:tr>
        <w:trPr>
          <w:trHeight w:val="169"/>
        </w:trPr>
        <w:tc>
          <w:tcPr>
            <w:tcW w:w="43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6"/>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218,808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116,156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84,074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102,652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88 %</w:t>
            </w:r>
          </w:p>
        </w:tc>
      </w:tr>
    </w:tbl>
    <w:p>
      <w:pPr>
        <w:spacing w:after="0" w:line="20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Revenue increased by $102.7 million, or 88%, for 2021 compared to 2020. The increase was primarily related to 34% higher volume of shipments year over year and a 40% increase in average selling price ("ASP") of our products. The increase in sales volume was driven by higher demand for our products from new and existing customers, including new design wins at our existing customers. The ASP increase was related to change in mix of the products we shipped and increase in selling prices for certain products.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8"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4"/>
          </w:tcPr>
          <w:p>
            <w:pPr>
              <w:ind w:left="100"/>
              <w:spacing w:after="0"/>
              <w:rPr>
                <w:sz w:val="20"/>
                <w:szCs w:val="20"/>
                <w:color w:val="auto"/>
              </w:rPr>
            </w:pPr>
            <w:r>
              <w:rPr>
                <w:rFonts w:ascii="Arial" w:cs="Arial" w:eastAsia="Arial" w:hAnsi="Arial"/>
                <w:sz w:val="14"/>
                <w:szCs w:val="14"/>
                <w:b w:val="1"/>
                <w:bCs w:val="1"/>
                <w:color w:val="auto"/>
              </w:rPr>
              <w:t>Change 2021 vs 2020</w:t>
            </w:r>
          </w:p>
        </w:tc>
      </w:tr>
      <w:tr>
        <w:trPr>
          <w:trHeight w:val="169"/>
        </w:trPr>
        <w:tc>
          <w:tcPr>
            <w:tcW w:w="41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w w:val="89"/>
              </w:rPr>
              <w:t>(in thousands except percentage)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79,346</w:t>
            </w: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   58,224</w:t>
            </w: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   44,516</w:t>
            </w: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w w:val="87"/>
              </w:rPr>
              <w:t>21,122</w:t>
            </w:r>
          </w:p>
        </w:tc>
        <w:tc>
          <w:tcPr>
            <w:tcW w:w="11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36 %</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139,462</w:t>
            </w: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57,932</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39,558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260"/>
              <w:spacing w:after="0" w:line="202" w:lineRule="exact"/>
              <w:rPr>
                <w:sz w:val="20"/>
                <w:szCs w:val="20"/>
                <w:color w:val="auto"/>
              </w:rPr>
            </w:pPr>
            <w:r>
              <w:rPr>
                <w:rFonts w:ascii="Arial" w:cs="Arial" w:eastAsia="Arial" w:hAnsi="Arial"/>
                <w:sz w:val="18"/>
                <w:szCs w:val="18"/>
                <w:color w:val="auto"/>
                <w:w w:val="87"/>
              </w:rPr>
              <w:t>81,530</w:t>
            </w:r>
          </w:p>
        </w:tc>
        <w:tc>
          <w:tcPr>
            <w:tcW w:w="11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141 %</w:t>
            </w:r>
          </w:p>
        </w:tc>
      </w:tr>
      <w:tr>
        <w:trPr>
          <w:trHeight w:val="202"/>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64 %</w:t>
            </w: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50 %</w:t>
            </w: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47 %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bl>
    <w:p>
      <w:pPr>
        <w:spacing w:after="0" w:line="256" w:lineRule="exact"/>
        <w:rPr>
          <w:sz w:val="20"/>
          <w:szCs w:val="20"/>
          <w:color w:val="auto"/>
        </w:rPr>
      </w:pPr>
    </w:p>
    <w:p>
      <w:pPr>
        <w:jc w:val="both"/>
        <w:ind w:right="220" w:firstLine="509"/>
        <w:spacing w:after="0" w:line="235" w:lineRule="auto"/>
        <w:rPr>
          <w:sz w:val="20"/>
          <w:szCs w:val="20"/>
          <w:color w:val="auto"/>
        </w:rPr>
      </w:pPr>
      <w:r>
        <w:rPr>
          <w:rFonts w:ascii="Arial" w:cs="Arial" w:eastAsia="Arial" w:hAnsi="Arial"/>
          <w:sz w:val="18"/>
          <w:szCs w:val="18"/>
          <w:color w:val="auto"/>
        </w:rPr>
        <w:t>Gross profit increased by $81.5 million in the year ended December 31, 2021 compared to the same period in 2020. Gross profit increased $86.6 million mainly from higher sales volume and an increase in ASPs of our products. This increase was offset by higher other manufacturing and overhead costs of $5.1 million of which $1.0 million was related to higher stock-based compensation expense.</w:t>
      </w:r>
    </w:p>
    <w:p>
      <w:pPr>
        <w:spacing w:after="0" w:line="215"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Gross margin was higher by 14% in the year ended December 31, 2021 compared to the same period in 2020. The gross margin increased by 11% from higher sales volume and an increase in ASPs. There was additional 3% improvement in our other manufacturing costs as it decreased as a percentage of revenue.</w:t>
      </w:r>
    </w:p>
    <w:p>
      <w:pPr>
        <w:spacing w:after="0" w:line="21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expect to see increases in our manufacturing costs in fiscal year 2022 due to an industry wide increase in costs. Gross margin may fluctuate from time to time due to a variety of factors.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3"/>
              </w:rPr>
              <w:t>Change 2021 vs 2020</w:t>
            </w:r>
          </w:p>
        </w:tc>
      </w:tr>
      <w:tr>
        <w:trPr>
          <w:trHeight w:val="169"/>
        </w:trPr>
        <w:tc>
          <w:tcPr>
            <w:tcW w:w="4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ind w:left="280"/>
              <w:spacing w:after="0"/>
              <w:rPr>
                <w:sz w:val="20"/>
                <w:szCs w:val="20"/>
                <w:color w:val="auto"/>
              </w:rPr>
            </w:pPr>
            <w:r>
              <w:rPr>
                <w:rFonts w:ascii="Arial" w:cs="Arial" w:eastAsia="Arial" w:hAnsi="Arial"/>
                <w:sz w:val="14"/>
                <w:szCs w:val="14"/>
                <w:b w:val="1"/>
                <w:bCs w:val="1"/>
                <w:color w:val="auto"/>
                <w:w w:val="92"/>
              </w:rPr>
              <w:t>(in thousands except percentage)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52,104</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280"/>
              <w:spacing w:after="0" w:line="202" w:lineRule="exact"/>
              <w:rPr>
                <w:sz w:val="20"/>
                <w:szCs w:val="20"/>
                <w:color w:val="auto"/>
              </w:rPr>
            </w:pPr>
            <w:r>
              <w:rPr>
                <w:rFonts w:ascii="Arial" w:cs="Arial" w:eastAsia="Arial" w:hAnsi="Arial"/>
                <w:sz w:val="18"/>
                <w:szCs w:val="18"/>
                <w:color w:val="auto"/>
                <w:w w:val="90"/>
              </w:rPr>
              <w:t>31,652</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23,795</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20,452</w:t>
            </w:r>
          </w:p>
        </w:tc>
        <w:tc>
          <w:tcPr>
            <w:tcW w:w="11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65 %</w:t>
            </w:r>
          </w:p>
        </w:tc>
      </w:tr>
      <w:tr>
        <w:trPr>
          <w:trHeight w:val="203"/>
        </w:trPr>
        <w:tc>
          <w:tcPr>
            <w:tcW w:w="44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54,515</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280"/>
              <w:spacing w:after="0" w:line="202" w:lineRule="exact"/>
              <w:rPr>
                <w:sz w:val="20"/>
                <w:szCs w:val="20"/>
                <w:color w:val="auto"/>
              </w:rPr>
            </w:pPr>
            <w:r>
              <w:rPr>
                <w:rFonts w:ascii="Arial" w:cs="Arial" w:eastAsia="Arial" w:hAnsi="Arial"/>
                <w:sz w:val="18"/>
                <w:szCs w:val="18"/>
                <w:color w:val="auto"/>
                <w:w w:val="90"/>
              </w:rPr>
              <w:t>34,893</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20,636</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19,622</w:t>
            </w:r>
          </w:p>
        </w:tc>
        <w:tc>
          <w:tcPr>
            <w:tcW w:w="1160" w:type="dxa"/>
            <w:vAlign w:val="bottom"/>
            <w:tcBorders>
              <w:bottom w:val="single" w:sz="8" w:color="CFF0FC"/>
            </w:tcBorders>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56 %</w:t>
            </w:r>
          </w:p>
        </w:tc>
      </w:tr>
      <w:tr>
        <w:trPr>
          <w:trHeight w:val="196"/>
        </w:trPr>
        <w:tc>
          <w:tcPr>
            <w:tcW w:w="4400" w:type="dxa"/>
            <w:vAlign w:val="bottom"/>
          </w:tcPr>
          <w:p>
            <w:pPr>
              <w:spacing w:after="0" w:line="182"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106,619</w:t>
            </w:r>
          </w:p>
        </w:tc>
        <w:tc>
          <w:tcPr>
            <w:tcW w:w="4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ind w:left="280"/>
              <w:spacing w:after="0" w:line="182" w:lineRule="exact"/>
              <w:rPr>
                <w:sz w:val="20"/>
                <w:szCs w:val="20"/>
                <w:color w:val="auto"/>
              </w:rPr>
            </w:pPr>
            <w:r>
              <w:rPr>
                <w:rFonts w:ascii="Arial" w:cs="Arial" w:eastAsia="Arial" w:hAnsi="Arial"/>
                <w:sz w:val="18"/>
                <w:szCs w:val="18"/>
                <w:color w:val="auto"/>
                <w:w w:val="90"/>
              </w:rPr>
              <w:t>66,545</w:t>
            </w:r>
          </w:p>
        </w:tc>
        <w:tc>
          <w:tcPr>
            <w:tcW w:w="38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44,431</w:t>
            </w:r>
          </w:p>
        </w:tc>
        <w:tc>
          <w:tcPr>
            <w:tcW w:w="4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40,074</w:t>
            </w:r>
          </w:p>
        </w:tc>
        <w:tc>
          <w:tcPr>
            <w:tcW w:w="116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60 %</w:t>
            </w: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-159385</wp:posOffset>
            </wp:positionV>
            <wp:extent cx="431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-159385</wp:posOffset>
            </wp:positionV>
            <wp:extent cx="431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wp:posOffset>
            </wp:positionV>
            <wp:extent cx="3429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3429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0" w:firstLine="509"/>
        <w:spacing w:after="0" w:line="225" w:lineRule="auto"/>
        <w:rPr>
          <w:sz w:val="20"/>
          <w:szCs w:val="20"/>
          <w:color w:val="auto"/>
        </w:rPr>
      </w:pPr>
      <w:r>
        <w:rPr>
          <w:rFonts w:ascii="Arial" w:cs="Arial" w:eastAsia="Arial" w:hAnsi="Arial"/>
          <w:sz w:val="17"/>
          <w:szCs w:val="17"/>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offset by non-recurring engineering service credits.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175"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Research and development expense increased by $20.5 million, or 65%, for the year ended December 31, 2021 compared to the same period in 2020, primarily due to higher personnel costs of $10.0 million due to increased headcount, an increase in stock-based compensation expense of $6.1 million, and higher ongoing new product related expenses of $6.9 million primarily consisting of consulting and supplies. These were offset by non-recurring engineering contra-expense recognized of $2.4 million.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04"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7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Selling, general and administrative expense increased by $19.6 million, or 56%, for the year ended December 31, 2021 compared to the same period in 2020, primarily due to higher stock-based compensation expense of $6.2 million, higher personnel costs of $4.2 million, higher commission expenses of $4.5 million due to increased revenue, and higher consulting fees of $3.4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Other expense consists primarily of interest expense on our outstanding debt, interest income on our cash balances, and foreign exchange gains and losses. See Note 7 to our consolidated financial statements under Item 8 for more information about our debt.</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3"/>
              </w:rPr>
              <w:t>Change 2021 vs 2020</w:t>
            </w:r>
          </w:p>
        </w:tc>
      </w:tr>
      <w:tr>
        <w:trPr>
          <w:trHeight w:val="169"/>
        </w:trPr>
        <w:tc>
          <w:tcPr>
            <w:tcW w:w="43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r>
      <w:tr>
        <w:trPr>
          <w:trHeight w:val="169"/>
        </w:trPr>
        <w:tc>
          <w:tcPr>
            <w:tcW w:w="4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03"/>
        </w:trPr>
        <w:tc>
          <w:tcPr>
            <w:tcW w:w="4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640" w:type="dxa"/>
            <w:vAlign w:val="bottom"/>
            <w:shd w:val="clear" w:color="auto" w:fill="CFF0FC"/>
          </w:tcPr>
          <w:p>
            <w:pPr>
              <w:jc w:val="right"/>
              <w:ind w:right="456"/>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(726 )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(1,714 )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726</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(100 %)</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640" w:type="dxa"/>
            <w:vAlign w:val="bottom"/>
          </w:tcPr>
          <w:p>
            <w:pPr>
              <w:spacing w:after="0"/>
              <w:rPr>
                <w:sz w:val="17"/>
                <w:szCs w:val="17"/>
                <w:color w:val="auto"/>
              </w:rPr>
            </w:pPr>
          </w:p>
        </w:tc>
        <w:tc>
          <w:tcPr>
            <w:tcW w:w="5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w w:val="80"/>
              </w:rPr>
              <w:t>(488 )</w:t>
            </w:r>
          </w:p>
        </w:tc>
        <w:tc>
          <w:tcPr>
            <w:tcW w:w="240" w:type="dxa"/>
            <w:vAlign w:val="bottom"/>
          </w:tcPr>
          <w:p>
            <w:pPr>
              <w:spacing w:after="0"/>
              <w:rPr>
                <w:sz w:val="17"/>
                <w:szCs w:val="17"/>
                <w:color w:val="auto"/>
              </w:rPr>
            </w:pPr>
          </w:p>
        </w:tc>
        <w:tc>
          <w:tcPr>
            <w:tcW w:w="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(32 )</w:t>
            </w:r>
          </w:p>
        </w:tc>
        <w:tc>
          <w:tcPr>
            <w:tcW w:w="240" w:type="dxa"/>
            <w:vAlign w:val="bottom"/>
          </w:tcPr>
          <w:p>
            <w:pPr>
              <w:spacing w:after="0"/>
              <w:rPr>
                <w:sz w:val="17"/>
                <w:szCs w:val="17"/>
                <w:color w:val="auto"/>
              </w:rPr>
            </w:pPr>
          </w:p>
        </w:tc>
        <w:tc>
          <w:tcPr>
            <w:tcW w:w="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(28 )</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(456 )</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1425 %</w:t>
            </w:r>
          </w:p>
        </w:tc>
      </w:tr>
      <w:tr>
        <w:trPr>
          <w:trHeight w:val="236"/>
        </w:trPr>
        <w:tc>
          <w:tcPr>
            <w:tcW w:w="43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other expense</w:t>
            </w:r>
          </w:p>
        </w:tc>
        <w:tc>
          <w:tcPr>
            <w:tcW w:w="640" w:type="dxa"/>
            <w:vAlign w:val="bottom"/>
            <w:tcBorders>
              <w:top w:val="single" w:sz="8" w:color="auto"/>
              <w:bottom w:val="single" w:sz="8" w:color="auto"/>
            </w:tcBorders>
            <w:shd w:val="clear" w:color="auto" w:fill="CFF0FC"/>
          </w:tcPr>
          <w:p>
            <w:pPr>
              <w:jc w:val="right"/>
              <w:ind w:right="456"/>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3"/>
              </w:rPr>
              <w:t>(488</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(758</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(1,742</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270</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-25400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Other expense decreased $0.3 million for the year ended December 31, 2021 compared to the same period in 2020, primarily as a result of no interest expense in 2021 on our outstanding revolving short-term debt as we paid in full all of our debt on July 24, 2020, offset by a net unrealized loss on foreign exchange rates due to increased activities in our foreign subsidiaries.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operation losses (NOL), carryforwards, and tax credits related primarily to research and development. We expect to maintain this full valuation allowance until realization of the deferred tax assets becomes more likely than not. At December 31, 2021 and 2020, we had federal NOL carry-forwards of approximately $259.6 million and $201.5 million, respectively, and state NOL carry-forwards of approximately $64.5 million and $64.0 million, respectively. We had research and development tax credit carryforwards of approximately $3.9 million and $3.9 million, respectively for U.S. federal income tax purposes and $3.6 million and $3.6 million, respectively for state income tax purposes. Of the federal NOL carryforwards, approximately $148.4 million will expire in various years through 2036, if not utilized, and approximately $111.2 million will carry forward indefinitely. NOL carryforwards for state income tax purposes, if not utilized, will expire in various years through 2040. The research and development credit carryforwards for federal tax purposes will expire in various years through 2038, and state tax credits carry forward indefinitely.</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Change 2021 vs 2020</w:t>
            </w:r>
          </w:p>
        </w:tc>
      </w:tr>
      <w:tr>
        <w:trPr>
          <w:trHeight w:val="169"/>
        </w:trPr>
        <w:tc>
          <w:tcPr>
            <w:tcW w:w="44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6"/>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jc w:val="right"/>
              <w:ind w:right="499"/>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(78 )  $</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(1 )  $</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7700 %</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As of December 31, 2021 and 2020, we had cash and cash equivalents of $559.5 million and $73.5 million, respectively. Historically, the primary sources of our liquidity have been cash generated from our operations and the issuance of shares of our common stock. In June 2020, we completed a follow-on public offering of our shares, resulting in net proceeds to us of $45.8 million after deducting underwriting discounts and commissions and deferred offering costs. On July 24, 2020, we paid down all outstanding loans with The Bank of Tokyo Mitsubishi UFJ, Ltd. ("MUFG") of $35.0 million and closed our credit facilities with MegaChips Corporation and Sumitomo Mitsui Banking Corporation ("SMBC"). On February 22, 2021, we completed an additional follow-on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48" w:name="page49"/>
    <w:bookmarkEnd w:id="48"/>
    <w:p>
      <w:pPr>
        <w:ind w:right="20"/>
        <w:spacing w:after="0" w:line="243" w:lineRule="auto"/>
        <w:rPr>
          <w:sz w:val="20"/>
          <w:szCs w:val="20"/>
          <w:color w:val="auto"/>
        </w:rPr>
      </w:pPr>
      <w:r>
        <w:rPr>
          <w:rFonts w:ascii="Arial" w:cs="Arial" w:eastAsia="Arial" w:hAnsi="Arial"/>
          <w:sz w:val="18"/>
          <w:szCs w:val="18"/>
          <w:color w:val="auto"/>
        </w:rPr>
        <w:t>public offering, in which we issued and sold 1,500,000 shares of our common stock, resulting in net proceeds to us of $181.6 million after deducting underwriting discounts and commissions and deferred offering costs. On November 10, 2021 we completed a follow-on public offering, in which we issued and sold 1,300,000 shares of our common stock, resulting in net proceeds to us of $279.0 million after deducting underwriting discounts and commissions and deferred offering costs.</w:t>
      </w:r>
    </w:p>
    <w:p>
      <w:pPr>
        <w:spacing w:after="0" w:line="80"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Our principal use of cash is to fund our operations to support growth. Our purchase obligations primarily include design and simulation licenses. As of December 31, 2021, such purchase obligations were $5.4 million. For information about our contractual obligations refer to "Note 5 - Lease" and “Note 6 – Commitments and Contingencies” of the Notes to Consolidated Financial Statements.</w:t>
      </w:r>
    </w:p>
    <w:p>
      <w:pPr>
        <w:spacing w:after="0" w:line="7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expect to continue our investing activities, primarily in the purchase of property and equipment and capitalized software, to support research and development, sales and marketing, product support, and administrative staff.</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believe that our existing cash and cash equivalents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59,078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16,604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7,378</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(33,788 )</w:t>
            </w:r>
          </w:p>
        </w:tc>
        <w:tc>
          <w:tcPr>
            <w:tcW w:w="1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(7,793 )</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(3,202 )</w:t>
            </w:r>
          </w:p>
        </w:tc>
      </w:tr>
      <w:tr>
        <w:trPr>
          <w:trHeight w:val="203"/>
        </w:trPr>
        <w:tc>
          <w:tcPr>
            <w:tcW w:w="49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460,646</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1,296</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51,353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80" w:type="dxa"/>
            <w:vAlign w:val="bottom"/>
          </w:tcPr>
          <w:p>
            <w:pPr>
              <w:spacing w:after="0" w:line="182" w:lineRule="exact"/>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485,936</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10,107</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55,529</w:t>
            </w:r>
          </w:p>
        </w:tc>
        <w:tc>
          <w:tcPr>
            <w:tcW w:w="10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-159385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-159385</wp:posOffset>
            </wp:positionV>
            <wp:extent cx="6032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2021, net cash provided by operating activities of $59.1 million was primarily due to net income of $32.3 million and non-cash expenses of $39.9 million, partially offset by a change in operating assets and liabilities of $13.1 million, Non-cash expenses were mainly related to depreciation and amortization and stock-based compensation expense. The changes in operating assets and liabilities resulted in cash provided primarily due to higher accounts receivables due to timing of shipments and an increase in inventories as we managed our inventory levels, partially offset by lower prepaid expenses and other current assets related to advance payments to suppliers for inventory and higher accounts payable and accrued expenses and other liabilities due to timing of payments.</w:t>
      </w:r>
    </w:p>
    <w:p>
      <w:pPr>
        <w:spacing w:after="0" w:line="8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2020, net cash provided by operating activities of $16.6 million was primarily due to a net loss of $9.4 million being more than offset by non-cash expenses of $24.9 million and a change in operating assets and liabilities of $1.1 million. Non-cash expenses were mainly related to depreciation and amortization, stock-based compensation expense, inventory write-down, and impairment of internal-use software. The changes in operating assets and liabilities resulted in cash provided primarily due to higher accounts receivables due to timing of shipments and an increase in inventories as we managed our inventory levels being more than offset by lower prepaid expenses and other current assets related to advance payments to suppliers for inventory and higher accounts payable and accrued expenses and other liabilities due to timing of payments.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right="260" w:firstLine="509"/>
        <w:spacing w:after="0" w:line="248" w:lineRule="auto"/>
        <w:rPr>
          <w:sz w:val="20"/>
          <w:szCs w:val="20"/>
          <w:color w:val="auto"/>
        </w:rPr>
      </w:pPr>
      <w:r>
        <w:rPr>
          <w:rFonts w:ascii="Arial" w:cs="Arial" w:eastAsia="Arial" w:hAnsi="Arial"/>
          <w:sz w:val="18"/>
          <w:szCs w:val="18"/>
          <w:color w:val="auto"/>
        </w:rPr>
        <w:t>In 2021, cash used in investing activities was $33.8 million. We paid $30.9 million largely to purchase test and other manufacturing equipment to support the increase in demand of our products and other property and equipment for general business purposes. We paid $2.9 million to purchase intangible assets.</w:t>
      </w:r>
    </w:p>
    <w:p>
      <w:pPr>
        <w:spacing w:after="0" w:line="182"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In 2020, cash used in investing activities was $7.8 million and consisted primarily of the purchase of production masks, internally developed software, and other property and equipment for general business purposes.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provided by financing activities includes proceeds from borrowings and payments under our credit facilities and proceeds from issuance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96"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color w:val="auto"/>
        </w:rPr>
        <w:t>In 2021, cash provided by financing activities was $460.6 million, consisting of proceeds from issuance of shares of $461.3 million net of underwriting commissions and discounts of $21.7 million and deferred offering costs of $0.6 million.</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2020, cash provided by financing activities was $1.3 million, consisting of proceeds from issuance of shares of $45.8 million net of underwriting commissions and discounts of $2.7 million and deferred offering costs of $0.3 million and borrowings of $35.0 million offset by repayments of $76.0 million under our short-term revolving line of credit and $3.5 million payment of tax withholdings paid on behalf of employees for net share settlement at the time of vesting.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81" w:lineRule="exact"/>
        <w:rPr>
          <w:sz w:val="20"/>
          <w:szCs w:val="20"/>
          <w:color w:val="auto"/>
        </w:rPr>
      </w:pPr>
    </w:p>
    <w:p>
      <w:pPr>
        <w:ind w:right="880" w:firstLine="509"/>
        <w:spacing w:after="0" w:line="261" w:lineRule="auto"/>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derive our revenue from product sales to distributors and resellers, who in turn sell to original equipment manufacturers or other end customers.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We determine variable consideration at the end of each reporting period, which consists primarily of price adjustments and product returns by estimating the amount of consideration we expect to receive from our customers based on historical experience. If variable considerations are anticipated to exceed historical experience, we may adjust our sales returns allowance accordingly to properly reflect our net revenue. Since 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Inventories consist of raw materials, work-in-process, and finished goods and are stated at the lower of standard cost, determined using first-in first out method or market net realizable value. We review and set standard costs to approximate actual manufacturing costs. We perform detailed reviews of the net realizable value of inventories, both on hand as well as for inventories that we are committed to purchase at the end of each reporting period. We write-down the inventory value for estimated deterioration, excess, obsolete and other factors based on management’s assessment of future demand and market conditions of our inventory. These estimates may include uncertain elements such as our demand forecast. These forecasts are developed based on current backlogs, inputs from our customers, and internal analyses which may consists of customer historical purchasing trends, actual and anticipated design wins, market and economic conditions, technology changes, new product introductions, changes in strategic direction and other factors. If our demand forecast for specific products is greater than actual demand and we fail to reduce manufacturing output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right="500"/>
        <w:spacing w:after="0" w:line="261" w:lineRule="auto"/>
        <w:rPr>
          <w:sz w:val="20"/>
          <w:szCs w:val="20"/>
          <w:color w:val="auto"/>
        </w:rPr>
      </w:pPr>
      <w:r>
        <w:rPr>
          <w:rFonts w:ascii="Arial" w:cs="Arial" w:eastAsia="Arial" w:hAnsi="Arial"/>
          <w:sz w:val="18"/>
          <w:szCs w:val="18"/>
          <w:color w:val="auto"/>
        </w:rPr>
        <w:t>accordingly, we could be required to write down additional inventory, which would have a negative impact on our gross margin. Once written-down, inventory write-downs are not reversed until the inventory is sold or scrapped.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Stock-based compensation expense is measured at the grant date based on the fair value of the equity award and is recognized as expense over the requisite service period, which is generally the vesting period. We have elected to recognize forfeitures as they occur.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each restricted stock unit is estimated based on the market price of our common shares on the date of grant.</w:t>
      </w:r>
    </w:p>
    <w:p>
      <w:pPr>
        <w:spacing w:after="0" w:line="104"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We amortize stock-based compensation expense for time-based awards under the straight-line attribution method over the vesting period. Stock-based compensation expense for performance-based awards is recognized when it becomes probable that the performance conditions will be met. We amortize stock-based compensation expense for performance-based awards using the accelerated method.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Deferred tax liabilities and assets are recognized for the expected future tax consequences of temporary differences between financial statement carrying amounts and the tax basis of assets and liabilities and net operating loss and tax credit carryforwards. Valuation allowances are established when necessary to reduce deferred tax assets to a level which, more likely than not, will be realized.</w:t>
      </w:r>
    </w:p>
    <w:p>
      <w:pPr>
        <w:spacing w:after="0" w:line="74"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A tax position can be recognized only if it is more likely than not to be sustained based solely on its technical merits as of the reporting date and then only in an amount more likely than not to be sustained upon review by the tax authorities. We consider many factors when evaluating and estimating its tax positions and tax benefits, which may require periodic adjustments and which may not accurately anticipate actual outcomes.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2 to our consolidated financial statements under Item 8 for information regarding recently issued accounting pronouncements.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policy with respect to foreign currency exchange risk.</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We had cash and cash equivalents of $559.5 million and $73.5 million as of December 31, 2021 and 2020, respectively, consisting of bank deposits. Such interest-earning instruments carry a degree of interest rate risk. To date, fluctuations in interest income have not been significant, and we believe that an immediate 10% change in interest rates would not have a material effect on our cash and cash equivalents. We paid down all our debt in the year 2020.</w:t>
      </w:r>
    </w:p>
    <w:p>
      <w:pPr>
        <w:spacing w:after="0" w:line="14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Index to Consolidated Financial Statements and Financial Statement Schedule</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Page</w:t>
            </w:r>
          </w:p>
        </w:tc>
      </w:tr>
      <w:tr>
        <w:trPr>
          <w:trHeight w:val="318"/>
        </w:trPr>
        <w:tc>
          <w:tcPr>
            <w:tcW w:w="8400" w:type="dxa"/>
            <w:vAlign w:val="bottom"/>
            <w:tcBorders>
              <w:bottom w:val="single" w:sz="8" w:color="0000FF"/>
            </w:tcBorders>
            <w:gridSpan w:val="7"/>
          </w:tcPr>
          <w:p>
            <w:pPr>
              <w:ind w:left="20"/>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Report of Independent Registered Public Accounting Firm (BDO USA, LLP, San Jose, California, PCAOB ID#243)</w:t>
              </w:r>
            </w:hyperlink>
          </w:p>
        </w:tc>
        <w:tc>
          <w:tcPr>
            <w:tcW w:w="1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31"/>
        </w:trPr>
        <w:tc>
          <w:tcPr>
            <w:tcW w:w="10240" w:type="dxa"/>
            <w:vAlign w:val="bottom"/>
            <w:gridSpan w:val="8"/>
          </w:tcPr>
          <w:p>
            <w:pPr>
              <w:ind w:left="20"/>
              <w:spacing w:after="0"/>
              <w:rPr>
                <w:rFonts w:ascii="Arial" w:cs="Arial" w:eastAsia="Arial" w:hAnsi="Arial"/>
                <w:sz w:val="18"/>
                <w:szCs w:val="18"/>
                <w:color w:val="0000FF"/>
              </w:rPr>
            </w:pPr>
            <w:hyperlink w:anchor="page55">
              <w:r>
                <w:rPr>
                  <w:rFonts w:ascii="Arial" w:cs="Arial" w:eastAsia="Arial" w:hAnsi="Arial"/>
                  <w:sz w:val="18"/>
                  <w:szCs w:val="18"/>
                  <w:color w:val="0000FF"/>
                </w:rPr>
                <w:t>Consolidated Balance Sheets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31"/>
        </w:trPr>
        <w:tc>
          <w:tcPr>
            <w:tcW w:w="10240" w:type="dxa"/>
            <w:vAlign w:val="bottom"/>
            <w:gridSpan w:val="8"/>
          </w:tcPr>
          <w:p>
            <w:pPr>
              <w:ind w:left="20"/>
              <w:spacing w:after="0"/>
              <w:rPr>
                <w:rFonts w:ascii="Arial" w:cs="Arial" w:eastAsia="Arial" w:hAnsi="Arial"/>
                <w:sz w:val="18"/>
                <w:szCs w:val="18"/>
                <w:color w:val="0000FF"/>
              </w:rPr>
            </w:pPr>
            <w:hyperlink w:anchor="page56">
              <w:r>
                <w:rPr>
                  <w:rFonts w:ascii="Arial" w:cs="Arial" w:eastAsia="Arial" w:hAnsi="Arial"/>
                  <w:sz w:val="18"/>
                  <w:szCs w:val="18"/>
                  <w:color w:val="0000FF"/>
                </w:rPr>
                <w:t>Consolidated Statements of Operations and Comprehensive Income (Loss)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31"/>
        </w:trPr>
        <w:tc>
          <w:tcPr>
            <w:tcW w:w="3580" w:type="dxa"/>
            <w:vAlign w:val="bottom"/>
            <w:tcBorders>
              <w:top w:val="single" w:sz="8" w:color="0000FF"/>
              <w:bottom w:val="single" w:sz="8" w:color="0000FF"/>
            </w:tcBorders>
            <w:gridSpan w:val="5"/>
          </w:tcPr>
          <w:p>
            <w:pPr>
              <w:ind w:left="20"/>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Consolidated Statements of Stockholders’ Equity</w:t>
              </w:r>
            </w:hyperlink>
          </w:p>
        </w:tc>
        <w:tc>
          <w:tcPr>
            <w:tcW w:w="1820" w:type="dxa"/>
            <w:vAlign w:val="bottom"/>
            <w:tcBorders>
              <w:top w:val="single" w:sz="8" w:color="0000FF"/>
            </w:tcBorders>
          </w:tcPr>
          <w:p>
            <w:pPr>
              <w:spacing w:after="0"/>
              <w:rPr>
                <w:sz w:val="24"/>
                <w:szCs w:val="24"/>
                <w:color w:val="auto"/>
              </w:rPr>
            </w:pPr>
          </w:p>
        </w:tc>
        <w:tc>
          <w:tcPr>
            <w:tcW w:w="484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1"/>
        </w:trPr>
        <w:tc>
          <w:tcPr>
            <w:tcW w:w="2900" w:type="dxa"/>
            <w:vAlign w:val="bottom"/>
            <w:tcBorders>
              <w:bottom w:val="single" w:sz="8" w:color="0000FF"/>
            </w:tcBorders>
            <w:gridSpan w:val="2"/>
          </w:tcPr>
          <w:p>
            <w:pPr>
              <w:ind w:left="20"/>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Consolidated Statements of Cash Flows</w:t>
              </w:r>
            </w:hyperlink>
          </w:p>
        </w:tc>
        <w:tc>
          <w:tcPr>
            <w:tcW w:w="734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1"/>
        </w:trPr>
        <w:tc>
          <w:tcPr>
            <w:tcW w:w="10240" w:type="dxa"/>
            <w:vAlign w:val="bottom"/>
            <w:gridSpan w:val="8"/>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31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0240" w:type="dxa"/>
            <w:vAlign w:val="bottom"/>
            <w:gridSpan w:val="8"/>
          </w:tcPr>
          <w:p>
            <w:pPr>
              <w:ind w:left="20"/>
              <w:spacing w:after="0"/>
              <w:rPr>
                <w:rFonts w:ascii="Arial" w:cs="Arial" w:eastAsia="Arial" w:hAnsi="Arial"/>
                <w:sz w:val="18"/>
                <w:szCs w:val="18"/>
                <w:color w:val="0000FF"/>
              </w:rPr>
            </w:pPr>
            <w:hyperlink w:anchor="page88">
              <w:r>
                <w:rPr>
                  <w:rFonts w:ascii="Arial" w:cs="Arial" w:eastAsia="Arial" w:hAnsi="Arial"/>
                  <w:sz w:val="18"/>
                  <w:szCs w:val="18"/>
                  <w:color w:val="0000FF"/>
                </w:rPr>
                <w:t>Schedule II – Valuation and Qualifying Accounts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642"/>
        </w:trPr>
        <w:tc>
          <w:tcPr>
            <w:tcW w:w="3560" w:type="dxa"/>
            <w:vAlign w:val="bottom"/>
            <w:tcBorders>
              <w:top w:val="single" w:sz="8" w:color="0000FF"/>
            </w:tcBorders>
            <w:gridSpan w:val="4"/>
          </w:tcPr>
          <w:p>
            <w:pPr>
              <w:spacing w:after="0"/>
              <w:rPr>
                <w:sz w:val="24"/>
                <w:szCs w:val="24"/>
                <w:color w:val="auto"/>
              </w:rPr>
            </w:pPr>
          </w:p>
        </w:tc>
        <w:tc>
          <w:tcPr>
            <w:tcW w:w="4840" w:type="dxa"/>
            <w:vAlign w:val="bottom"/>
            <w:gridSpan w:val="3"/>
          </w:tcPr>
          <w:p>
            <w:pPr>
              <w:jc w:val="right"/>
              <w:ind w:right="2680"/>
              <w:spacing w:after="0"/>
              <w:rPr>
                <w:sz w:val="20"/>
                <w:szCs w:val="20"/>
                <w:color w:val="auto"/>
              </w:rPr>
            </w:pPr>
            <w:r>
              <w:rPr>
                <w:rFonts w:ascii="Arial" w:cs="Arial" w:eastAsia="Arial" w:hAnsi="Arial"/>
                <w:sz w:val="18"/>
                <w:szCs w:val="18"/>
                <w:color w:val="auto"/>
              </w:rPr>
              <w:t>51</w:t>
            </w: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2"/>
        </w:trPr>
        <w:tc>
          <w:tcPr>
            <w:tcW w:w="2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00" w:lineRule="exact"/>
        <w:rPr>
          <w:sz w:val="20"/>
          <w:szCs w:val="20"/>
          <w:color w:val="auto"/>
        </w:rPr>
      </w:pP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audited the accompanying consolidated balance sheets of SiTime Corporation (the “Company”) as of December 31, 2021 and 2020, the related consolidated statements of operations and comprehensive income (loss), stockholders’ equity, and cash flows for each of the three years in the period ended December 31, 2021,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6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(“COSO”) and our report dated February 25, 2022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1 to the consolidated financial statements, the Company’s consolidated inventory balance is stated at lower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18"/>
          <w:szCs w:val="18"/>
          <w:color w:val="auto"/>
        </w:rPr>
        <w:t>cost or net realizable value. The valuation of inventories is adjusted by the Company when conditions indicated a decline in value due to obsolescence and is based on estimates for inventory levels in excess of management’s forecasted demand. Forecasting customer demand can be challenging due to uncertain elements such as market conditions outside the Company’s control.</w:t>
      </w:r>
    </w:p>
    <w:p>
      <w:pPr>
        <w:spacing w:after="0" w:line="168" w:lineRule="exact"/>
        <w:rPr>
          <w:sz w:val="20"/>
          <w:szCs w:val="20"/>
          <w:color w:val="auto"/>
        </w:rPr>
      </w:pPr>
    </w:p>
    <w:p>
      <w:pPr>
        <w:jc w:val="both"/>
        <w:ind w:right="180"/>
        <w:spacing w:after="0" w:line="243" w:lineRule="auto"/>
        <w:rPr>
          <w:sz w:val="20"/>
          <w:szCs w:val="20"/>
          <w:color w:val="auto"/>
        </w:rPr>
      </w:pPr>
      <w:r>
        <w:rPr>
          <w:rFonts w:ascii="Arial" w:cs="Arial" w:eastAsia="Arial" w:hAnsi="Arial"/>
          <w:sz w:val="18"/>
          <w:szCs w:val="18"/>
          <w:color w:val="auto"/>
        </w:rPr>
        <w:t>We identified the valuation of inventory as a critical audit matter. To value inventory, management makes significant judgments related to: i) forecasting future demand for excess units on hand based on the Company’s historical sales and market conditions, and ii) obsolescence of certain products based on forecasted demand. Auditing these elements involved especially challenging and subjective auditor judgment due to the nature and extent of audit effort required to address these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04"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•Assessing the appropriateness of management’s valuation methodology by evaluating quantitative and qualitative factors including (i) excess units on hand based on ending inventory quantities compared to forecasted shipment quantities, and (ii) obsolete inventory based on age, quality and other specifically identified units.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•Testing the accuracy and completeness of underlying data used in management’s excess and obsolete inventory valuation assessment.</w:t>
      </w:r>
    </w:p>
    <w:p>
      <w:pPr>
        <w:spacing w:after="0" w:line="1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•Evaluating the reasonableness of management's assumptions related to forecasted demand by (i) performing retrospective review of the Company’s prior year estimates to actual results, (ii) evaluating the reasonableness of sales forecasts by comparing to current backlog and historical sales data used in the analysis, and (iii) specific product considerations such as technology changes or alternative uses.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42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December 31, 2021</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559,461</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38,376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23,920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Related party accounts receivable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23,630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4,476</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2,649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625,943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113,180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37,902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5,977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2,069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 net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8,194</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678,209</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136,011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13,103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6,182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24,282</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12,963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37,385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19,145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6,398</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6,986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1,929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45,712</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26,131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$0.0001 par value - 200,000 shares authorized;</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340"/>
              <w:spacing w:after="0" w:line="176" w:lineRule="exact"/>
              <w:rPr>
                <w:sz w:val="20"/>
                <w:szCs w:val="20"/>
                <w:color w:val="auto"/>
              </w:rPr>
            </w:pPr>
            <w:r>
              <w:rPr>
                <w:rFonts w:ascii="Arial" w:cs="Arial" w:eastAsia="Arial" w:hAnsi="Arial"/>
                <w:sz w:val="18"/>
                <w:szCs w:val="18"/>
                <w:color w:val="auto"/>
              </w:rPr>
              <w:t>20,825 and 17,150 shares issued and outstanding at</w:t>
            </w: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December 31, 2021 and December 31, 2020</w:t>
            </w: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663,614</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173,274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(31,119 )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(63,396 )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632,497</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109,880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678,209</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-3030855</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-3030855</wp:posOffset>
            </wp:positionV>
            <wp:extent cx="514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-2245360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-2228215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-2245360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-2228215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-1702435</wp:posOffset>
            </wp:positionV>
            <wp:extent cx="514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-1702435</wp:posOffset>
            </wp:positionV>
            <wp:extent cx="5143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-1170940</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-1170940</wp:posOffset>
            </wp:positionV>
            <wp:extent cx="5143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SiTime Corporation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230"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15240</wp:posOffset>
            </wp:positionV>
            <wp:extent cx="29146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 w:lineRule="exact"/>
        <w:rPr>
          <w:sz w:val="20"/>
          <w:szCs w:val="20"/>
          <w:color w:val="auto"/>
        </w:rPr>
      </w:pPr>
    </w:p>
    <w:p>
      <w:pPr>
        <w:jc w:val="right"/>
        <w:ind w:right="180"/>
        <w:spacing w:after="0"/>
        <w:tabs>
          <w:tab w:leader="none" w:pos="2740" w:val="left"/>
          <w:tab w:leader="none" w:pos="1140" w:val="left"/>
        </w:tabs>
        <w:rPr>
          <w:sz w:val="20"/>
          <w:szCs w:val="20"/>
          <w:color w:val="auto"/>
        </w:rPr>
      </w:pPr>
      <w:r>
        <w:rPr>
          <w:rFonts w:ascii="Arial" w:cs="Arial" w:eastAsia="Arial" w:hAnsi="Arial"/>
          <w:sz w:val="14"/>
          <w:szCs w:val="14"/>
          <w:b w:val="1"/>
          <w:bCs w:val="1"/>
          <w:color w:val="auto"/>
        </w:rPr>
        <w:t>December 31, 2021</w:t>
      </w:r>
      <w:r>
        <w:rPr>
          <w:sz w:val="20"/>
          <w:szCs w:val="20"/>
          <w:color w:val="auto"/>
        </w:rPr>
        <w:tab/>
      </w:r>
      <w:r>
        <w:rPr>
          <w:rFonts w:ascii="Arial" w:cs="Arial" w:eastAsia="Arial" w:hAnsi="Arial"/>
          <w:sz w:val="14"/>
          <w:szCs w:val="14"/>
          <w:b w:val="1"/>
          <w:bCs w:val="1"/>
          <w:color w:val="auto"/>
        </w:rPr>
        <w:t>December 31,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15240</wp:posOffset>
            </wp:positionV>
            <wp:extent cx="29146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34" w:lineRule="auto"/>
        <w:rPr>
          <w:sz w:val="20"/>
          <w:szCs w:val="20"/>
          <w:color w:val="auto"/>
        </w:rPr>
      </w:pPr>
      <w:r>
        <w:rPr>
          <w:rFonts w:ascii="Arial" w:cs="Arial" w:eastAsia="Arial" w:hAnsi="Arial"/>
          <w:sz w:val="18"/>
          <w:szCs w:val="18"/>
          <w:color w:val="auto"/>
        </w:rPr>
        <w:t>Operating expenses: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general and administrative</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expenses</w:t>
      </w:r>
    </w:p>
    <w:p>
      <w:pPr>
        <w:spacing w:after="0" w:line="234" w:lineRule="auto"/>
        <w:rPr>
          <w:sz w:val="20"/>
          <w:szCs w:val="20"/>
          <w:color w:val="auto"/>
        </w:rPr>
      </w:pPr>
      <w:r>
        <w:rPr>
          <w:rFonts w:ascii="Arial" w:cs="Arial" w:eastAsia="Arial" w:hAnsi="Arial"/>
          <w:sz w:val="18"/>
          <w:szCs w:val="18"/>
          <w:color w:val="auto"/>
        </w:rPr>
        <w:t>Income (loss) from operations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expense, net</w:t>
      </w:r>
    </w:p>
    <w:p>
      <w:pPr>
        <w:spacing w:after="0"/>
        <w:rPr>
          <w:sz w:val="20"/>
          <w:szCs w:val="20"/>
          <w:color w:val="auto"/>
        </w:rPr>
      </w:pPr>
      <w:r>
        <w:rPr>
          <w:rFonts w:ascii="Arial" w:cs="Arial" w:eastAsia="Arial" w:hAnsi="Arial"/>
          <w:sz w:val="18"/>
          <w:szCs w:val="18"/>
          <w:color w:val="auto"/>
        </w:rPr>
        <w:t>Income (loss) before income taxes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12" w:lineRule="exact"/>
        <w:rPr>
          <w:sz w:val="20"/>
          <w:szCs w:val="20"/>
          <w:color w:val="auto"/>
        </w:rPr>
      </w:pPr>
    </w:p>
    <w:p>
      <w:pPr>
        <w:ind w:left="140" w:right="1560" w:hanging="134"/>
        <w:spacing w:after="0" w:line="219" w:lineRule="auto"/>
        <w:rPr>
          <w:sz w:val="20"/>
          <w:szCs w:val="20"/>
          <w:color w:val="auto"/>
        </w:rPr>
      </w:pPr>
      <w:r>
        <w:rPr>
          <w:rFonts w:ascii="Arial" w:cs="Arial" w:eastAsia="Arial" w:hAnsi="Arial"/>
          <w:sz w:val="18"/>
          <w:szCs w:val="18"/>
          <w:color w:val="auto"/>
        </w:rPr>
        <w:t>Net income (loss) attributable to common stockholders and comprehensive income (loss)</w:t>
      </w:r>
    </w:p>
    <w:p>
      <w:pPr>
        <w:ind w:left="140" w:right="2120" w:hanging="134"/>
        <w:spacing w:after="0" w:line="219" w:lineRule="auto"/>
        <w:rPr>
          <w:sz w:val="20"/>
          <w:szCs w:val="20"/>
          <w:color w:val="auto"/>
        </w:rPr>
      </w:pPr>
      <w:r>
        <w:rPr>
          <w:rFonts w:ascii="Arial" w:cs="Arial" w:eastAsia="Arial" w:hAnsi="Arial"/>
          <w:sz w:val="18"/>
          <w:szCs w:val="18"/>
          <w:color w:val="auto"/>
        </w:rPr>
        <w:t>Net income (loss) per share attributable to common stockholders, basic</w:t>
      </w:r>
    </w:p>
    <w:p>
      <w:pPr>
        <w:ind w:left="140" w:right="2120" w:hanging="134"/>
        <w:spacing w:after="0" w:line="219" w:lineRule="auto"/>
        <w:rPr>
          <w:sz w:val="20"/>
          <w:szCs w:val="20"/>
          <w:color w:val="auto"/>
        </w:rPr>
      </w:pPr>
      <w:r>
        <w:rPr>
          <w:rFonts w:ascii="Arial" w:cs="Arial" w:eastAsia="Arial" w:hAnsi="Arial"/>
          <w:sz w:val="18"/>
          <w:szCs w:val="18"/>
          <w:color w:val="auto"/>
        </w:rPr>
        <w:t>Net income (loss) per share attributable to common stockholders, diluted</w:t>
      </w:r>
    </w:p>
    <w:p>
      <w:pPr>
        <w:ind w:left="140" w:right="2380" w:hanging="134"/>
        <w:spacing w:after="0" w:line="232" w:lineRule="auto"/>
        <w:rPr>
          <w:sz w:val="20"/>
          <w:szCs w:val="20"/>
          <w:color w:val="auto"/>
        </w:rPr>
      </w:pPr>
      <w:r>
        <w:rPr>
          <w:rFonts w:ascii="Arial" w:cs="Arial" w:eastAsia="Arial" w:hAnsi="Arial"/>
          <w:sz w:val="17"/>
          <w:szCs w:val="17"/>
          <w:color w:val="auto"/>
        </w:rPr>
        <w:t>Weighted-average shares used to compute basic net income (loss) per share</w:t>
      </w:r>
    </w:p>
    <w:p>
      <w:pPr>
        <w:ind w:left="140" w:right="2260" w:hanging="134"/>
        <w:spacing w:after="0" w:line="226" w:lineRule="auto"/>
        <w:rPr>
          <w:sz w:val="20"/>
          <w:szCs w:val="20"/>
          <w:color w:val="auto"/>
        </w:rPr>
      </w:pPr>
      <w:r>
        <w:rPr>
          <w:rFonts w:ascii="Arial" w:cs="Arial" w:eastAsia="Arial" w:hAnsi="Arial"/>
          <w:sz w:val="18"/>
          <w:szCs w:val="18"/>
          <w:color w:val="auto"/>
        </w:rPr>
        <w:t>Weighted-average shares used to compute diluted net income (loss)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218,808</w:t>
            </w:r>
          </w:p>
        </w:tc>
        <w:tc>
          <w:tcPr>
            <w:tcW w:w="240" w:type="dxa"/>
            <w:vAlign w:val="bottom"/>
          </w:tcPr>
          <w:p>
            <w:pPr>
              <w:spacing w:after="0"/>
              <w:rPr>
                <w:sz w:val="17"/>
                <w:szCs w:val="17"/>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116,156</w:t>
            </w:r>
          </w:p>
        </w:tc>
        <w:tc>
          <w:tcPr>
            <w:tcW w:w="240" w:type="dxa"/>
            <w:vAlign w:val="bottom"/>
          </w:tcPr>
          <w:p>
            <w:pPr>
              <w:spacing w:after="0"/>
              <w:rPr>
                <w:sz w:val="17"/>
                <w:szCs w:val="17"/>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84,074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58,224</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139,462</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57,932</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52,104</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31,652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23,795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54,515</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34,893</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106,619</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66,545</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44,431</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32,843</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(8,613</w:t>
            </w:r>
          </w:p>
        </w:tc>
        <w:tc>
          <w:tcPr>
            <w:tcW w:w="2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(4,873</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(726 )</w:t>
            </w:r>
          </w:p>
        </w:tc>
        <w:tc>
          <w:tcPr>
            <w:tcW w:w="4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(1,714 )</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(488 )</w:t>
            </w:r>
          </w:p>
        </w:tc>
        <w:tc>
          <w:tcPr>
            <w:tcW w:w="44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(32 )</w:t>
            </w:r>
          </w:p>
        </w:tc>
        <w:tc>
          <w:tcPr>
            <w:tcW w:w="4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82"/>
        </w:trPr>
        <w:tc>
          <w:tcPr>
            <w:tcW w:w="4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32,355</w:t>
            </w:r>
          </w:p>
        </w:tc>
        <w:tc>
          <w:tcPr>
            <w:tcW w:w="2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(9,371</w:t>
            </w:r>
          </w:p>
        </w:tc>
        <w:tc>
          <w:tcPr>
            <w:tcW w:w="24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(6,615</w:t>
            </w:r>
          </w:p>
        </w:tc>
        <w:tc>
          <w:tcPr>
            <w:tcW w:w="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(78 )</w:t>
            </w:r>
          </w:p>
        </w:tc>
        <w:tc>
          <w:tcPr>
            <w:tcW w:w="44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(1 )</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32,277</w:t>
            </w:r>
          </w:p>
        </w:tc>
        <w:tc>
          <w:tcPr>
            <w:tcW w:w="2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(9,372</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(6,607</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32,277</w:t>
            </w:r>
          </w:p>
        </w:tc>
        <w:tc>
          <w:tcPr>
            <w:tcW w:w="24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(9,372 )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(6,607 )</w:t>
            </w: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(0.58 )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(0.58 )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16,064</w:t>
            </w:r>
          </w:p>
        </w:tc>
        <w:tc>
          <w:tcPr>
            <w:tcW w:w="2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21,144</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16,064</w:t>
            </w:r>
          </w:p>
        </w:tc>
        <w:tc>
          <w:tcPr>
            <w:tcW w:w="2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-2682240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-2416810</wp:posOffset>
            </wp:positionV>
            <wp:extent cx="71323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-2150745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-1885315</wp:posOffset>
            </wp:positionV>
            <wp:extent cx="713232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-1619250</wp:posOffset>
            </wp:positionV>
            <wp:extent cx="713232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-1353820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-959485</wp:posOffset>
            </wp:positionV>
            <wp:extent cx="713232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-479425</wp:posOffset>
            </wp:positionV>
            <wp:extent cx="713232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820" w:space="720"/>
            <w:col w:w="4680"/>
          </w:cols>
          <w:pgMar w:left="340" w:top="324" w:right="3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120" w:type="dxa"/>
            <w:vAlign w:val="bottom"/>
            <w:gridSpan w:val="3"/>
            <w:vMerge w:val="restart"/>
          </w:tcPr>
          <w:p>
            <w:pPr>
              <w:jc w:val="right"/>
              <w:ind w:right="40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510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11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080" w:type="dxa"/>
            <w:vAlign w:val="bottom"/>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Balances at December 31, 2018</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040" w:type="dxa"/>
            <w:vAlign w:val="bottom"/>
            <w:gridSpan w:val="2"/>
            <w:shd w:val="clear" w:color="auto" w:fill="CFF0FC"/>
          </w:tcPr>
          <w:p>
            <w:pPr>
              <w:jc w:val="right"/>
              <w:ind w:right="684"/>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58,431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(47,417 )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(6,607 )</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(6,607 )</w:t>
            </w:r>
          </w:p>
        </w:tc>
        <w:tc>
          <w:tcPr>
            <w:tcW w:w="0" w:type="dxa"/>
            <w:vAlign w:val="bottom"/>
          </w:tcPr>
          <w:p>
            <w:pPr>
              <w:spacing w:after="0"/>
              <w:rPr>
                <w:sz w:val="1"/>
                <w:szCs w:val="1"/>
                <w:color w:val="auto"/>
              </w:rPr>
            </w:pPr>
          </w:p>
        </w:tc>
      </w:tr>
      <w:tr>
        <w:trPr>
          <w:trHeight w:val="152"/>
        </w:trPr>
        <w:tc>
          <w:tcPr>
            <w:tcW w:w="510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upon initial public</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140"/>
              <w:spacing w:after="0" w:line="162" w:lineRule="exact"/>
              <w:rPr>
                <w:sz w:val="20"/>
                <w:szCs w:val="20"/>
                <w:color w:val="auto"/>
              </w:rPr>
            </w:pPr>
            <w:r>
              <w:rPr>
                <w:rFonts w:ascii="Arial" w:cs="Arial" w:eastAsia="Arial" w:hAnsi="Arial"/>
                <w:sz w:val="16"/>
                <w:szCs w:val="16"/>
                <w:color w:val="auto"/>
              </w:rPr>
              <w:t>offering net of underwriting discounts and</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4,945</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56,352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56,353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100" w:type="dxa"/>
            <w:vAlign w:val="bottom"/>
          </w:tcPr>
          <w:p>
            <w:pPr>
              <w:ind w:left="140"/>
              <w:spacing w:after="0"/>
              <w:rPr>
                <w:sz w:val="20"/>
                <w:szCs w:val="20"/>
                <w:color w:val="auto"/>
              </w:rPr>
            </w:pPr>
            <w:r>
              <w:rPr>
                <w:rFonts w:ascii="Arial" w:cs="Arial" w:eastAsia="Arial" w:hAnsi="Arial"/>
                <w:sz w:val="16"/>
                <w:szCs w:val="16"/>
                <w:color w:val="auto"/>
              </w:rPr>
              <w:t>commissions and other offering costs</w:t>
            </w:r>
          </w:p>
        </w:tc>
        <w:tc>
          <w:tcPr>
            <w:tcW w:w="1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10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shares upon vesting of restricted stock units, net of tax</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withholdings</w:t>
            </w: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vMerge w:val="continue"/>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2019</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14,968</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116,162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(54,024 )</w:t>
            </w: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62,140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(9,372 )</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(9,372 )</w:t>
            </w:r>
          </w:p>
        </w:tc>
        <w:tc>
          <w:tcPr>
            <w:tcW w:w="0" w:type="dxa"/>
            <w:vAlign w:val="bottom"/>
          </w:tcPr>
          <w:p>
            <w:pPr>
              <w:spacing w:after="0"/>
              <w:rPr>
                <w:sz w:val="1"/>
                <w:szCs w:val="1"/>
                <w:color w:val="auto"/>
              </w:rPr>
            </w:pPr>
          </w:p>
        </w:tc>
      </w:tr>
      <w:tr>
        <w:trPr>
          <w:trHeight w:val="152"/>
        </w:trPr>
        <w:tc>
          <w:tcPr>
            <w:tcW w:w="510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upon follow-on public</w:t>
            </w:r>
          </w:p>
        </w:tc>
        <w:tc>
          <w:tcPr>
            <w:tcW w:w="10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140"/>
              <w:spacing w:after="0" w:line="162" w:lineRule="exact"/>
              <w:rPr>
                <w:sz w:val="20"/>
                <w:szCs w:val="20"/>
                <w:color w:val="auto"/>
              </w:rPr>
            </w:pPr>
            <w:r>
              <w:rPr>
                <w:rFonts w:ascii="Arial" w:cs="Arial" w:eastAsia="Arial" w:hAnsi="Arial"/>
                <w:sz w:val="16"/>
                <w:szCs w:val="16"/>
                <w:color w:val="auto"/>
              </w:rPr>
              <w:t>offering net of underwriting discounts and</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1,525</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45,789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45,789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commissions and other offering costs</w:t>
            </w:r>
          </w:p>
        </w:tc>
        <w:tc>
          <w:tcPr>
            <w:tcW w:w="10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100" w:type="dxa"/>
            <w:vAlign w:val="bottom"/>
          </w:tcPr>
          <w:p>
            <w:pPr>
              <w:ind w:left="20"/>
              <w:spacing w:after="0" w:line="152" w:lineRule="exact"/>
              <w:rPr>
                <w:sz w:val="20"/>
                <w:szCs w:val="20"/>
                <w:color w:val="auto"/>
              </w:rPr>
            </w:pPr>
            <w:r>
              <w:rPr>
                <w:rFonts w:ascii="Arial" w:cs="Arial" w:eastAsia="Arial" w:hAnsi="Arial"/>
                <w:sz w:val="16"/>
                <w:szCs w:val="16"/>
                <w:color w:val="auto"/>
              </w:rPr>
              <w:t>Issuance of shares upon vesting of restricted stock units, net of tax</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657</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(3,493 )</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(3,493 )</w:t>
            </w:r>
          </w:p>
        </w:tc>
        <w:tc>
          <w:tcPr>
            <w:tcW w:w="0" w:type="dxa"/>
            <w:vAlign w:val="bottom"/>
          </w:tcPr>
          <w:p>
            <w:pPr>
              <w:spacing w:after="0"/>
              <w:rPr>
                <w:sz w:val="1"/>
                <w:szCs w:val="1"/>
                <w:color w:val="auto"/>
              </w:rPr>
            </w:pPr>
          </w:p>
        </w:tc>
      </w:tr>
      <w:tr>
        <w:trPr>
          <w:trHeight w:val="185"/>
        </w:trPr>
        <w:tc>
          <w:tcPr>
            <w:tcW w:w="5100" w:type="dxa"/>
            <w:vAlign w:val="bottom"/>
          </w:tcPr>
          <w:p>
            <w:pPr>
              <w:ind w:left="20"/>
              <w:spacing w:after="0"/>
              <w:rPr>
                <w:sz w:val="20"/>
                <w:szCs w:val="20"/>
                <w:color w:val="auto"/>
              </w:rPr>
            </w:pPr>
            <w:r>
              <w:rPr>
                <w:rFonts w:ascii="Arial" w:cs="Arial" w:eastAsia="Arial" w:hAnsi="Arial"/>
                <w:sz w:val="16"/>
                <w:szCs w:val="16"/>
                <w:color w:val="auto"/>
              </w:rPr>
              <w:t>withholdings</w:t>
            </w:r>
          </w:p>
        </w:tc>
        <w:tc>
          <w:tcPr>
            <w:tcW w:w="1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2020</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17,150</w:t>
            </w:r>
          </w:p>
        </w:tc>
        <w:tc>
          <w:tcPr>
            <w:tcW w:w="18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ind w:right="684"/>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173,274</w:t>
            </w: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(63,396</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109,880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29,694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32,277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0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upon follow-on public</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140"/>
              <w:spacing w:after="0" w:line="162" w:lineRule="exact"/>
              <w:rPr>
                <w:sz w:val="20"/>
                <w:szCs w:val="20"/>
                <w:color w:val="auto"/>
              </w:rPr>
            </w:pPr>
            <w:r>
              <w:rPr>
                <w:rFonts w:ascii="Arial" w:cs="Arial" w:eastAsia="Arial" w:hAnsi="Arial"/>
                <w:sz w:val="16"/>
                <w:szCs w:val="16"/>
                <w:color w:val="auto"/>
              </w:rPr>
              <w:t>offerings net of underwriting discounts and</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2,800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460,646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460,646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100" w:type="dxa"/>
            <w:vAlign w:val="bottom"/>
          </w:tcPr>
          <w:p>
            <w:pPr>
              <w:ind w:left="140"/>
              <w:spacing w:after="0"/>
              <w:rPr>
                <w:sz w:val="20"/>
                <w:szCs w:val="20"/>
                <w:color w:val="auto"/>
              </w:rPr>
            </w:pPr>
            <w:r>
              <w:rPr>
                <w:rFonts w:ascii="Arial" w:cs="Arial" w:eastAsia="Arial" w:hAnsi="Arial"/>
                <w:sz w:val="16"/>
                <w:szCs w:val="16"/>
                <w:color w:val="auto"/>
              </w:rPr>
              <w:t>commissions and other offering costs</w:t>
            </w:r>
          </w:p>
        </w:tc>
        <w:tc>
          <w:tcPr>
            <w:tcW w:w="1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shares upon vesting of restricted stock units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1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Balances at December 31, 2021</w:t>
            </w:r>
          </w:p>
        </w:tc>
        <w:tc>
          <w:tcPr>
            <w:tcW w:w="1080" w:type="dxa"/>
            <w:vAlign w:val="bottom"/>
          </w:tcPr>
          <w:p>
            <w:pPr>
              <w:jc w:val="right"/>
              <w:spacing w:after="0" w:line="169" w:lineRule="exact"/>
              <w:rPr>
                <w:sz w:val="20"/>
                <w:szCs w:val="20"/>
                <w:color w:val="auto"/>
              </w:rPr>
            </w:pPr>
            <w:r>
              <w:rPr>
                <w:rFonts w:ascii="Arial" w:cs="Arial" w:eastAsia="Arial" w:hAnsi="Arial"/>
                <w:sz w:val="16"/>
                <w:szCs w:val="16"/>
                <w:color w:val="auto"/>
              </w:rPr>
              <w:t>20,825</w:t>
            </w:r>
          </w:p>
        </w:tc>
        <w:tc>
          <w:tcPr>
            <w:tcW w:w="1040" w:type="dxa"/>
            <w:vAlign w:val="bottom"/>
            <w:gridSpan w:val="2"/>
          </w:tcPr>
          <w:p>
            <w:pPr>
              <w:jc w:val="right"/>
              <w:ind w:right="684"/>
              <w:spacing w:after="0" w:line="169"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9" w:lineRule="exact"/>
              <w:rPr>
                <w:sz w:val="20"/>
                <w:szCs w:val="20"/>
                <w:color w:val="auto"/>
              </w:rPr>
            </w:pPr>
            <w:r>
              <w:rPr>
                <w:rFonts w:ascii="Arial" w:cs="Arial" w:eastAsia="Arial" w:hAnsi="Arial"/>
                <w:sz w:val="16"/>
                <w:szCs w:val="16"/>
                <w:color w:val="auto"/>
              </w:rPr>
              <w:t>2</w:t>
            </w:r>
          </w:p>
        </w:tc>
        <w:tc>
          <w:tcPr>
            <w:tcW w:w="3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663,614</w:t>
            </w:r>
          </w:p>
        </w:tc>
        <w:tc>
          <w:tcPr>
            <w:tcW w:w="180" w:type="dxa"/>
            <w:vAlign w:val="bottom"/>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39"/>
              <w:spacing w:after="0" w:line="169" w:lineRule="exact"/>
              <w:rPr>
                <w:sz w:val="20"/>
                <w:szCs w:val="20"/>
                <w:color w:val="auto"/>
              </w:rPr>
            </w:pPr>
            <w:r>
              <w:rPr>
                <w:rFonts w:ascii="Arial" w:cs="Arial" w:eastAsia="Arial" w:hAnsi="Arial"/>
                <w:sz w:val="16"/>
                <w:szCs w:val="16"/>
                <w:color w:val="auto"/>
              </w:rPr>
              <w:t>(31,119 )</w:t>
            </w:r>
          </w:p>
        </w:tc>
        <w:tc>
          <w:tcPr>
            <w:tcW w:w="10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69" w:lineRule="exact"/>
              <w:rPr>
                <w:sz w:val="20"/>
                <w:szCs w:val="20"/>
                <w:color w:val="auto"/>
              </w:rPr>
            </w:pPr>
            <w:r>
              <w:rPr>
                <w:rFonts w:ascii="Arial" w:cs="Arial" w:eastAsia="Arial" w:hAnsi="Arial"/>
                <w:sz w:val="16"/>
                <w:szCs w:val="16"/>
                <w:color w:val="auto"/>
              </w:rPr>
              <w:t>632,497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-1873885</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-1873885</wp:posOffset>
            </wp:positionV>
            <wp:extent cx="431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-1873885</wp:posOffset>
            </wp:positionV>
            <wp:extent cx="514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-1873885</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-1873885</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-150495</wp:posOffset>
            </wp:positionV>
            <wp:extent cx="431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-150495</wp:posOffset>
            </wp:positionV>
            <wp:extent cx="431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-150495</wp:posOffset>
            </wp:positionV>
            <wp:extent cx="5143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-150495</wp:posOffset>
            </wp:positionV>
            <wp:extent cx="514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55"/>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December 31, 2019</w:t>
            </w:r>
          </w:p>
        </w:tc>
        <w:tc>
          <w:tcPr>
            <w:tcW w:w="80" w:type="dxa"/>
            <w:vAlign w:val="bottom"/>
          </w:tcPr>
          <w:p>
            <w:pPr>
              <w:spacing w:after="0"/>
              <w:rPr>
                <w:sz w:val="14"/>
                <w:szCs w:val="14"/>
                <w:color w:val="auto"/>
              </w:rPr>
            </w:pPr>
          </w:p>
        </w:tc>
      </w:tr>
      <w:tr>
        <w:trPr>
          <w:trHeight w:val="344"/>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255"/>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32,277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75"/>
              <w:spacing w:after="0"/>
              <w:rPr>
                <w:sz w:val="20"/>
                <w:szCs w:val="20"/>
                <w:color w:val="auto"/>
              </w:rPr>
            </w:pPr>
            <w:r>
              <w:rPr>
                <w:rFonts w:ascii="Arial" w:cs="Arial" w:eastAsia="Arial" w:hAnsi="Arial"/>
                <w:sz w:val="17"/>
                <w:szCs w:val="17"/>
                <w:color w:val="auto"/>
              </w:rPr>
              <w:t>(9,372 )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(6,607 )</w:t>
            </w:r>
          </w:p>
        </w:tc>
      </w:tr>
      <w:tr>
        <w:trPr>
          <w:trHeight w:val="203"/>
        </w:trPr>
        <w:tc>
          <w:tcPr>
            <w:tcW w:w="6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Adjustments to reconcile net loss to net cash provided by</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rPr>
                <w:sz w:val="20"/>
                <w:szCs w:val="20"/>
                <w:color w:val="auto"/>
              </w:rPr>
            </w:pPr>
            <w:r>
              <w:rPr>
                <w:rFonts w:ascii="Arial" w:cs="Arial" w:eastAsia="Arial" w:hAnsi="Arial"/>
                <w:sz w:val="17"/>
                <w:szCs w:val="17"/>
                <w:color w:val="auto"/>
              </w:rPr>
              <w:t>operating activities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Depreciation and amortization expense</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7,926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6,402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8,273</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380"/>
              <w:spacing w:after="0"/>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29,992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16,009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1,379</w:t>
            </w: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Inventory write-down</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380"/>
              <w:spacing w:after="0"/>
              <w:rPr>
                <w:sz w:val="20"/>
                <w:szCs w:val="20"/>
                <w:color w:val="auto"/>
              </w:rPr>
            </w:pPr>
            <w:r>
              <w:rPr>
                <w:rFonts w:ascii="Arial" w:cs="Arial" w:eastAsia="Arial" w:hAnsi="Arial"/>
                <w:sz w:val="17"/>
                <w:szCs w:val="17"/>
                <w:color w:val="auto"/>
              </w:rPr>
              <w:t>Impairment of internal-use software</w:t>
            </w:r>
          </w:p>
        </w:tc>
        <w:tc>
          <w:tcPr>
            <w:tcW w:w="120" w:type="dxa"/>
            <w:vAlign w:val="bottom"/>
          </w:tcPr>
          <w:p>
            <w:pPr>
              <w:spacing w:after="0"/>
              <w:rPr>
                <w:sz w:val="17"/>
                <w:szCs w:val="17"/>
                <w:color w:val="auto"/>
              </w:rPr>
            </w:pPr>
          </w:p>
        </w:tc>
        <w:tc>
          <w:tcPr>
            <w:tcW w:w="1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66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380"/>
              <w:spacing w:after="0"/>
              <w:rPr>
                <w:sz w:val="20"/>
                <w:szCs w:val="20"/>
                <w:color w:val="auto"/>
              </w:rPr>
            </w:pPr>
            <w:r>
              <w:rPr>
                <w:rFonts w:ascii="Arial" w:cs="Arial" w:eastAsia="Arial" w:hAnsi="Arial"/>
                <w:sz w:val="17"/>
                <w:szCs w:val="17"/>
                <w:color w:val="auto"/>
              </w:rPr>
              <w:t>Changes in assets and liabilities: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(14,456 )</w:t>
            </w:r>
          </w:p>
        </w:tc>
        <w:tc>
          <w:tcPr>
            <w:tcW w:w="1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(6,261 )</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560"/>
              <w:spacing w:after="0"/>
              <w:rPr>
                <w:sz w:val="20"/>
                <w:szCs w:val="20"/>
                <w:color w:val="auto"/>
              </w:rPr>
            </w:pPr>
            <w:r>
              <w:rPr>
                <w:rFonts w:ascii="Arial" w:cs="Arial" w:eastAsia="Arial" w:hAnsi="Arial"/>
                <w:sz w:val="17"/>
                <w:szCs w:val="17"/>
                <w:color w:val="auto"/>
              </w:rPr>
              <w:t>Related party accounts receivable</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736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363</w:t>
            </w: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(13,096 )</w:t>
            </w:r>
          </w:p>
        </w:tc>
        <w:tc>
          <w:tcPr>
            <w:tcW w:w="1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(2,070 )</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8,144</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560"/>
              <w:spacing w:after="0"/>
              <w:rPr>
                <w:sz w:val="20"/>
                <w:szCs w:val="20"/>
                <w:color w:val="auto"/>
              </w:rPr>
            </w:pPr>
            <w:r>
              <w:rPr>
                <w:rFonts w:ascii="Arial" w:cs="Arial" w:eastAsia="Arial" w:hAnsi="Arial"/>
                <w:sz w:val="17"/>
                <w:szCs w:val="17"/>
                <w:color w:val="auto"/>
              </w:rPr>
              <w:t>Prepaid expenses and other assets</w:t>
            </w:r>
          </w:p>
        </w:tc>
        <w:tc>
          <w:tcPr>
            <w:tcW w:w="120" w:type="dxa"/>
            <w:vAlign w:val="bottom"/>
          </w:tcPr>
          <w:p>
            <w:pPr>
              <w:spacing w:after="0"/>
              <w:rPr>
                <w:sz w:val="17"/>
                <w:szCs w:val="17"/>
                <w:color w:val="auto"/>
              </w:rPr>
            </w:pPr>
          </w:p>
        </w:tc>
        <w:tc>
          <w:tcPr>
            <w:tcW w:w="1480" w:type="dxa"/>
            <w:vAlign w:val="bottom"/>
            <w:gridSpan w:val="2"/>
          </w:tcPr>
          <w:p>
            <w:pPr>
              <w:jc w:val="right"/>
              <w:ind w:right="35"/>
              <w:spacing w:after="0"/>
              <w:rPr>
                <w:sz w:val="20"/>
                <w:szCs w:val="20"/>
                <w:color w:val="auto"/>
              </w:rPr>
            </w:pPr>
            <w:r>
              <w:rPr>
                <w:rFonts w:ascii="Arial" w:cs="Arial" w:eastAsia="Arial" w:hAnsi="Arial"/>
                <w:sz w:val="17"/>
                <w:szCs w:val="17"/>
                <w:color w:val="auto"/>
              </w:rPr>
              <w:t>(1,859 )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2,951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(3,145 )</w:t>
            </w:r>
          </w:p>
        </w:tc>
      </w:tr>
      <w:tr>
        <w:trPr>
          <w:trHeight w:val="203"/>
        </w:trPr>
        <w:tc>
          <w:tcPr>
            <w:tcW w:w="66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5,826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(1,148 )</w:t>
            </w:r>
          </w:p>
        </w:tc>
      </w:tr>
      <w:tr>
        <w:trPr>
          <w:trHeight w:val="203"/>
        </w:trPr>
        <w:tc>
          <w:tcPr>
            <w:tcW w:w="6600" w:type="dxa"/>
            <w:vAlign w:val="bottom"/>
          </w:tcPr>
          <w:p>
            <w:pPr>
              <w:ind w:left="560"/>
              <w:spacing w:after="0"/>
              <w:rPr>
                <w:sz w:val="20"/>
                <w:szCs w:val="20"/>
                <w:color w:val="auto"/>
              </w:rPr>
            </w:pPr>
            <w:r>
              <w:rPr>
                <w:rFonts w:ascii="Arial" w:cs="Arial" w:eastAsia="Arial" w:hAnsi="Arial"/>
                <w:sz w:val="17"/>
                <w:szCs w:val="17"/>
                <w:color w:val="auto"/>
              </w:rPr>
              <w:t>Accrued expenses and other liabilities</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3,491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(1,732 )</w:t>
            </w:r>
          </w:p>
        </w:tc>
      </w:tr>
      <w:tr>
        <w:trPr>
          <w:trHeight w:val="183"/>
        </w:trPr>
        <w:tc>
          <w:tcPr>
            <w:tcW w:w="6600" w:type="dxa"/>
            <w:vAlign w:val="bottom"/>
            <w:tcBorders>
              <w:top w:val="single" w:sz="8" w:color="CFF0FC"/>
              <w:bottom w:val="single" w:sz="8" w:color="CFF0FC"/>
            </w:tcBorders>
            <w:shd w:val="clear" w:color="auto" w:fill="CFF0FC"/>
          </w:tcPr>
          <w:p>
            <w:pPr>
              <w:ind w:left="74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59,078</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16,604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7,378</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96"/>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(30,878 )</w:t>
            </w:r>
          </w:p>
        </w:tc>
        <w:tc>
          <w:tcPr>
            <w:tcW w:w="1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(6,098 )</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(1,426 )</w:t>
            </w:r>
          </w:p>
        </w:tc>
      </w:tr>
      <w:tr>
        <w:trPr>
          <w:trHeight w:val="203"/>
        </w:trPr>
        <w:tc>
          <w:tcPr>
            <w:tcW w:w="6600" w:type="dxa"/>
            <w:vAlign w:val="bottom"/>
          </w:tcPr>
          <w:p>
            <w:pPr>
              <w:ind w:left="200"/>
              <w:spacing w:after="0"/>
              <w:rPr>
                <w:sz w:val="20"/>
                <w:szCs w:val="20"/>
                <w:color w:val="auto"/>
              </w:rPr>
            </w:pPr>
            <w:r>
              <w:rPr>
                <w:rFonts w:ascii="Arial" w:cs="Arial" w:eastAsia="Arial" w:hAnsi="Arial"/>
                <w:sz w:val="17"/>
                <w:szCs w:val="17"/>
                <w:color w:val="auto"/>
              </w:rPr>
              <w:t>Cash paid for intangibles</w:t>
            </w:r>
          </w:p>
        </w:tc>
        <w:tc>
          <w:tcPr>
            <w:tcW w:w="120" w:type="dxa"/>
            <w:vAlign w:val="bottom"/>
          </w:tcPr>
          <w:p>
            <w:pPr>
              <w:spacing w:after="0"/>
              <w:rPr>
                <w:sz w:val="17"/>
                <w:szCs w:val="17"/>
                <w:color w:val="auto"/>
              </w:rPr>
            </w:pPr>
          </w:p>
        </w:tc>
        <w:tc>
          <w:tcPr>
            <w:tcW w:w="1480" w:type="dxa"/>
            <w:vAlign w:val="bottom"/>
            <w:gridSpan w:val="2"/>
          </w:tcPr>
          <w:p>
            <w:pPr>
              <w:jc w:val="right"/>
              <w:ind w:right="35"/>
              <w:spacing w:after="0"/>
              <w:rPr>
                <w:sz w:val="20"/>
                <w:szCs w:val="20"/>
                <w:color w:val="auto"/>
              </w:rPr>
            </w:pPr>
            <w:r>
              <w:rPr>
                <w:rFonts w:ascii="Arial" w:cs="Arial" w:eastAsia="Arial" w:hAnsi="Arial"/>
                <w:sz w:val="17"/>
                <w:szCs w:val="17"/>
                <w:color w:val="auto"/>
              </w:rPr>
              <w:t>(2,910 )</w:t>
            </w:r>
          </w:p>
        </w:tc>
        <w:tc>
          <w:tcPr>
            <w:tcW w:w="100" w:type="dxa"/>
            <w:vAlign w:val="bottom"/>
          </w:tcPr>
          <w:p>
            <w:pPr>
              <w:spacing w:after="0"/>
              <w:rPr>
                <w:sz w:val="17"/>
                <w:szCs w:val="17"/>
                <w:color w:val="auto"/>
              </w:rPr>
            </w:pPr>
          </w:p>
        </w:tc>
        <w:tc>
          <w:tcPr>
            <w:tcW w:w="1500" w:type="dxa"/>
            <w:vAlign w:val="bottom"/>
            <w:gridSpan w:val="2"/>
          </w:tcPr>
          <w:p>
            <w:pPr>
              <w:jc w:val="right"/>
              <w:ind w:right="75"/>
              <w:spacing w:after="0"/>
              <w:rPr>
                <w:sz w:val="20"/>
                <w:szCs w:val="20"/>
                <w:color w:val="auto"/>
              </w:rPr>
            </w:pPr>
            <w:r>
              <w:rPr>
                <w:rFonts w:ascii="Arial" w:cs="Arial" w:eastAsia="Arial" w:hAnsi="Arial"/>
                <w:sz w:val="17"/>
                <w:szCs w:val="17"/>
                <w:color w:val="auto"/>
              </w:rPr>
              <w:t>(1,695 )</w:t>
            </w:r>
          </w:p>
        </w:tc>
        <w:tc>
          <w:tcPr>
            <w:tcW w:w="1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(1,776 )</w:t>
            </w:r>
          </w:p>
        </w:tc>
      </w:tr>
      <w:tr>
        <w:trPr>
          <w:trHeight w:val="196"/>
        </w:trPr>
        <w:tc>
          <w:tcPr>
            <w:tcW w:w="66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(33,788</w:t>
            </w:r>
          </w:p>
        </w:tc>
        <w:tc>
          <w:tcPr>
            <w:tcW w:w="2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(7,793</w:t>
            </w:r>
          </w:p>
        </w:tc>
        <w:tc>
          <w:tcPr>
            <w:tcW w:w="2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(3,202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660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Proceeds from public offering, net of underwriting</w:t>
            </w: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20"/>
        </w:trPr>
        <w:tc>
          <w:tcPr>
            <w:tcW w:w="66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discounts and commissions and other offering costs</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460,646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56,353</w:t>
            </w:r>
          </w:p>
        </w:tc>
        <w:tc>
          <w:tcPr>
            <w:tcW w:w="80" w:type="dxa"/>
            <w:vAlign w:val="bottom"/>
            <w:shd w:val="clear" w:color="auto" w:fill="CFF0FC"/>
          </w:tcPr>
          <w:p>
            <w:pPr>
              <w:spacing w:after="0"/>
              <w:rPr>
                <w:sz w:val="19"/>
                <w:szCs w:val="19"/>
                <w:color w:val="auto"/>
              </w:rPr>
            </w:pPr>
          </w:p>
        </w:tc>
      </w:tr>
      <w:tr>
        <w:trPr>
          <w:trHeight w:val="203"/>
        </w:trPr>
        <w:tc>
          <w:tcPr>
            <w:tcW w:w="6600" w:type="dxa"/>
            <w:vAlign w:val="bottom"/>
          </w:tcPr>
          <w:p>
            <w:pPr>
              <w:ind w:left="20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120" w:type="dxa"/>
            <w:vAlign w:val="bottom"/>
          </w:tcPr>
          <w:p>
            <w:pPr>
              <w:spacing w:after="0"/>
              <w:rPr>
                <w:sz w:val="17"/>
                <w:szCs w:val="17"/>
                <w:color w:val="auto"/>
              </w:rPr>
            </w:pPr>
          </w:p>
        </w:tc>
        <w:tc>
          <w:tcPr>
            <w:tcW w:w="1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75"/>
              <w:spacing w:after="0"/>
              <w:rPr>
                <w:sz w:val="20"/>
                <w:szCs w:val="20"/>
                <w:color w:val="auto"/>
              </w:rPr>
            </w:pPr>
            <w:r>
              <w:rPr>
                <w:rFonts w:ascii="Arial" w:cs="Arial" w:eastAsia="Arial" w:hAnsi="Arial"/>
                <w:sz w:val="17"/>
                <w:szCs w:val="17"/>
                <w:color w:val="auto"/>
              </w:rPr>
              <w:t>(3,493 )</w:t>
            </w:r>
          </w:p>
        </w:tc>
        <w:tc>
          <w:tcPr>
            <w:tcW w:w="10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6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loans from financial institutions</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35,000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6600" w:type="dxa"/>
            <w:vAlign w:val="bottom"/>
          </w:tcPr>
          <w:p>
            <w:pPr>
              <w:ind w:left="200"/>
              <w:spacing w:after="0"/>
              <w:rPr>
                <w:sz w:val="20"/>
                <w:szCs w:val="20"/>
                <w:color w:val="auto"/>
              </w:rPr>
            </w:pPr>
            <w:r>
              <w:rPr>
                <w:rFonts w:ascii="Arial" w:cs="Arial" w:eastAsia="Arial" w:hAnsi="Arial"/>
                <w:sz w:val="17"/>
                <w:szCs w:val="17"/>
                <w:color w:val="auto"/>
              </w:rPr>
              <w:t>Principal payments on loans to financial institutions</w:t>
            </w:r>
          </w:p>
        </w:tc>
        <w:tc>
          <w:tcPr>
            <w:tcW w:w="120" w:type="dxa"/>
            <w:vAlign w:val="bottom"/>
          </w:tcPr>
          <w:p>
            <w:pPr>
              <w:spacing w:after="0"/>
              <w:rPr>
                <w:sz w:val="17"/>
                <w:szCs w:val="17"/>
                <w:color w:val="auto"/>
              </w:rPr>
            </w:pPr>
          </w:p>
        </w:tc>
        <w:tc>
          <w:tcPr>
            <w:tcW w:w="1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75"/>
              <w:spacing w:after="0"/>
              <w:rPr>
                <w:sz w:val="20"/>
                <w:szCs w:val="20"/>
                <w:color w:val="auto"/>
              </w:rPr>
            </w:pPr>
            <w:r>
              <w:rPr>
                <w:rFonts w:ascii="Arial" w:cs="Arial" w:eastAsia="Arial" w:hAnsi="Arial"/>
                <w:sz w:val="17"/>
                <w:szCs w:val="17"/>
                <w:color w:val="auto"/>
              </w:rPr>
              <w:t>(76,000 )</w:t>
            </w:r>
          </w:p>
        </w:tc>
        <w:tc>
          <w:tcPr>
            <w:tcW w:w="1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(2,000 )</w:t>
            </w:r>
          </w:p>
        </w:tc>
      </w:tr>
      <w:tr>
        <w:trPr>
          <w:trHeight w:val="203"/>
        </w:trPr>
        <w:tc>
          <w:tcPr>
            <w:tcW w:w="6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Principal payments on loan to MegaChips</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(3,000 )</w:t>
            </w:r>
          </w:p>
        </w:tc>
      </w:tr>
      <w:tr>
        <w:trPr>
          <w:trHeight w:val="196"/>
        </w:trPr>
        <w:tc>
          <w:tcPr>
            <w:tcW w:w="6600" w:type="dxa"/>
            <w:vAlign w:val="bottom"/>
            <w:tcBorders>
              <w:top w:val="single" w:sz="8" w:color="CFF0FC"/>
            </w:tcBorders>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460,646</w:t>
            </w: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1,296</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51,353</w:t>
            </w:r>
          </w:p>
        </w:tc>
        <w:tc>
          <w:tcPr>
            <w:tcW w:w="80" w:type="dxa"/>
            <w:vAlign w:val="bottom"/>
            <w:tcBorders>
              <w:top w:val="single" w:sz="8" w:color="CFF0FC"/>
            </w:tcBorders>
          </w:tcPr>
          <w:p>
            <w:pPr>
              <w:spacing w:after="0"/>
              <w:rPr>
                <w:sz w:val="17"/>
                <w:szCs w:val="17"/>
                <w:color w:val="auto"/>
              </w:rPr>
            </w:pPr>
          </w:p>
        </w:tc>
      </w:tr>
      <w:tr>
        <w:trPr>
          <w:trHeight w:val="196"/>
        </w:trPr>
        <w:tc>
          <w:tcPr>
            <w:tcW w:w="6600" w:type="dxa"/>
            <w:vAlign w:val="bottom"/>
            <w:shd w:val="clear" w:color="auto" w:fill="CFF0FC"/>
          </w:tcPr>
          <w:p>
            <w:pPr>
              <w:ind w:left="740"/>
              <w:spacing w:after="0"/>
              <w:rPr>
                <w:sz w:val="20"/>
                <w:szCs w:val="20"/>
                <w:color w:val="auto"/>
              </w:rPr>
            </w:pPr>
            <w:r>
              <w:rPr>
                <w:rFonts w:ascii="Arial" w:cs="Arial" w:eastAsia="Arial" w:hAnsi="Arial"/>
                <w:sz w:val="17"/>
                <w:szCs w:val="17"/>
                <w:color w:val="auto"/>
              </w:rPr>
              <w:t>Net increase in cash and cash equivalents</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485,936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10,107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55,529</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Beginning of period</w:t>
            </w: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73,525</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63,418</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7,889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00"/>
              <w:spacing w:after="0"/>
              <w:rPr>
                <w:sz w:val="20"/>
                <w:szCs w:val="20"/>
                <w:color w:val="auto"/>
              </w:rPr>
            </w:pPr>
            <w:r>
              <w:rPr>
                <w:rFonts w:ascii="Arial" w:cs="Arial" w:eastAsia="Arial" w:hAnsi="Arial"/>
                <w:sz w:val="17"/>
                <w:szCs w:val="17"/>
                <w:color w:val="auto"/>
              </w:rPr>
              <w:t>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559,461</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73,525</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63,418</w:t>
            </w:r>
          </w:p>
        </w:tc>
        <w:tc>
          <w:tcPr>
            <w:tcW w:w="8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600" w:type="dxa"/>
            <w:vAlign w:val="bottom"/>
          </w:tcPr>
          <w:p>
            <w:pPr>
              <w:ind w:left="200"/>
              <w:spacing w:after="0"/>
              <w:rPr>
                <w:sz w:val="20"/>
                <w:szCs w:val="20"/>
                <w:color w:val="auto"/>
              </w:rPr>
            </w:pPr>
            <w:r>
              <w:rPr>
                <w:rFonts w:ascii="Arial" w:cs="Arial" w:eastAsia="Arial" w:hAnsi="Arial"/>
                <w:sz w:val="17"/>
                <w:szCs w:val="17"/>
                <w:color w:val="auto"/>
              </w:rPr>
              <w:t>Interest paid during the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799</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2,167</w:t>
            </w: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Income taxes paid</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Unpaid property and equipment</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rPr>
                <w:sz w:val="20"/>
                <w:szCs w:val="20"/>
                <w:color w:val="auto"/>
              </w:rPr>
            </w:pPr>
            <w:r>
              <w:rPr>
                <w:rFonts w:ascii="Arial" w:cs="Arial" w:eastAsia="Arial" w:hAnsi="Arial"/>
                <w:sz w:val="17"/>
                <w:szCs w:val="17"/>
                <w:color w:val="auto"/>
              </w:rPr>
              <w:t>Unpaid intangibles, net</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3,178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6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Right-of-use assets acquired under operating leases</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689</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10,763</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5067300</wp:posOffset>
            </wp:positionH>
            <wp:positionV relativeFrom="paragraph">
              <wp:posOffset>-3157855</wp:posOffset>
            </wp:positionV>
            <wp:extent cx="85725"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-3157855</wp:posOffset>
            </wp:positionV>
            <wp:extent cx="76835"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-3157855</wp:posOffset>
            </wp:positionV>
            <wp:extent cx="76835"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-2482215</wp:posOffset>
            </wp:positionV>
            <wp:extent cx="6032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-2482215</wp:posOffset>
            </wp:positionV>
            <wp:extent cx="5143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-2482215</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-1590675</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-1590675</wp:posOffset>
            </wp:positionV>
            <wp:extent cx="514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-1590675</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-1059180</wp:posOffset>
            </wp:positionV>
            <wp:extent cx="6032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-1059180</wp:posOffset>
            </wp:positionV>
            <wp:extent cx="5143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-1059180</wp:posOffset>
            </wp:positionV>
            <wp:extent cx="514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08"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silicon timing systems. The Company primarily supplies oscillator products that comprise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Outbreak of Coronavirus Disease 2019 (“the COVID-19 pandemic”)</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the Company relies upon for manufacturing, assembly, testing, shipping and other operations.</w:t>
      </w:r>
    </w:p>
    <w:p>
      <w:pPr>
        <w:spacing w:after="0" w:line="5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During 2021, the Company experienced a growth in demand for some of its products, however, there are a number of industry-wide supply constraints affecting the supply of analog circuits manufactured by certain foundries, and affecting outsourced semiconductor assembly and test providers, which has limited and may continue to limit the Company's ability to fully satisfy the increase in demand. If the Company cannot ship its products to its customers on time and in the quantity required as a result of this supply constraint the Company's sales could decline and the Company could lose customers. As a result of the COVID-19 pandemic the Company has also experienced some delay and disruption in the manufacture, shipment, and sales of its products. In addition, the production capabilities of the Company's suppliers have been, and will likely continue to be, impacted as a result of quarantines, closures of production facilities, lack of supplies, or delays caused by restrictions on travel or WFH orders.</w:t>
      </w:r>
    </w:p>
    <w:p>
      <w:pPr>
        <w:spacing w:after="0" w:line="5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COVID-19 pandemic has negatively impacted business activity across the globe and has impacted the Company's employees and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including the future effects of the COVID-19 pandemic on its employees, customers, suppliers, results of operations, financial condition, or liquidity for 2022 and beyond. To date, the Company has experienced minimal impact from any supplier disruption resulting from COVID-19.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Calendar</w:t>
      </w:r>
    </w:p>
    <w:p>
      <w:pPr>
        <w:spacing w:after="0" w:line="10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Company’s fiscal year begins on January 1 of the year stated and ends on December 31 of the same year. The Company reports its results on a calendar year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and Follow-on Public Offerings</w:t>
      </w:r>
    </w:p>
    <w:p>
      <w:pPr>
        <w:spacing w:after="0" w:line="108"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On November 25, 2019, the Company completed its initial public offering (“IPO”), in which it issued and sold 4,945,000 shares of its common stock including the full exercise of the underwriters’ over-allotment option to purchase an additional 645,000 shares at $13.00 per share, resulting in net proceeds of $56.4 million after deducting underwriting discounts, commissions and offering costs of $7.9 million.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ind w:right="200" w:firstLine="509"/>
        <w:spacing w:after="0" w:line="248" w:lineRule="auto"/>
        <w:rPr>
          <w:sz w:val="20"/>
          <w:szCs w:val="20"/>
          <w:color w:val="auto"/>
        </w:rPr>
      </w:pPr>
      <w:r>
        <w:rPr>
          <w:rFonts w:ascii="Arial" w:cs="Arial" w:eastAsia="Arial" w:hAnsi="Arial"/>
          <w:sz w:val="18"/>
          <w:szCs w:val="18"/>
          <w:color w:val="auto"/>
        </w:rPr>
        <w:t>On June 16, 2020, the Company completed a follow-on public offering (“June 2020 Offering”), in which it issued and sold 1,525,000 shares of its common stock, resulting in net proceeds to the Company of $45.8 million after deducting underwriting discounts and commissions of $2.7 million and deferred offering costs of $0.3 million.</w:t>
      </w:r>
    </w:p>
    <w:p>
      <w:pPr>
        <w:spacing w:after="0" w:line="7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On February 22, 2021, the Company completed an additional follow-on public offering, in which we issued and sold 1,500,000 shares of its common stock, resulting in net proceeds to the Company of $181.6 million after deducting underwriting discounts and commissions of $8.6 million and deferred offering costs of $0.3 million.</w:t>
      </w:r>
    </w:p>
    <w:p>
      <w:pPr>
        <w:spacing w:after="0" w:line="7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On November 10, 2021 the Company completed a follow -on public offering, in which it issued and sold 1,300,000 shares of its common stock, resulting in net proceeds to the Company of $279.0 million after deducting underwriting discounts and commissions of $13.2 million and deferred offering costs of $0.3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08"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On October 16, 2019, a pricing committee of the Company’s board of directors approved an amendment and restatement of the Company’s certificate of incorporation to (i) increase the total number of authorized shares of its common stock to 200,000,000 shares, (ii) change the par value of its common stock to $0.0001 per share, and (iii) effect a 30,000-for-1 stock split of its common stock, which was within the range previously approved by its sole stockholder. These changes became effective upon filing of the Company’s amended and restated certificate of incorporation on October 18, 2019. Subsequently, on November 6, 2019, the Company’s board of directors and sole stockholder approved an amendment and restatement of the Company’s certificate of incorporation to effect a 2-for-3 reverse stock split of its common stock, which became effective on November 6, 2019. The share and per share amounts in these consolidated financial statements and accompanying notes have been adjusted to reflect such stock split and reverse stock split.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The significant areas requiring the use of management estimates and assumptions include revenue recognition, non-recurring engineering services, estimate of reserve for excess and obsolete inventories, sales and warranty reserves, estimate of reserves for accounts receivable, internally developed software capitalization, and valuation allowances for deferred tax assets.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Remeasurement</w:t>
      </w:r>
    </w:p>
    <w:p>
      <w:pPr>
        <w:spacing w:after="0" w:line="108"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Company and its wholly-owned subsidiaries use the U.S. dollar as the functional currency. Foreign currency assets and liabilities are remeasured into U.S. dollars at the end-of-period exchange rates except for non-monetary assets and liabilities, which are measured at historical exchange rates. Revenue and expenses are remeasured using an average exchange rate in effect for the period, except for items related to non-monetary assets and liabilities, which are measured at historical exchange rates. Gains or losses from foreign currency remeasurement and transactions are included in other expense, net. For the years ended December 31, 2021, 2020, and 2019, foreign currency remeasurement and transactions gains and losses resulting in a net charge of $0.5 million, $0.1 million and less than $0.1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Cash and cash equivalents consist of cash balances in the Company’s bank checking and savings accounts and liquid short-term investments with original or remaining maturities of 90 days or less at the date of purchase, readily convertible to known amounts of cash.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carrying amounts of the Company’s financial instruments, which include cash equivalents, accounts receivable, accounts payable, accrued liabilities, and other current liabilities, approximate their fair values due to their short maturities. The Company determines fair value measurements used in its consolidated financial statements based upon the price that would be received to sell 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ind w:right="20"/>
        <w:spacing w:after="0" w:line="294" w:lineRule="auto"/>
        <w:rPr>
          <w:sz w:val="20"/>
          <w:szCs w:val="20"/>
          <w:color w:val="auto"/>
        </w:rPr>
      </w:pPr>
      <w:r>
        <w:rPr>
          <w:rFonts w:ascii="Arial" w:cs="Arial" w:eastAsia="Arial" w:hAnsi="Arial"/>
          <w:sz w:val="16"/>
          <w:szCs w:val="16"/>
          <w:color w:val="auto"/>
        </w:rPr>
        <w:t>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147" w:lineRule="exact"/>
        <w:rPr>
          <w:sz w:val="20"/>
          <w:szCs w:val="20"/>
          <w:color w:val="auto"/>
        </w:rPr>
      </w:pPr>
    </w:p>
    <w:p>
      <w:pPr>
        <w:ind w:right="280" w:firstLine="509"/>
        <w:spacing w:after="0" w:line="324" w:lineRule="auto"/>
        <w:rPr>
          <w:sz w:val="20"/>
          <w:szCs w:val="20"/>
          <w:color w:val="auto"/>
        </w:rPr>
      </w:pPr>
      <w:r>
        <w:rPr>
          <w:rFonts w:ascii="Arial" w:cs="Arial" w:eastAsia="Arial" w:hAnsi="Arial"/>
          <w:sz w:val="16"/>
          <w:szCs w:val="16"/>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6"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Valuations based on quoted prices in active markets for identical assets or liabilities that the entity has the ability to access.</w:t>
      </w:r>
    </w:p>
    <w:p>
      <w:pPr>
        <w:spacing w:after="0" w:line="104" w:lineRule="exact"/>
        <w:rPr>
          <w:sz w:val="20"/>
          <w:szCs w:val="20"/>
          <w:color w:val="auto"/>
        </w:rPr>
      </w:pPr>
    </w:p>
    <w:p>
      <w:pPr>
        <w:ind w:left="520" w:right="420"/>
        <w:spacing w:after="0" w:line="261" w:lineRule="auto"/>
        <w:rPr>
          <w:sz w:val="20"/>
          <w:szCs w:val="20"/>
          <w:color w:val="auto"/>
        </w:rPr>
      </w:pPr>
      <w:r>
        <w:rPr>
          <w:rFonts w:ascii="Arial" w:cs="Arial" w:eastAsia="Arial" w:hAnsi="Arial"/>
          <w:sz w:val="18"/>
          <w:szCs w:val="18"/>
          <w:color w:val="auto"/>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3" w:lineRule="exact"/>
        <w:rPr>
          <w:sz w:val="20"/>
          <w:szCs w:val="20"/>
          <w:color w:val="auto"/>
        </w:rPr>
      </w:pPr>
    </w:p>
    <w:p>
      <w:pPr>
        <w:ind w:left="520" w:right="560"/>
        <w:spacing w:after="0" w:line="261" w:lineRule="auto"/>
        <w:rPr>
          <w:sz w:val="20"/>
          <w:szCs w:val="20"/>
          <w:color w:val="auto"/>
        </w:rPr>
      </w:pPr>
      <w:r>
        <w:rPr>
          <w:rFonts w:ascii="Arial" w:cs="Arial" w:eastAsia="Arial" w:hAnsi="Arial"/>
          <w:sz w:val="18"/>
          <w:szCs w:val="18"/>
          <w:color w:val="auto"/>
        </w:rPr>
        <w:t>Level 3: Valuations based on inputs that are supported by little or no market activity and that are significant to the fair value of the assets or liabilities.</w:t>
      </w:r>
    </w:p>
    <w:p>
      <w:pPr>
        <w:spacing w:after="0" w:line="171"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At December 31, 2021 and 2020, cash balances in bank checking and savings accounts of $339.3 million and $18.4 million, were valued using Level 1 of the fair value hierarchy. At December 31, 2021 and December 31, 2020, highly liquid money market funds of $220.2 million and $55.1 million, respectively, were valued using Level 1, of the fair value hierarchy, quoted prices in active markets for identical assets and are included in cash equivalents.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 1 and Level 2 categories during any of the periods presented.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Allowances for Credit Losses</w:t>
      </w:r>
    </w:p>
    <w:p>
      <w:pPr>
        <w:spacing w:after="0" w:line="108"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Accounts receivable are stated at amounts estimated by management to be net realizable value. An allowance for credit losses is recorded when it is probable that amounts will not be collected based on historical collection trends, age of outstanding receivables, specific customer circumstances, existing economic conditions and future forecasted information. The Company performs periodic credit evaluations of its customers’ financial condition and generally requires no collateral from its customers. Losses have not been significant in any of the periods presented.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08" w:lineRule="exact"/>
        <w:rPr>
          <w:sz w:val="20"/>
          <w:szCs w:val="20"/>
          <w:color w:val="auto"/>
        </w:rPr>
      </w:pPr>
    </w:p>
    <w:p>
      <w:pPr>
        <w:ind w:right="320" w:firstLine="509"/>
        <w:spacing w:after="0" w:line="294"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and accounts receivable. The Company’s cash and cash equivalents amount is subject to concentration of credit risk. Substantially all of the Company's cash and cash equivalents balances are in excess of Federal Deposit Insurance Corporation insurance limits with financial institutions.</w:t>
      </w:r>
    </w:p>
    <w:p>
      <w:pPr>
        <w:spacing w:after="0" w:line="14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extends credit based on an evaluation of the customer’s financial condition and collateral is not typically required. The Company primarily sells its products through third-party distributors and resellers. For the years ended December 31, 2021, 2020, and 2019, three distributors directly accounted for 10% or more of the Company’s revenue.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discloses these customers’ percentage of revenue for the respective periods: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780" w:type="dxa"/>
            <w:vAlign w:val="bottom"/>
            <w:tcBorders>
              <w:bottom w:val="single" w:sz="8" w:color="auto"/>
            </w:tcBorders>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760" w:type="dxa"/>
            <w:vAlign w:val="bottom"/>
          </w:tcPr>
          <w:p>
            <w:pPr>
              <w:jc w:val="center"/>
              <w:ind w:left="195"/>
              <w:spacing w:after="0"/>
              <w:rPr>
                <w:sz w:val="20"/>
                <w:szCs w:val="20"/>
                <w:color w:val="auto"/>
              </w:rPr>
            </w:pPr>
            <w:r>
              <w:rPr>
                <w:rFonts w:ascii="Arial" w:cs="Arial" w:eastAsia="Arial" w:hAnsi="Arial"/>
                <w:sz w:val="14"/>
                <w:szCs w:val="14"/>
                <w:b w:val="1"/>
                <w:bCs w:val="1"/>
                <w:color w:val="auto"/>
                <w:w w:val="89"/>
              </w:rPr>
              <w:t>2021</w:t>
            </w:r>
          </w:p>
        </w:tc>
        <w:tc>
          <w:tcPr>
            <w:tcW w:w="142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Customer</w:t>
            </w:r>
          </w:p>
        </w:tc>
        <w:tc>
          <w:tcPr>
            <w:tcW w:w="7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Pernas Electronics Co. Ltd.</w:t>
            </w:r>
          </w:p>
        </w:tc>
        <w:tc>
          <w:tcPr>
            <w:tcW w:w="760" w:type="dxa"/>
            <w:vAlign w:val="bottom"/>
          </w:tcPr>
          <w:p>
            <w:pPr>
              <w:jc w:val="center"/>
              <w:ind w:left="195"/>
              <w:spacing w:after="0" w:line="202" w:lineRule="exact"/>
              <w:rPr>
                <w:sz w:val="20"/>
                <w:szCs w:val="20"/>
                <w:color w:val="auto"/>
              </w:rPr>
            </w:pPr>
            <w:r>
              <w:rPr>
                <w:rFonts w:ascii="Arial" w:cs="Arial" w:eastAsia="Arial" w:hAnsi="Arial"/>
                <w:sz w:val="18"/>
                <w:szCs w:val="18"/>
                <w:color w:val="auto"/>
                <w:w w:val="88"/>
              </w:rPr>
              <w:t>24%</w:t>
            </w:r>
          </w:p>
        </w:tc>
        <w:tc>
          <w:tcPr>
            <w:tcW w:w="1420" w:type="dxa"/>
            <w:vAlign w:val="bottom"/>
            <w:gridSpan w:val="3"/>
          </w:tcPr>
          <w:p>
            <w:pPr>
              <w:jc w:val="center"/>
              <w:ind w:left="297"/>
              <w:spacing w:after="0" w:line="202" w:lineRule="exact"/>
              <w:rPr>
                <w:sz w:val="20"/>
                <w:szCs w:val="20"/>
                <w:color w:val="auto"/>
              </w:rPr>
            </w:pPr>
            <w:r>
              <w:rPr>
                <w:rFonts w:ascii="Arial" w:cs="Arial" w:eastAsia="Arial" w:hAnsi="Arial"/>
                <w:sz w:val="18"/>
                <w:szCs w:val="18"/>
                <w:color w:val="auto"/>
                <w:w w:val="88"/>
              </w:rPr>
              <w:t>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center"/>
              <w:ind w:right="195"/>
              <w:spacing w:after="0" w:line="202" w:lineRule="exact"/>
              <w:rPr>
                <w:sz w:val="20"/>
                <w:szCs w:val="20"/>
                <w:color w:val="auto"/>
              </w:rPr>
            </w:pPr>
            <w:r>
              <w:rPr>
                <w:rFonts w:ascii="Arial" w:cs="Arial" w:eastAsia="Arial" w:hAnsi="Arial"/>
                <w:sz w:val="18"/>
                <w:szCs w:val="18"/>
                <w:color w:val="auto"/>
                <w:w w:val="94"/>
              </w:rPr>
              <w:t>17%</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Quantek Technology Corporation</w:t>
            </w:r>
          </w:p>
        </w:tc>
        <w:tc>
          <w:tcPr>
            <w:tcW w:w="760" w:type="dxa"/>
            <w:vAlign w:val="bottom"/>
            <w:shd w:val="clear" w:color="auto" w:fill="CFF0FC"/>
          </w:tcPr>
          <w:p>
            <w:pPr>
              <w:jc w:val="center"/>
              <w:ind w:left="195"/>
              <w:spacing w:after="0" w:line="202" w:lineRule="exact"/>
              <w:rPr>
                <w:sz w:val="20"/>
                <w:szCs w:val="20"/>
                <w:color w:val="auto"/>
              </w:rPr>
            </w:pPr>
            <w:r>
              <w:rPr>
                <w:rFonts w:ascii="Arial" w:cs="Arial" w:eastAsia="Arial" w:hAnsi="Arial"/>
                <w:sz w:val="18"/>
                <w:szCs w:val="18"/>
                <w:color w:val="auto"/>
                <w:w w:val="88"/>
              </w:rPr>
              <w:t>10%</w:t>
            </w:r>
          </w:p>
        </w:tc>
        <w:tc>
          <w:tcPr>
            <w:tcW w:w="1420" w:type="dxa"/>
            <w:vAlign w:val="bottom"/>
            <w:gridSpan w:val="3"/>
            <w:shd w:val="clear" w:color="auto" w:fill="CFF0FC"/>
          </w:tcPr>
          <w:p>
            <w:pPr>
              <w:jc w:val="center"/>
              <w:ind w:left="297"/>
              <w:spacing w:after="0" w:line="202" w:lineRule="exact"/>
              <w:rPr>
                <w:sz w:val="20"/>
                <w:szCs w:val="20"/>
                <w:color w:val="auto"/>
              </w:rPr>
            </w:pPr>
            <w:r>
              <w:rPr>
                <w:rFonts w:ascii="Arial" w:cs="Arial" w:eastAsia="Arial" w:hAnsi="Arial"/>
                <w:sz w:val="18"/>
                <w:szCs w:val="18"/>
                <w:color w:val="auto"/>
                <w:w w:val="88"/>
              </w:rPr>
              <w:t>18%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center"/>
              <w:ind w:right="195"/>
              <w:spacing w:after="0" w:line="202" w:lineRule="exact"/>
              <w:rPr>
                <w:sz w:val="20"/>
                <w:szCs w:val="20"/>
                <w:color w:val="auto"/>
              </w:rPr>
            </w:pPr>
            <w:r>
              <w:rPr>
                <w:rFonts w:ascii="Arial" w:cs="Arial" w:eastAsia="Arial" w:hAnsi="Arial"/>
                <w:sz w:val="18"/>
                <w:szCs w:val="18"/>
                <w:color w:val="auto"/>
                <w:w w:val="94"/>
              </w:rPr>
              <w:t>22%</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Arrow Electronics, Inc.</w:t>
            </w:r>
          </w:p>
        </w:tc>
        <w:tc>
          <w:tcPr>
            <w:tcW w:w="760" w:type="dxa"/>
            <w:vAlign w:val="bottom"/>
          </w:tcPr>
          <w:p>
            <w:pPr>
              <w:jc w:val="center"/>
              <w:ind w:left="195"/>
              <w:spacing w:after="0"/>
              <w:rPr>
                <w:sz w:val="20"/>
                <w:szCs w:val="20"/>
                <w:color w:val="auto"/>
              </w:rPr>
            </w:pPr>
            <w:r>
              <w:rPr>
                <w:rFonts w:ascii="Arial" w:cs="Arial" w:eastAsia="Arial" w:hAnsi="Arial"/>
                <w:sz w:val="18"/>
                <w:szCs w:val="18"/>
                <w:color w:val="auto"/>
                <w:w w:val="88"/>
              </w:rPr>
              <w:t>14%</w:t>
            </w:r>
          </w:p>
        </w:tc>
        <w:tc>
          <w:tcPr>
            <w:tcW w:w="1420" w:type="dxa"/>
            <w:vAlign w:val="bottom"/>
            <w:gridSpan w:val="3"/>
          </w:tcPr>
          <w:p>
            <w:pPr>
              <w:jc w:val="center"/>
              <w:ind w:left="297"/>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center"/>
              <w:ind w:right="195"/>
              <w:spacing w:after="0"/>
              <w:rPr>
                <w:sz w:val="20"/>
                <w:szCs w:val="20"/>
                <w:color w:val="auto"/>
              </w:rPr>
            </w:pPr>
            <w:r>
              <w:rPr>
                <w:rFonts w:ascii="Arial" w:cs="Arial" w:eastAsia="Arial" w:hAnsi="Arial"/>
                <w:sz w:val="18"/>
                <w:szCs w:val="18"/>
                <w:color w:val="auto"/>
                <w:w w:val="94"/>
              </w:rPr>
              <w:t>19%</w:t>
            </w:r>
          </w:p>
        </w:tc>
      </w:tr>
    </w:tbl>
    <w:p>
      <w:pPr>
        <w:spacing w:after="0" w:line="160" w:lineRule="exact"/>
        <w:rPr>
          <w:sz w:val="20"/>
          <w:szCs w:val="20"/>
          <w:color w:val="auto"/>
        </w:rPr>
      </w:pPr>
    </w:p>
    <w:p>
      <w:pPr>
        <w:jc w:val="both"/>
        <w:ind w:right="440"/>
        <w:spacing w:after="0" w:line="248" w:lineRule="auto"/>
        <w:rPr>
          <w:sz w:val="20"/>
          <w:szCs w:val="20"/>
          <w:color w:val="auto"/>
        </w:rPr>
      </w:pPr>
      <w:r>
        <w:rPr>
          <w:rFonts w:ascii="Arial" w:cs="Arial" w:eastAsia="Arial" w:hAnsi="Arial"/>
          <w:sz w:val="18"/>
          <w:szCs w:val="18"/>
          <w:color w:val="auto"/>
        </w:rPr>
        <w:t>Revenue from sales to one end customer through multiple distributors accounted for 22%, 40% and 23% of consolidated revenues for the years ended December 31, 2021, 2020, and 2019, respectively. No other distributors or end customers accounted for 10% or more of the Company's consolidated revenues for the years ended December 31, 2021, 2020, and 2019.</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color w:val="auto"/>
        </w:rPr>
        <w:t>At December 31, 2021 and 2020, three customers accounted for 10% or more of accounts receivable, as disclosed below:</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5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As of December 31,</w:t>
            </w:r>
          </w:p>
        </w:tc>
      </w:tr>
      <w:tr>
        <w:trPr>
          <w:trHeight w:val="169"/>
        </w:trPr>
        <w:tc>
          <w:tcPr>
            <w:tcW w:w="5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3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Customer</w:t>
            </w:r>
          </w:p>
        </w:tc>
        <w:tc>
          <w:tcPr>
            <w:tcW w:w="12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Pernas Electronics Co. Ltd.</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4"/>
              </w:rPr>
              <w:t>16%</w:t>
            </w:r>
          </w:p>
        </w:tc>
        <w:tc>
          <w:tcPr>
            <w:tcW w:w="1340" w:type="dxa"/>
            <w:vAlign w:val="bottom"/>
            <w:gridSpan w:val="2"/>
          </w:tcPr>
          <w:p>
            <w:pPr>
              <w:jc w:val="center"/>
              <w:ind w:left="35"/>
              <w:spacing w:after="0" w:line="202" w:lineRule="exact"/>
              <w:rPr>
                <w:sz w:val="20"/>
                <w:szCs w:val="20"/>
                <w:color w:val="auto"/>
              </w:rPr>
            </w:pPr>
            <w:r>
              <w:rPr>
                <w:rFonts w:ascii="Arial" w:cs="Arial" w:eastAsia="Arial" w:hAnsi="Arial"/>
                <w:sz w:val="18"/>
                <w:szCs w:val="18"/>
                <w:color w:val="auto"/>
                <w:w w:val="94"/>
              </w:rPr>
              <w:t>31%</w:t>
            </w: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Quantek Technology Corporation</w:t>
            </w: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13%</w:t>
            </w:r>
          </w:p>
        </w:tc>
        <w:tc>
          <w:tcPr>
            <w:tcW w:w="1340" w:type="dxa"/>
            <w:vAlign w:val="bottom"/>
            <w:gridSpan w:val="2"/>
            <w:shd w:val="clear" w:color="auto" w:fill="CFF0FC"/>
          </w:tcPr>
          <w:p>
            <w:pPr>
              <w:jc w:val="center"/>
              <w:ind w:left="35"/>
              <w:spacing w:after="0" w:line="202" w:lineRule="exact"/>
              <w:rPr>
                <w:sz w:val="20"/>
                <w:szCs w:val="20"/>
                <w:color w:val="auto"/>
              </w:rPr>
            </w:pPr>
            <w:r>
              <w:rPr>
                <w:rFonts w:ascii="Arial" w:cs="Arial" w:eastAsia="Arial" w:hAnsi="Arial"/>
                <w:sz w:val="18"/>
                <w:szCs w:val="18"/>
                <w:color w:val="auto"/>
                <w:w w:val="94"/>
              </w:rPr>
              <w:t>22%</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Smith &amp; Associates</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4"/>
              </w:rPr>
              <w:t>11%</w:t>
            </w:r>
          </w:p>
        </w:tc>
        <w:tc>
          <w:tcPr>
            <w:tcW w:w="140" w:type="dxa"/>
            <w:vAlign w:val="bottom"/>
          </w:tcPr>
          <w:p>
            <w:pPr>
              <w:spacing w:after="0"/>
              <w:rPr>
                <w:sz w:val="17"/>
                <w:szCs w:val="17"/>
                <w:color w:val="auto"/>
              </w:rPr>
            </w:pPr>
          </w:p>
        </w:tc>
        <w:tc>
          <w:tcPr>
            <w:tcW w:w="1200" w:type="dxa"/>
            <w:vAlign w:val="bottom"/>
          </w:tcPr>
          <w:p>
            <w:pPr>
              <w:ind w:left="48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Arrow Electronics, Inc.</w:t>
            </w: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14%</w:t>
            </w:r>
          </w:p>
        </w:tc>
        <w:tc>
          <w:tcPr>
            <w:tcW w:w="1340" w:type="dxa"/>
            <w:vAlign w:val="bottom"/>
            <w:gridSpan w:val="2"/>
            <w:shd w:val="clear" w:color="auto" w:fill="CFF0FC"/>
          </w:tcPr>
          <w:p>
            <w:pPr>
              <w:jc w:val="center"/>
              <w:ind w:left="35"/>
              <w:spacing w:after="0" w:line="202" w:lineRule="exact"/>
              <w:rPr>
                <w:sz w:val="20"/>
                <w:szCs w:val="20"/>
                <w:color w:val="auto"/>
              </w:rPr>
            </w:pPr>
            <w:r>
              <w:rPr>
                <w:rFonts w:ascii="Arial" w:cs="Arial" w:eastAsia="Arial" w:hAnsi="Arial"/>
                <w:sz w:val="18"/>
                <w:szCs w:val="18"/>
                <w:color w:val="auto"/>
                <w:w w:val="94"/>
              </w:rPr>
              <w:t>18%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firstLine="509"/>
        <w:spacing w:after="0" w:line="225" w:lineRule="auto"/>
        <w:rPr>
          <w:sz w:val="20"/>
          <w:szCs w:val="20"/>
          <w:color w:val="auto"/>
        </w:rPr>
      </w:pPr>
      <w:r>
        <w:rPr>
          <w:rFonts w:ascii="Arial" w:cs="Arial" w:eastAsia="Arial" w:hAnsi="Arial"/>
          <w:sz w:val="17"/>
          <w:szCs w:val="17"/>
          <w:color w:val="auto"/>
        </w:rPr>
        <w:t>Inventories are stated at the lower of standard cost (which approximates actual cost on a first-in, first-out basis) or net realizable value. The Company, at least quarterly, assesses the recoverability of all inventories to determine whether adjustments are required to record inventory at the lower of cost or net realizable value. The Company reduces the value of inventory by establishing excess and obsolete inventories reserves based on management’s assessment of future demand and market conditions. Actual demand may differ from forecasted demand and such differences may have a material effect on recorded value of inventory. Inventory reserve write-downs, once established, are not released until the related inventory has been sold or scrapped. Rebates from the Company’s foundries are recorded as a reduction of inventory cost and are recognized in cost of revenue over the inventory turnover days of the Company. Most of the Company’s inventory is warehoused at its contract manufacturers.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recognized on a straight-line basis over the estimated useful lives of the respective assets as follows:</w:t>
      </w:r>
    </w:p>
    <w:p>
      <w:pPr>
        <w:sectPr>
          <w:pgSz w:w="11900" w:h="16838" w:orient="portrait"/>
          <w:cols w:equalWidth="0" w:num="1">
            <w:col w:w="11200"/>
          </w:cols>
          <w:pgMar w:left="320" w:top="368" w:right="37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Lab and manufacturing equipment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46" w:lineRule="exact"/>
        <w:rPr>
          <w:sz w:val="20"/>
          <w:szCs w:val="20"/>
          <w:color w:val="auto"/>
        </w:rPr>
      </w:pPr>
    </w:p>
    <w:p>
      <w:pPr>
        <w:sectPr>
          <w:pgSz w:w="11900" w:h="16838" w:orient="portrait"/>
          <w:cols w:equalWidth="0" w:num="2">
            <w:col w:w="5040" w:space="720"/>
            <w:col w:w="5440"/>
          </w:cols>
          <w:pgMar w:left="320" w:top="368" w:right="3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Computer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43" w:lineRule="exact"/>
        <w:rPr>
          <w:sz w:val="20"/>
          <w:szCs w:val="20"/>
          <w:color w:val="auto"/>
        </w:rPr>
      </w:pPr>
    </w:p>
    <w:p>
      <w:pPr>
        <w:sectPr>
          <w:pgSz w:w="11900" w:h="16838" w:orient="portrait"/>
          <w:cols w:equalWidth="0" w:num="2">
            <w:col w:w="5040" w:space="720"/>
            <w:col w:w="5440"/>
          </w:cols>
          <w:pgMar w:left="320" w:top="368" w:right="3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43" w:lineRule="exact"/>
        <w:rPr>
          <w:sz w:val="20"/>
          <w:szCs w:val="20"/>
          <w:color w:val="auto"/>
        </w:rPr>
      </w:pPr>
    </w:p>
    <w:p>
      <w:pPr>
        <w:sectPr>
          <w:pgSz w:w="11900" w:h="16838" w:orient="portrait"/>
          <w:cols w:equalWidth="0" w:num="2">
            <w:col w:w="5040" w:space="720"/>
            <w:col w:w="5440"/>
          </w:cols>
          <w:pgMar w:left="320" w:top="368" w:right="3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remaining lease term or estimated useful lives of the assets</w:t>
      </w:r>
    </w:p>
    <w:p>
      <w:pPr>
        <w:spacing w:after="0" w:line="200" w:lineRule="exact"/>
        <w:rPr>
          <w:sz w:val="20"/>
          <w:szCs w:val="20"/>
          <w:color w:val="auto"/>
        </w:rPr>
      </w:pPr>
    </w:p>
    <w:p>
      <w:pPr>
        <w:sectPr>
          <w:pgSz w:w="11900" w:h="16838" w:orient="portrait"/>
          <w:cols w:equalWidth="0" w:num="2">
            <w:col w:w="5040" w:space="720"/>
            <w:col w:w="5440"/>
          </w:cols>
          <w:pgMar w:left="320" w:top="368" w:right="379" w:bottom="1440" w:gutter="0" w:footer="0" w:header="0"/>
          <w:type w:val="continuous"/>
        </w:sectPr>
      </w:pPr>
    </w:p>
    <w:p>
      <w:pPr>
        <w:spacing w:after="0" w:line="29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 capitalizes the costs of purchased mask sets that are utilized during the photolithography phase of manufacturing our products, when technological feasibility and marketability have been established. The capitalization occurs upon the completion of a detailed design, the absence of significant development uncertainties and the determination of market acceptance. Such amounts are included in property and equipment in the consolidated balance sheets and are amortized to cost of revenue over their estimated useful life of 5 to 7 years. However, if significant uncertainties exist regarding the future utility of a particular mask set, then its related costs are expensed to research and development at the time the significant uncertainties are identified.</w:t>
      </w:r>
    </w:p>
    <w:p>
      <w:pPr>
        <w:spacing w:after="0" w:line="18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operating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Intangible assets include the costs related to acquired software as well as costs related to software internally developed, or modified solely to meet the Company’s internal requirements, with no substantive plans to market such software at the time of development. The Company develops proprietary design automation software for its MEMS-based resonators. Costs incurred during the preliminary planning and evaluation stage of the project and during post implementation operational stage are expensed as incurred. Costs incurred during the application development stage of the software are capitalized. The Company defines the configuration and coding process as the application development stage. Capitalized internal use software costs are amortized, on a straight-line basis under cost of revenue over the estimated useful life of approximately 2 to 3 years. Purchased intangibles with finite lives are amortized using the straight-line method over the estimated economic lives of the assets of 3 to 5 years.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The Company applies the guidance in Accounting Standards Codification (“ASC”), Topic 842 to individual leases of assets. The Company recognizes a transaction as a lease when it receives substantially all of the economic benefits from and directs the use of specified property, plant and equipment.</w:t>
      </w:r>
    </w:p>
    <w:p>
      <w:pPr>
        <w:spacing w:after="0" w:line="182"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Operating leases are included in right-of-use (“ROU”), assets, accrued expenses and other current liabilities, and lease liabilities in the Company’s consolidated balance sheets. ROU assets represent the Company’s right to use an underlying asset for the lease term and lease liabilities represent the present value of the Company’s obligation to make lease payments arising from the lease. The Company currently does not have any finance leases.</w:t>
      </w:r>
    </w:p>
    <w:p>
      <w:pPr>
        <w:spacing w:after="0" w:line="147" w:lineRule="exact"/>
        <w:rPr>
          <w:sz w:val="20"/>
          <w:szCs w:val="20"/>
          <w:color w:val="auto"/>
        </w:rPr>
      </w:pPr>
    </w:p>
    <w:p>
      <w:pPr>
        <w:jc w:val="both"/>
        <w:ind w:right="240" w:firstLine="509"/>
        <w:spacing w:after="0" w:line="284" w:lineRule="auto"/>
        <w:rPr>
          <w:sz w:val="20"/>
          <w:szCs w:val="20"/>
          <w:color w:val="auto"/>
        </w:rPr>
      </w:pPr>
      <w:r>
        <w:rPr>
          <w:rFonts w:ascii="Arial" w:cs="Arial" w:eastAsia="Arial" w:hAnsi="Arial"/>
          <w:sz w:val="16"/>
          <w:szCs w:val="16"/>
          <w:color w:val="auto"/>
        </w:rPr>
        <w:t>The Company has elected the practical expedient within ASC Topic 842 to not separate lease and non-lease components within lease transactions for all classes of assets. Additionally, the Company has elected the short-term lease exception for all classes of assets and does not apply the recognition requirements for leases of 12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55"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When discount rates implicit in leases cannot be readily determined, the Company uses the applicable incremental borrowing rate at lease commencement to perform lease classification tests on lease components and to measure ROU assets and lease liabilities. The incremental borrowing rate used by the Company was based on the rate of interest that the Company would have to pay to borrow on a collateralized basis over a similar term, an amount equal to the lease payments in a similar economic environment.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08"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estimated fair value of the assets.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determined that no events or changes in circumstances indicate that impairment of its long-lived assets has occurred.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income (loss). The warranty reserve is calculated using historical claim information to project future warranty claims activity and is recorded within accrued expenses and other current liabilities and other non-current liabilities on the consolidated balance sheets based on the expected timing of the related payments. To date, the Company has had negligible returns of any defective products, and hence the warranty reserve balances as of December 31, 2021 and 2020 were less than $0.1 million.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 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spacing w:after="0" w:line="159"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Tax Cuts and Jobs Act of 2017 (the “Tax Act”) and The Coronavirus Aid, Relief, and Economic Security (“CARES Act”) , make broad and complex changes to the U.S. tax code. These computations require significant judgments and estimates to be made regarding the interpretation of the provisions within the Tax Act along with the preparation and analysis of information not previously required.</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spacing w:after="0" w:line="18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income (loss). To the extent that accrued interest and penalties do not ultimately become payable, amounts accrued will be reduced and reflected as a reduction of the overall provision for income taxes in the period that such determination is made.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Company derives revenue from its product sales to distributors and resellers, who in turn sell to original equipment manufacturers or other end customers. The Company recognizes product revenue, at a point in time, upon shipment when it satisfies its performance obligations as evidenced by the transfer of control of its products to customers. The Company measures revenue based on the amount of consideration it expects to be entitled to in exchange for products. Variable consideration is estimated and reflected as an adjustment to the transaction price. The Company determines variable consideration, which consists primarily of price adjustments and product returns by estimating the amount of consideration the Company expects to receive from its customers based on historical experience of price adjustments and product returns. Initial estimates of price adjustments and product returns are updated at the end of each reporting period if additional information becomes available.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spacing w:after="0" w:line="180"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spacing w:after="0" w:line="12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As a practical expedient, the Company records the incremental costs of obtaining a contract, consisting primarily of sales commissions, when incurred because the amortization period is one year or less. These costs are recorded within sales and marketing expenses. The Company entered into a distribution agreement with MegaChips, whereby the Company appointed MegaChips as the exclusive distributor of its products in Japan. The Company recognizes revenue upon shipment derived from sales of products through MegaChips in the amount of expected payments from parties which purchased the products as adjusted for estimated price concessions and product returns. In connection with the Company's efforts to contract directly with distributors in Japan, the Company and MegaChips mutually terminated the Distribution Agreement effective November 3, 2021.</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 write-downs, amortization of internally developed software, shipping and handling costs, and allocation of overhead and facility costs. The Company also includes credits for rebates received from foundries in cost of revenue.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Research and development costs consist primarily of personnel cost, material cost, and facilities related expenses, incurred in the course of planned research and development of new products. Research and development costs are expensed as incurred.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engineering services</w:t>
      </w:r>
    </w:p>
    <w:p>
      <w:pPr>
        <w:spacing w:after="0" w:line="10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Company has certain contracts to provide non-recurring engineering (NRE) services for research and development arrangements through 2023, which do not meet the requirement to be accounted for under ASC 606, Revenue from Contracts with Customers. The Company recognizes the payments received under these NRE arrangements as liabilities and recognizes them as an offset to research and development expense as the company achieve the milestones of the contract. As the progress towards completion occurs, the Company uses an input method based on the ratio of costs incurred to date to total estimated costs of the project. Significant judgment is required to estimate the remaining effort to complete the project. These estimates are reassessed throughout the term of the arrangement. A liability of $5.7 million and $0.5 million was recorded as accrued expenses and other current liabilities, and other non-current liabilities, respectively, in the consolidated balance sheet as of December 31, 2021. For the year ended December 31, 2021, the Company recorded $2.4 million as a reduction of research and development expenses in the consolidated statement of operations. There were no reduction of research and development expenses recorded during the years ended December 31, 2020 and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08"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Selling, general and administrative expenses primarily consist of personnel costs, field application engineering support, travel costs, professional and consulting fees, accounting and audit fees, legal, advertising expenses, and allocated overhead costs. Selling, general and administrative costs are expensed as incurred. Advertising expenses were $1.5 million, $0.3 million and $0.3 million, for the years ended December 31, 2021, 2020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The Company grants restricted stock units (“RSUs”) of its own common stock and such grants are valued at the fair market value of the Company’s stock on the date of the grant and recognizes the compensation expense using the straight-line method over the requisite service period.</w:t>
      </w:r>
    </w:p>
    <w:p>
      <w:pPr>
        <w:spacing w:after="0" w:line="39"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The Company amortizes stock-based compensation expense for time-based awards under the straight-line attribution method over the vesting period. Stock-based compensation expense for performance-based awards is recognized when it becomes probable that the performance conditions will be met. The Company amortizes stock-based compensation expense for performance-based awards using the accelerated method.</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forfeitures as they occur.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Common Stockholders</w:t>
      </w:r>
    </w:p>
    <w:p>
      <w:pPr>
        <w:spacing w:after="0" w:line="10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Basic net income (loss) per share attributable to common stockholders is calculated by dividing the net income (loss) attributable to common stockholders by the weighted-average number of shares of common stock outstanding during the period, without consideration for potentially dilutive securities. Diluted net income (loss) per share is computed by dividing the net income (loss) attributable to common stockholders by the weighted-average number of shares of common stock and potentially dilutive securities outstanding for the period. Refer to "Note 3 - Net Income (Loss) Per Share" for further discussion regarding potentially dilutive and anti-dilutive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Comprehensive Income (Loss)</w:t>
      </w:r>
    </w:p>
    <w:p>
      <w:pPr>
        <w:spacing w:after="0" w:line="108"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Company has no components of other comprehensive income loss. Therefore, net income (loss) equals comprehensive income (loss) for all periods presented.</w:t>
      </w:r>
    </w:p>
    <w:p>
      <w:pPr>
        <w:spacing w:after="0" w:line="275" w:lineRule="exact"/>
        <w:rPr>
          <w:sz w:val="20"/>
          <w:szCs w:val="20"/>
          <w:color w:val="auto"/>
        </w:rPr>
      </w:pPr>
    </w:p>
    <w:p>
      <w:pPr>
        <w:ind w:right="8140" w:firstLine="8"/>
        <w:spacing w:after="0" w:line="470" w:lineRule="auto"/>
        <w:tabs>
          <w:tab w:leader="none" w:pos="1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Recently Adopted Accounting Guidance</w:t>
      </w:r>
    </w:p>
    <w:p>
      <w:pPr>
        <w:spacing w:after="0" w:line="12"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In December 2019, the Financial Accounting Standard Board (“FASB”) issued Accounting Standard Update (“ASU”) 2019-12, Income Taxes (Topic 740): Simplifying the Accounting for Income Taxes, which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adoption of this standard on January 1, 2021 did not have any impact on the Company’s consolidated financial position, results of operations, cash flows or financial disclosures.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computation of basic and diluted net income (loss) per share attributable to common stockholders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40" w:right="420"/>
        <w:spacing w:after="0" w:line="275" w:lineRule="auto"/>
        <w:rPr>
          <w:sz w:val="20"/>
          <w:szCs w:val="20"/>
          <w:color w:val="auto"/>
        </w:rPr>
      </w:pPr>
      <w:r>
        <w:rPr>
          <w:rFonts w:ascii="Arial" w:cs="Arial" w:eastAsia="Arial" w:hAnsi="Arial"/>
          <w:sz w:val="17"/>
          <w:szCs w:val="17"/>
          <w:color w:val="auto"/>
        </w:rPr>
        <w:t>Net income (loss) attributable to common stockholders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-283210</wp:posOffset>
            </wp:positionV>
            <wp:extent cx="570039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-635</wp:posOffset>
            </wp:positionV>
            <wp:extent cx="5700395" cy="240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ind w:left="1320"/>
        <w:spacing w:after="0" w:line="203" w:lineRule="auto"/>
        <w:rPr>
          <w:sz w:val="20"/>
          <w:szCs w:val="20"/>
          <w:color w:val="auto"/>
        </w:rPr>
      </w:pPr>
      <w:r>
        <w:rPr>
          <w:rFonts w:ascii="Arial" w:cs="Arial" w:eastAsia="Arial" w:hAnsi="Arial"/>
          <w:sz w:val="18"/>
          <w:szCs w:val="18"/>
          <w:color w:val="auto"/>
        </w:rPr>
        <w:t>Weighted average shares used to</w:t>
      </w:r>
    </w:p>
    <w:p>
      <w:pPr>
        <w:ind w:left="1460"/>
        <w:spacing w:after="0" w:line="235" w:lineRule="auto"/>
        <w:rPr>
          <w:sz w:val="20"/>
          <w:szCs w:val="20"/>
          <w:color w:val="auto"/>
        </w:rPr>
      </w:pPr>
      <w:r>
        <w:rPr>
          <w:rFonts w:ascii="Arial" w:cs="Arial" w:eastAsia="Arial" w:hAnsi="Arial"/>
          <w:sz w:val="18"/>
          <w:szCs w:val="18"/>
          <w:color w:val="auto"/>
        </w:rPr>
        <w:t>compute basic net income (loss) per share</w:t>
      </w:r>
    </w:p>
    <w:p>
      <w:pPr>
        <w:ind w:left="1320"/>
        <w:spacing w:after="0"/>
        <w:rPr>
          <w:sz w:val="20"/>
          <w:szCs w:val="20"/>
          <w:color w:val="auto"/>
        </w:rPr>
      </w:pPr>
      <w:r>
        <w:rPr>
          <w:rFonts w:ascii="Arial" w:cs="Arial" w:eastAsia="Arial" w:hAnsi="Arial"/>
          <w:sz w:val="17"/>
          <w:szCs w:val="17"/>
          <w:color w:val="auto"/>
        </w:rPr>
        <w:t>Dilutive effect of employee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12065</wp:posOffset>
            </wp:positionV>
            <wp:extent cx="5700395"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ind w:left="1320"/>
        <w:spacing w:after="0" w:line="227" w:lineRule="auto"/>
        <w:rPr>
          <w:sz w:val="20"/>
          <w:szCs w:val="20"/>
          <w:color w:val="auto"/>
        </w:rPr>
      </w:pPr>
      <w:r>
        <w:rPr>
          <w:rFonts w:ascii="Arial" w:cs="Arial" w:eastAsia="Arial" w:hAnsi="Arial"/>
          <w:sz w:val="18"/>
          <w:szCs w:val="18"/>
          <w:color w:val="auto"/>
        </w:rPr>
        <w:t>Weighted average shares used to</w:t>
      </w:r>
    </w:p>
    <w:p>
      <w:pPr>
        <w:ind w:left="1460"/>
        <w:spacing w:after="0" w:line="235" w:lineRule="auto"/>
        <w:rPr>
          <w:sz w:val="20"/>
          <w:szCs w:val="20"/>
          <w:color w:val="auto"/>
        </w:rPr>
      </w:pPr>
      <w:r>
        <w:rPr>
          <w:rFonts w:ascii="Arial" w:cs="Arial" w:eastAsia="Arial" w:hAnsi="Arial"/>
          <w:sz w:val="18"/>
          <w:szCs w:val="18"/>
          <w:color w:val="auto"/>
        </w:rPr>
        <w:t>compute diluted net income (loss) per share</w:t>
      </w:r>
    </w:p>
    <w:p>
      <w:pPr>
        <w:ind w:left="1320"/>
        <w:spacing w:after="0" w:line="203" w:lineRule="auto"/>
        <w:rPr>
          <w:sz w:val="20"/>
          <w:szCs w:val="20"/>
          <w:color w:val="auto"/>
        </w:rPr>
      </w:pPr>
      <w:r>
        <w:rPr>
          <w:rFonts w:ascii="Arial" w:cs="Arial" w:eastAsia="Arial" w:hAnsi="Arial"/>
          <w:sz w:val="18"/>
          <w:szCs w:val="18"/>
          <w:color w:val="auto"/>
        </w:rPr>
        <w:t>Net income (loss) attributable to common</w:t>
      </w:r>
    </w:p>
    <w:p>
      <w:pPr>
        <w:ind w:left="1460"/>
        <w:spacing w:after="0" w:line="235" w:lineRule="auto"/>
        <w:rPr>
          <w:sz w:val="20"/>
          <w:szCs w:val="20"/>
          <w:color w:val="auto"/>
        </w:rPr>
      </w:pPr>
      <w:r>
        <w:rPr>
          <w:rFonts w:ascii="Arial" w:cs="Arial" w:eastAsia="Arial" w:hAnsi="Arial"/>
          <w:sz w:val="18"/>
          <w:szCs w:val="18"/>
          <w:color w:val="auto"/>
        </w:rPr>
        <w:t>stockholders per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ind w:left="1320"/>
        <w:spacing w:after="0" w:line="203" w:lineRule="auto"/>
        <w:rPr>
          <w:sz w:val="20"/>
          <w:szCs w:val="20"/>
          <w:color w:val="auto"/>
        </w:rPr>
      </w:pPr>
      <w:r>
        <w:rPr>
          <w:rFonts w:ascii="Arial" w:cs="Arial" w:eastAsia="Arial" w:hAnsi="Arial"/>
          <w:sz w:val="18"/>
          <w:szCs w:val="18"/>
          <w:color w:val="auto"/>
        </w:rPr>
        <w:t>Net income (loss) attributable to common</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stockholders per share, diluted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155"/>
        </w:trPr>
        <w:tc>
          <w:tcPr>
            <w:tcW w:w="260" w:type="dxa"/>
            <w:vAlign w:val="bottom"/>
          </w:tcPr>
          <w:p>
            <w:pPr>
              <w:spacing w:after="0"/>
              <w:rPr>
                <w:sz w:val="13"/>
                <w:szCs w:val="13"/>
                <w:color w:val="auto"/>
              </w:rPr>
            </w:pPr>
          </w:p>
        </w:tc>
        <w:tc>
          <w:tcPr>
            <w:tcW w:w="2780" w:type="dxa"/>
            <w:vAlign w:val="bottom"/>
            <w:gridSpan w:val="6"/>
          </w:tcPr>
          <w:p>
            <w:pPr>
              <w:jc w:val="right"/>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32,277</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(9,372 )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(6,607 )</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7"/>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19,006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16,064</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10,558</w:t>
            </w:r>
          </w:p>
        </w:tc>
        <w:tc>
          <w:tcPr>
            <w:tcW w:w="80" w:type="dxa"/>
            <w:vAlign w:val="bottom"/>
          </w:tcPr>
          <w:p>
            <w:pPr>
              <w:spacing w:after="0"/>
              <w:rPr>
                <w:sz w:val="24"/>
                <w:szCs w:val="24"/>
                <w:color w:val="auto"/>
              </w:rPr>
            </w:pPr>
          </w:p>
        </w:tc>
      </w:tr>
      <w:tr>
        <w:trPr>
          <w:trHeight w:val="217"/>
        </w:trPr>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331"/>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21,144</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16,064</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80" w:type="dxa"/>
            <w:vAlign w:val="bottom"/>
          </w:tcPr>
          <w:p>
            <w:pPr>
              <w:spacing w:after="0"/>
              <w:rPr>
                <w:sz w:val="24"/>
                <w:szCs w:val="24"/>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(0.58 )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(0.63 )</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(0.58 )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(0.63 )</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5520" w:space="720"/>
            <w:col w:w="5000"/>
          </w:cols>
          <w:pgMar w:left="320" w:top="648" w:right="339" w:bottom="1440" w:gutter="0" w:footer="0" w:header="0"/>
          <w:type w:val="continuous"/>
        </w:sectPr>
      </w:pPr>
    </w:p>
    <w:p>
      <w:pPr>
        <w:ind w:right="120"/>
        <w:spacing w:after="0" w:line="248" w:lineRule="auto"/>
        <w:rPr>
          <w:sz w:val="20"/>
          <w:szCs w:val="20"/>
          <w:color w:val="auto"/>
        </w:rPr>
      </w:pPr>
      <w:r>
        <w:rPr>
          <w:rFonts w:ascii="Arial" w:cs="Arial" w:eastAsia="Arial" w:hAnsi="Arial"/>
          <w:sz w:val="18"/>
          <w:szCs w:val="18"/>
          <w:color w:val="auto"/>
        </w:rPr>
        <w:t>Potential dilutive securities include dilutive common shares from share-based awards attributable to the assumed exercise of vested restricted stock units using the treasury stock method. Under the treasury stock method, potential common shares outstanding are not included in the computation of diluted net income per share if their effect is anti-dilutive.</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year ended December 31, 2021, 2020 and 2019 the Company had 3,955, 2,095,135 and 118,545 potential shares from share-based awards that are anti-dilutive, respectively. Anti-dilutive potential shares from share-based awards are excluded from the calculation of diluted loss per share for the years ended December 31, 2020 and 2019 due to the net losses reported in these periods.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4. Balance Sheets Components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Accounts receivable, net consisted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8"/>
          </w:tcPr>
          <w:p>
            <w:pPr>
              <w:jc w:val="right"/>
              <w:ind w:right="468"/>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3"/>
              </w:rPr>
              <w:t>December 31, 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8"/>
          </w:tcPr>
          <w:p>
            <w:pPr>
              <w:jc w:val="right"/>
              <w:ind w:right="188"/>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receivable, gross</w:t>
            </w:r>
          </w:p>
        </w:tc>
        <w:tc>
          <w:tcPr>
            <w:tcW w:w="11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38,426</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gridSpan w:val="4"/>
            <w:shd w:val="clear" w:color="auto" w:fill="CFF0FC"/>
          </w:tcPr>
          <w:p>
            <w:pPr>
              <w:jc w:val="right"/>
              <w:ind w:right="408"/>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23,970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Allowance for credit losses</w:t>
            </w:r>
          </w:p>
        </w:tc>
        <w:tc>
          <w:tcPr>
            <w:tcW w:w="10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(50 )</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(50 )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Accounts receivable, net</w:t>
            </w: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38,376</w:t>
            </w:r>
          </w:p>
        </w:tc>
        <w:tc>
          <w:tcPr>
            <w:tcW w:w="6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gridSpan w:val="4"/>
            <w:shd w:val="clear" w:color="auto" w:fill="CFF0FC"/>
          </w:tcPr>
          <w:p>
            <w:pPr>
              <w:jc w:val="right"/>
              <w:ind w:right="408"/>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23,920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Inventory</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00" w:type="dxa"/>
            <w:vAlign w:val="bottom"/>
            <w:gridSpan w:val="2"/>
          </w:tcPr>
          <w:p>
            <w:pPr>
              <w:ind w:left="520"/>
              <w:spacing w:after="0"/>
              <w:rPr>
                <w:sz w:val="20"/>
                <w:szCs w:val="20"/>
                <w:color w:val="auto"/>
              </w:rPr>
            </w:pPr>
            <w:r>
              <w:rPr>
                <w:rFonts w:ascii="Arial" w:cs="Arial" w:eastAsia="Arial" w:hAnsi="Arial"/>
                <w:sz w:val="18"/>
                <w:szCs w:val="18"/>
                <w:color w:val="auto"/>
              </w:rPr>
              <w:t>Inventory consisted of the following:</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jc w:val="center"/>
              <w:ind w:left="315"/>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December 31, 2021</w:t>
            </w: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December 31, 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8"/>
          </w:tcPr>
          <w:p>
            <w:pPr>
              <w:jc w:val="center"/>
              <w:ind w:left="315"/>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Raw materials</w:t>
            </w:r>
          </w:p>
        </w:tc>
        <w:tc>
          <w:tcPr>
            <w:tcW w:w="1560" w:type="dxa"/>
            <w:vAlign w:val="bottom"/>
            <w:gridSpan w:val="4"/>
            <w:shd w:val="clear" w:color="auto" w:fill="CFF0FC"/>
          </w:tcPr>
          <w:p>
            <w:pPr>
              <w:ind w:left="1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1,841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gridSpan w:val="4"/>
            <w:shd w:val="clear" w:color="auto" w:fill="CFF0FC"/>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435</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Work in progress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16,963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10,184</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4,826</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1,731</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Total inventories</w:t>
            </w:r>
          </w:p>
        </w:tc>
        <w:tc>
          <w:tcPr>
            <w:tcW w:w="1560" w:type="dxa"/>
            <w:vAlign w:val="bottom"/>
            <w:gridSpan w:val="4"/>
          </w:tcPr>
          <w:p>
            <w:pPr>
              <w:ind w:left="116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23,630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4"/>
          </w:tcPr>
          <w:p>
            <w:pPr>
              <w:jc w:val="right"/>
              <w:ind w:right="348"/>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12,350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5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00" w:type="dxa"/>
            <w:vAlign w:val="bottom"/>
            <w:gridSpan w:val="2"/>
          </w:tcPr>
          <w:p>
            <w:pPr>
              <w:ind w:left="520"/>
              <w:spacing w:after="0"/>
              <w:rPr>
                <w:sz w:val="20"/>
                <w:szCs w:val="20"/>
                <w:color w:val="auto"/>
              </w:rPr>
            </w:pPr>
            <w:r>
              <w:rPr>
                <w:rFonts w:ascii="Arial" w:cs="Arial" w:eastAsia="Arial" w:hAnsi="Arial"/>
                <w:sz w:val="18"/>
                <w:szCs w:val="18"/>
                <w:color w:val="auto"/>
                <w:w w:val="89"/>
              </w:rPr>
              <w:t>Prepaid expenses and other current assets consisted of the following:</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jc w:val="center"/>
              <w:ind w:left="275"/>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December 31, 2021</w:t>
            </w: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December 31, 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8"/>
          </w:tcPr>
          <w:p>
            <w:pPr>
              <w:jc w:val="center"/>
              <w:ind w:left="275"/>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Advance to suppliers</w:t>
            </w:r>
          </w:p>
        </w:tc>
        <w:tc>
          <w:tcPr>
            <w:tcW w:w="1560" w:type="dxa"/>
            <w:vAlign w:val="bottom"/>
            <w:gridSpan w:val="4"/>
            <w:shd w:val="clear" w:color="auto" w:fill="CFF0FC"/>
          </w:tcPr>
          <w:p>
            <w:pPr>
              <w:ind w:left="1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4"/>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4"/>
            <w:shd w:val="clear" w:color="auto" w:fill="CFF0FC"/>
          </w:tcPr>
          <w:p>
            <w:pPr>
              <w:jc w:val="right"/>
              <w:ind w:right="368"/>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853</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1,074</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current assets</w:t>
            </w:r>
          </w:p>
        </w:tc>
        <w:tc>
          <w:tcPr>
            <w:tcW w:w="10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2,078</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722</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Total prepaid and other current assets</w:t>
            </w:r>
          </w:p>
        </w:tc>
        <w:tc>
          <w:tcPr>
            <w:tcW w:w="1560" w:type="dxa"/>
            <w:vAlign w:val="bottom"/>
            <w:gridSpan w:val="4"/>
          </w:tcPr>
          <w:p>
            <w:pPr>
              <w:ind w:left="116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4"/>
          </w:tcPr>
          <w:p>
            <w:pPr>
              <w:jc w:val="right"/>
              <w:ind w:right="368"/>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2,649</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0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consisted of the following:</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jc w:val="right"/>
              <w:ind w:right="428"/>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8"/>
          </w:tcPr>
          <w:p>
            <w:pPr>
              <w:jc w:val="right"/>
              <w:ind w:right="148"/>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Lab and manufacturing equipment</w:t>
            </w:r>
          </w:p>
        </w:tc>
        <w:tc>
          <w:tcPr>
            <w:tcW w:w="1560" w:type="dxa"/>
            <w:vAlign w:val="bottom"/>
            <w:gridSpan w:val="4"/>
            <w:shd w:val="clear" w:color="auto" w:fill="CFF0FC"/>
          </w:tcPr>
          <w:p>
            <w:pPr>
              <w:ind w:left="1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44,283</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gridSpan w:val="4"/>
            <w:shd w:val="clear" w:color="auto" w:fill="CFF0FC"/>
          </w:tcPr>
          <w:p>
            <w:pPr>
              <w:jc w:val="right"/>
              <w:ind w:right="368"/>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21,958</w:t>
            </w:r>
          </w:p>
        </w:tc>
        <w:tc>
          <w:tcPr>
            <w:tcW w:w="120" w:type="dxa"/>
            <w:vAlign w:val="bottom"/>
            <w:tcBorders>
              <w:right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1,977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1,121</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120" w:type="dxa"/>
            <w:vAlign w:val="bottom"/>
            <w:tcBorders>
              <w:right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7,100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638</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0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5,211</w:t>
            </w: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4,134</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59,004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28,088</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0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0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(21,102 )</w:t>
            </w:r>
          </w:p>
        </w:tc>
        <w:tc>
          <w:tcPr>
            <w:tcW w:w="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860" w:type="dxa"/>
            <w:vAlign w:val="bottom"/>
            <w:tcBorders>
              <w:right w:val="single" w:sz="8" w:color="CFF0FC"/>
            </w:tcBorders>
            <w:gridSpan w:val="2"/>
            <w:shd w:val="clear" w:color="auto" w:fill="CFF0FC"/>
          </w:tcPr>
          <w:p>
            <w:pPr>
              <w:jc w:val="right"/>
              <w:ind w:right="40"/>
              <w:spacing w:after="0" w:line="378" w:lineRule="exact"/>
              <w:rPr>
                <w:sz w:val="20"/>
                <w:szCs w:val="20"/>
                <w:color w:val="auto"/>
              </w:rPr>
            </w:pPr>
            <w:r>
              <w:rPr>
                <w:rFonts w:ascii="Arial" w:cs="Arial" w:eastAsia="Arial" w:hAnsi="Arial"/>
                <w:sz w:val="18"/>
                <w:szCs w:val="18"/>
                <w:color w:val="auto"/>
              </w:rPr>
              <w:t xml:space="preserve">(16,380 </w:t>
            </w:r>
            <w:r>
              <w:rPr>
                <w:rFonts w:ascii="Arial" w:cs="Arial" w:eastAsia="Arial" w:hAnsi="Arial"/>
                <w:sz w:val="35"/>
                <w:szCs w:val="35"/>
                <w:color w:val="auto"/>
                <w:vertAlign w:val="subscript"/>
              </w:rPr>
              <w: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8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1120" w:type="dxa"/>
            <w:vAlign w:val="bottom"/>
            <w:tcBorders>
              <w:top w:val="single" w:sz="8" w:color="CFF0FC"/>
            </w:tcBorders>
            <w:gridSpan w:val="2"/>
          </w:tcPr>
          <w:p>
            <w:pPr>
              <w:spacing w:after="0"/>
              <w:rPr>
                <w:sz w:val="17"/>
                <w:szCs w:val="17"/>
                <w:color w:val="auto"/>
              </w:rPr>
            </w:pPr>
          </w:p>
        </w:tc>
        <w:tc>
          <w:tcPr>
            <w:tcW w:w="44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37,902</w:t>
            </w:r>
          </w:p>
        </w:tc>
        <w:tc>
          <w:tcPr>
            <w:tcW w:w="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gridSpan w:val="3"/>
          </w:tcPr>
          <w:p>
            <w:pPr>
              <w:jc w:val="right"/>
              <w:ind w:right="368"/>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11,708</w:t>
            </w:r>
          </w:p>
        </w:tc>
        <w:tc>
          <w:tcPr>
            <w:tcW w:w="12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40" w:type="dxa"/>
            <w:vAlign w:val="bottom"/>
            <w:vMerge w:val="restart"/>
          </w:tcPr>
          <w:p>
            <w:pPr>
              <w:jc w:val="right"/>
              <w:ind w:right="730"/>
              <w:spacing w:after="0"/>
              <w:rPr>
                <w:sz w:val="20"/>
                <w:szCs w:val="20"/>
                <w:color w:val="auto"/>
              </w:rPr>
            </w:pPr>
            <w:r>
              <w:rPr>
                <w:rFonts w:ascii="Arial" w:cs="Arial" w:eastAsia="Arial" w:hAnsi="Arial"/>
                <w:sz w:val="18"/>
                <w:szCs w:val="18"/>
                <w:color w:val="auto"/>
                <w:w w:val="99"/>
              </w:rPr>
              <w:t>66</w:t>
            </w: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-6094095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-6076950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-4565650</wp:posOffset>
            </wp:positionV>
            <wp:extent cx="431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-4565650</wp:posOffset>
            </wp:positionV>
            <wp:extent cx="342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-2859405</wp:posOffset>
            </wp:positionV>
            <wp:extent cx="431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-2859405</wp:posOffset>
            </wp:positionV>
            <wp:extent cx="3429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-1016635</wp:posOffset>
            </wp:positionV>
            <wp:extent cx="768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-1016635</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-639445</wp:posOffset>
            </wp:positionV>
            <wp:extent cx="768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-639445</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7" w:name="page68"/>
    <w:bookmarkEnd w:id="67"/>
    <w:p>
      <w:pPr>
        <w:ind w:right="280" w:firstLine="509"/>
        <w:spacing w:after="0" w:line="261" w:lineRule="auto"/>
        <w:rPr>
          <w:sz w:val="20"/>
          <w:szCs w:val="20"/>
          <w:color w:val="auto"/>
        </w:rPr>
      </w:pPr>
      <w:r>
        <w:rPr>
          <w:rFonts w:ascii="Arial" w:cs="Arial" w:eastAsia="Arial" w:hAnsi="Arial"/>
          <w:sz w:val="18"/>
          <w:szCs w:val="18"/>
          <w:color w:val="auto"/>
        </w:rPr>
        <w:t>Depreciation expense related to property and equipment was $5.7 million, $3.7 million, and $3.3 million for the years ended December 31, 2021, 2020 and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7"/>
                <w:szCs w:val="17"/>
                <w:color w:val="auto"/>
              </w:rPr>
            </w:pPr>
          </w:p>
        </w:tc>
        <w:tc>
          <w:tcPr>
            <w:tcW w:w="128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w w:val="90"/>
              </w:rPr>
              <w:t>Gross Assets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1"/>
                <w:szCs w:val="11"/>
                <w:color w:val="auto"/>
              </w:rPr>
            </w:pPr>
          </w:p>
        </w:tc>
        <w:tc>
          <w:tcPr>
            <w:tcW w:w="9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6"/>
              </w:rPr>
              <w:t>Gross Assets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Net Assets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Amortization</w:t>
            </w: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6"/>
          </w:tcPr>
          <w:p>
            <w:pPr>
              <w:ind w:left="7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Internal use software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9,434</w:t>
            </w:r>
          </w:p>
        </w:tc>
        <w:tc>
          <w:tcPr>
            <w:tcW w:w="38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(8,633 )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9,377</w:t>
            </w:r>
          </w:p>
        </w:tc>
        <w:tc>
          <w:tcPr>
            <w:tcW w:w="460" w:type="dxa"/>
            <w:vAlign w:val="bottom"/>
            <w:gridSpan w:val="3"/>
            <w:shd w:val="clear" w:color="auto" w:fill="CFF0FC"/>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(8,312 )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Purchased intangibles</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11,703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(6,527 )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21,137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(15,160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15,040</w:t>
            </w:r>
          </w:p>
        </w:tc>
        <w:tc>
          <w:tcPr>
            <w:tcW w:w="80" w:type="dxa"/>
            <w:vAlign w:val="bottom"/>
            <w:tcBorders>
              <w:top w:val="single" w:sz="8" w:color="auto"/>
              <w:bottom w:val="single" w:sz="8" w:color="auto"/>
              <w:right w:val="single" w:sz="8" w:color="CFF0FC"/>
            </w:tcBorders>
            <w:shd w:val="clear" w:color="auto" w:fill="CFF0FC"/>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82"/>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(12,971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-24765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ind w:right="40" w:firstLine="509"/>
        <w:spacing w:after="0" w:line="259" w:lineRule="auto"/>
        <w:rPr>
          <w:sz w:val="20"/>
          <w:szCs w:val="20"/>
          <w:color w:val="auto"/>
        </w:rPr>
      </w:pPr>
      <w:r>
        <w:rPr>
          <w:rFonts w:ascii="Arial" w:cs="Arial" w:eastAsia="Arial" w:hAnsi="Arial"/>
          <w:sz w:val="17"/>
          <w:szCs w:val="17"/>
          <w:color w:val="auto"/>
        </w:rPr>
        <w:t>Amortization expense for intangible assets was $2.2 million, $2.7 million, and $4.9 million, for the years ended December 31, 2021, 2020 and 2019, respectively. During the year ended December 31, 2021, the Company purchased and capitalized software costs of $6.0 million to support research and development efforts. During the year ended December 31, 2020, the Company recorded impairment charges of $1.0 million related to capitalized cost of software that was within the development phase and was being developed solely to meet the Company’s internal needs. The impairment charge was recorded as research and development expense in the consolidated statement of operations.</w:t>
      </w:r>
    </w:p>
    <w:p>
      <w:pPr>
        <w:spacing w:after="0" w:line="17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As of December 31, 2021 and 2020, the Company had $0.8 million and $0.7 million, respectively, of intangibles that were still in development stage and were not being amortized. The estimated aggregate future amortization expense for intangible assets in development stage and subject to amortization as of December 31, 2021 is summarized as below:</w:t>
      </w:r>
    </w:p>
    <w:p>
      <w:pPr>
        <w:spacing w:after="0" w:line="92" w:lineRule="exact"/>
        <w:rPr>
          <w:sz w:val="20"/>
          <w:szCs w:val="20"/>
          <w:color w:val="auto"/>
        </w:rPr>
      </w:pPr>
    </w:p>
    <w:tbl>
      <w:tblPr>
        <w:tblLayout w:type="fixed"/>
        <w:tblInd w:w="422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6"/>
                <w:szCs w:val="16"/>
                <w:color w:val="auto"/>
              </w:rPr>
            </w:pPr>
          </w:p>
        </w:tc>
      </w:tr>
      <w:tr>
        <w:trPr>
          <w:trHeight w:val="183"/>
        </w:trPr>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December 31, 2021</w:t>
            </w:r>
          </w:p>
        </w:tc>
        <w:tc>
          <w:tcPr>
            <w:tcW w:w="40" w:type="dxa"/>
            <w:vAlign w:val="bottom"/>
          </w:tcPr>
          <w:p>
            <w:pPr>
              <w:spacing w:after="0"/>
              <w:rPr>
                <w:sz w:val="15"/>
                <w:szCs w:val="15"/>
                <w:color w:val="auto"/>
              </w:rPr>
            </w:pPr>
          </w:p>
        </w:tc>
      </w:tr>
      <w:tr>
        <w:trPr>
          <w:trHeight w:val="188"/>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6"/>
                <w:szCs w:val="16"/>
                <w:color w:val="auto"/>
              </w:rPr>
            </w:pPr>
          </w:p>
        </w:tc>
      </w:tr>
      <w:tr>
        <w:trPr>
          <w:trHeight w:val="211"/>
        </w:trPr>
        <w:tc>
          <w:tcPr>
            <w:tcW w:w="116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89"/>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40" w:type="dxa"/>
            <w:vAlign w:val="bottom"/>
            <w:shd w:val="clear" w:color="auto" w:fill="CCEEFF"/>
          </w:tcPr>
          <w:p>
            <w:pPr>
              <w:spacing w:after="0"/>
              <w:rPr>
                <w:sz w:val="18"/>
                <w:szCs w:val="18"/>
                <w:color w:val="auto"/>
              </w:rPr>
            </w:pPr>
          </w:p>
        </w:tc>
      </w:tr>
      <w:tr>
        <w:trPr>
          <w:trHeight w:val="203"/>
        </w:trPr>
        <w:tc>
          <w:tcPr>
            <w:tcW w:w="1160" w:type="dxa"/>
            <w:vAlign w:val="bottom"/>
          </w:tcPr>
          <w:p>
            <w:pPr>
              <w:jc w:val="right"/>
              <w:ind w:right="690"/>
              <w:spacing w:after="0" w:line="202" w:lineRule="exact"/>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2,207</w:t>
            </w:r>
          </w:p>
        </w:tc>
        <w:tc>
          <w:tcPr>
            <w:tcW w:w="40" w:type="dxa"/>
            <w:vAlign w:val="bottom"/>
          </w:tcPr>
          <w:p>
            <w:pPr>
              <w:spacing w:after="0"/>
              <w:rPr>
                <w:sz w:val="17"/>
                <w:szCs w:val="17"/>
                <w:color w:val="auto"/>
              </w:rPr>
            </w:pPr>
          </w:p>
        </w:tc>
      </w:tr>
      <w:tr>
        <w:trPr>
          <w:trHeight w:val="203"/>
        </w:trPr>
        <w:tc>
          <w:tcPr>
            <w:tcW w:w="1160" w:type="dxa"/>
            <w:vAlign w:val="bottom"/>
            <w:shd w:val="clear" w:color="auto" w:fill="CFF0FC"/>
          </w:tcPr>
          <w:p>
            <w:pPr>
              <w:jc w:val="right"/>
              <w:ind w:right="690"/>
              <w:spacing w:after="0" w:line="202" w:lineRule="exact"/>
              <w:rPr>
                <w:sz w:val="20"/>
                <w:szCs w:val="20"/>
                <w:color w:val="auto"/>
              </w:rPr>
            </w:pPr>
            <w:r>
              <w:rPr>
                <w:rFonts w:ascii="Arial" w:cs="Arial" w:eastAsia="Arial" w:hAnsi="Arial"/>
                <w:sz w:val="18"/>
                <w:szCs w:val="18"/>
                <w:color w:val="auto"/>
                <w:w w:val="89"/>
              </w:rPr>
              <w:t>2024</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1,311</w:t>
            </w:r>
          </w:p>
        </w:tc>
        <w:tc>
          <w:tcPr>
            <w:tcW w:w="40" w:type="dxa"/>
            <w:vAlign w:val="bottom"/>
            <w:shd w:val="clear" w:color="auto" w:fill="CFF0FC"/>
          </w:tcPr>
          <w:p>
            <w:pPr>
              <w:spacing w:after="0"/>
              <w:rPr>
                <w:sz w:val="17"/>
                <w:szCs w:val="17"/>
                <w:color w:val="auto"/>
              </w:rPr>
            </w:pPr>
          </w:p>
        </w:tc>
      </w:tr>
      <w:tr>
        <w:trPr>
          <w:trHeight w:val="203"/>
        </w:trPr>
        <w:tc>
          <w:tcPr>
            <w:tcW w:w="1160" w:type="dxa"/>
            <w:vAlign w:val="bottom"/>
          </w:tcPr>
          <w:p>
            <w:pPr>
              <w:jc w:val="right"/>
              <w:ind w:right="690"/>
              <w:spacing w:after="0" w:line="202" w:lineRule="exact"/>
              <w:rPr>
                <w:sz w:val="20"/>
                <w:szCs w:val="20"/>
                <w:color w:val="auto"/>
              </w:rPr>
            </w:pPr>
            <w:r>
              <w:rPr>
                <w:rFonts w:ascii="Arial" w:cs="Arial" w:eastAsia="Arial" w:hAnsi="Arial"/>
                <w:sz w:val="18"/>
                <w:szCs w:val="18"/>
                <w:color w:val="auto"/>
                <w:w w:val="89"/>
              </w:rPr>
              <w:t>2025</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40" w:type="dxa"/>
            <w:vAlign w:val="bottom"/>
          </w:tcPr>
          <w:p>
            <w:pPr>
              <w:spacing w:after="0"/>
              <w:rPr>
                <w:sz w:val="17"/>
                <w:szCs w:val="17"/>
                <w:color w:val="auto"/>
              </w:rPr>
            </w:pPr>
          </w:p>
        </w:tc>
      </w:tr>
      <w:tr>
        <w:trPr>
          <w:trHeight w:val="202"/>
        </w:trPr>
        <w:tc>
          <w:tcPr>
            <w:tcW w:w="1160" w:type="dxa"/>
            <w:vAlign w:val="bottom"/>
            <w:tcBorders>
              <w:bottom w:val="single" w:sz="8" w:color="CFF0FC"/>
            </w:tcBorders>
            <w:shd w:val="clear" w:color="auto" w:fill="CFF0FC"/>
          </w:tcPr>
          <w:p>
            <w:pPr>
              <w:jc w:val="right"/>
              <w:ind w:right="690"/>
              <w:spacing w:after="0" w:line="202" w:lineRule="exact"/>
              <w:rPr>
                <w:sz w:val="20"/>
                <w:szCs w:val="20"/>
                <w:color w:val="auto"/>
              </w:rPr>
            </w:pPr>
            <w:r>
              <w:rPr>
                <w:rFonts w:ascii="Arial" w:cs="Arial" w:eastAsia="Arial" w:hAnsi="Arial"/>
                <w:sz w:val="18"/>
                <w:szCs w:val="18"/>
                <w:color w:val="auto"/>
                <w:w w:val="89"/>
              </w:rPr>
              <w:t>2026</w:t>
            </w: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40" w:type="dxa"/>
            <w:vAlign w:val="bottom"/>
            <w:tcBorders>
              <w:bottom w:val="single" w:sz="8" w:color="CFF0FC"/>
            </w:tcBorders>
            <w:shd w:val="clear" w:color="auto" w:fill="CFF0FC"/>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5,977</w:t>
            </w:r>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-159385</wp:posOffset>
            </wp:positionV>
            <wp:extent cx="342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December 31, 2021</w:t>
            </w:r>
          </w:p>
        </w:tc>
        <w:tc>
          <w:tcPr>
            <w:tcW w:w="16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c>
          <w:tcPr>
            <w:tcW w:w="60" w:type="dxa"/>
            <w:vAlign w:val="bottom"/>
          </w:tcPr>
          <w:p>
            <w:pPr>
              <w:spacing w:after="0"/>
              <w:rPr>
                <w:sz w:val="14"/>
                <w:szCs w:val="14"/>
                <w:color w:val="auto"/>
              </w:rPr>
            </w:pPr>
          </w:p>
        </w:tc>
      </w:tr>
      <w:tr>
        <w:trPr>
          <w:trHeight w:val="196"/>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payroll and related benefits</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7,237</w:t>
            </w:r>
          </w:p>
        </w:tc>
        <w:tc>
          <w:tcPr>
            <w:tcW w:w="760" w:type="dxa"/>
            <w:vAlign w:val="bottom"/>
            <w:gridSpan w:val="2"/>
            <w:shd w:val="clear" w:color="auto" w:fill="CFF0FC"/>
          </w:tcPr>
          <w:p>
            <w:pPr>
              <w:jc w:val="right"/>
              <w:ind w:right="399"/>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5,362</w:t>
            </w:r>
          </w:p>
        </w:tc>
        <w:tc>
          <w:tcPr>
            <w:tcW w:w="60" w:type="dxa"/>
            <w:vAlign w:val="bottom"/>
            <w:shd w:val="clear" w:color="auto" w:fill="CFF0FC"/>
          </w:tcPr>
          <w:p>
            <w:pPr>
              <w:spacing w:after="0"/>
              <w:rPr>
                <w:sz w:val="17"/>
                <w:szCs w:val="17"/>
                <w:color w:val="auto"/>
              </w:rPr>
            </w:pPr>
          </w:p>
        </w:tc>
      </w:tr>
      <w:tr>
        <w:trPr>
          <w:trHeight w:val="202"/>
        </w:trPr>
        <w:tc>
          <w:tcPr>
            <w:tcW w:w="4900" w:type="dxa"/>
            <w:vAlign w:val="bottom"/>
          </w:tcPr>
          <w:p>
            <w:pPr>
              <w:spacing w:after="0" w:line="202" w:lineRule="exact"/>
              <w:rPr>
                <w:sz w:val="20"/>
                <w:szCs w:val="20"/>
                <w:color w:val="auto"/>
              </w:rPr>
            </w:pPr>
            <w:r>
              <w:rPr>
                <w:rFonts w:ascii="Arial" w:cs="Arial" w:eastAsia="Arial" w:hAnsi="Arial"/>
                <w:sz w:val="18"/>
                <w:szCs w:val="18"/>
                <w:color w:val="auto"/>
              </w:rPr>
              <w:t>Deferred non-recurring engineering services</w:t>
            </w: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5,666</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 reserves</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4,517</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3,063</w:t>
            </w:r>
          </w:p>
        </w:tc>
        <w:tc>
          <w:tcPr>
            <w:tcW w:w="6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Short term lease liability</w:t>
            </w: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1,336</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1,264</w:t>
            </w:r>
          </w:p>
        </w:tc>
        <w:tc>
          <w:tcPr>
            <w:tcW w:w="6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customer rebates</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w:t>
            </w:r>
          </w:p>
        </w:tc>
        <w:tc>
          <w:tcPr>
            <w:tcW w:w="6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4,742</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2,894</w:t>
            </w:r>
          </w:p>
        </w:tc>
        <w:tc>
          <w:tcPr>
            <w:tcW w:w="60" w:type="dxa"/>
            <w:vAlign w:val="bottom"/>
          </w:tcPr>
          <w:p>
            <w:pPr>
              <w:spacing w:after="0"/>
              <w:rPr>
                <w:sz w:val="17"/>
                <w:szCs w:val="17"/>
                <w:color w:val="auto"/>
              </w:rPr>
            </w:pPr>
          </w:p>
        </w:tc>
      </w:tr>
      <w:tr>
        <w:trPr>
          <w:trHeight w:val="23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24,282</w:t>
            </w:r>
          </w:p>
        </w:tc>
        <w:tc>
          <w:tcPr>
            <w:tcW w:w="1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9"/>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12,963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43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leases real estate property under operating leases.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ind w:right="60" w:firstLine="509"/>
        <w:spacing w:after="0" w:line="259" w:lineRule="auto"/>
        <w:rPr>
          <w:sz w:val="20"/>
          <w:szCs w:val="20"/>
          <w:color w:val="auto"/>
        </w:rPr>
      </w:pPr>
      <w:r>
        <w:rPr>
          <w:rFonts w:ascii="Arial" w:cs="Arial" w:eastAsia="Arial" w:hAnsi="Arial"/>
          <w:sz w:val="17"/>
          <w:szCs w:val="17"/>
          <w:color w:val="auto"/>
        </w:rPr>
        <w:t>The Company signed a non-cancellable operating lease agreement for its corporate headquarters in Santa Clara, California, that commenced on October 20, 2016 and will expire on December 31, 2026. In January 2021, the Company signed an amendment to its Santa Clara office space lease where the lessor provided the Company lease incentives of $0.4 million and extended the term of the lease by three months. The amendment was accounted as a single modified lease and the remaining payments were remeasured using an updated discount rate. The agreement provides for an option to renew for an additional 5 years and for monthly rent payments through the term of the lease.</w:t>
      </w:r>
    </w:p>
    <w:p>
      <w:pPr>
        <w:spacing w:after="0" w:line="1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 leases office space in Santa Clara, Michigan, Malaysia, Japan, Taiwan, the Netherlands, and Ukraine all under non-cancellable operating leases with various expiration dates through March 2027. The remaining lease terms vary from a few months to 6 years. For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composed of common area maintenance and utility charges.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presents the lease-related assets and liabilities recorded on the consolidated balance sheet as of December 31, 2021 and 2020:</w:t>
      </w:r>
    </w:p>
    <w:p>
      <w:pPr>
        <w:spacing w:after="0" w:line="24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30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Right-of-use assets</w:t>
            </w:r>
          </w:p>
        </w:tc>
        <w:tc>
          <w:tcPr>
            <w:tcW w:w="500" w:type="dxa"/>
            <w:vAlign w:val="bottom"/>
            <w:tcBorders>
              <w:bottom w:val="single" w:sz="8" w:color="auto"/>
            </w:tcBorders>
            <w:shd w:val="clear" w:color="auto" w:fill="CFF0FC"/>
          </w:tcPr>
          <w:p>
            <w:pPr>
              <w:jc w:val="right"/>
              <w:ind w:right="316"/>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8,194</w:t>
            </w:r>
          </w:p>
        </w:tc>
        <w:tc>
          <w:tcPr>
            <w:tcW w:w="3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8,892</w:t>
            </w: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line="156" w:lineRule="exact"/>
              <w:rPr>
                <w:sz w:val="20"/>
                <w:szCs w:val="20"/>
                <w:color w:val="auto"/>
              </w:rPr>
            </w:pPr>
            <w:r>
              <w:rPr>
                <w:rFonts w:ascii="Arial" w:cs="Arial" w:eastAsia="Arial" w:hAnsi="Arial"/>
                <w:sz w:val="18"/>
                <w:szCs w:val="18"/>
                <w:color w:val="auto"/>
                <w:w w:val="99"/>
              </w:rPr>
              <w:t>Lease liabilities included in accrued expenses</w:t>
            </w: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1,336</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1,264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40"/>
              <w:spacing w:after="0"/>
              <w:rPr>
                <w:sz w:val="20"/>
                <w:szCs w:val="20"/>
                <w:color w:val="auto"/>
              </w:rPr>
            </w:pPr>
            <w:r>
              <w:rPr>
                <w:rFonts w:ascii="Arial" w:cs="Arial" w:eastAsia="Arial" w:hAnsi="Arial"/>
                <w:sz w:val="18"/>
                <w:szCs w:val="18"/>
                <w:color w:val="auto"/>
              </w:rPr>
              <w:t>and other current liabilities</w:t>
            </w:r>
          </w:p>
        </w:tc>
        <w:tc>
          <w:tcPr>
            <w:tcW w:w="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 liabilities - non-current</w:t>
            </w:r>
          </w:p>
        </w:tc>
        <w:tc>
          <w:tcPr>
            <w:tcW w:w="5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6,398</w:t>
            </w:r>
          </w:p>
        </w:tc>
        <w:tc>
          <w:tcPr>
            <w:tcW w:w="3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6,986</w:t>
            </w: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500" w:type="dxa"/>
            <w:vAlign w:val="bottom"/>
            <w:tcBorders>
              <w:bottom w:val="single" w:sz="8" w:color="auto"/>
            </w:tcBorders>
          </w:tcPr>
          <w:p>
            <w:pPr>
              <w:jc w:val="right"/>
              <w:ind w:right="316"/>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7,734</w:t>
            </w:r>
          </w:p>
        </w:tc>
        <w:tc>
          <w:tcPr>
            <w:tcW w:w="300" w:type="dxa"/>
            <w:vAlign w:val="bottom"/>
          </w:tcPr>
          <w:p>
            <w:pPr>
              <w:spacing w:after="0"/>
              <w:rPr>
                <w:sz w:val="17"/>
                <w:szCs w:val="17"/>
                <w:color w:val="auto"/>
              </w:rPr>
            </w:pPr>
          </w:p>
        </w:tc>
        <w:tc>
          <w:tcPr>
            <w:tcW w:w="52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8,250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w w:val="94"/>
              </w:rPr>
              <w:t>Weighted-average remaining lease term (years)</w:t>
            </w:r>
          </w:p>
        </w:tc>
        <w:tc>
          <w:tcPr>
            <w:tcW w:w="5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500" w:type="dxa"/>
            <w:vAlign w:val="bottom"/>
          </w:tcPr>
          <w:p>
            <w:pPr>
              <w:spacing w:after="0"/>
              <w:rPr>
                <w:sz w:val="20"/>
                <w:szCs w:val="20"/>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8"/>
                <w:szCs w:val="18"/>
                <w:color w:val="auto"/>
              </w:rPr>
              <w:t>4.5 %</w:t>
            </w:r>
          </w:p>
        </w:tc>
        <w:tc>
          <w:tcPr>
            <w:tcW w:w="5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-811530</wp:posOffset>
            </wp:positionV>
            <wp:extent cx="16319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-811530</wp:posOffset>
            </wp:positionV>
            <wp:extent cx="16319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-434340</wp:posOffset>
            </wp:positionV>
            <wp:extent cx="16319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-434340</wp:posOffset>
            </wp:positionV>
            <wp:extent cx="16319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3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presents certain information related to the lease costs for operating leases for the years ended December 31, 2021, 2020, and 2019:</w:t>
      </w:r>
    </w:p>
    <w:p>
      <w:pPr>
        <w:spacing w:after="0" w:line="24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1,761</w:t>
            </w:r>
          </w:p>
        </w:tc>
        <w:tc>
          <w:tcPr>
            <w:tcW w:w="34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1,696</w:t>
            </w:r>
          </w:p>
        </w:tc>
        <w:tc>
          <w:tcPr>
            <w:tcW w:w="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1,419</w:t>
            </w:r>
          </w:p>
        </w:tc>
        <w:tc>
          <w:tcPr>
            <w:tcW w:w="60" w:type="dxa"/>
            <w:vAlign w:val="bottom"/>
            <w:shd w:val="clear" w:color="auto" w:fill="CFF0FC"/>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60" w:type="dxa"/>
            <w:vAlign w:val="bottom"/>
          </w:tcPr>
          <w:p>
            <w:pPr>
              <w:spacing w:after="0"/>
              <w:rPr>
                <w:sz w:val="17"/>
                <w:szCs w:val="17"/>
                <w:color w:val="auto"/>
              </w:rPr>
            </w:pPr>
          </w:p>
        </w:tc>
      </w:tr>
      <w:tr>
        <w:trPr>
          <w:trHeight w:val="203"/>
        </w:trPr>
        <w:tc>
          <w:tcPr>
            <w:tcW w:w="3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599</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3560" w:type="dxa"/>
            <w:vAlign w:val="bottom"/>
          </w:tcPr>
          <w:p>
            <w:pPr>
              <w:spacing w:after="0" w:line="182" w:lineRule="exact"/>
              <w:rPr>
                <w:sz w:val="20"/>
                <w:szCs w:val="20"/>
                <w:color w:val="auto"/>
              </w:rPr>
            </w:pPr>
            <w:r>
              <w:rPr>
                <w:rFonts w:ascii="Arial" w:cs="Arial" w:eastAsia="Arial" w:hAnsi="Arial"/>
                <w:sz w:val="18"/>
                <w:szCs w:val="18"/>
                <w:color w:val="auto"/>
              </w:rPr>
              <w:t>Total lease cost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2,939</w:t>
            </w:r>
          </w:p>
        </w:tc>
        <w:tc>
          <w:tcPr>
            <w:tcW w:w="34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2,384</w:t>
            </w:r>
          </w:p>
        </w:tc>
        <w:tc>
          <w:tcPr>
            <w:tcW w:w="3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2,226</w:t>
            </w:r>
          </w:p>
        </w:tc>
        <w:tc>
          <w:tcPr>
            <w:tcW w:w="6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-159385</wp:posOffset>
            </wp:positionV>
            <wp:extent cx="431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-159385</wp:posOffset>
            </wp:positionV>
            <wp:extent cx="342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-159385</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95"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Cash paid for operating lease liabilities was $1.7 million, $2.3 million, and $3.9 million for the years ended December 31, 2021, 2020, and 2019 respectively. The Company sub-leased a portion of its Santa Clara facility through March 31, 2019 and received $0.1 million in sub-lease income for the year ended December 31, 2019, which was included in the short-term lease cost above.</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4"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Undiscounted Cash Flows</w:t>
      </w:r>
    </w:p>
    <w:p>
      <w:pPr>
        <w:spacing w:after="0" w:line="81" w:lineRule="exact"/>
        <w:rPr>
          <w:sz w:val="20"/>
          <w:szCs w:val="20"/>
          <w:color w:val="auto"/>
        </w:rPr>
      </w:pPr>
    </w:p>
    <w:p>
      <w:pPr>
        <w:ind w:right="620" w:firstLine="509"/>
        <w:spacing w:after="0" w:line="235"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December 31, 2021:</w:t>
      </w:r>
    </w:p>
    <w:p>
      <w:pPr>
        <w:spacing w:after="0" w:line="14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2027 and beyond</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line="162" w:lineRule="exact"/>
              <w:rPr>
                <w:sz w:val="20"/>
                <w:szCs w:val="20"/>
                <w:color w:val="auto"/>
              </w:rPr>
            </w:pPr>
            <w:r>
              <w:rPr>
                <w:rFonts w:ascii="Arial" w:cs="Arial" w:eastAsia="Arial" w:hAnsi="Arial"/>
                <w:sz w:val="18"/>
                <w:szCs w:val="18"/>
                <w:color w:val="auto"/>
              </w:rPr>
              <w:t>Less: amount of lease payments representing</w:t>
            </w:r>
          </w:p>
        </w:tc>
        <w:tc>
          <w:tcPr>
            <w:tcW w:w="260" w:type="dxa"/>
            <w:vAlign w:val="bottom"/>
          </w:tcPr>
          <w:p>
            <w:pPr>
              <w:spacing w:after="0"/>
              <w:rPr>
                <w:sz w:val="14"/>
                <w:szCs w:val="14"/>
                <w:color w:val="auto"/>
              </w:rPr>
            </w:pPr>
          </w:p>
        </w:tc>
        <w:tc>
          <w:tcPr>
            <w:tcW w:w="15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(952 )</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140"/>
              <w:spacing w:after="0" w:line="202" w:lineRule="exact"/>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94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26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(1,336 )</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Long-term lease liabilities</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6,398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200" w:firstLine="509"/>
        <w:spacing w:after="0" w:line="224" w:lineRule="auto"/>
        <w:rPr>
          <w:sz w:val="20"/>
          <w:szCs w:val="20"/>
          <w:color w:val="auto"/>
        </w:rPr>
      </w:pPr>
      <w:r>
        <w:rPr>
          <w:rFonts w:ascii="Arial" w:cs="Arial" w:eastAsia="Arial" w:hAnsi="Arial"/>
          <w:sz w:val="18"/>
          <w:szCs w:val="18"/>
          <w:color w:val="auto"/>
        </w:rPr>
        <w:t>During the three months ended December 2021, the Company entered into three operating leases that commence in 2022 with 2 to 5.3 year terms, for which the Company expects to record Right-of Use Asset of approximately $3.0 million and a Lease Liability of approximately $3.0 million at the commencement of these leases.</w:t>
      </w:r>
    </w:p>
    <w:p>
      <w:pPr>
        <w:spacing w:after="0" w:line="91" w:lineRule="exact"/>
        <w:rPr>
          <w:sz w:val="20"/>
          <w:szCs w:val="20"/>
          <w:color w:val="auto"/>
        </w:rPr>
      </w:pPr>
    </w:p>
    <w:p>
      <w:pPr>
        <w:ind w:right="8480" w:firstLine="8"/>
        <w:spacing w:after="0" w:line="407" w:lineRule="auto"/>
        <w:tabs>
          <w:tab w:leader="none" w:pos="1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Purchase Commitments</w:t>
      </w:r>
    </w:p>
    <w:p>
      <w:pPr>
        <w:spacing w:after="0" w:line="1"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As of December 31, 2021, the Company had commitments totaling $5.4 million primarily for design and simulation licenses which will be paid through June 2024.</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Commitments for MEMS Wafer Supplier Agreement</w:t>
      </w:r>
    </w:p>
    <w:p>
      <w:pPr>
        <w:spacing w:after="0" w:line="104"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The Company purchases MEMS wafers required for its silicon timing systems products under a multi-year manufacturing agreement with a third-party supplier. Under this agreement, the Company has agreed to minimum quantity purchase commitments and is responsible for research and development, tooling, and samples cost, in addition to wafer costs. The Company has historically met the supplier’s minimum wafer quantity requirements.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4"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18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March 2019, VTT Technical Research Centre of Finland, Ltd. ("VTT") filed suit in the United States District Court for the Northern District of California alleging infringement by the Company of a patent relating to specific combinations of features set forth in U.S. Patent No. 8,558,643. The complaint sought unspecified monetary damages and injunctive relief. On January 22, 2020, the Company participated in a mediation that had been ordered by the Court. The case was not resolved at the mediation. A Markman Hearing was held on May 15, 2020 relating to a number of different disputed claim terms, and on July 9, 2020 the Court issued a Markman Order relating to those disputed claim terms. Among its determinations, the Court found that one of the disputed claim terms was indefinite, as well as any claim that had this claim term in it. On July 17, 2020, the Court issued a judgment finding all claims of U.S. Patent No. 8,558,643 invalid, based upon its Markman Order. VTT filed a Notice of Appeal of the Court's judgment with the US Court of Appeals for the Federal Circuit and filed its opening brief on November 19, 2020 and the Company filed its response brief on January 28, 2021. VTT filed its reply on March 4, 2021. On June 9, 2021, a hearing was held at the CAFC and on June 10, 2021 the CAFC affirmed the Court’s judgment. The Company believes this litigation matter is now fully resolved.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Revolving Lines of Credit and Loans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Bank of Tokyo-Mitsubishi Credit Facility</w:t>
      </w:r>
    </w:p>
    <w:p>
      <w:pPr>
        <w:spacing w:after="0" w:line="104" w:lineRule="exact"/>
        <w:rPr>
          <w:sz w:val="20"/>
          <w:szCs w:val="20"/>
          <w:color w:val="auto"/>
        </w:rPr>
      </w:pPr>
    </w:p>
    <w:p>
      <w:pPr>
        <w:ind w:right="340" w:firstLine="509"/>
        <w:spacing w:after="0" w:line="262" w:lineRule="auto"/>
        <w:rPr>
          <w:sz w:val="20"/>
          <w:szCs w:val="20"/>
          <w:color w:val="auto"/>
        </w:rPr>
      </w:pPr>
      <w:r>
        <w:rPr>
          <w:rFonts w:ascii="Arial" w:cs="Arial" w:eastAsia="Arial" w:hAnsi="Arial"/>
          <w:sz w:val="17"/>
          <w:szCs w:val="17"/>
          <w:color w:val="auto"/>
        </w:rPr>
        <w:t>On August 31, 2015, the Company entered into a bank transaction agreement with The Bank of Tokyo Mitsubishi UFJ, Ltd. ("MUFG"). The agreement provided for a revolving line of credit with a maximum available borrowing of $20.0 million, which was increased to $50.0 million in June 2018. Between August 2015 and December 31, 2019, the Company borrowed $139.0 million in several draw-downs against the revolving line of credit with terms ranging from one month to one year and interest rate ranging between 1.01% to 4.07%.</w:t>
      </w:r>
    </w:p>
    <w:p>
      <w:pPr>
        <w:spacing w:after="0" w:line="199"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On July 24, 2020, the Company paid $76.0 million to pay down all outstanding loans and cancel the line of credit with MUFG of which $12.0 million of loans were prepaid with a penalty of $0.1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Sumitomo Mitsui Banking Corporation Credit Facility</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September 22, 2017, the Company entered into an uncommitted and revolving credit line agreement with Sumitomo Mitsui Banking Corporation (SMBC). The revolving credit line has a maximum available borrowing availability of up to $20.0 million. The Company could draw loans under the revolving credit line from time to time through September 21, 2018, as long as the principal amount at any time did not exceed $20.0 million in the aggregate. Such term was extended for an additional year through September 20, 2019 and further extended for an additional year through September 21, 2020. The Company repaid the remaining outstanding balance of $2.0 million on the SMBC revolving credit line during 2019 and closed its line of credit in September 2020.</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MegaChips Loan</w:t>
      </w:r>
    </w:p>
    <w:p>
      <w:pPr>
        <w:spacing w:after="0" w:line="104"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On September 13, 2016, the Company entered into a loan agreement with MegaChips for a revolving credit limit of up to $30.0 million (the “MegaChips Loan Agreement”). Loans under the MegaChips Loan Agreement bore interest at a rate equal to the interest rate at which MegaChips procured the funds from SMBC, plus 0.09%. The outstanding balance of $3.0 million under the revolving line with MegaChips was repaid on December 12, 2019 upon maturity. During the year ended December 31, 2020, the Company closed its revolving line of credit with MegaChips.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8. Stockholders’ Equity</w:t>
      </w:r>
    </w:p>
    <w:p>
      <w:pPr>
        <w:spacing w:after="0" w:line="10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Company’s certificate of incorporation, as amended and currently in effect, authorizes the Company to issue 200,000,000 shares of common stock, par value $0.0001 per share.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SiTime Corporation 2019 Stock Incentive Plan</w:t>
      </w:r>
    </w:p>
    <w:p>
      <w:pPr>
        <w:spacing w:after="0" w:line="108" w:lineRule="exact"/>
        <w:rPr>
          <w:sz w:val="20"/>
          <w:szCs w:val="20"/>
          <w:color w:val="auto"/>
        </w:rPr>
      </w:pPr>
    </w:p>
    <w:p>
      <w:pPr>
        <w:jc w:val="both"/>
        <w:ind w:right="40" w:firstLine="509"/>
        <w:spacing w:after="0" w:line="257" w:lineRule="auto"/>
        <w:rPr>
          <w:sz w:val="20"/>
          <w:szCs w:val="20"/>
          <w:color w:val="auto"/>
        </w:rPr>
      </w:pPr>
      <w:r>
        <w:rPr>
          <w:rFonts w:ascii="Arial" w:cs="Arial" w:eastAsia="Arial" w:hAnsi="Arial"/>
          <w:sz w:val="17"/>
          <w:szCs w:val="17"/>
          <w:color w:val="auto"/>
        </w:rPr>
        <w:t>Upon completion of its IPO in November 2019, the Company adopted the SiTime Corporation 2019 Stock Incentive Plan (the “2019 Plan”), which initially reserved approximately 3.4 million shares of the Company’s common stock. The 2019 Plan provides for the grant of incentive stock options, non-statutory stock options, restricted stock awards, restricted stock unit awards, stock appreciation rights, performance stock awards, and other forms of equity compensation (collectively, “stock awards”), and cash awards, all of which may be granted to employees (including officers), directors, and consultants or affiliates. Awards granted under the 2019 Plan vest at the rate specified by the plan administrator, for restricted stock unit awards primarily over two to five years. As of December 31, 2021, 0.4 million shares were still reserved for issuance.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Activity of RSUs, cash restricted stock unit award (“CRSU”) and performance based restricted stock unit awards ("PRSU") granted under the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Plan is set forth below:</w:t>
      </w:r>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RSU</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CRSU</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PRSU</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r>
      <w:tr>
        <w:trPr>
          <w:trHeight w:val="176"/>
        </w:trPr>
        <w:tc>
          <w:tcPr>
            <w:tcW w:w="316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5"/>
                <w:szCs w:val="15"/>
                <w:color w:val="auto"/>
              </w:rPr>
            </w:pPr>
          </w:p>
        </w:tc>
      </w:tr>
      <w:tr>
        <w:trPr>
          <w:trHeight w:val="185"/>
        </w:trPr>
        <w:tc>
          <w:tcPr>
            <w:tcW w:w="316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6"/>
                <w:szCs w:val="16"/>
                <w:color w:val="auto"/>
              </w:rPr>
            </w:pPr>
          </w:p>
        </w:tc>
      </w:tr>
      <w:tr>
        <w:trPr>
          <w:trHeight w:val="183"/>
        </w:trPr>
        <w:tc>
          <w:tcPr>
            <w:tcW w:w="3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2018</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080" w:type="dxa"/>
            <w:vAlign w:val="bottom"/>
          </w:tcPr>
          <w:p>
            <w:pPr>
              <w:jc w:val="right"/>
              <w:spacing w:after="0"/>
              <w:rPr>
                <w:sz w:val="20"/>
                <w:szCs w:val="20"/>
                <w:color w:val="auto"/>
              </w:rPr>
            </w:pPr>
            <w:r>
              <w:rPr>
                <w:rFonts w:ascii="Arial" w:cs="Arial" w:eastAsia="Arial" w:hAnsi="Arial"/>
                <w:sz w:val="16"/>
                <w:szCs w:val="16"/>
                <w:color w:val="auto"/>
              </w:rPr>
              <w:t>3,012,399</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(23,077 )</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29"/>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2,989,322</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9"/>
        </w:trPr>
        <w:tc>
          <w:tcPr>
            <w:tcW w:w="3160" w:type="dxa"/>
            <w:vAlign w:val="bottom"/>
          </w:tcPr>
          <w:p>
            <w:pPr>
              <w:ind w:left="20"/>
              <w:spacing w:after="0" w:line="170" w:lineRule="exact"/>
              <w:rPr>
                <w:sz w:val="20"/>
                <w:szCs w:val="20"/>
                <w:color w:val="auto"/>
              </w:rPr>
            </w:pPr>
            <w:r>
              <w:rPr>
                <w:rFonts w:ascii="Arial" w:cs="Arial" w:eastAsia="Arial" w:hAnsi="Arial"/>
                <w:sz w:val="16"/>
                <w:szCs w:val="16"/>
                <w:color w:val="auto"/>
              </w:rPr>
              <w:t>Granted</w:t>
            </w: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682,517</w:t>
            </w:r>
          </w:p>
        </w:tc>
        <w:tc>
          <w:tcPr>
            <w:tcW w:w="2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6"/>
                <w:szCs w:val="16"/>
                <w:color w:val="auto"/>
              </w:rPr>
              <w:t>53.42</w:t>
            </w:r>
          </w:p>
        </w:tc>
        <w:tc>
          <w:tcPr>
            <w:tcW w:w="1080" w:type="dxa"/>
            <w:vAlign w:val="bottom"/>
            <w:gridSpan w:val="3"/>
          </w:tcPr>
          <w:p>
            <w:pPr>
              <w:jc w:val="right"/>
              <w:spacing w:after="0" w:line="170" w:lineRule="exact"/>
              <w:rPr>
                <w:sz w:val="20"/>
                <w:szCs w:val="20"/>
                <w:color w:val="auto"/>
              </w:rPr>
            </w:pPr>
            <w:r>
              <w:rPr>
                <w:rFonts w:ascii="Arial" w:cs="Arial" w:eastAsia="Arial" w:hAnsi="Arial"/>
                <w:sz w:val="16"/>
                <w:szCs w:val="16"/>
                <w:color w:val="auto"/>
              </w:rPr>
              <w:t>11,844</w:t>
            </w:r>
          </w:p>
        </w:tc>
        <w:tc>
          <w:tcPr>
            <w:tcW w:w="10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6"/>
                <w:szCs w:val="16"/>
                <w:color w:val="auto"/>
              </w:rPr>
              <w:t>48.62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r>
      <w:tr>
        <w:trPr>
          <w:trHeight w:val="189"/>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(766,934 )</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1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(11,220 )</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(169,199 )</w:t>
            </w:r>
          </w:p>
        </w:tc>
        <w:tc>
          <w:tcPr>
            <w:tcW w:w="920" w:type="dxa"/>
            <w:vAlign w:val="bottom"/>
          </w:tcPr>
          <w:p>
            <w:pPr>
              <w:jc w:val="right"/>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29"/>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2,735,706</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22.35</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70"/>
        </w:trPr>
        <w:tc>
          <w:tcPr>
            <w:tcW w:w="3160" w:type="dxa"/>
            <w:vAlign w:val="bottom"/>
          </w:tcPr>
          <w:p>
            <w:pPr>
              <w:ind w:left="20"/>
              <w:spacing w:after="0" w:line="170" w:lineRule="exact"/>
              <w:rPr>
                <w:sz w:val="20"/>
                <w:szCs w:val="20"/>
                <w:color w:val="auto"/>
              </w:rPr>
            </w:pPr>
            <w:r>
              <w:rPr>
                <w:rFonts w:ascii="Arial" w:cs="Arial" w:eastAsia="Arial" w:hAnsi="Arial"/>
                <w:sz w:val="16"/>
                <w:szCs w:val="16"/>
                <w:color w:val="auto"/>
              </w:rPr>
              <w:t>Granted</w:t>
            </w: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438,474</w:t>
            </w:r>
          </w:p>
        </w:tc>
        <w:tc>
          <w:tcPr>
            <w:tcW w:w="2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6"/>
                <w:szCs w:val="16"/>
                <w:color w:val="auto"/>
              </w:rPr>
              <w:t>128.55</w:t>
            </w:r>
          </w:p>
        </w:tc>
        <w:tc>
          <w:tcPr>
            <w:tcW w:w="1080" w:type="dxa"/>
            <w:vAlign w:val="bottom"/>
            <w:gridSpan w:val="3"/>
          </w:tcPr>
          <w:p>
            <w:pPr>
              <w:jc w:val="right"/>
              <w:spacing w:after="0" w:line="170" w:lineRule="exact"/>
              <w:rPr>
                <w:sz w:val="20"/>
                <w:szCs w:val="20"/>
                <w:color w:val="auto"/>
              </w:rPr>
            </w:pPr>
            <w:r>
              <w:rPr>
                <w:rFonts w:ascii="Arial" w:cs="Arial" w:eastAsia="Arial" w:hAnsi="Arial"/>
                <w:sz w:val="16"/>
                <w:szCs w:val="16"/>
                <w:color w:val="auto"/>
              </w:rPr>
              <w:t>3,025</w:t>
            </w:r>
          </w:p>
        </w:tc>
        <w:tc>
          <w:tcPr>
            <w:tcW w:w="10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6"/>
                <w:szCs w:val="16"/>
                <w:color w:val="auto"/>
              </w:rPr>
              <w:t>111.93</w:t>
            </w:r>
          </w:p>
        </w:tc>
        <w:tc>
          <w:tcPr>
            <w:tcW w:w="1200" w:type="dxa"/>
            <w:vAlign w:val="bottom"/>
            <w:gridSpan w:val="3"/>
          </w:tcPr>
          <w:p>
            <w:pPr>
              <w:jc w:val="right"/>
              <w:spacing w:after="0" w:line="170" w:lineRule="exact"/>
              <w:rPr>
                <w:sz w:val="20"/>
                <w:szCs w:val="20"/>
                <w:color w:val="auto"/>
              </w:rPr>
            </w:pPr>
            <w:r>
              <w:rPr>
                <w:rFonts w:ascii="Arial" w:cs="Arial" w:eastAsia="Arial" w:hAnsi="Arial"/>
                <w:sz w:val="16"/>
                <w:szCs w:val="16"/>
                <w:color w:val="auto"/>
              </w:rPr>
              <w:t>58,954</w:t>
            </w:r>
          </w:p>
        </w:tc>
        <w:tc>
          <w:tcPr>
            <w:tcW w:w="112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261.39</w:t>
            </w:r>
          </w:p>
        </w:tc>
        <w:tc>
          <w:tcPr>
            <w:tcW w:w="80" w:type="dxa"/>
            <w:vAlign w:val="bottom"/>
          </w:tcPr>
          <w:p>
            <w:pPr>
              <w:spacing w:after="0"/>
              <w:rPr>
                <w:sz w:val="14"/>
                <w:szCs w:val="14"/>
                <w:color w:val="auto"/>
              </w:rPr>
            </w:pPr>
          </w:p>
        </w:tc>
      </w:tr>
      <w:tr>
        <w:trPr>
          <w:trHeight w:val="189"/>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(874,462 )</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27.94</w:t>
            </w:r>
          </w:p>
        </w:tc>
        <w:tc>
          <w:tcPr>
            <w:tcW w:w="11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(3,649 )</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(72,521 )</w:t>
            </w:r>
          </w:p>
        </w:tc>
        <w:tc>
          <w:tcPr>
            <w:tcW w:w="920" w:type="dxa"/>
            <w:vAlign w:val="bottom"/>
          </w:tcPr>
          <w:p>
            <w:pPr>
              <w:jc w:val="right"/>
              <w:spacing w:after="0"/>
              <w:rPr>
                <w:sz w:val="20"/>
                <w:szCs w:val="20"/>
                <w:color w:val="auto"/>
              </w:rPr>
            </w:pPr>
            <w:r>
              <w:rPr>
                <w:rFonts w:ascii="Arial" w:cs="Arial" w:eastAsia="Arial" w:hAnsi="Arial"/>
                <w:sz w:val="16"/>
                <w:szCs w:val="16"/>
                <w:color w:val="auto"/>
              </w:rPr>
              <w:t>33.34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29"/>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2,227,197</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40.56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58,954</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261.39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-1087755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-1071245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-1087755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-1071245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-1087755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-1071245</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-556895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-539115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-556895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-539115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-556895</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-539115</wp:posOffset>
            </wp:positionV>
            <wp:extent cx="59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44"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difference between the number of RSUs vested and the shares of common stock issued during the year ended December 31, 2020 is the result of RSUs withheld in satisfaction of minimum tax withholding obligations associated with the vesting. The total fair value, as of the vesting date, of awards vested during the years ended December 31, 2021, 2020 and 2019 were $161.2 million, $43.7 million and $0.3 million, respectively.</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Executive Bonus and Retention Plan</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On August 4, 2020, the Compensation Committee of the Company adopted and approved the Executive Bonus and Retention Plan (the “Bonus and Retention Plan”). In August 2020, the Compensation Committee approved target bonus amounts and performance goals for the second half of the fiscal year 2020 (the “2020 Goals”), in January 2021, the Compensation Committee approved target bonus amounts and performance goals for the first half of the fiscal year 2021 (the “1H2021 Goals”), and in July 2021 the Compensation Committee approved target bonus amounts and performance goals for the second half of the fiscal year 2021 (the “2H2021 Goals”). The 2020 Goals, the 1H2021 Goals and the 2H2021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a variable amount of RSUs on the vesting date and hence the awards have been classified as liability-based awards until settled. Such expense is included in the non-cash adjustment within stock-based compensation expense on the consolidated cash flow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2" w:name="page73"/>
    <w:bookmarkEnd w:id="72"/>
    <w:p>
      <w:pPr>
        <w:jc w:val="both"/>
        <w:ind w:right="40"/>
        <w:spacing w:after="0" w:line="243" w:lineRule="auto"/>
        <w:rPr>
          <w:sz w:val="20"/>
          <w:szCs w:val="20"/>
          <w:color w:val="auto"/>
        </w:rPr>
      </w:pPr>
      <w:r>
        <w:rPr>
          <w:rFonts w:ascii="Arial" w:cs="Arial" w:eastAsia="Arial" w:hAnsi="Arial"/>
          <w:sz w:val="18"/>
          <w:szCs w:val="18"/>
          <w:color w:val="auto"/>
        </w:rPr>
        <w:t>When such awards are granted in RSUs upon achievement of goals, the Company reclassifies the liability to additional paid in capital. The liability of $1.5 million for 2H2021 Goals was recorded as accrued expenses and other current liabilities in the consolidated balance sheet as of December 31, 2021. Actual payouts for 2020 Goals ranged from 119% to 144% of target, for 1H2021 Goals ranged from 76% to 141% of target, and 2H2021 Goals ranged from 138% to 150% of target, in each case based on performance.</w:t>
      </w:r>
    </w:p>
    <w:p>
      <w:pPr>
        <w:spacing w:after="0" w:line="80" w:lineRule="exact"/>
        <w:rPr>
          <w:sz w:val="20"/>
          <w:szCs w:val="20"/>
          <w:color w:val="auto"/>
        </w:rPr>
      </w:pPr>
    </w:p>
    <w:p>
      <w:pPr>
        <w:ind w:right="280" w:firstLine="509"/>
        <w:spacing w:after="0" w:line="324" w:lineRule="auto"/>
        <w:rPr>
          <w:sz w:val="20"/>
          <w:szCs w:val="20"/>
          <w:color w:val="auto"/>
        </w:rPr>
      </w:pPr>
      <w:r>
        <w:rPr>
          <w:rFonts w:ascii="Arial" w:cs="Arial" w:eastAsia="Arial" w:hAnsi="Arial"/>
          <w:sz w:val="16"/>
          <w:szCs w:val="16"/>
          <w:color w:val="auto"/>
        </w:rPr>
        <w:t>On December 17, 2021, the Compensation Committee of the Company approved PRSUs with performance goals for the year 2022 (the “PRSU 2022 Goals”). The PRSU 2022 Goals are based on the achievement of revenue. These grants are included in the RSU awards granted in the table above.</w:t>
      </w:r>
    </w:p>
    <w:p>
      <w:pPr>
        <w:spacing w:after="0" w:line="16"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the year ended December 31, 2020, the Company granted CRSUs as part of an employee bonus plan. The Company ended this program effective April 1, 2021. Generally, such units were granted quarterly and fully vested at the end of the quarter they were granted except units granted to new hires that had a one-year cliff vesting. Such awards were classified as liability-based awards.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stock-based compensation expense for employees recognized in the consolidated statements of operations and comprehensive income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32"/>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based awards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1,654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1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11,087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4,682</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14,422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27,163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14,816</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8"/>
                <w:szCs w:val="18"/>
                <w:color w:val="auto"/>
              </w:rPr>
              <w:t>Liability based awards - to be settled in equity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2,223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748</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1,193</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stock-based compensation - equity and liability based</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29,992</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16,009</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600" w:type="dxa"/>
            <w:vAlign w:val="bottom"/>
          </w:tcPr>
          <w:p>
            <w:pPr>
              <w:ind w:left="20"/>
              <w:spacing w:after="0"/>
              <w:rPr>
                <w:sz w:val="20"/>
                <w:szCs w:val="20"/>
                <w:color w:val="auto"/>
              </w:rPr>
            </w:pPr>
            <w:r>
              <w:rPr>
                <w:rFonts w:ascii="Arial" w:cs="Arial" w:eastAsia="Arial" w:hAnsi="Arial"/>
                <w:sz w:val="18"/>
                <w:szCs w:val="18"/>
                <w:color w:val="auto"/>
              </w:rPr>
              <w:t>Liability based awards - cash settled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353</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957</w:t>
            </w:r>
          </w:p>
        </w:tc>
        <w:tc>
          <w:tcPr>
            <w:tcW w:w="160" w:type="dxa"/>
            <w:vAlign w:val="bottom"/>
          </w:tcPr>
          <w:p>
            <w:pPr>
              <w:spacing w:after="0"/>
              <w:rPr>
                <w:sz w:val="17"/>
                <w:szCs w:val="17"/>
                <w:color w:val="auto"/>
              </w:rPr>
            </w:pP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30,345</w:t>
            </w:r>
          </w:p>
        </w:tc>
        <w:tc>
          <w:tcPr>
            <w:tcW w:w="22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16,966</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1,379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recorded to additional paid-in capital</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Equity based awards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27,163</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14,816</w:t>
            </w:r>
          </w:p>
        </w:tc>
        <w:tc>
          <w:tcPr>
            <w:tcW w:w="1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Liability based awards - settled in equity</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2,531</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120"/>
              <w:spacing w:after="0" w:line="196" w:lineRule="exact"/>
              <w:rPr>
                <w:sz w:val="20"/>
                <w:szCs w:val="20"/>
                <w:color w:val="auto"/>
              </w:rPr>
            </w:pPr>
            <w:r>
              <w:rPr>
                <w:rFonts w:ascii="Arial" w:cs="Arial" w:eastAsia="Arial" w:hAnsi="Arial"/>
                <w:sz w:val="18"/>
                <w:szCs w:val="18"/>
                <w:color w:val="auto"/>
              </w:rPr>
              <w:t>Total stock-based compensation expense recorded to additional paid-in capital</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29,694</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14,816</w:t>
            </w:r>
          </w:p>
        </w:tc>
        <w:tc>
          <w:tcPr>
            <w:tcW w:w="160" w:type="dxa"/>
            <w:vAlign w:val="bottom"/>
          </w:tcPr>
          <w:p>
            <w:pPr>
              <w:spacing w:after="0"/>
              <w:rPr>
                <w:sz w:val="17"/>
                <w:szCs w:val="17"/>
                <w:color w:val="auto"/>
              </w:rPr>
            </w:pP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-2673985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-2656840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-2673985</wp:posOffset>
            </wp:positionV>
            <wp:extent cx="342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-2656840</wp:posOffset>
            </wp:positionV>
            <wp:extent cx="342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-2673985</wp:posOffset>
            </wp:positionV>
            <wp:extent cx="342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-2656840</wp:posOffset>
            </wp:positionV>
            <wp:extent cx="342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-2113915</wp:posOffset>
            </wp:positionV>
            <wp:extent cx="431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-2113915</wp:posOffset>
            </wp:positionV>
            <wp:extent cx="342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-2113915</wp:posOffset>
            </wp:positionV>
            <wp:extent cx="3429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-1842135</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-1824990</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-1842135</wp:posOffset>
            </wp:positionV>
            <wp:extent cx="342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-1824990</wp:posOffset>
            </wp:positionV>
            <wp:extent cx="34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-1842135</wp:posOffset>
            </wp:positionV>
            <wp:extent cx="34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-1824990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-1170940</wp:posOffset>
            </wp:positionV>
            <wp:extent cx="431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-1170940</wp:posOffset>
            </wp:positionV>
            <wp:extent cx="342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-1170940</wp:posOffset>
            </wp:positionV>
            <wp:extent cx="3429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wp:posOffset>
            </wp:positionV>
            <wp:extent cx="431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342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At December 31, 2021, there was $82.5 million and $0.6 million of unrecognized compensation costs related to RSUs granted and liability-based awards, respectively. The unrecognized compensation cost is expected to be recognized over a weighted average period of 3.24 years and 0.43 years for liability-based awards.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205"/>
        </w:trPr>
        <w:tc>
          <w:tcPr>
            <w:tcW w:w="11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10"/>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6"/>
        </w:trPr>
        <w:tc>
          <w:tcPr>
            <w:tcW w:w="11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18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32,379</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(9,645 )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(6,485 )</w:t>
            </w:r>
          </w:p>
        </w:tc>
      </w:tr>
      <w:tr>
        <w:trPr>
          <w:trHeight w:val="223"/>
        </w:trPr>
        <w:tc>
          <w:tcPr>
            <w:tcW w:w="1180" w:type="dxa"/>
            <w:vAlign w:val="bottom"/>
          </w:tcPr>
          <w:p>
            <w:pPr>
              <w:spacing w:after="0"/>
              <w:rPr>
                <w:sz w:val="19"/>
                <w:szCs w:val="19"/>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(24 )</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(130 )</w:t>
            </w:r>
          </w:p>
        </w:tc>
      </w:tr>
      <w:tr>
        <w:trPr>
          <w:trHeight w:val="243"/>
        </w:trPr>
        <w:tc>
          <w:tcPr>
            <w:tcW w:w="118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32,355</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(9,371</w:t>
            </w:r>
          </w:p>
        </w:tc>
        <w:tc>
          <w:tcPr>
            <w:tcW w:w="1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(6,615</w:t>
            </w:r>
          </w:p>
        </w:tc>
        <w:tc>
          <w:tcPr>
            <w:tcW w:w="100" w:type="dxa"/>
            <w:vAlign w:val="bottom"/>
            <w:tcBorders>
              <w:bottom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r>
      <w:tr>
        <w:trPr>
          <w:trHeight w:val="440"/>
        </w:trPr>
        <w:tc>
          <w:tcPr>
            <w:tcW w:w="5260" w:type="dxa"/>
            <w:vAlign w:val="bottom"/>
            <w:gridSpan w:val="2"/>
          </w:tcPr>
          <w:p>
            <w:pPr>
              <w:spacing w:after="0"/>
              <w:rPr>
                <w:sz w:val="20"/>
                <w:szCs w:val="20"/>
                <w:color w:val="auto"/>
              </w:rPr>
            </w:pPr>
            <w:r>
              <w:rPr>
                <w:rFonts w:ascii="Arial" w:cs="Arial" w:eastAsia="Arial" w:hAnsi="Arial"/>
                <w:sz w:val="18"/>
                <w:szCs w:val="18"/>
                <w:color w:val="auto"/>
              </w:rPr>
              <w:t>The components of income tax (expense) benefit were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5"/>
        </w:trPr>
        <w:tc>
          <w:tcPr>
            <w:tcW w:w="11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11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18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(12 )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7"/>
                <w:szCs w:val="17"/>
                <w:color w:val="auto"/>
              </w:rPr>
            </w:pPr>
          </w:p>
        </w:tc>
      </w:tr>
      <w:tr>
        <w:trPr>
          <w:trHeight w:val="223"/>
        </w:trPr>
        <w:tc>
          <w:tcPr>
            <w:tcW w:w="1180" w:type="dxa"/>
            <w:vAlign w:val="bottom"/>
          </w:tcPr>
          <w:p>
            <w:pPr>
              <w:spacing w:after="0"/>
              <w:rPr>
                <w:sz w:val="19"/>
                <w:szCs w:val="19"/>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59"/>
              <w:spacing w:after="0" w:line="202" w:lineRule="exact"/>
              <w:rPr>
                <w:sz w:val="20"/>
                <w:szCs w:val="20"/>
                <w:color w:val="auto"/>
              </w:rPr>
            </w:pPr>
            <w:r>
              <w:rPr>
                <w:rFonts w:ascii="Arial" w:cs="Arial" w:eastAsia="Arial" w:hAnsi="Arial"/>
                <w:sz w:val="18"/>
                <w:szCs w:val="18"/>
                <w:color w:val="auto"/>
              </w:rPr>
              <w:t>(66 )</w:t>
            </w:r>
          </w:p>
        </w:tc>
        <w:tc>
          <w:tcPr>
            <w:tcW w:w="160" w:type="dxa"/>
            <w:vAlign w:val="bottom"/>
          </w:tcPr>
          <w:p>
            <w:pPr>
              <w:spacing w:after="0"/>
              <w:rPr>
                <w:sz w:val="19"/>
                <w:szCs w:val="19"/>
                <w:color w:val="auto"/>
              </w:rPr>
            </w:pPr>
          </w:p>
        </w:tc>
        <w:tc>
          <w:tcPr>
            <w:tcW w:w="94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43"/>
        </w:trPr>
        <w:tc>
          <w:tcPr>
            <w:tcW w:w="118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gridSpan w:val="2"/>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-1259205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-1242695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-1259205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-1242695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-1259205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-1242695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material components of the deferred tax assets and liabilities consisted of net operating loss carry-forwards and tax credit carry-forwards.</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7"/>
          </w:tcPr>
          <w:p>
            <w:pPr>
              <w:jc w:val="center"/>
              <w:ind w:left="495"/>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176"/>
        </w:trPr>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assets (liabilities):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Accrual, write-down and other</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5,442</w:t>
            </w:r>
          </w:p>
        </w:tc>
        <w:tc>
          <w:tcPr>
            <w:tcW w:w="180" w:type="dxa"/>
            <w:vAlign w:val="bottom"/>
          </w:tcPr>
          <w:p>
            <w:pPr>
              <w:spacing w:after="0"/>
              <w:rPr>
                <w:sz w:val="17"/>
                <w:szCs w:val="17"/>
                <w:color w:val="auto"/>
              </w:rPr>
            </w:pPr>
          </w:p>
        </w:tc>
        <w:tc>
          <w:tcPr>
            <w:tcW w:w="240" w:type="dxa"/>
            <w:vAlign w:val="bottom"/>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2,469</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(818 )</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7"/>
                <w:szCs w:val="17"/>
                <w:color w:val="auto"/>
              </w:rPr>
            </w:pPr>
          </w:p>
        </w:tc>
      </w:tr>
      <w:tr>
        <w:trPr>
          <w:trHeight w:val="223"/>
        </w:trPr>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and credits carry forwards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64,690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52,445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42,949</w:t>
            </w:r>
          </w:p>
        </w:tc>
        <w:tc>
          <w:tcPr>
            <w:tcW w:w="100" w:type="dxa"/>
            <w:vAlign w:val="bottom"/>
          </w:tcPr>
          <w:p>
            <w:pPr>
              <w:spacing w:after="0"/>
              <w:rPr>
                <w:sz w:val="19"/>
                <w:szCs w:val="19"/>
                <w:color w:val="auto"/>
              </w:rPr>
            </w:pPr>
          </w:p>
        </w:tc>
      </w:tr>
      <w:tr>
        <w:trPr>
          <w:trHeight w:val="203"/>
        </w:trPr>
        <w:tc>
          <w:tcPr>
            <w:tcW w:w="4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gross deferred tax assets (liabilities)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69,314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55,951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45,494</w:t>
            </w:r>
          </w:p>
        </w:tc>
        <w:tc>
          <w:tcPr>
            <w:tcW w:w="100" w:type="dxa"/>
            <w:vAlign w:val="bottom"/>
            <w:shd w:val="clear" w:color="auto" w:fill="CFF0FC"/>
          </w:tcPr>
          <w:p>
            <w:pPr>
              <w:spacing w:after="0"/>
              <w:rPr>
                <w:sz w:val="17"/>
                <w:szCs w:val="17"/>
                <w:color w:val="auto"/>
              </w:rPr>
            </w:pPr>
          </w:p>
        </w:tc>
      </w:tr>
      <w:tr>
        <w:trPr>
          <w:trHeight w:val="223"/>
        </w:trPr>
        <w:tc>
          <w:tcPr>
            <w:tcW w:w="410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(69,314 )</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(55,951 )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(45,494 )</w:t>
            </w:r>
          </w:p>
        </w:tc>
      </w:tr>
      <w:tr>
        <w:trPr>
          <w:trHeight w:val="243"/>
        </w:trPr>
        <w:tc>
          <w:tcPr>
            <w:tcW w:w="4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6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valuation allowance increased by $13.4 million for the year ended December 31, 2021.</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2700" w:type="dxa"/>
            <w:vAlign w:val="bottom"/>
            <w:tcBorders>
              <w:bottom w:val="single" w:sz="8" w:color="auto"/>
            </w:tcBorders>
            <w:gridSpan w:val="5"/>
          </w:tcPr>
          <w:p>
            <w:pPr>
              <w:jc w:val="center"/>
              <w:ind w:left="655"/>
              <w:spacing w:after="0"/>
              <w:rPr>
                <w:sz w:val="20"/>
                <w:szCs w:val="20"/>
                <w:color w:val="auto"/>
              </w:rPr>
            </w:pPr>
            <w:r>
              <w:rPr>
                <w:rFonts w:ascii="Arial" w:cs="Arial" w:eastAsia="Arial" w:hAnsi="Arial"/>
                <w:sz w:val="14"/>
                <w:szCs w:val="14"/>
                <w:b w:val="1"/>
                <w:bCs w:val="1"/>
                <w:color w:val="auto"/>
                <w:w w:val="91"/>
              </w:rPr>
              <w:t>Years Ended December 31,</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Federal Rate</w:t>
            </w:r>
          </w:p>
        </w:tc>
        <w:tc>
          <w:tcPr>
            <w:tcW w:w="12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21.0 %</w:t>
            </w: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21.0 %</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21.0 %</w:t>
            </w: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R&amp;D Credits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(10.9 )</w:t>
            </w:r>
          </w:p>
        </w:tc>
      </w:tr>
      <w:tr>
        <w:trPr>
          <w:trHeight w:val="20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 and others</w:t>
            </w:r>
          </w:p>
        </w:tc>
        <w:tc>
          <w:tcPr>
            <w:tcW w:w="12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(63.3 )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(18.3 )</w:t>
            </w:r>
          </w:p>
        </w:tc>
      </w:tr>
      <w:tr>
        <w:trPr>
          <w:trHeight w:val="22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42.3</w:t>
            </w:r>
          </w:p>
        </w:tc>
        <w:tc>
          <w:tcPr>
            <w:tcW w:w="320" w:type="dxa"/>
            <w:vAlign w:val="bottom"/>
          </w:tcPr>
          <w:p>
            <w:pPr>
              <w:spacing w:after="0"/>
              <w:rPr>
                <w:sz w:val="19"/>
                <w:szCs w:val="19"/>
                <w:color w:val="auto"/>
              </w:rPr>
            </w:pPr>
          </w:p>
        </w:tc>
        <w:tc>
          <w:tcPr>
            <w:tcW w:w="13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(111.4 )</w:t>
            </w:r>
          </w:p>
        </w:tc>
        <w:tc>
          <w:tcPr>
            <w:tcW w:w="160" w:type="dxa"/>
            <w:vAlign w:val="bottom"/>
          </w:tcPr>
          <w:p>
            <w:pPr>
              <w:spacing w:after="0"/>
              <w:rPr>
                <w:sz w:val="19"/>
                <w:szCs w:val="19"/>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r>
      <w:tr>
        <w:trPr>
          <w:trHeight w:val="243"/>
        </w:trPr>
        <w:tc>
          <w:tcPr>
            <w:tcW w:w="41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320" w:type="dxa"/>
            <w:vAlign w:val="bottom"/>
            <w:tcBorders>
              <w:bottom w:val="single" w:sz="8" w:color="CFF0FC"/>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tcBorders>
              <w:bottom w:val="single" w:sz="8" w:color="CFF0FC"/>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2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1625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1625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543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543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543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543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9"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reported amount of income tax expense differs from an expected amount based on statutory rates primarily due to the Company’s valuation allowance.</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of December 31, 2021 and 2020, based on the available objective evidence, management believes it is more likely than not that the net deferred tax assets will not be realized. Accordingly, management has applied a full valuation allowance against its net deferred tax assets at December 31, 2021 and 2020.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74" w:name="page75"/>
    <w:bookmarkEnd w:id="74"/>
    <w:p>
      <w:pPr>
        <w:ind w:right="180" w:firstLine="509"/>
        <w:spacing w:after="0" w:line="241" w:lineRule="auto"/>
        <w:rPr>
          <w:sz w:val="20"/>
          <w:szCs w:val="20"/>
          <w:color w:val="auto"/>
        </w:rPr>
      </w:pPr>
      <w:r>
        <w:rPr>
          <w:rFonts w:ascii="Arial" w:cs="Arial" w:eastAsia="Arial" w:hAnsi="Arial"/>
          <w:sz w:val="18"/>
          <w:szCs w:val="18"/>
          <w:color w:val="auto"/>
        </w:rPr>
        <w:t>At December 31, 2021 and 2020, the Company has federal net operating loss carry-forwards of approximately $259.6 million and $201.5 million, respectively, and state net operating loss carry-forwards of approximately $64.5 million and $64.0 million, respectively. At December 31, 2021 and 2020, the Company has net operating loss carryforwards for foreign income tax purposes of approximately $2.3 million and $2.2 million, respectively. These federal, state, and foreign net operating loss carry-forwards will expire beginning in 2025, 2028, and 2028, respectively. Of the total federal net operating loss carryforward, $111.2 million will not expire as a result of the Tax Act.</w:t>
      </w:r>
    </w:p>
    <w:p>
      <w:pPr>
        <w:spacing w:after="0" w:line="81" w:lineRule="exact"/>
        <w:rPr>
          <w:sz w:val="20"/>
          <w:szCs w:val="20"/>
          <w:color w:val="auto"/>
        </w:rPr>
      </w:pPr>
    </w:p>
    <w:p>
      <w:pPr>
        <w:jc w:val="both"/>
        <w:ind w:right="200" w:firstLine="509"/>
        <w:spacing w:after="0" w:line="270" w:lineRule="auto"/>
        <w:rPr>
          <w:sz w:val="20"/>
          <w:szCs w:val="20"/>
          <w:color w:val="auto"/>
        </w:rPr>
      </w:pPr>
      <w:r>
        <w:rPr>
          <w:rFonts w:ascii="Arial" w:cs="Arial" w:eastAsia="Arial" w:hAnsi="Arial"/>
          <w:sz w:val="17"/>
          <w:szCs w:val="17"/>
          <w:color w:val="auto"/>
        </w:rPr>
        <w:t>At December 31, 2021 and 2020, the Company also has federal research and development tax credit carry-forwards of approximately $3.9 million and $3.9 million, respectively, and state research and development tax credit carry-forwards of approximately $3.6 million and $3.6 million, respectively. The federal tax credits begin to expire in 2025, and the California tax credits carry forward indefinitely.</w:t>
      </w:r>
    </w:p>
    <w:p>
      <w:pPr>
        <w:spacing w:after="0" w:line="5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(“the Code”), and similar state provisions. The annual limitation may result in the expiration of net operating losses and credits before utilization.</w:t>
      </w:r>
    </w:p>
    <w:p>
      <w:pPr>
        <w:spacing w:after="0" w:line="7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As of December 31, 2021 and 2020, the Company had $2.4 million and $2.4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2021 and 2020, the Company had immaterial amounts related to the accrual of interest and penalties.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unrecognized tax benefit amount is as follows: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74"/>
              </w:rPr>
              <w:t>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16"/>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2,436</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center"/>
              <w:ind w:right="19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line="162" w:lineRule="exact"/>
              <w:rPr>
                <w:sz w:val="20"/>
                <w:szCs w:val="20"/>
                <w:color w:val="auto"/>
              </w:rPr>
            </w:pPr>
            <w:r>
              <w:rPr>
                <w:rFonts w:ascii="Arial" w:cs="Arial" w:eastAsia="Arial" w:hAnsi="Arial"/>
                <w:sz w:val="18"/>
                <w:szCs w:val="18"/>
                <w:color w:val="auto"/>
                <w:w w:val="96"/>
              </w:rPr>
              <w:t>Increase (decrease) in balance related to tax position taken during</w:t>
            </w:r>
          </w:p>
        </w:tc>
        <w:tc>
          <w:tcPr>
            <w:tcW w:w="800" w:type="dxa"/>
            <w:vAlign w:val="bottom"/>
          </w:tcPr>
          <w:p>
            <w:pPr>
              <w:spacing w:after="0"/>
              <w:rPr>
                <w:sz w:val="14"/>
                <w:szCs w:val="14"/>
                <w:color w:val="auto"/>
              </w:rPr>
            </w:pPr>
          </w:p>
        </w:tc>
        <w:tc>
          <w:tcPr>
            <w:tcW w:w="640" w:type="dxa"/>
            <w:vAlign w:val="bottom"/>
            <w:gridSpan w:val="2"/>
            <w:vMerge w:val="restart"/>
          </w:tcPr>
          <w:p>
            <w:pPr>
              <w:jc w:val="right"/>
              <w:ind w:right="1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prior periods</w:t>
            </w:r>
          </w:p>
        </w:tc>
        <w:tc>
          <w:tcPr>
            <w:tcW w:w="8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1"/>
              </w:rPr>
              <w:t>Increase (decrease) in balance related to tax position taken during the</w:t>
            </w:r>
          </w:p>
        </w:tc>
        <w:tc>
          <w:tcPr>
            <w:tcW w:w="800" w:type="dxa"/>
            <w:vAlign w:val="bottom"/>
            <w:shd w:val="clear" w:color="auto" w:fill="CFF0FC"/>
          </w:tcPr>
          <w:p>
            <w:pPr>
              <w:spacing w:after="0"/>
              <w:rPr>
                <w:sz w:val="14"/>
                <w:szCs w:val="14"/>
                <w:color w:val="auto"/>
              </w:rPr>
            </w:pPr>
          </w:p>
        </w:tc>
        <w:tc>
          <w:tcPr>
            <w:tcW w:w="640" w:type="dxa"/>
            <w:vAlign w:val="bottom"/>
            <w:gridSpan w:val="2"/>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(5 )</w:t>
            </w:r>
          </w:p>
        </w:tc>
        <w:tc>
          <w:tcPr>
            <w:tcW w:w="40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period</w:t>
            </w:r>
          </w:p>
        </w:tc>
        <w:tc>
          <w:tcPr>
            <w:tcW w:w="800" w:type="dxa"/>
            <w:vAlign w:val="bottom"/>
            <w:shd w:val="clear" w:color="auto" w:fill="CFF0FC"/>
          </w:tcPr>
          <w:p>
            <w:pPr>
              <w:spacing w:after="0"/>
              <w:rPr>
                <w:sz w:val="17"/>
                <w:szCs w:val="17"/>
                <w:color w:val="auto"/>
              </w:rPr>
            </w:pPr>
          </w:p>
        </w:tc>
        <w:tc>
          <w:tcPr>
            <w:tcW w:w="640" w:type="dxa"/>
            <w:vAlign w:val="bottom"/>
            <w:gridSpan w:val="2"/>
            <w:vMerge w:val="continue"/>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2,431</w:t>
            </w: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center"/>
              <w:ind w:right="1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2,436</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-159385</wp:posOffset>
            </wp:positionV>
            <wp:extent cx="603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-159385</wp:posOffset>
            </wp:positionV>
            <wp:extent cx="514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within 12 months of the years ended December 31, 2021 and 2020.</w:t>
      </w:r>
    </w:p>
    <w:p>
      <w:pPr>
        <w:spacing w:after="0" w:line="162" w:lineRule="exact"/>
        <w:rPr>
          <w:sz w:val="20"/>
          <w:szCs w:val="20"/>
          <w:color w:val="auto"/>
        </w:rPr>
      </w:pPr>
    </w:p>
    <w:p>
      <w:pPr>
        <w:ind w:right="80" w:firstLine="509"/>
        <w:spacing w:after="0" w:line="224"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state, local, and foreign jurisdictions, where applicable. Due to the Company’s net losses, its federal, state and local, and foreign tax returns since inception are subject to audit.</w:t>
      </w:r>
    </w:p>
    <w:p>
      <w:pPr>
        <w:spacing w:after="0" w:line="163" w:lineRule="exact"/>
        <w:rPr>
          <w:sz w:val="20"/>
          <w:szCs w:val="20"/>
          <w:color w:val="auto"/>
        </w:rPr>
      </w:pPr>
    </w:p>
    <w:p>
      <w:pPr>
        <w:ind w:right="480" w:firstLine="509"/>
        <w:spacing w:after="0" w:line="235" w:lineRule="auto"/>
        <w:rPr>
          <w:sz w:val="20"/>
          <w:szCs w:val="20"/>
          <w:color w:val="auto"/>
        </w:rPr>
      </w:pPr>
      <w:r>
        <w:rPr>
          <w:rFonts w:ascii="Arial" w:cs="Arial" w:eastAsia="Arial" w:hAnsi="Arial"/>
          <w:sz w:val="18"/>
          <w:szCs w:val="18"/>
          <w:color w:val="auto"/>
        </w:rPr>
        <w:t>As of December 31, 2021, the tax years that remain subject to examination by the major tax jurisdictions under the statute of limitations are as follows:</w:t>
      </w:r>
    </w:p>
    <w:p>
      <w:pPr>
        <w:spacing w:after="0" w:line="154"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Jurisdiction</w:t>
            </w:r>
          </w:p>
        </w:tc>
        <w:tc>
          <w:tcPr>
            <w:tcW w:w="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Earliest Tax Year</w:t>
            </w:r>
          </w:p>
        </w:tc>
        <w:tc>
          <w:tcPr>
            <w:tcW w:w="0" w:type="dxa"/>
            <w:vAlign w:val="bottom"/>
          </w:tcPr>
          <w:p>
            <w:pPr>
              <w:spacing w:after="0"/>
              <w:rPr>
                <w:sz w:val="1"/>
                <w:szCs w:val="1"/>
                <w:color w:val="auto"/>
              </w:rPr>
            </w:pPr>
          </w:p>
        </w:tc>
      </w:tr>
      <w:tr>
        <w:trPr>
          <w:trHeight w:val="185"/>
        </w:trPr>
        <w:tc>
          <w:tcPr>
            <w:tcW w:w="48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Subject to Examination</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federal</w:t>
            </w:r>
          </w:p>
        </w:tc>
        <w:tc>
          <w:tcPr>
            <w:tcW w:w="2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California State</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Michigan State</w:t>
            </w:r>
          </w:p>
        </w:tc>
        <w:tc>
          <w:tcPr>
            <w:tcW w:w="20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401(k) Plan</w:t>
      </w:r>
    </w:p>
    <w:p>
      <w:pPr>
        <w:spacing w:after="0" w:line="9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Company has a 401(k) retirement plan that qualifies as a defined contribution plan. All employees are eligible to participate on the first day of the month following their hire date with the Company. Under the defined contribution plan, employees may contribute up to the lesser of 90% of their pre-tax salaries per year or the maximum contribution allowed under the Code. The Company may make discretionary matching contributions, if deferral contributions are made by the employees. The Company’s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5" w:name="page76"/>
    <w:bookmarkEnd w:id="75"/>
    <w:p>
      <w:pPr>
        <w:ind w:right="580"/>
        <w:spacing w:after="0" w:line="261" w:lineRule="auto"/>
        <w:rPr>
          <w:sz w:val="20"/>
          <w:szCs w:val="20"/>
          <w:color w:val="auto"/>
        </w:rPr>
      </w:pPr>
      <w:r>
        <w:rPr>
          <w:rFonts w:ascii="Arial" w:cs="Arial" w:eastAsia="Arial" w:hAnsi="Arial"/>
          <w:sz w:val="18"/>
          <w:szCs w:val="18"/>
          <w:color w:val="auto"/>
        </w:rPr>
        <w:t>matching contributions for the years ended December 31, 2021, 2020, and 2019 resulted in expense of $1.0 million, $0.6 million, and $0.6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 and Operations by Geographic Area</w:t>
      </w:r>
    </w:p>
    <w:p>
      <w:pPr>
        <w:spacing w:after="0" w:line="216" w:lineRule="exact"/>
        <w:rPr>
          <w:sz w:val="20"/>
          <w:szCs w:val="20"/>
          <w:color w:val="auto"/>
        </w:rPr>
      </w:pPr>
    </w:p>
    <w:p>
      <w:pPr>
        <w:jc w:val="both"/>
        <w:ind w:right="520" w:firstLine="509"/>
        <w:spacing w:after="0" w:line="284" w:lineRule="auto"/>
        <w:rPr>
          <w:sz w:val="20"/>
          <w:szCs w:val="20"/>
          <w:color w:val="auto"/>
        </w:rPr>
      </w:pPr>
      <w:r>
        <w:rPr>
          <w:rFonts w:ascii="Arial" w:cs="Arial" w:eastAsia="Arial" w:hAnsi="Arial"/>
          <w:sz w:val="16"/>
          <w:szCs w:val="16"/>
          <w:color w:val="auto"/>
        </w:rPr>
        <w:t>The Company operates in one reportable segment related to the design, development, and sale of silicon timing systems solutions. The chief operating decision maker, for the Company is the Chief Executive Officer. The Company’s Chief Executive Officer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spacing w:after="0" w:line="15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2021</w:t>
            </w:r>
          </w:p>
        </w:tc>
        <w:tc>
          <w:tcPr>
            <w:tcW w:w="18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2020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66,390</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55,789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Hong Kong</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55,694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21,539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218,808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116,156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84,074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-24765</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following table sets forth the Company’s total property and equipment and intangible assets attributable to operations by country as of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1"/>
              </w:rPr>
              <w:t>As of</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
        </w:trPr>
        <w:tc>
          <w:tcPr>
            <w:tcW w:w="5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0"/>
        </w:trPr>
        <w:tc>
          <w:tcPr>
            <w:tcW w:w="5780" w:type="dxa"/>
            <w:vAlign w:val="bottom"/>
          </w:tcPr>
          <w:p>
            <w:pPr>
              <w:spacing w:after="0"/>
              <w:rPr>
                <w:sz w:val="18"/>
                <w:szCs w:val="18"/>
                <w:color w:val="auto"/>
              </w:rPr>
            </w:pPr>
          </w:p>
        </w:tc>
        <w:tc>
          <w:tcPr>
            <w:tcW w:w="16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w w:val="95"/>
              </w:rPr>
              <w:t>December 31, 2021</w:t>
            </w:r>
          </w:p>
        </w:tc>
        <w:tc>
          <w:tcPr>
            <w:tcW w:w="15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5"/>
              </w:rPr>
              <w:t>December 31, 2020</w:t>
            </w: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400" w:type="dxa"/>
            <w:vAlign w:val="bottom"/>
            <w:shd w:val="clear" w:color="auto" w:fill="CFF0FC"/>
          </w:tcPr>
          <w:p>
            <w:pPr>
              <w:jc w:val="right"/>
              <w:ind w:right="159"/>
              <w:spacing w:after="0" w:line="196" w:lineRule="exact"/>
              <w:rPr>
                <w:sz w:val="20"/>
                <w:szCs w:val="20"/>
                <w:color w:val="auto"/>
              </w:rPr>
            </w:pPr>
            <w:r>
              <w:rPr>
                <w:rFonts w:ascii="Arial" w:cs="Arial" w:eastAsia="Arial" w:hAnsi="Arial"/>
                <w:sz w:val="18"/>
                <w:szCs w:val="18"/>
                <w:color w:val="auto"/>
                <w:w w:val="87"/>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Malaysia</w:t>
            </w:r>
          </w:p>
        </w:tc>
        <w:tc>
          <w:tcPr>
            <w:tcW w:w="168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31 %</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Taiwan</w:t>
            </w:r>
          </w:p>
        </w:tc>
        <w:tc>
          <w:tcPr>
            <w:tcW w:w="1680" w:type="dxa"/>
            <w:vAlign w:val="bottom"/>
            <w:gridSpan w:val="2"/>
            <w:shd w:val="clear" w:color="auto" w:fill="CFF0FC"/>
          </w:tcPr>
          <w:p>
            <w:pPr>
              <w:jc w:val="right"/>
              <w:ind w:right="159"/>
              <w:spacing w:after="0" w:line="202" w:lineRule="exact"/>
              <w:rPr>
                <w:sz w:val="20"/>
                <w:szCs w:val="20"/>
                <w:color w:val="auto"/>
              </w:rPr>
            </w:pPr>
            <w:r>
              <w:rPr>
                <w:rFonts w:ascii="Arial" w:cs="Arial" w:eastAsia="Arial" w:hAnsi="Arial"/>
                <w:sz w:val="18"/>
                <w:szCs w:val="18"/>
                <w:color w:val="auto"/>
              </w:rPr>
              <w:t>5 %</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ind w:right="159"/>
              <w:spacing w:after="0"/>
              <w:rPr>
                <w:sz w:val="20"/>
                <w:szCs w:val="20"/>
                <w:color w:val="auto"/>
              </w:rPr>
            </w:pPr>
            <w:r>
              <w:rPr>
                <w:rFonts w:ascii="Arial" w:cs="Arial" w:eastAsia="Arial" w:hAnsi="Arial"/>
                <w:sz w:val="18"/>
                <w:szCs w:val="18"/>
                <w:color w:val="auto"/>
              </w:rPr>
              <w:t>7 %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13 %</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Company entered into an agreement with MegaChips, whereby the Company appointed MegaChips as a non-exclusive sales representative of its products in Japan. The Company sold products through MegaChips to distributors, resellers, or direct customers in Japan. The Company paid MegaChips a fixed percentage of the revenue as sales commission, which is recorded as commission expense and included in sales and marketing in the consolidated statements of operations and comprehensive loss. In connection with the Company's efforts to contract directly with distributors in Japan, the Company and MegaChips mutually terminated the Distribution Agreement effective November 3, 2021.</w:t>
      </w:r>
    </w:p>
    <w:p>
      <w:pPr>
        <w:spacing w:after="0" w:line="66"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MegaChips has been the largest stockholder of the Company and held approximately 24.0% and 43.7% of the Company’s outstanding common stock as of December 31, 2021 and December 31, 2020, respectively.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2021 and 2020, the Company had accounts receivable from MegaChips of $0.0 million and $0.7 million, respectively.</w:t>
      </w:r>
    </w:p>
    <w:p>
      <w:pPr>
        <w:spacing w:after="0" w:line="11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During the year ended December 31, 2020, the Company entered into an asset purchase agreement with MegaChips Corporation. The Company recorded the equipment of $0.1 million on the consolidated balance sheet under “Property and equipment, net.”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76" w:name="page77"/>
    <w:bookmarkEnd w:id="76"/>
    <w:p>
      <w:pPr>
        <w:ind w:right="360" w:firstLine="509"/>
        <w:spacing w:after="0" w:line="248" w:lineRule="auto"/>
        <w:rPr>
          <w:sz w:val="20"/>
          <w:szCs w:val="20"/>
          <w:color w:val="auto"/>
        </w:rPr>
      </w:pPr>
      <w:r>
        <w:rPr>
          <w:rFonts w:ascii="Arial" w:cs="Arial" w:eastAsia="Arial" w:hAnsi="Arial"/>
          <w:sz w:val="18"/>
          <w:szCs w:val="18"/>
          <w:color w:val="auto"/>
        </w:rPr>
        <w:t>During the year ended December 31, 2020 the Company entered into an equipment purchase agreement with MegaChips Taiwan Corporation, a wholly-owned subsidiary of MegaChips Corporation. The Company recorded the equipment of $0.1 million on the consolidated balance sheet under “Property and equipment, net.”</w:t>
      </w:r>
    </w:p>
    <w:p>
      <w:pPr>
        <w:spacing w:after="0" w:line="7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During the year ended December 31, 2020 the Company entered into a services and secondment agreement with MegaChips LSI USA Corporation, a wholly-owned subsidiary of MegaChips Corporation. The Company records the transactions as consulting expenses as part of its research and development expense on the consolidated statement of operations and comprehensive loss. The service and secondment agreement with MegaChips LSI USA Corporation was terminated on August 31, 2021.</w:t>
      </w:r>
    </w:p>
    <w:p>
      <w:pPr>
        <w:spacing w:after="0" w:line="80"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In May 2021, the Company signed a consulting agreement with Akira Takata, a member of the Board of Directors of the Company. As a consultant, Mr. Takata provided sales consulting services through December 31, 2021, for which he received monthly cash fees of $5,000, reimbursement of expenses, and an equity award of 500 RSUs that fully vested on November 20, 2021. In December 2021, the Company signed an amendment to extend the consulting agreement with Akira Takata through December 31, 2022.</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160" w:type="dxa"/>
            <w:vAlign w:val="bottom"/>
          </w:tcPr>
          <w:p>
            <w:pPr>
              <w:spacing w:after="0"/>
              <w:rPr>
                <w:sz w:val="20"/>
                <w:szCs w:val="20"/>
                <w:color w:val="auto"/>
              </w:rPr>
            </w:pPr>
            <w:r>
              <w:rPr>
                <w:rFonts w:ascii="Arial" w:cs="Arial" w:eastAsia="Arial" w:hAnsi="Arial"/>
                <w:sz w:val="14"/>
                <w:szCs w:val="14"/>
                <w:b w:val="1"/>
                <w:bCs w:val="1"/>
                <w:color w:val="auto"/>
                <w:w w:val="93"/>
              </w:rPr>
              <w:t>Components of Statement of Operations and Comprehensive Loss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MegaChips</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Sales through distribution agreement</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8,167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5,714</w:t>
            </w: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5,071</w:t>
            </w:r>
          </w:p>
        </w:tc>
        <w:tc>
          <w:tcPr>
            <w:tcW w:w="6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License expense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148</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Commission expense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340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6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60" w:type="dxa"/>
            <w:vAlign w:val="bottom"/>
            <w:gridSpan w:val="4"/>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b w:val="1"/>
                <w:bCs w:val="1"/>
                <w:color w:val="auto"/>
              </w:rPr>
              <w:t>Affiliates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Consulting fees</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254</w:t>
            </w: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378"/>
        </w:trPr>
        <w:tc>
          <w:tcPr>
            <w:tcW w:w="4160" w:type="dxa"/>
            <w:vAlign w:val="bottom"/>
          </w:tcPr>
          <w:p>
            <w:pPr>
              <w:spacing w:after="0"/>
              <w:rPr>
                <w:sz w:val="20"/>
                <w:szCs w:val="20"/>
                <w:color w:val="auto"/>
              </w:rPr>
            </w:pPr>
            <w:r>
              <w:rPr>
                <w:rFonts w:ascii="Arial" w:cs="Arial" w:eastAsia="Arial" w:hAnsi="Arial"/>
                <w:sz w:val="14"/>
                <w:szCs w:val="14"/>
                <w:b w:val="1"/>
                <w:bCs w:val="1"/>
                <w:color w:val="auto"/>
              </w:rPr>
              <w:t>Components of Consolidated Cash Flows</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jc w:val="center"/>
              <w:ind w:left="33"/>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MegaChips</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Cash paid for principal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46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6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paid for equipment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60" w:type="dxa"/>
            <w:vAlign w:val="bottom"/>
            <w:gridSpan w:val="4"/>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Cash paid for commissions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6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paid for licenses</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60" w:type="dxa"/>
            <w:vAlign w:val="bottom"/>
            <w:gridSpan w:val="4"/>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329</w:t>
            </w:r>
          </w:p>
        </w:tc>
        <w:tc>
          <w:tcPr>
            <w:tcW w:w="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b w:val="1"/>
                <w:bCs w:val="1"/>
                <w:color w:val="auto"/>
              </w:rPr>
              <w:t>Affiliates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paid for consulting fees</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254</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Inducement Plan</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On February 23, 2022, the Compensation Committee of the Board of Directors of SiTime (the “Committee”) approved and adopted the SiTime Corporation 2022 Inducement Award Plan (the “Inducement Plan”). The Inducement Plan provides for the grant of equity or equity-based awards in the form of non-qualified stock options, restricted stock units, and other stock-based awards. The Inducement Plan’s terms are substantially similar to the terms of SiTime’s 2019 Stock Incentive Plan, with the addition of certain terms and conditions intended to comply with the Nasdaq inducement award exception. The Inducement Plan was adopted by the Committee without stockholder approval pursuant to Rule 5635(c)(4) of the Nasdaq Listing Rules.</w:t>
      </w:r>
    </w:p>
    <w:p>
      <w:pPr>
        <w:spacing w:after="0" w:line="5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Committee has reserved 250,000 shares of SiTime’s common stock for issuance pursuant to awards granted under the Inducement Plan (subject to customary adjustments in the event of a change in capital structure of SiTime). Awards under the Inducement Plan may be granted only to employees who satisfy the standards for inducement grants under Rule 5635(c)(4) of the Nasdaq Listing Rules, and only when the award is an inducement material to such individual’s entering into employment with SiTime, its subsidiaries or its affiliates within the meaning of Rule 5635(c)(4) of the Nasdaq Listing Rules.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0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89"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 Attestation Report of the Registered Public Accounting Firm.</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7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as of December 31, 2021 based on the criteria established in Internal Control - Integrated Framework (2013) issued by the Committee of Sponsoring Organizations of the Treadway Commission, or COSO. Based on our evaluation under the criteria set forth in Internal Control - Integrated Framework (2013) issued by the COSO, our management concluded our internal control over financial reporting was effective as of December 31, 2021.</w:t>
      </w:r>
    </w:p>
    <w:p>
      <w:pPr>
        <w:spacing w:after="0" w:line="81"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BDO USA, LLP, an independent registered public accounting firm, as stated in their report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rPr>
          <w:sz w:val="20"/>
          <w:szCs w:val="20"/>
          <w:color w:val="auto"/>
        </w:rPr>
      </w:pPr>
      <w:r>
        <w:rPr>
          <w:rFonts w:ascii="Arial" w:cs="Arial" w:eastAsia="Arial" w:hAnsi="Arial"/>
          <w:sz w:val="18"/>
          <w:szCs w:val="18"/>
          <w:color w:val="auto"/>
        </w:rPr>
        <w:t>Santa Clara, 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audited SiTime Corporation’s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2021, based on the COSO criteria</w:t>
      </w:r>
      <w:r>
        <w:rPr>
          <w:rFonts w:ascii="Arial" w:cs="Arial" w:eastAsia="Arial" w:hAnsi="Arial"/>
          <w:sz w:val="18"/>
          <w:szCs w:val="18"/>
          <w:i w:val="1"/>
          <w:iCs w:val="1"/>
          <w:color w:val="auto"/>
        </w:rPr>
        <w:t>.</w:t>
      </w:r>
    </w:p>
    <w:p>
      <w:pPr>
        <w:spacing w:after="0" w:line="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operations and comprehensive income (loss), stockholders’ equity, and cash flows for each of the three years in the period ended December 31, 2021, and the related notes and financial statement schedule listed in the accompanying index and our report dated February 25, 2022 expressed an unqualified opinion thereon.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9B.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Inducement Plan</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On February 23, 2022, the Compensation Committee of the Board of Directors of SiTime (the “Committee”) approved and adopted the SiTime Corporation 2022 Inducement Award Plan (the “Inducement Plan”). The Inducement Plan provides for the grant of equity or equity-based awards in the form of non-qualified stock options, restricted stock units, and other stock-based awards. The Inducement Plan’s terms are substantially similar to the terms of SiTime’s 2019 Stock Incentive Plan, with the addition of certain terms and conditions intended to comply with the Nasdaq inducement award exception. The Inducement Plan was adopted by the Committee without stockholder approval pursuant to Rule 5635(c)(4) of the Nasdaq Listing Rules.</w:t>
      </w:r>
    </w:p>
    <w:p>
      <w:pPr>
        <w:spacing w:after="0" w:line="5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Committee has reserved 250,000 shares of SiTime’s common stock for issuance pursuant to awards granted under the Inducement Plan (subject to customary adjustments in the event of a change in capital structure of SiTime). Awards under the Inducement Plan may be granted only to employees who satisfy the standards for inducement grants under Rule 5635(c)(4) of the Nasdaq Listing Rules, and only when the award is an inducement material to such individual’s entering into employment with SiTime, its subsidiaries or its affiliates within the meaning of Rule 5635(c)(4) of the Nasdaq Listing Rules.</w:t>
      </w:r>
    </w:p>
    <w:p>
      <w:pPr>
        <w:spacing w:after="0" w:line="47"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foregoing description of the terms of the Inducement Plan does not purport to be complete and is qualified in its entirety by reference to the full text of the Inducement Plan, which is filed as Exhibit 10.29 to this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information required by this item will be set forth under the captions “Election of Directors – Directors and Nominees” and “Election of Directors – Executive Officers, Directors and Director Nominees” in our definitive proxy statement to be filed with the SEC, in connection with our 2022 annual meeting of stockholders (the “Proxy Statement”), which is expected to be filed not later than 120 days after the end of our fiscal year ended December 31, 2021, and is incorporated in this report by reference.</w:t>
      </w:r>
    </w:p>
    <w:p>
      <w:pPr>
        <w:spacing w:after="0" w:line="18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To the extent disclosure for delinquent reports is being made, it can be found under the section entitled “Delinquent Section 16(a) Reports” in the Proxy Statement and is incorporated herein by reference.</w:t>
      </w:r>
    </w:p>
    <w:p>
      <w:pPr>
        <w:spacing w:after="0" w:line="182"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and is available on our website at www.sitime.com. We have also adopted a Code of Ethics for Senior Financial Officers that specifically applies to our chief executive officer (our principal executive officer) and chief financial officer (our principal financial officer and principal accounting officer). Stockholders may request a free copy of our Code of Ethics for Senior Financial Officers by contacting us at SiTime Corporation, Attention: Investor Relations, 5451 Patrick Henry Drive, Santa Clara, California 95054.</w:t>
      </w:r>
    </w:p>
    <w:p>
      <w:pPr>
        <w:spacing w:after="0" w:line="162" w:lineRule="exact"/>
        <w:rPr>
          <w:sz w:val="20"/>
          <w:szCs w:val="20"/>
          <w:color w:val="auto"/>
        </w:rPr>
      </w:pPr>
    </w:p>
    <w:p>
      <w:pPr>
        <w:ind w:right="520" w:firstLine="509"/>
        <w:spacing w:after="0" w:line="248" w:lineRule="auto"/>
        <w:rPr>
          <w:sz w:val="20"/>
          <w:szCs w:val="20"/>
          <w:color w:val="auto"/>
        </w:rPr>
      </w:pPr>
      <w:r>
        <w:rPr>
          <w:rFonts w:ascii="Arial" w:cs="Arial" w:eastAsia="Arial" w:hAnsi="Arial"/>
          <w:sz w:val="18"/>
          <w:szCs w:val="18"/>
          <w:color w:val="auto"/>
        </w:rPr>
        <w:t>To date, there have been no waivers under our Code of Business Conduct and Ethics or Code of Ethics for Senior Financial Officers. We will disclose on our website amendments to, or waivers from, our Code of Ethics for Senior Financial Officers, in accordance with applicable laws and regulations.</w:t>
      </w:r>
    </w:p>
    <w:p>
      <w:pPr>
        <w:spacing w:after="0" w:line="18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a separately designated standing audit committee of our board of directors (the “Audit Committee”) established in accordance with Section 3(a)(58)(A) of the Exchange Act. The members of the Audit Committee are Raman K. Chitkara, Edward H. Frank, and Torsten G. Kreindl. All of such members meet the independence standards established by the Nasdaq listing rules for serving on an audit committee. SEC regulations require us to disclose whether a director qualifying as an “audit committee financial expert” serves on our Audit Committee. Our board of directors has determined that Messrs. Chitkara and Kreindl qualify as an “audit committee financial expert” within the meaning of such regulations. The Audit Committee financial report required by this item will be contained in our Proxy Statement under the caption “Report of the Audit Committee of the Board of Directors” and is hereby incorporated by reference.</w:t>
      </w:r>
    </w:p>
    <w:p>
      <w:pPr>
        <w:spacing w:after="0" w:line="19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Information regarding procedures by which stockholders may recommend nominees to our board of directors is set forth under the caption “Director Nominations” under “Corporate Governance” in the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information required by this item will be set forth under the captions “Executive Compensation” and “Corporate Governance – Non-Employee Director Compensation” in the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The information required by this item will be set forth under the caption “Security Ownership of Certain Beneficial Owners and Management” and “Executive Compensation – Equity Compensation Plan Information” in the Proxy Statement and is incorporated herein by reference.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will be set forth under the captions “Certain Relationships and Related Person Transactions” and “Corporate Governance — Director Independence” in the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information required by this item will be set forth under the caption “Ratification of the Appointment of Independent Registered Public Accountants — Principal Accounting Fees and Services” in the Proxy and is incorporated herein by reference.</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48" w:right="499" w:bottom="1440" w:gutter="0" w:footer="0" w:header="0"/>
        </w:sectPr>
      </w:pPr>
    </w:p>
    <w:bookmarkStart w:id="82" w:name="page83"/>
    <w:bookmarkEnd w:id="82"/>
    <w:tbl>
      <w:tblPr>
        <w:tblLayout w:type="fixed"/>
        <w:tblInd w:w="1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0" w:type="dxa"/>
            <w:vAlign w:val="bottom"/>
            <w:gridSpan w:val="4"/>
          </w:tcPr>
          <w:p>
            <w:pPr>
              <w:ind w:left="580"/>
              <w:spacing w:after="0"/>
              <w:rPr>
                <w:sz w:val="20"/>
                <w:szCs w:val="20"/>
                <w:color w:val="auto"/>
              </w:rPr>
            </w:pPr>
            <w:r>
              <w:rPr>
                <w:rFonts w:ascii="Arial" w:cs="Arial" w:eastAsia="Arial" w:hAnsi="Arial"/>
                <w:sz w:val="18"/>
                <w:szCs w:val="18"/>
                <w:b w:val="1"/>
                <w:bCs w:val="1"/>
                <w:color w:val="auto"/>
              </w:rPr>
              <w:t>PART IV</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6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80" w:type="dxa"/>
            <w:vAlign w:val="bottom"/>
          </w:tcPr>
          <w:p>
            <w:pPr>
              <w:ind w:left="520"/>
              <w:spacing w:after="0"/>
              <w:rPr>
                <w:sz w:val="20"/>
                <w:szCs w:val="20"/>
                <w:color w:val="auto"/>
              </w:rPr>
            </w:pPr>
            <w:r>
              <w:rPr>
                <w:rFonts w:ascii="Arial" w:cs="Arial" w:eastAsia="Arial" w:hAnsi="Arial"/>
                <w:sz w:val="18"/>
                <w:szCs w:val="18"/>
                <w:color w:val="auto"/>
              </w:rPr>
              <w:t>(a)</w:t>
            </w:r>
          </w:p>
        </w:tc>
        <w:tc>
          <w:tcPr>
            <w:tcW w:w="9380" w:type="dxa"/>
            <w:vAlign w:val="bottom"/>
            <w:gridSpan w:val="8"/>
          </w:tcPr>
          <w:p>
            <w:pPr>
              <w:ind w:left="140"/>
              <w:spacing w:after="0"/>
              <w:rPr>
                <w:sz w:val="20"/>
                <w:szCs w:val="20"/>
                <w:color w:val="auto"/>
              </w:rPr>
            </w:pPr>
            <w:r>
              <w:rPr>
                <w:rFonts w:ascii="Arial" w:cs="Arial" w:eastAsia="Arial" w:hAnsi="Arial"/>
                <w:sz w:val="18"/>
                <w:szCs w:val="18"/>
                <w:color w:val="auto"/>
              </w:rPr>
              <w:t>The following documents are filed as a part of this Annual Report on Form 10-K:</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w:t>
            </w:r>
          </w:p>
        </w:tc>
        <w:tc>
          <w:tcPr>
            <w:tcW w:w="872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60" w:type="dxa"/>
            <w:vAlign w:val="bottom"/>
            <w:gridSpan w:val="9"/>
          </w:tcPr>
          <w:p>
            <w:pPr>
              <w:ind w:left="20"/>
              <w:spacing w:after="0"/>
              <w:rPr>
                <w:rFonts w:ascii="Arial" w:cs="Arial" w:eastAsia="Arial" w:hAnsi="Arial"/>
                <w:sz w:val="18"/>
                <w:szCs w:val="18"/>
                <w:color w:val="0000FF"/>
              </w:rPr>
            </w:pPr>
            <w:hyperlink w:anchor="page55">
              <w:r>
                <w:rPr>
                  <w:rFonts w:ascii="Arial" w:cs="Arial" w:eastAsia="Arial" w:hAnsi="Arial"/>
                  <w:sz w:val="18"/>
                  <w:szCs w:val="18"/>
                  <w:color w:val="0000FF"/>
                </w:rPr>
                <w:t>Consolidated Balance Sheets as of December 31, 2021 and 2020</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18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83"/>
        </w:trPr>
        <w:tc>
          <w:tcPr>
            <w:tcW w:w="10260" w:type="dxa"/>
            <w:vAlign w:val="bottom"/>
            <w:gridSpan w:val="9"/>
          </w:tcPr>
          <w:p>
            <w:pPr>
              <w:ind w:left="20"/>
              <w:spacing w:after="0" w:line="182" w:lineRule="exact"/>
              <w:rPr>
                <w:rFonts w:ascii="Arial" w:cs="Arial" w:eastAsia="Arial" w:hAnsi="Arial"/>
                <w:sz w:val="18"/>
                <w:szCs w:val="18"/>
                <w:color w:val="0000FF"/>
                <w:w w:val="96"/>
              </w:rPr>
            </w:pPr>
            <w:hyperlink w:anchor="page56">
              <w:r>
                <w:rPr>
                  <w:rFonts w:ascii="Arial" w:cs="Arial" w:eastAsia="Arial" w:hAnsi="Arial"/>
                  <w:sz w:val="18"/>
                  <w:szCs w:val="18"/>
                  <w:color w:val="0000FF"/>
                  <w:w w:val="96"/>
                </w:rPr>
                <w:t>Consolidated Statements of Operations and Comprehensive Income (Loss) for the years ended December 31, 2021, 2020, and 2019</w:t>
              </w:r>
            </w:hyperlink>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80" w:type="dxa"/>
            <w:vAlign w:val="bottom"/>
            <w:tcBorders>
              <w:top w:val="single" w:sz="8" w:color="0000FF"/>
            </w:tcBorders>
            <w:gridSpan w:val="8"/>
          </w:tcPr>
          <w:p>
            <w:pPr>
              <w:ind w:left="20"/>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Consolidated Statements of Stockholders’ Equity for the years ended December 31, 2021, 2020, and 2019</w:t>
              </w:r>
            </w:hyperlink>
          </w:p>
        </w:tc>
        <w:tc>
          <w:tcPr>
            <w:tcW w:w="78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7660" w:type="dxa"/>
            <w:vAlign w:val="bottom"/>
            <w:tcBorders>
              <w:top w:val="single" w:sz="8" w:color="0000FF"/>
            </w:tcBorders>
            <w:gridSpan w:val="7"/>
          </w:tcPr>
          <w:p>
            <w:pPr>
              <w:ind w:left="20"/>
              <w:spacing w:after="0" w:line="182" w:lineRule="exact"/>
              <w:rPr>
                <w:rFonts w:ascii="Arial" w:cs="Arial" w:eastAsia="Arial" w:hAnsi="Arial"/>
                <w:sz w:val="18"/>
                <w:szCs w:val="18"/>
                <w:color w:val="0000FF"/>
                <w:w w:val="97"/>
              </w:rPr>
            </w:pPr>
            <w:hyperlink w:anchor="page58">
              <w:r>
                <w:rPr>
                  <w:rFonts w:ascii="Arial" w:cs="Arial" w:eastAsia="Arial" w:hAnsi="Arial"/>
                  <w:sz w:val="18"/>
                  <w:szCs w:val="18"/>
                  <w:color w:val="0000FF"/>
                  <w:w w:val="97"/>
                </w:rPr>
                <w:t>Consolidated Statements of Cash Flows for the years ended December 31, 2021, 2020, and 2019</w:t>
              </w:r>
            </w:hyperlink>
          </w:p>
        </w:tc>
        <w:tc>
          <w:tcPr>
            <w:tcW w:w="2600" w:type="dxa"/>
            <w:vAlign w:val="bottom"/>
            <w:gridSpan w:val="2"/>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3"/>
        </w:trPr>
        <w:tc>
          <w:tcPr>
            <w:tcW w:w="6980" w:type="dxa"/>
            <w:vAlign w:val="bottom"/>
            <w:tcBorders>
              <w:top w:val="single" w:sz="8" w:color="0000FF"/>
            </w:tcBorders>
            <w:gridSpan w:val="6"/>
          </w:tcPr>
          <w:p>
            <w:pPr>
              <w:ind w:left="20"/>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3280" w:type="dxa"/>
            <w:vAlign w:val="bottom"/>
            <w:gridSpan w:val="3"/>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880" w:type="dxa"/>
            <w:vAlign w:val="bottom"/>
            <w:tcBorders>
              <w:left w:val="single" w:sz="8" w:color="0000EE"/>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hanging="514"/>
        <w:spacing w:after="0"/>
        <w:tabs>
          <w:tab w:leader="none" w:pos="154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Financial Statement Schedule (Valuation and Qualifying Accounts) for the years ended December 31, 2021, 2020, and 2019:</w:t>
      </w:r>
    </w:p>
    <w:p>
      <w:pPr>
        <w:spacing w:after="0" w:line="192"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3560" w:type="dxa"/>
            <w:vAlign w:val="bottom"/>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Schedule II—Valuation and Qualifying Accounts</w:t>
              </w:r>
            </w:hyperlink>
          </w:p>
        </w:tc>
        <w:tc>
          <w:tcPr>
            <w:tcW w:w="76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35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540" w:hanging="514"/>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documents listed below are filed (or furnished, as noted) as exhibits to this Annual Report on Form 10-K: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3" w:name="page84"/>
    <w:bookmarkEnd w:id="83"/>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6597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3.1</w:t>
      </w:r>
    </w:p>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3.2</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19545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87" w:lineRule="exact"/>
        <w:rPr>
          <w:sz w:val="20"/>
          <w:szCs w:val="20"/>
          <w:color w:val="auto"/>
        </w:rPr>
      </w:pPr>
    </w:p>
    <w:p>
      <w:pPr>
        <w:ind w:right="200"/>
        <w:spacing w:after="0" w:line="258" w:lineRule="auto"/>
        <w:rPr>
          <w:rFonts w:ascii="Arial" w:cs="Arial" w:eastAsia="Arial" w:hAnsi="Arial"/>
          <w:sz w:val="17"/>
          <w:szCs w:val="17"/>
          <w:u w:val="single" w:color="auto"/>
          <w:color w:val="0000FF"/>
        </w:rPr>
      </w:pPr>
      <w:hyperlink r:id="rId285">
        <w:r>
          <w:rPr>
            <w:rFonts w:ascii="Arial" w:cs="Arial" w:eastAsia="Arial" w:hAnsi="Arial"/>
            <w:sz w:val="17"/>
            <w:szCs w:val="17"/>
            <w:u w:val="single" w:color="auto"/>
            <w:color w:val="0000FF"/>
          </w:rPr>
          <w:t>Restated Certificate of Incorporation of</w:t>
        </w:r>
      </w:hyperlink>
      <w:r>
        <w:rPr>
          <w:rFonts w:ascii="Arial" w:cs="Arial" w:eastAsia="Arial" w:hAnsi="Arial"/>
          <w:sz w:val="17"/>
          <w:szCs w:val="17"/>
          <w:u w:val="single" w:color="auto"/>
          <w:color w:val="0000FF"/>
        </w:rPr>
        <w:t xml:space="preserve"> </w:t>
      </w:r>
      <w:hyperlink r:id="rId285">
        <w:r>
          <w:rPr>
            <w:rFonts w:ascii="Arial" w:cs="Arial" w:eastAsia="Arial" w:hAnsi="Arial"/>
            <w:sz w:val="17"/>
            <w:szCs w:val="17"/>
            <w:u w:val="single" w:color="auto"/>
            <w:color w:val="0000FF"/>
          </w:rPr>
          <w:t>SiTime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18307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8307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9131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73"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288">
        <w:r>
          <w:rPr>
            <w:rFonts w:ascii="Arial" w:cs="Arial" w:eastAsia="Arial" w:hAnsi="Arial"/>
            <w:sz w:val="18"/>
            <w:szCs w:val="18"/>
            <w:u w:val="single" w:color="auto"/>
            <w:color w:val="0000FF"/>
          </w:rPr>
          <w:t>Amended and Restated Bylaws of the</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17513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17513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444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115"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r:id="rId291">
        <w:r>
          <w:rPr>
            <w:rFonts w:ascii="Arial" w:cs="Arial" w:eastAsia="Arial" w:hAnsi="Arial"/>
            <w:sz w:val="18"/>
            <w:szCs w:val="18"/>
            <w:u w:val="single" w:color="auto"/>
            <w:color w:val="0000FF"/>
          </w:rPr>
          <w:t>Form of Common Stock Certificate of the</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19380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1938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4445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88" w:lineRule="exact"/>
        <w:rPr>
          <w:sz w:val="20"/>
          <w:szCs w:val="20"/>
          <w:color w:val="auto"/>
        </w:rPr>
      </w:pPr>
    </w:p>
    <w:p>
      <w:pPr>
        <w:ind w:right="200"/>
        <w:spacing w:after="0" w:line="237" w:lineRule="auto"/>
        <w:rPr>
          <w:rFonts w:ascii="Arial" w:cs="Arial" w:eastAsia="Arial" w:hAnsi="Arial"/>
          <w:sz w:val="17"/>
          <w:szCs w:val="17"/>
          <w:u w:val="single" w:color="auto"/>
          <w:color w:val="0000FF"/>
        </w:rPr>
      </w:pPr>
      <w:hyperlink r:id="rId294">
        <w:r>
          <w:rPr>
            <w:rFonts w:ascii="Arial" w:cs="Arial" w:eastAsia="Arial" w:hAnsi="Arial"/>
            <w:sz w:val="17"/>
            <w:szCs w:val="17"/>
            <w:u w:val="single" w:color="auto"/>
            <w:color w:val="0000FF"/>
          </w:rPr>
          <w:t>Description of Securities Registered</w:t>
        </w:r>
      </w:hyperlink>
      <w:r>
        <w:rPr>
          <w:rFonts w:ascii="Arial" w:cs="Arial" w:eastAsia="Arial" w:hAnsi="Arial"/>
          <w:sz w:val="17"/>
          <w:szCs w:val="17"/>
          <w:u w:val="single" w:color="auto"/>
          <w:color w:val="0000FF"/>
        </w:rPr>
        <w:t xml:space="preserve"> </w:t>
      </w:r>
      <w:hyperlink r:id="rId294">
        <w:r>
          <w:rPr>
            <w:rFonts w:ascii="Arial" w:cs="Arial" w:eastAsia="Arial" w:hAnsi="Arial"/>
            <w:sz w:val="17"/>
            <w:szCs w:val="17"/>
            <w:u w:val="single" w:color="auto"/>
            <w:color w:val="0000FF"/>
          </w:rPr>
          <w:t>Pursuant to Section 12 of the Securities</w:t>
        </w:r>
      </w:hyperlink>
      <w:r>
        <w:rPr>
          <w:rFonts w:ascii="Arial" w:cs="Arial" w:eastAsia="Arial" w:hAnsi="Arial"/>
          <w:sz w:val="17"/>
          <w:szCs w:val="17"/>
          <w:u w:val="single" w:color="auto"/>
          <w:color w:val="0000FF"/>
        </w:rPr>
        <w:t xml:space="preserve"> </w:t>
      </w:r>
      <w:hyperlink r:id="rId294">
        <w:r>
          <w:rPr>
            <w:rFonts w:ascii="Arial" w:cs="Arial" w:eastAsia="Arial" w:hAnsi="Arial"/>
            <w:sz w:val="17"/>
            <w:szCs w:val="17"/>
            <w:u w:val="single" w:color="auto"/>
            <w:color w:val="0000FF"/>
          </w:rPr>
          <w:t>Exchange Act of 1934</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16814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16814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18307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18307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1024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62" w:lineRule="exact"/>
        <w:rPr>
          <w:rFonts w:ascii="Arial" w:cs="Arial" w:eastAsia="Arial" w:hAnsi="Arial"/>
          <w:sz w:val="17"/>
          <w:szCs w:val="17"/>
          <w:u w:val="single" w:color="auto"/>
          <w:color w:val="0000FF"/>
        </w:rPr>
      </w:pPr>
    </w:p>
    <w:p>
      <w:pPr>
        <w:ind w:right="240"/>
        <w:spacing w:after="0" w:line="224" w:lineRule="auto"/>
        <w:rPr>
          <w:rFonts w:ascii="Arial" w:cs="Arial" w:eastAsia="Arial" w:hAnsi="Arial"/>
          <w:sz w:val="18"/>
          <w:szCs w:val="18"/>
          <w:u w:val="single" w:color="auto"/>
          <w:color w:val="0000FF"/>
        </w:rPr>
      </w:pPr>
      <w:hyperlink r:id="rId298">
        <w:r>
          <w:rPr>
            <w:rFonts w:ascii="Arial" w:cs="Arial" w:eastAsia="Arial" w:hAnsi="Arial"/>
            <w:sz w:val="18"/>
            <w:szCs w:val="18"/>
            <w:u w:val="single" w:color="auto"/>
            <w:color w:val="0000FF"/>
          </w:rPr>
          <w:t>Form of Indemnification Agreement</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between the Company and its directors</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and officers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-247015</wp:posOffset>
            </wp:positionV>
            <wp:extent cx="16941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16941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18084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5403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right="140"/>
        <w:spacing w:after="0" w:line="244" w:lineRule="auto"/>
        <w:rPr>
          <w:rFonts w:ascii="Arial" w:cs="Arial" w:eastAsia="Arial" w:hAnsi="Arial"/>
          <w:sz w:val="16"/>
          <w:szCs w:val="16"/>
          <w:u w:val="single" w:color="auto"/>
          <w:color w:val="0000FF"/>
        </w:rPr>
      </w:pPr>
      <w:hyperlink r:id="rId302">
        <w:r>
          <w:rPr>
            <w:rFonts w:ascii="Arial" w:cs="Arial" w:eastAsia="Arial" w:hAnsi="Arial"/>
            <w:sz w:val="16"/>
            <w:szCs w:val="16"/>
            <w:u w:val="single" w:color="auto"/>
            <w:color w:val="0000FF"/>
          </w:rPr>
          <w:t>2019 Stock Incentive Plan and Forms of</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Stock Option Agreement, Notice of</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Exercise, Stock Option Grant Notice,</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Restricted Stock Unit Agreement, and</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Restricted Stock Agreement thereunder</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-472440</wp:posOffset>
            </wp:positionV>
            <wp:extent cx="18688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-361315</wp:posOffset>
            </wp:positionV>
            <wp:extent cx="16560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1656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-249555</wp:posOffset>
            </wp:positionV>
            <wp:extent cx="17354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17354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17703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17703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-26670</wp:posOffset>
            </wp:positionV>
            <wp:extent cx="18053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1805305" cy="8890"/>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spacing w:after="0" w:line="224" w:lineRule="auto"/>
        <w:rPr>
          <w:rFonts w:ascii="Arial" w:cs="Arial" w:eastAsia="Arial" w:hAnsi="Arial"/>
          <w:sz w:val="18"/>
          <w:szCs w:val="18"/>
          <w:u w:val="single" w:color="auto"/>
          <w:color w:val="0000FF"/>
        </w:rPr>
      </w:pPr>
      <w:hyperlink r:id="rId308">
        <w:r>
          <w:rPr>
            <w:rFonts w:ascii="Arial" w:cs="Arial" w:eastAsia="Arial" w:hAnsi="Arial"/>
            <w:sz w:val="18"/>
            <w:szCs w:val="18"/>
            <w:u w:val="single" w:color="auto"/>
            <w:color w:val="0000FF"/>
          </w:rPr>
          <w:t>New Terms of Employment, dated</w:t>
        </w:r>
      </w:hyperlink>
      <w:r>
        <w:rPr>
          <w:rFonts w:ascii="Arial" w:cs="Arial" w:eastAsia="Arial" w:hAnsi="Arial"/>
          <w:sz w:val="18"/>
          <w:szCs w:val="18"/>
          <w:u w:val="single" w:color="auto"/>
          <w:color w:val="0000FF"/>
        </w:rPr>
        <w:t xml:space="preserve"> </w:t>
      </w:r>
      <w:hyperlink r:id="rId308">
        <w:r>
          <w:rPr>
            <w:rFonts w:ascii="Arial" w:cs="Arial" w:eastAsia="Arial" w:hAnsi="Arial"/>
            <w:sz w:val="18"/>
            <w:szCs w:val="18"/>
            <w:u w:val="single" w:color="auto"/>
            <w:color w:val="0000FF"/>
          </w:rPr>
          <w:t>October 21, 2014, between Rajesh Vashist</w:t>
        </w:r>
      </w:hyperlink>
      <w:r>
        <w:rPr>
          <w:rFonts w:ascii="Arial" w:cs="Arial" w:eastAsia="Arial" w:hAnsi="Arial"/>
          <w:sz w:val="18"/>
          <w:szCs w:val="18"/>
          <w:u w:val="single" w:color="auto"/>
          <w:color w:val="0000FF"/>
        </w:rPr>
        <w:t xml:space="preserve"> </w:t>
      </w:r>
      <w:hyperlink r:id="rId308">
        <w:r>
          <w:rPr>
            <w:rFonts w:ascii="Arial" w:cs="Arial" w:eastAsia="Arial" w:hAnsi="Arial"/>
            <w:sz w:val="18"/>
            <w:szCs w:val="18"/>
            <w:u w:val="single" w:color="auto"/>
            <w:color w:val="0000FF"/>
          </w:rPr>
          <w:t>and the Company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-247015</wp:posOffset>
            </wp:positionV>
            <wp:extent cx="16040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1604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19380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1938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8058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right="300"/>
        <w:spacing w:after="0" w:line="259" w:lineRule="auto"/>
        <w:rPr>
          <w:rFonts w:ascii="Arial" w:cs="Arial" w:eastAsia="Arial" w:hAnsi="Arial"/>
          <w:sz w:val="16"/>
          <w:szCs w:val="16"/>
          <w:u w:val="single" w:color="auto"/>
          <w:color w:val="0000FF"/>
        </w:rPr>
      </w:pPr>
      <w:hyperlink r:id="rId312">
        <w:r>
          <w:rPr>
            <w:rFonts w:ascii="Arial" w:cs="Arial" w:eastAsia="Arial" w:hAnsi="Arial"/>
            <w:sz w:val="16"/>
            <w:szCs w:val="16"/>
            <w:u w:val="single" w:color="auto"/>
            <w:color w:val="0000FF"/>
          </w:rPr>
          <w:t>Amendment to Terms of Employment</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Letter, dated June 14, 2016, between</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Rajesh Vashist and the Company</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17659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170561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15043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46" w:lineRule="exact"/>
        <w:rPr>
          <w:rFonts w:ascii="Arial" w:cs="Arial" w:eastAsia="Arial" w:hAnsi="Arial"/>
          <w:sz w:val="16"/>
          <w:szCs w:val="16"/>
          <w:u w:val="single" w:color="auto"/>
          <w:color w:val="0000FF"/>
        </w:rPr>
      </w:pPr>
    </w:p>
    <w:p>
      <w:pPr>
        <w:jc w:val="both"/>
        <w:ind w:right="200"/>
        <w:spacing w:after="0" w:line="237" w:lineRule="auto"/>
        <w:rPr>
          <w:rFonts w:ascii="Arial" w:cs="Arial" w:eastAsia="Arial" w:hAnsi="Arial"/>
          <w:sz w:val="17"/>
          <w:szCs w:val="17"/>
          <w:u w:val="single" w:color="auto"/>
          <w:color w:val="0000FF"/>
        </w:rPr>
      </w:pPr>
      <w:hyperlink r:id="rId316">
        <w:r>
          <w:rPr>
            <w:rFonts w:ascii="Arial" w:cs="Arial" w:eastAsia="Arial" w:hAnsi="Arial"/>
            <w:sz w:val="17"/>
            <w:szCs w:val="17"/>
            <w:u w:val="single" w:color="auto"/>
            <w:color w:val="0000FF"/>
          </w:rPr>
          <w:t>Offer of Employment, dated September</w:t>
        </w:r>
      </w:hyperlink>
      <w:r>
        <w:rPr>
          <w:rFonts w:ascii="Arial" w:cs="Arial" w:eastAsia="Arial" w:hAnsi="Arial"/>
          <w:sz w:val="17"/>
          <w:szCs w:val="17"/>
          <w:u w:val="single" w:color="auto"/>
          <w:color w:val="0000FF"/>
        </w:rPr>
        <w:t xml:space="preserve"> </w:t>
      </w:r>
      <w:hyperlink r:id="rId316">
        <w:r>
          <w:rPr>
            <w:rFonts w:ascii="Arial" w:cs="Arial" w:eastAsia="Arial" w:hAnsi="Arial"/>
            <w:sz w:val="17"/>
            <w:szCs w:val="17"/>
            <w:u w:val="single" w:color="auto"/>
            <w:color w:val="0000FF"/>
          </w:rPr>
          <w:t>24, 2019, between Arthur D. Chadwick</w:t>
        </w:r>
      </w:hyperlink>
      <w:r>
        <w:rPr>
          <w:rFonts w:ascii="Arial" w:cs="Arial" w:eastAsia="Arial" w:hAnsi="Arial"/>
          <w:sz w:val="17"/>
          <w:szCs w:val="17"/>
          <w:u w:val="single" w:color="auto"/>
          <w:color w:val="0000FF"/>
        </w:rPr>
        <w:t xml:space="preserve"> </w:t>
      </w:r>
      <w:hyperlink r:id="rId316">
        <w:r>
          <w:rPr>
            <w:rFonts w:ascii="Arial" w:cs="Arial" w:eastAsia="Arial" w:hAnsi="Arial"/>
            <w:sz w:val="17"/>
            <w:szCs w:val="17"/>
            <w:u w:val="single" w:color="auto"/>
            <w:color w:val="0000FF"/>
          </w:rPr>
          <w:t>and the Company</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1837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183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18307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18307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8058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62" w:lineRule="exact"/>
        <w:rPr>
          <w:rFonts w:ascii="Arial" w:cs="Arial" w:eastAsia="Arial" w:hAnsi="Arial"/>
          <w:sz w:val="17"/>
          <w:szCs w:val="17"/>
          <w:u w:val="single" w:color="auto"/>
          <w:color w:val="0000FF"/>
        </w:rPr>
      </w:pPr>
    </w:p>
    <w:p>
      <w:pPr>
        <w:ind w:right="140"/>
        <w:spacing w:after="0" w:line="224" w:lineRule="auto"/>
        <w:rPr>
          <w:rFonts w:ascii="Arial" w:cs="Arial" w:eastAsia="Arial" w:hAnsi="Arial"/>
          <w:sz w:val="18"/>
          <w:szCs w:val="18"/>
          <w:u w:val="single" w:color="auto"/>
          <w:color w:val="0000FF"/>
        </w:rPr>
      </w:pPr>
      <w:hyperlink r:id="rId320">
        <w:r>
          <w:rPr>
            <w:rFonts w:ascii="Arial" w:cs="Arial" w:eastAsia="Arial" w:hAnsi="Arial"/>
            <w:sz w:val="18"/>
            <w:szCs w:val="18"/>
            <w:u w:val="single" w:color="auto"/>
            <w:color w:val="0000FF"/>
          </w:rPr>
          <w:t>Offer of Employment, dated January 27,</w:t>
        </w:r>
      </w:hyperlink>
      <w:r>
        <w:rPr>
          <w:rFonts w:ascii="Arial" w:cs="Arial" w:eastAsia="Arial" w:hAnsi="Arial"/>
          <w:sz w:val="18"/>
          <w:szCs w:val="18"/>
          <w:u w:val="single" w:color="auto"/>
          <w:color w:val="0000FF"/>
        </w:rPr>
        <w:t xml:space="preserve"> </w:t>
      </w:r>
      <w:hyperlink r:id="rId320">
        <w:r>
          <w:rPr>
            <w:rFonts w:ascii="Arial" w:cs="Arial" w:eastAsia="Arial" w:hAnsi="Arial"/>
            <w:sz w:val="18"/>
            <w:szCs w:val="18"/>
            <w:u w:val="single" w:color="auto"/>
            <w:color w:val="0000FF"/>
          </w:rPr>
          <w:t>2018, between Lionel Bonnot and the</w:t>
        </w:r>
      </w:hyperlink>
      <w:r>
        <w:rPr>
          <w:rFonts w:ascii="Arial" w:cs="Arial" w:eastAsia="Arial" w:hAnsi="Arial"/>
          <w:sz w:val="18"/>
          <w:szCs w:val="18"/>
          <w:u w:val="single" w:color="auto"/>
          <w:color w:val="0000FF"/>
        </w:rPr>
        <w:t xml:space="preserve"> </w:t>
      </w:r>
      <w:hyperlink r:id="rId320">
        <w:r>
          <w:rPr>
            <w:rFonts w:ascii="Arial" w:cs="Arial" w:eastAsia="Arial" w:hAnsi="Arial"/>
            <w:sz w:val="18"/>
            <w:szCs w:val="18"/>
            <w:u w:val="single" w:color="auto"/>
            <w:color w:val="0000FF"/>
          </w:rPr>
          <w:t>Company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-247015</wp:posOffset>
            </wp:positionV>
            <wp:extent cx="18764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18764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17481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17481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444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right="360"/>
        <w:spacing w:after="0" w:line="237" w:lineRule="auto"/>
        <w:rPr>
          <w:rFonts w:ascii="Arial" w:cs="Arial" w:eastAsia="Arial" w:hAnsi="Arial"/>
          <w:sz w:val="17"/>
          <w:szCs w:val="17"/>
          <w:u w:val="single" w:color="auto"/>
          <w:color w:val="0000FF"/>
        </w:rPr>
      </w:pPr>
      <w:hyperlink r:id="rId324">
        <w:r>
          <w:rPr>
            <w:rFonts w:ascii="Arial" w:cs="Arial" w:eastAsia="Arial" w:hAnsi="Arial"/>
            <w:sz w:val="17"/>
            <w:szCs w:val="17"/>
            <w:u w:val="single" w:color="auto"/>
            <w:color w:val="0000FF"/>
          </w:rPr>
          <w:t>New Terms of Employment, dated</w:t>
        </w:r>
      </w:hyperlink>
      <w:r>
        <w:rPr>
          <w:rFonts w:ascii="Arial" w:cs="Arial" w:eastAsia="Arial" w:hAnsi="Arial"/>
          <w:sz w:val="17"/>
          <w:szCs w:val="17"/>
          <w:u w:val="single" w:color="auto"/>
          <w:color w:val="0000FF"/>
        </w:rPr>
        <w:t xml:space="preserve"> </w:t>
      </w:r>
      <w:hyperlink r:id="rId324">
        <w:r>
          <w:rPr>
            <w:rFonts w:ascii="Arial" w:cs="Arial" w:eastAsia="Arial" w:hAnsi="Arial"/>
            <w:sz w:val="17"/>
            <w:szCs w:val="17"/>
            <w:u w:val="single" w:color="auto"/>
            <w:color w:val="0000FF"/>
          </w:rPr>
          <w:t>October 20, 2014, between Piyush B.</w:t>
        </w:r>
      </w:hyperlink>
      <w:r>
        <w:rPr>
          <w:rFonts w:ascii="Arial" w:cs="Arial" w:eastAsia="Arial" w:hAnsi="Arial"/>
          <w:sz w:val="17"/>
          <w:szCs w:val="17"/>
          <w:u w:val="single" w:color="auto"/>
          <w:color w:val="0000FF"/>
        </w:rPr>
        <w:t xml:space="preserve"> </w:t>
      </w:r>
      <w:hyperlink r:id="rId324">
        <w:r>
          <w:rPr>
            <w:rFonts w:ascii="Arial" w:cs="Arial" w:eastAsia="Arial" w:hAnsi="Arial"/>
            <w:sz w:val="17"/>
            <w:szCs w:val="17"/>
            <w:u w:val="single" w:color="auto"/>
            <w:color w:val="0000FF"/>
          </w:rPr>
          <w:t>Sevalia and the Company</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160401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1604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17354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17354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11709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left="700"/>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rFonts w:ascii="Arial" w:cs="Arial" w:eastAsia="Arial" w:hAnsi="Arial"/>
          <w:sz w:val="17"/>
          <w:szCs w:val="17"/>
          <w:u w:val="single" w:color="auto"/>
          <w:color w:val="0000FF"/>
        </w:rPr>
      </w:pPr>
    </w:p>
    <w:tbl>
      <w:tblPr>
        <w:tblLayout w:type="fixed"/>
        <w:tblInd w:w="0" w:type="dxa"/>
        <w:tblCellMar>
          <w:top w:w="0" w:type="dxa"/>
          <w:left w:w="0" w:type="dxa"/>
          <w:bottom w:w="0" w:type="dxa"/>
          <w:right w:w="0" w:type="dxa"/>
        </w:tblCellMar>
      </w:tblPr>
      <w:tr>
        <w:trPr>
          <w:trHeight w:val="203"/>
        </w:trPr>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Incorporation by Reference</w:t>
            </w: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File</w:t>
            </w:r>
          </w:p>
        </w:tc>
        <w:tc>
          <w:tcPr>
            <w:tcW w:w="120" w:type="dxa"/>
            <w:vAlign w:val="bottom"/>
          </w:tcPr>
          <w:p>
            <w:pPr>
              <w:spacing w:after="0"/>
              <w:rPr>
                <w:sz w:val="17"/>
                <w:szCs w:val="17"/>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Exhibit/Appendix</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114"/>
        </w:trPr>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Form</w:t>
            </w:r>
          </w:p>
        </w:tc>
        <w:tc>
          <w:tcPr>
            <w:tcW w:w="1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7"/>
              </w:rPr>
              <w:t>Reference</w:t>
            </w:r>
          </w:p>
        </w:tc>
        <w:tc>
          <w:tcPr>
            <w:tcW w:w="1280" w:type="dxa"/>
            <w:vAlign w:val="bottom"/>
            <w:vMerge w:val="restart"/>
          </w:tcPr>
          <w:p>
            <w:pPr>
              <w:jc w:val="right"/>
              <w:ind w:right="147"/>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3"/>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40" w:type="dxa"/>
            <w:vAlign w:val="bottom"/>
            <w:gridSpan w:val="2"/>
          </w:tcPr>
          <w:p>
            <w:pPr>
              <w:jc w:val="center"/>
              <w:ind w:left="25"/>
              <w:spacing w:after="0"/>
              <w:rPr>
                <w:sz w:val="20"/>
                <w:szCs w:val="20"/>
                <w:color w:val="auto"/>
              </w:rPr>
            </w:pPr>
            <w:r>
              <w:rPr>
                <w:rFonts w:ascii="Arial" w:cs="Arial" w:eastAsia="Arial" w:hAnsi="Arial"/>
                <w:sz w:val="18"/>
                <w:szCs w:val="18"/>
                <w:color w:val="auto"/>
                <w:w w:val="90"/>
              </w:rPr>
              <w:t>001-39135</w:t>
            </w:r>
          </w:p>
        </w:tc>
        <w:tc>
          <w:tcPr>
            <w:tcW w:w="1880" w:type="dxa"/>
            <w:vAlign w:val="bottom"/>
            <w:gridSpan w:val="2"/>
          </w:tcPr>
          <w:p>
            <w:pPr>
              <w:jc w:val="center"/>
              <w:ind w:left="167"/>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11/26/2019</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80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540" w:type="dxa"/>
            <w:vAlign w:val="bottom"/>
            <w:gridSpan w:val="2"/>
          </w:tcPr>
          <w:p>
            <w:pPr>
              <w:jc w:val="center"/>
              <w:ind w:left="25"/>
              <w:spacing w:after="0"/>
              <w:rPr>
                <w:sz w:val="20"/>
                <w:szCs w:val="20"/>
                <w:color w:val="auto"/>
              </w:rPr>
            </w:pPr>
            <w:r>
              <w:rPr>
                <w:rFonts w:ascii="Arial" w:cs="Arial" w:eastAsia="Arial" w:hAnsi="Arial"/>
                <w:sz w:val="20"/>
                <w:szCs w:val="20"/>
                <w:color w:val="auto"/>
                <w:w w:val="89"/>
              </w:rPr>
              <w:t>001-39135</w:t>
            </w:r>
          </w:p>
        </w:tc>
        <w:tc>
          <w:tcPr>
            <w:tcW w:w="1880" w:type="dxa"/>
            <w:vAlign w:val="bottom"/>
            <w:gridSpan w:val="2"/>
          </w:tcPr>
          <w:p>
            <w:pPr>
              <w:jc w:val="center"/>
              <w:ind w:left="147"/>
              <w:spacing w:after="0"/>
              <w:rPr>
                <w:sz w:val="20"/>
                <w:szCs w:val="20"/>
                <w:color w:val="auto"/>
              </w:rPr>
            </w:pPr>
            <w:r>
              <w:rPr>
                <w:rFonts w:ascii="Arial" w:cs="Arial" w:eastAsia="Arial" w:hAnsi="Arial"/>
                <w:sz w:val="20"/>
                <w:szCs w:val="20"/>
                <w:color w:val="auto"/>
                <w:w w:val="86"/>
              </w:rPr>
              <w:t>3.2</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89"/>
              </w:rPr>
              <w:t>6/29/2021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 w:type="dxa"/>
            <w:vAlign w:val="bottom"/>
          </w:tcPr>
          <w:p>
            <w:pPr>
              <w:jc w:val="center"/>
              <w:spacing w:after="0"/>
              <w:rPr>
                <w:sz w:val="20"/>
                <w:szCs w:val="20"/>
                <w:color w:val="auto"/>
              </w:rPr>
            </w:pPr>
            <w:r>
              <w:rPr>
                <w:rFonts w:ascii="Arial" w:cs="Arial" w:eastAsia="Arial" w:hAnsi="Arial"/>
                <w:sz w:val="20"/>
                <w:szCs w:val="20"/>
                <w:color w:val="auto"/>
                <w:w w:val="89"/>
              </w:rPr>
              <w:t>S-1</w:t>
            </w:r>
          </w:p>
        </w:tc>
        <w:tc>
          <w:tcPr>
            <w:tcW w:w="1540" w:type="dxa"/>
            <w:vAlign w:val="bottom"/>
            <w:gridSpan w:val="2"/>
          </w:tcPr>
          <w:p>
            <w:pPr>
              <w:jc w:val="center"/>
              <w:ind w:left="45"/>
              <w:spacing w:after="0"/>
              <w:rPr>
                <w:sz w:val="20"/>
                <w:szCs w:val="20"/>
                <w:color w:val="auto"/>
              </w:rPr>
            </w:pPr>
            <w:r>
              <w:rPr>
                <w:rFonts w:ascii="Arial" w:cs="Arial" w:eastAsia="Arial" w:hAnsi="Arial"/>
                <w:sz w:val="20"/>
                <w:szCs w:val="20"/>
                <w:color w:val="auto"/>
                <w:w w:val="89"/>
              </w:rPr>
              <w:t>333-234305</w:t>
            </w:r>
          </w:p>
        </w:tc>
        <w:tc>
          <w:tcPr>
            <w:tcW w:w="1880" w:type="dxa"/>
            <w:vAlign w:val="bottom"/>
            <w:gridSpan w:val="2"/>
          </w:tcPr>
          <w:p>
            <w:pPr>
              <w:jc w:val="center"/>
              <w:ind w:left="147"/>
              <w:spacing w:after="0"/>
              <w:rPr>
                <w:sz w:val="20"/>
                <w:szCs w:val="20"/>
                <w:color w:val="auto"/>
              </w:rPr>
            </w:pPr>
            <w:r>
              <w:rPr>
                <w:rFonts w:ascii="Arial" w:cs="Arial" w:eastAsia="Arial" w:hAnsi="Arial"/>
                <w:sz w:val="20"/>
                <w:szCs w:val="20"/>
                <w:color w:val="auto"/>
                <w:w w:val="86"/>
              </w:rPr>
              <w:t>4.1</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89"/>
              </w:rPr>
              <w:t>10/23/2019</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540" w:type="dxa"/>
            <w:vAlign w:val="bottom"/>
            <w:gridSpan w:val="2"/>
          </w:tcPr>
          <w:p>
            <w:pPr>
              <w:jc w:val="center"/>
              <w:ind w:left="25"/>
              <w:spacing w:after="0"/>
              <w:rPr>
                <w:sz w:val="20"/>
                <w:szCs w:val="20"/>
                <w:color w:val="auto"/>
              </w:rPr>
            </w:pPr>
            <w:r>
              <w:rPr>
                <w:rFonts w:ascii="Arial" w:cs="Arial" w:eastAsia="Arial" w:hAnsi="Arial"/>
                <w:sz w:val="18"/>
                <w:szCs w:val="18"/>
                <w:color w:val="auto"/>
                <w:w w:val="90"/>
              </w:rPr>
              <w:t>001-39135</w:t>
            </w:r>
          </w:p>
        </w:tc>
        <w:tc>
          <w:tcPr>
            <w:tcW w:w="1880" w:type="dxa"/>
            <w:vAlign w:val="bottom"/>
            <w:gridSpan w:val="2"/>
          </w:tcPr>
          <w:p>
            <w:pPr>
              <w:jc w:val="center"/>
              <w:ind w:left="167"/>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2/16/2021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80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1540" w:type="dxa"/>
            <w:vAlign w:val="bottom"/>
            <w:gridSpan w:val="2"/>
          </w:tcPr>
          <w:p>
            <w:pPr>
              <w:jc w:val="right"/>
              <w:ind w:right="219"/>
              <w:spacing w:after="0"/>
              <w:rPr>
                <w:sz w:val="20"/>
                <w:szCs w:val="20"/>
                <w:color w:val="auto"/>
              </w:rPr>
            </w:pPr>
            <w:r>
              <w:rPr>
                <w:rFonts w:ascii="Arial" w:cs="Arial" w:eastAsia="Arial" w:hAnsi="Arial"/>
                <w:sz w:val="20"/>
                <w:szCs w:val="20"/>
                <w:color w:val="auto"/>
              </w:rPr>
              <w:t>001-39135</w:t>
            </w:r>
          </w:p>
        </w:tc>
        <w:tc>
          <w:tcPr>
            <w:tcW w:w="1880" w:type="dxa"/>
            <w:vAlign w:val="bottom"/>
            <w:gridSpan w:val="2"/>
          </w:tcPr>
          <w:p>
            <w:pPr>
              <w:jc w:val="right"/>
              <w:ind w:right="539"/>
              <w:spacing w:after="0"/>
              <w:rPr>
                <w:sz w:val="20"/>
                <w:szCs w:val="20"/>
                <w:color w:val="auto"/>
              </w:rPr>
            </w:pPr>
            <w:r>
              <w:rPr>
                <w:rFonts w:ascii="Arial" w:cs="Arial" w:eastAsia="Arial" w:hAnsi="Arial"/>
                <w:sz w:val="20"/>
                <w:szCs w:val="20"/>
                <w:color w:val="auto"/>
              </w:rPr>
              <w:t>10.1</w:t>
            </w:r>
          </w:p>
        </w:tc>
        <w:tc>
          <w:tcPr>
            <w:tcW w:w="240" w:type="dxa"/>
            <w:vAlign w:val="bottom"/>
          </w:tcPr>
          <w:p>
            <w:pPr>
              <w:spacing w:after="0"/>
              <w:rPr>
                <w:sz w:val="24"/>
                <w:szCs w:val="24"/>
                <w:color w:val="auto"/>
              </w:rPr>
            </w:pPr>
          </w:p>
        </w:tc>
        <w:tc>
          <w:tcPr>
            <w:tcW w:w="1280" w:type="dxa"/>
            <w:vAlign w:val="bottom"/>
          </w:tcPr>
          <w:p>
            <w:pPr>
              <w:jc w:val="right"/>
              <w:ind w:right="167"/>
              <w:spacing w:after="0"/>
              <w:rPr>
                <w:sz w:val="20"/>
                <w:szCs w:val="20"/>
                <w:color w:val="auto"/>
              </w:rPr>
            </w:pPr>
            <w:r>
              <w:rPr>
                <w:rFonts w:ascii="Arial" w:cs="Arial" w:eastAsia="Arial" w:hAnsi="Arial"/>
                <w:sz w:val="20"/>
                <w:szCs w:val="20"/>
                <w:color w:val="auto"/>
              </w:rPr>
              <w:t>2/16/2021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62" w:lineRule="exact"/>
        <w:rPr>
          <w:rFonts w:ascii="Arial" w:cs="Arial" w:eastAsia="Arial" w:hAnsi="Arial"/>
          <w:sz w:val="17"/>
          <w:szCs w:val="17"/>
          <w:u w:val="single" w:color="auto"/>
          <w:color w:val="0000FF"/>
        </w:rPr>
      </w:pPr>
    </w:p>
    <w:tbl>
      <w:tblPr>
        <w:tblLayout w:type="fixed"/>
        <w:tblInd w:w="260" w:type="dxa"/>
        <w:tblCellMar>
          <w:top w:w="0" w:type="dxa"/>
          <w:left w:w="0" w:type="dxa"/>
          <w:bottom w:w="0" w:type="dxa"/>
          <w:right w:w="0" w:type="dxa"/>
        </w:tblCellMar>
      </w:tblP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S-1</w:t>
            </w:r>
          </w:p>
        </w:tc>
        <w:tc>
          <w:tcPr>
            <w:tcW w:w="1840" w:type="dxa"/>
            <w:vAlign w:val="bottom"/>
          </w:tcPr>
          <w:p>
            <w:pPr>
              <w:ind w:left="320"/>
              <w:spacing w:after="0"/>
              <w:rPr>
                <w:sz w:val="20"/>
                <w:szCs w:val="20"/>
                <w:color w:val="auto"/>
              </w:rPr>
            </w:pPr>
            <w:r>
              <w:rPr>
                <w:rFonts w:ascii="Arial" w:cs="Arial" w:eastAsia="Arial" w:hAnsi="Arial"/>
                <w:sz w:val="20"/>
                <w:szCs w:val="20"/>
                <w:color w:val="auto"/>
              </w:rPr>
              <w:t>333-234305</w:t>
            </w:r>
          </w:p>
        </w:tc>
        <w:tc>
          <w:tcPr>
            <w:tcW w:w="1440" w:type="dxa"/>
            <w:vAlign w:val="bottom"/>
          </w:tcPr>
          <w:p>
            <w:pPr>
              <w:jc w:val="right"/>
              <w:ind w:right="441"/>
              <w:spacing w:after="0"/>
              <w:rPr>
                <w:sz w:val="20"/>
                <w:szCs w:val="20"/>
                <w:color w:val="auto"/>
              </w:rPr>
            </w:pPr>
            <w:r>
              <w:rPr>
                <w:rFonts w:ascii="Arial" w:cs="Arial" w:eastAsia="Arial" w:hAnsi="Arial"/>
                <w:sz w:val="20"/>
                <w:szCs w:val="20"/>
                <w:color w:val="auto"/>
              </w:rPr>
              <w:t>10.2</w:t>
            </w:r>
          </w:p>
        </w:tc>
        <w:tc>
          <w:tcPr>
            <w:tcW w:w="1440" w:type="dxa"/>
            <w:vAlign w:val="bottom"/>
          </w:tcPr>
          <w:p>
            <w:pPr>
              <w:jc w:val="right"/>
              <w:spacing w:after="0"/>
              <w:rPr>
                <w:sz w:val="20"/>
                <w:szCs w:val="20"/>
                <w:color w:val="auto"/>
              </w:rPr>
            </w:pPr>
            <w:r>
              <w:rPr>
                <w:rFonts w:ascii="Arial" w:cs="Arial" w:eastAsia="Arial" w:hAnsi="Arial"/>
                <w:sz w:val="20"/>
                <w:szCs w:val="20"/>
                <w:color w:val="auto"/>
              </w:rPr>
              <w:t>10/23/2019</w:t>
            </w:r>
          </w:p>
        </w:tc>
      </w:tr>
      <w:tr>
        <w:trPr>
          <w:trHeight w:val="662"/>
        </w:trPr>
        <w:tc>
          <w:tcPr>
            <w:tcW w:w="580" w:type="dxa"/>
            <w:vAlign w:val="bottom"/>
          </w:tcPr>
          <w:p>
            <w:pPr>
              <w:spacing w:after="0"/>
              <w:rPr>
                <w:sz w:val="20"/>
                <w:szCs w:val="20"/>
                <w:color w:val="auto"/>
              </w:rPr>
            </w:pPr>
            <w:r>
              <w:rPr>
                <w:rFonts w:ascii="Arial" w:cs="Arial" w:eastAsia="Arial" w:hAnsi="Arial"/>
                <w:sz w:val="20"/>
                <w:szCs w:val="20"/>
                <w:color w:val="auto"/>
              </w:rPr>
              <w:t>S-1</w:t>
            </w:r>
          </w:p>
        </w:tc>
        <w:tc>
          <w:tcPr>
            <w:tcW w:w="1840" w:type="dxa"/>
            <w:vAlign w:val="bottom"/>
          </w:tcPr>
          <w:p>
            <w:pPr>
              <w:ind w:left="320"/>
              <w:spacing w:after="0"/>
              <w:rPr>
                <w:sz w:val="20"/>
                <w:szCs w:val="20"/>
                <w:color w:val="auto"/>
              </w:rPr>
            </w:pPr>
            <w:r>
              <w:rPr>
                <w:rFonts w:ascii="Arial" w:cs="Arial" w:eastAsia="Arial" w:hAnsi="Arial"/>
                <w:sz w:val="20"/>
                <w:szCs w:val="20"/>
                <w:color w:val="auto"/>
              </w:rPr>
              <w:t>333-234305</w:t>
            </w:r>
          </w:p>
        </w:tc>
        <w:tc>
          <w:tcPr>
            <w:tcW w:w="1440" w:type="dxa"/>
            <w:vAlign w:val="bottom"/>
          </w:tcPr>
          <w:p>
            <w:pPr>
              <w:jc w:val="right"/>
              <w:ind w:right="441"/>
              <w:spacing w:after="0"/>
              <w:rPr>
                <w:sz w:val="20"/>
                <w:szCs w:val="20"/>
                <w:color w:val="auto"/>
              </w:rPr>
            </w:pPr>
            <w:r>
              <w:rPr>
                <w:rFonts w:ascii="Arial" w:cs="Arial" w:eastAsia="Arial" w:hAnsi="Arial"/>
                <w:sz w:val="20"/>
                <w:szCs w:val="20"/>
                <w:color w:val="auto"/>
              </w:rPr>
              <w:t>10.3</w:t>
            </w:r>
          </w:p>
        </w:tc>
        <w:tc>
          <w:tcPr>
            <w:tcW w:w="1440" w:type="dxa"/>
            <w:vAlign w:val="bottom"/>
          </w:tcPr>
          <w:p>
            <w:pPr>
              <w:jc w:val="right"/>
              <w:spacing w:after="0"/>
              <w:rPr>
                <w:sz w:val="20"/>
                <w:szCs w:val="20"/>
                <w:color w:val="auto"/>
              </w:rPr>
            </w:pPr>
            <w:r>
              <w:rPr>
                <w:rFonts w:ascii="Arial" w:cs="Arial" w:eastAsia="Arial" w:hAnsi="Arial"/>
                <w:sz w:val="20"/>
                <w:szCs w:val="20"/>
                <w:color w:val="auto"/>
              </w:rPr>
              <w:t>10/23/2019</w:t>
            </w:r>
          </w:p>
        </w:tc>
      </w:tr>
      <w:tr>
        <w:trPr>
          <w:trHeight w:val="661"/>
        </w:trPr>
        <w:tc>
          <w:tcPr>
            <w:tcW w:w="580" w:type="dxa"/>
            <w:vAlign w:val="bottom"/>
          </w:tcPr>
          <w:p>
            <w:pPr>
              <w:spacing w:after="0"/>
              <w:rPr>
                <w:sz w:val="20"/>
                <w:szCs w:val="20"/>
                <w:color w:val="auto"/>
              </w:rPr>
            </w:pPr>
            <w:r>
              <w:rPr>
                <w:rFonts w:ascii="Arial" w:cs="Arial" w:eastAsia="Arial" w:hAnsi="Arial"/>
                <w:sz w:val="20"/>
                <w:szCs w:val="20"/>
                <w:color w:val="auto"/>
              </w:rPr>
              <w:t>S-1</w:t>
            </w:r>
          </w:p>
        </w:tc>
        <w:tc>
          <w:tcPr>
            <w:tcW w:w="1840" w:type="dxa"/>
            <w:vAlign w:val="bottom"/>
          </w:tcPr>
          <w:p>
            <w:pPr>
              <w:ind w:left="320"/>
              <w:spacing w:after="0"/>
              <w:rPr>
                <w:sz w:val="20"/>
                <w:szCs w:val="20"/>
                <w:color w:val="auto"/>
              </w:rPr>
            </w:pPr>
            <w:r>
              <w:rPr>
                <w:rFonts w:ascii="Arial" w:cs="Arial" w:eastAsia="Arial" w:hAnsi="Arial"/>
                <w:sz w:val="20"/>
                <w:szCs w:val="20"/>
                <w:color w:val="auto"/>
              </w:rPr>
              <w:t>333-234305</w:t>
            </w:r>
          </w:p>
        </w:tc>
        <w:tc>
          <w:tcPr>
            <w:tcW w:w="1440" w:type="dxa"/>
            <w:vAlign w:val="bottom"/>
          </w:tcPr>
          <w:p>
            <w:pPr>
              <w:jc w:val="right"/>
              <w:ind w:right="441"/>
              <w:spacing w:after="0"/>
              <w:rPr>
                <w:sz w:val="20"/>
                <w:szCs w:val="20"/>
                <w:color w:val="auto"/>
              </w:rPr>
            </w:pPr>
            <w:r>
              <w:rPr>
                <w:rFonts w:ascii="Arial" w:cs="Arial" w:eastAsia="Arial" w:hAnsi="Arial"/>
                <w:sz w:val="20"/>
                <w:szCs w:val="20"/>
                <w:color w:val="auto"/>
              </w:rPr>
              <w:t>10.4</w:t>
            </w:r>
          </w:p>
        </w:tc>
        <w:tc>
          <w:tcPr>
            <w:tcW w:w="1440" w:type="dxa"/>
            <w:vAlign w:val="bottom"/>
          </w:tcPr>
          <w:p>
            <w:pPr>
              <w:jc w:val="right"/>
              <w:spacing w:after="0"/>
              <w:rPr>
                <w:sz w:val="20"/>
                <w:szCs w:val="20"/>
                <w:color w:val="auto"/>
              </w:rPr>
            </w:pPr>
            <w:r>
              <w:rPr>
                <w:rFonts w:ascii="Arial" w:cs="Arial" w:eastAsia="Arial" w:hAnsi="Arial"/>
                <w:sz w:val="20"/>
                <w:szCs w:val="20"/>
                <w:color w:val="auto"/>
              </w:rPr>
              <w:t>10/23/2019</w:t>
            </w:r>
          </w:p>
        </w:tc>
      </w:tr>
      <w:tr>
        <w:trPr>
          <w:trHeight w:val="661"/>
        </w:trPr>
        <w:tc>
          <w:tcPr>
            <w:tcW w:w="580" w:type="dxa"/>
            <w:vAlign w:val="bottom"/>
          </w:tcPr>
          <w:p>
            <w:pPr>
              <w:spacing w:after="0"/>
              <w:rPr>
                <w:sz w:val="20"/>
                <w:szCs w:val="20"/>
                <w:color w:val="auto"/>
              </w:rPr>
            </w:pPr>
            <w:r>
              <w:rPr>
                <w:rFonts w:ascii="Arial" w:cs="Arial" w:eastAsia="Arial" w:hAnsi="Arial"/>
                <w:sz w:val="20"/>
                <w:szCs w:val="20"/>
                <w:color w:val="auto"/>
              </w:rPr>
              <w:t>S-1</w:t>
            </w:r>
          </w:p>
        </w:tc>
        <w:tc>
          <w:tcPr>
            <w:tcW w:w="1840" w:type="dxa"/>
            <w:vAlign w:val="bottom"/>
          </w:tcPr>
          <w:p>
            <w:pPr>
              <w:ind w:left="320"/>
              <w:spacing w:after="0"/>
              <w:rPr>
                <w:sz w:val="20"/>
                <w:szCs w:val="20"/>
                <w:color w:val="auto"/>
              </w:rPr>
            </w:pPr>
            <w:r>
              <w:rPr>
                <w:rFonts w:ascii="Arial" w:cs="Arial" w:eastAsia="Arial" w:hAnsi="Arial"/>
                <w:sz w:val="20"/>
                <w:szCs w:val="20"/>
                <w:color w:val="auto"/>
              </w:rPr>
              <w:t>333-234305</w:t>
            </w:r>
          </w:p>
        </w:tc>
        <w:tc>
          <w:tcPr>
            <w:tcW w:w="1440" w:type="dxa"/>
            <w:vAlign w:val="bottom"/>
          </w:tcPr>
          <w:p>
            <w:pPr>
              <w:jc w:val="right"/>
              <w:ind w:right="441"/>
              <w:spacing w:after="0"/>
              <w:rPr>
                <w:sz w:val="20"/>
                <w:szCs w:val="20"/>
                <w:color w:val="auto"/>
              </w:rPr>
            </w:pPr>
            <w:r>
              <w:rPr>
                <w:rFonts w:ascii="Arial" w:cs="Arial" w:eastAsia="Arial" w:hAnsi="Arial"/>
                <w:sz w:val="20"/>
                <w:szCs w:val="20"/>
                <w:color w:val="auto"/>
              </w:rPr>
              <w:t>10.5</w:t>
            </w:r>
          </w:p>
        </w:tc>
        <w:tc>
          <w:tcPr>
            <w:tcW w:w="1440" w:type="dxa"/>
            <w:vAlign w:val="bottom"/>
          </w:tcPr>
          <w:p>
            <w:pPr>
              <w:jc w:val="right"/>
              <w:spacing w:after="0"/>
              <w:rPr>
                <w:sz w:val="20"/>
                <w:szCs w:val="20"/>
                <w:color w:val="auto"/>
              </w:rPr>
            </w:pPr>
            <w:r>
              <w:rPr>
                <w:rFonts w:ascii="Arial" w:cs="Arial" w:eastAsia="Arial" w:hAnsi="Arial"/>
                <w:sz w:val="20"/>
                <w:szCs w:val="20"/>
                <w:color w:val="auto"/>
              </w:rPr>
              <w:t>10/23/2019</w:t>
            </w:r>
          </w:p>
        </w:tc>
      </w:tr>
      <w:tr>
        <w:trPr>
          <w:trHeight w:val="662"/>
        </w:trPr>
        <w:tc>
          <w:tcPr>
            <w:tcW w:w="580" w:type="dxa"/>
            <w:vAlign w:val="bottom"/>
          </w:tcPr>
          <w:p>
            <w:pPr>
              <w:spacing w:after="0"/>
              <w:rPr>
                <w:sz w:val="20"/>
                <w:szCs w:val="20"/>
                <w:color w:val="auto"/>
              </w:rPr>
            </w:pPr>
            <w:r>
              <w:rPr>
                <w:rFonts w:ascii="Arial" w:cs="Arial" w:eastAsia="Arial" w:hAnsi="Arial"/>
                <w:sz w:val="20"/>
                <w:szCs w:val="20"/>
                <w:color w:val="auto"/>
              </w:rPr>
              <w:t>S-1</w:t>
            </w:r>
          </w:p>
        </w:tc>
        <w:tc>
          <w:tcPr>
            <w:tcW w:w="1840" w:type="dxa"/>
            <w:vAlign w:val="bottom"/>
          </w:tcPr>
          <w:p>
            <w:pPr>
              <w:ind w:left="320"/>
              <w:spacing w:after="0"/>
              <w:rPr>
                <w:sz w:val="20"/>
                <w:szCs w:val="20"/>
                <w:color w:val="auto"/>
              </w:rPr>
            </w:pPr>
            <w:r>
              <w:rPr>
                <w:rFonts w:ascii="Arial" w:cs="Arial" w:eastAsia="Arial" w:hAnsi="Arial"/>
                <w:sz w:val="20"/>
                <w:szCs w:val="20"/>
                <w:color w:val="auto"/>
              </w:rPr>
              <w:t>333-234305</w:t>
            </w:r>
          </w:p>
        </w:tc>
        <w:tc>
          <w:tcPr>
            <w:tcW w:w="1440" w:type="dxa"/>
            <w:vAlign w:val="bottom"/>
          </w:tcPr>
          <w:p>
            <w:pPr>
              <w:jc w:val="right"/>
              <w:ind w:right="441"/>
              <w:spacing w:after="0"/>
              <w:rPr>
                <w:sz w:val="20"/>
                <w:szCs w:val="20"/>
                <w:color w:val="auto"/>
              </w:rPr>
            </w:pPr>
            <w:r>
              <w:rPr>
                <w:rFonts w:ascii="Arial" w:cs="Arial" w:eastAsia="Arial" w:hAnsi="Arial"/>
                <w:sz w:val="20"/>
                <w:szCs w:val="20"/>
                <w:color w:val="auto"/>
              </w:rPr>
              <w:t>10.6</w:t>
            </w:r>
          </w:p>
        </w:tc>
        <w:tc>
          <w:tcPr>
            <w:tcW w:w="1440" w:type="dxa"/>
            <w:vAlign w:val="bottom"/>
          </w:tcPr>
          <w:p>
            <w:pPr>
              <w:jc w:val="right"/>
              <w:spacing w:after="0"/>
              <w:rPr>
                <w:sz w:val="20"/>
                <w:szCs w:val="20"/>
                <w:color w:val="auto"/>
              </w:rPr>
            </w:pPr>
            <w:r>
              <w:rPr>
                <w:rFonts w:ascii="Arial" w:cs="Arial" w:eastAsia="Arial" w:hAnsi="Arial"/>
                <w:sz w:val="20"/>
                <w:szCs w:val="20"/>
                <w:color w:val="auto"/>
              </w:rPr>
              <w:t>10/23/2019</w:t>
            </w:r>
          </w:p>
        </w:tc>
      </w:tr>
      <w:tr>
        <w:trPr>
          <w:trHeight w:val="661"/>
        </w:trPr>
        <w:tc>
          <w:tcPr>
            <w:tcW w:w="580" w:type="dxa"/>
            <w:vAlign w:val="bottom"/>
          </w:tcPr>
          <w:p>
            <w:pPr>
              <w:spacing w:after="0"/>
              <w:rPr>
                <w:sz w:val="20"/>
                <w:szCs w:val="20"/>
                <w:color w:val="auto"/>
              </w:rPr>
            </w:pPr>
            <w:r>
              <w:rPr>
                <w:rFonts w:ascii="Arial" w:cs="Arial" w:eastAsia="Arial" w:hAnsi="Arial"/>
                <w:sz w:val="20"/>
                <w:szCs w:val="20"/>
                <w:color w:val="auto"/>
              </w:rPr>
              <w:t>S-1</w:t>
            </w:r>
          </w:p>
        </w:tc>
        <w:tc>
          <w:tcPr>
            <w:tcW w:w="1840" w:type="dxa"/>
            <w:vAlign w:val="bottom"/>
          </w:tcPr>
          <w:p>
            <w:pPr>
              <w:ind w:left="320"/>
              <w:spacing w:after="0"/>
              <w:rPr>
                <w:sz w:val="20"/>
                <w:szCs w:val="20"/>
                <w:color w:val="auto"/>
              </w:rPr>
            </w:pPr>
            <w:r>
              <w:rPr>
                <w:rFonts w:ascii="Arial" w:cs="Arial" w:eastAsia="Arial" w:hAnsi="Arial"/>
                <w:sz w:val="20"/>
                <w:szCs w:val="20"/>
                <w:color w:val="auto"/>
              </w:rPr>
              <w:t>333-234305</w:t>
            </w:r>
          </w:p>
        </w:tc>
        <w:tc>
          <w:tcPr>
            <w:tcW w:w="1440" w:type="dxa"/>
            <w:vAlign w:val="bottom"/>
          </w:tcPr>
          <w:p>
            <w:pPr>
              <w:jc w:val="right"/>
              <w:ind w:right="441"/>
              <w:spacing w:after="0"/>
              <w:rPr>
                <w:sz w:val="20"/>
                <w:szCs w:val="20"/>
                <w:color w:val="auto"/>
              </w:rPr>
            </w:pPr>
            <w:r>
              <w:rPr>
                <w:rFonts w:ascii="Arial" w:cs="Arial" w:eastAsia="Arial" w:hAnsi="Arial"/>
                <w:sz w:val="20"/>
                <w:szCs w:val="20"/>
                <w:color w:val="auto"/>
              </w:rPr>
              <w:t>10.7</w:t>
            </w:r>
          </w:p>
        </w:tc>
        <w:tc>
          <w:tcPr>
            <w:tcW w:w="1440" w:type="dxa"/>
            <w:vAlign w:val="bottom"/>
          </w:tcPr>
          <w:p>
            <w:pPr>
              <w:jc w:val="right"/>
              <w:spacing w:after="0"/>
              <w:rPr>
                <w:sz w:val="20"/>
                <w:szCs w:val="20"/>
                <w:color w:val="auto"/>
              </w:rPr>
            </w:pPr>
            <w:r>
              <w:rPr>
                <w:rFonts w:ascii="Arial" w:cs="Arial" w:eastAsia="Arial" w:hAnsi="Arial"/>
                <w:sz w:val="20"/>
                <w:szCs w:val="20"/>
                <w:color w:val="auto"/>
              </w:rPr>
              <w:t>10/23/2019</w:t>
            </w:r>
          </w:p>
        </w:tc>
      </w:tr>
      <w:tr>
        <w:trPr>
          <w:trHeight w:val="631"/>
        </w:trPr>
        <w:tc>
          <w:tcPr>
            <w:tcW w:w="580" w:type="dxa"/>
            <w:vAlign w:val="bottom"/>
          </w:tcPr>
          <w:p>
            <w:pPr>
              <w:spacing w:after="0"/>
              <w:rPr>
                <w:sz w:val="24"/>
                <w:szCs w:val="24"/>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83</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-2800985</wp:posOffset>
            </wp:positionH>
            <wp:positionV relativeFrom="paragraph">
              <wp:posOffset>46990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720" w:space="460"/>
            <w:col w:w="3040" w:space="160"/>
            <w:col w:w="6840"/>
          </w:cols>
          <w:pgMar w:left="340" w:top="32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040" w:type="dxa"/>
            <w:vAlign w:val="bottom"/>
            <w:gridSpan w:val="30"/>
          </w:tcPr>
          <w:p>
            <w:pPr>
              <w:spacing w:after="0"/>
              <w:rPr>
                <w:rFonts w:ascii="Arial" w:cs="Arial" w:eastAsia="Arial" w:hAnsi="Arial"/>
                <w:sz w:val="18"/>
                <w:szCs w:val="18"/>
                <w:color w:val="0000FF"/>
              </w:rPr>
            </w:pPr>
            <w:hyperlink r:id="rId329">
              <w:r>
                <w:rPr>
                  <w:rFonts w:ascii="Arial" w:cs="Arial" w:eastAsia="Arial" w:hAnsi="Arial"/>
                  <w:sz w:val="18"/>
                  <w:szCs w:val="18"/>
                  <w:color w:val="0000FF"/>
                </w:rPr>
                <w:t>Change of Control and Severance</w:t>
              </w:r>
            </w:hyperlink>
          </w:p>
        </w:tc>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00" w:type="dxa"/>
            <w:vAlign w:val="bottom"/>
          </w:tcPr>
          <w:p>
            <w:pPr>
              <w:jc w:val="center"/>
              <w:ind w:right="50"/>
              <w:spacing w:after="0" w:line="156" w:lineRule="exact"/>
              <w:rPr>
                <w:sz w:val="20"/>
                <w:szCs w:val="20"/>
                <w:color w:val="auto"/>
              </w:rPr>
            </w:pPr>
            <w:r>
              <w:rPr>
                <w:rFonts w:ascii="Arial" w:cs="Arial" w:eastAsia="Arial" w:hAnsi="Arial"/>
                <w:sz w:val="18"/>
                <w:szCs w:val="18"/>
                <w:color w:val="auto"/>
                <w:w w:val="92"/>
              </w:rPr>
              <w:t>10.8+</w:t>
            </w:r>
          </w:p>
        </w:tc>
        <w:tc>
          <w:tcPr>
            <w:tcW w:w="2460" w:type="dxa"/>
            <w:vAlign w:val="bottom"/>
            <w:tcBorders>
              <w:top w:val="single" w:sz="8" w:color="0000FF"/>
            </w:tcBorders>
            <w:gridSpan w:val="11"/>
          </w:tcPr>
          <w:p>
            <w:pPr>
              <w:spacing w:after="0" w:line="156" w:lineRule="exact"/>
              <w:rPr>
                <w:rFonts w:ascii="Arial" w:cs="Arial" w:eastAsia="Arial" w:hAnsi="Arial"/>
                <w:sz w:val="18"/>
                <w:szCs w:val="18"/>
                <w:color w:val="0000FF"/>
                <w:w w:val="87"/>
              </w:rPr>
            </w:pPr>
            <w:hyperlink r:id="rId329">
              <w:r>
                <w:rPr>
                  <w:rFonts w:ascii="Arial" w:cs="Arial" w:eastAsia="Arial" w:hAnsi="Arial"/>
                  <w:sz w:val="18"/>
                  <w:szCs w:val="18"/>
                  <w:color w:val="0000FF"/>
                  <w:w w:val="87"/>
                </w:rPr>
                <w:t>Agreement, between the Company</w:t>
              </w:r>
            </w:hyperlink>
          </w:p>
        </w:tc>
        <w:tc>
          <w:tcPr>
            <w:tcW w:w="80" w:type="dxa"/>
            <w:vAlign w:val="bottom"/>
          </w:tcPr>
          <w:p>
            <w:pPr>
              <w:spacing w:after="0"/>
              <w:rPr>
                <w:sz w:val="13"/>
                <w:szCs w:val="13"/>
                <w:color w:val="auto"/>
              </w:rPr>
            </w:pPr>
          </w:p>
        </w:tc>
        <w:tc>
          <w:tcPr>
            <w:tcW w:w="500" w:type="dxa"/>
            <w:vAlign w:val="bottom"/>
            <w:gridSpan w:val="18"/>
          </w:tcPr>
          <w:p>
            <w:pPr>
              <w:spacing w:after="0" w:line="156" w:lineRule="exact"/>
              <w:rPr>
                <w:rFonts w:ascii="Arial" w:cs="Arial" w:eastAsia="Arial" w:hAnsi="Arial"/>
                <w:sz w:val="18"/>
                <w:szCs w:val="18"/>
                <w:color w:val="0000FF"/>
              </w:rPr>
            </w:pPr>
            <w:hyperlink r:id="rId329">
              <w:r>
                <w:rPr>
                  <w:rFonts w:ascii="Arial" w:cs="Arial" w:eastAsia="Arial" w:hAnsi="Arial"/>
                  <w:sz w:val="18"/>
                  <w:szCs w:val="18"/>
                  <w:color w:val="0000FF"/>
                </w:rPr>
                <w:t>and</w:t>
              </w:r>
            </w:hyperlink>
          </w:p>
        </w:tc>
        <w:tc>
          <w:tcPr>
            <w:tcW w:w="1020" w:type="dxa"/>
            <w:vAlign w:val="bottom"/>
            <w:vMerge w:val="restart"/>
          </w:tcPr>
          <w:p>
            <w:pPr>
              <w:jc w:val="center"/>
              <w:ind w:left="8"/>
              <w:spacing w:after="0"/>
              <w:rPr>
                <w:sz w:val="20"/>
                <w:szCs w:val="20"/>
                <w:color w:val="auto"/>
              </w:rPr>
            </w:pPr>
            <w:r>
              <w:rPr>
                <w:rFonts w:ascii="Arial" w:cs="Arial" w:eastAsia="Arial" w:hAnsi="Arial"/>
                <w:sz w:val="20"/>
                <w:szCs w:val="20"/>
                <w:color w:val="auto"/>
                <w:w w:val="89"/>
              </w:rPr>
              <w:t>S-1</w:t>
            </w:r>
          </w:p>
        </w:tc>
        <w:tc>
          <w:tcPr>
            <w:tcW w:w="1760" w:type="dxa"/>
            <w:vAlign w:val="bottom"/>
            <w:vMerge w:val="restart"/>
          </w:tcPr>
          <w:p>
            <w:pPr>
              <w:jc w:val="center"/>
              <w:ind w:right="109"/>
              <w:spacing w:after="0"/>
              <w:rPr>
                <w:sz w:val="20"/>
                <w:szCs w:val="20"/>
                <w:color w:val="auto"/>
              </w:rPr>
            </w:pPr>
            <w:r>
              <w:rPr>
                <w:rFonts w:ascii="Arial" w:cs="Arial" w:eastAsia="Arial" w:hAnsi="Arial"/>
                <w:sz w:val="20"/>
                <w:szCs w:val="20"/>
                <w:color w:val="auto"/>
                <w:w w:val="89"/>
              </w:rPr>
              <w:t>333-234305</w:t>
            </w: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87"/>
              </w:rPr>
              <w:t>10.8</w:t>
            </w:r>
          </w:p>
        </w:tc>
        <w:tc>
          <w:tcPr>
            <w:tcW w:w="2700" w:type="dxa"/>
            <w:vAlign w:val="bottom"/>
            <w:vMerge w:val="restart"/>
          </w:tcPr>
          <w:p>
            <w:pPr>
              <w:jc w:val="center"/>
              <w:ind w:right="668"/>
              <w:spacing w:after="0"/>
              <w:rPr>
                <w:sz w:val="20"/>
                <w:szCs w:val="20"/>
                <w:color w:val="auto"/>
              </w:rPr>
            </w:pPr>
            <w:r>
              <w:rPr>
                <w:rFonts w:ascii="Arial" w:cs="Arial" w:eastAsia="Arial" w:hAnsi="Arial"/>
                <w:sz w:val="20"/>
                <w:szCs w:val="20"/>
                <w:color w:val="auto"/>
                <w:w w:val="89"/>
              </w:rPr>
              <w:t>10/23/2019</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6"/>
              </w:rPr>
            </w:pPr>
            <w:hyperlink r:id="rId329">
              <w:r>
                <w:rPr>
                  <w:rFonts w:ascii="Arial" w:cs="Arial" w:eastAsia="Arial" w:hAnsi="Arial"/>
                  <w:sz w:val="18"/>
                  <w:szCs w:val="18"/>
                  <w:color w:val="0000FF"/>
                  <w:w w:val="86"/>
                </w:rPr>
                <w:t>Rajesh Vashist</w:t>
              </w:r>
            </w:hyperlink>
          </w:p>
        </w:tc>
        <w:tc>
          <w:tcPr>
            <w:tcW w:w="20" w:type="dxa"/>
            <w:vAlign w:val="bottom"/>
            <w:tcBorders>
              <w:top w:val="single" w:sz="8" w:color="0000FF"/>
              <w:bottom w:val="single" w:sz="8" w:color="0000EE"/>
            </w:tcBorders>
          </w:tcPr>
          <w:p>
            <w:pPr>
              <w:spacing w:after="0"/>
              <w:rPr>
                <w:sz w:val="13"/>
                <w:szCs w:val="13"/>
                <w:color w:val="auto"/>
              </w:rPr>
            </w:pPr>
          </w:p>
        </w:tc>
        <w:tc>
          <w:tcPr>
            <w:tcW w:w="1760" w:type="dxa"/>
            <w:vAlign w:val="bottom"/>
            <w:tcBorders>
              <w:top w:val="single" w:sz="8" w:color="0000FF"/>
            </w:tcBorders>
            <w:gridSpan w:val="20"/>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00" w:type="dxa"/>
            <w:vAlign w:val="bottom"/>
          </w:tcPr>
          <w:p>
            <w:pPr>
              <w:spacing w:after="0"/>
              <w:rPr>
                <w:sz w:val="24"/>
                <w:szCs w:val="24"/>
                <w:color w:val="auto"/>
              </w:rPr>
            </w:pPr>
          </w:p>
        </w:tc>
        <w:tc>
          <w:tcPr>
            <w:tcW w:w="3040" w:type="dxa"/>
            <w:vAlign w:val="bottom"/>
            <w:gridSpan w:val="30"/>
          </w:tcPr>
          <w:p>
            <w:pPr>
              <w:spacing w:after="0"/>
              <w:rPr>
                <w:rFonts w:ascii="Arial" w:cs="Arial" w:eastAsia="Arial" w:hAnsi="Arial"/>
                <w:sz w:val="18"/>
                <w:szCs w:val="18"/>
                <w:color w:val="0000FF"/>
              </w:rPr>
            </w:pPr>
            <w:hyperlink r:id="rId330">
              <w:r>
                <w:rPr>
                  <w:rFonts w:ascii="Arial" w:cs="Arial" w:eastAsia="Arial" w:hAnsi="Arial"/>
                  <w:sz w:val="18"/>
                  <w:szCs w:val="18"/>
                  <w:color w:val="0000FF"/>
                </w:rPr>
                <w:t>Form of Change of Control and</w:t>
              </w:r>
            </w:hyperlink>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00" w:type="dxa"/>
            <w:vAlign w:val="bottom"/>
          </w:tcPr>
          <w:p>
            <w:pPr>
              <w:jc w:val="center"/>
              <w:ind w:right="50"/>
              <w:spacing w:after="0" w:line="156" w:lineRule="exact"/>
              <w:rPr>
                <w:sz w:val="20"/>
                <w:szCs w:val="20"/>
                <w:color w:val="auto"/>
              </w:rPr>
            </w:pPr>
            <w:r>
              <w:rPr>
                <w:rFonts w:ascii="Arial" w:cs="Arial" w:eastAsia="Arial" w:hAnsi="Arial"/>
                <w:sz w:val="18"/>
                <w:szCs w:val="18"/>
                <w:color w:val="auto"/>
                <w:w w:val="92"/>
              </w:rPr>
              <w:t>10.9+</w:t>
            </w:r>
          </w:p>
        </w:tc>
        <w:tc>
          <w:tcPr>
            <w:tcW w:w="232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r:id="rId330">
              <w:r>
                <w:rPr>
                  <w:rFonts w:ascii="Arial" w:cs="Arial" w:eastAsia="Arial" w:hAnsi="Arial"/>
                  <w:sz w:val="18"/>
                  <w:szCs w:val="18"/>
                  <w:color w:val="0000FF"/>
                  <w:w w:val="89"/>
                </w:rPr>
                <w:t>Severance Agreement, between</w:t>
              </w:r>
            </w:hyperlink>
          </w:p>
        </w:tc>
        <w:tc>
          <w:tcPr>
            <w:tcW w:w="720" w:type="dxa"/>
            <w:vAlign w:val="bottom"/>
            <w:gridSpan w:val="23"/>
          </w:tcPr>
          <w:p>
            <w:pPr>
              <w:spacing w:after="0" w:line="156" w:lineRule="exact"/>
              <w:rPr>
                <w:rFonts w:ascii="Arial" w:cs="Arial" w:eastAsia="Arial" w:hAnsi="Arial"/>
                <w:sz w:val="18"/>
                <w:szCs w:val="18"/>
                <w:color w:val="0000FF"/>
              </w:rPr>
            </w:pPr>
            <w:hyperlink r:id="rId330">
              <w:r>
                <w:rPr>
                  <w:rFonts w:ascii="Arial" w:cs="Arial" w:eastAsia="Arial" w:hAnsi="Arial"/>
                  <w:sz w:val="18"/>
                  <w:szCs w:val="18"/>
                  <w:color w:val="0000FF"/>
                </w:rPr>
                <w:t>the</w:t>
              </w:r>
            </w:hyperlink>
          </w:p>
        </w:tc>
        <w:tc>
          <w:tcPr>
            <w:tcW w:w="1020" w:type="dxa"/>
            <w:vAlign w:val="bottom"/>
            <w:vMerge w:val="restart"/>
          </w:tcPr>
          <w:p>
            <w:pPr>
              <w:jc w:val="center"/>
              <w:ind w:left="8"/>
              <w:spacing w:after="0"/>
              <w:rPr>
                <w:sz w:val="20"/>
                <w:szCs w:val="20"/>
                <w:color w:val="auto"/>
              </w:rPr>
            </w:pPr>
            <w:r>
              <w:rPr>
                <w:rFonts w:ascii="Arial" w:cs="Arial" w:eastAsia="Arial" w:hAnsi="Arial"/>
                <w:sz w:val="20"/>
                <w:szCs w:val="20"/>
                <w:color w:val="auto"/>
                <w:w w:val="89"/>
              </w:rPr>
              <w:t>S-1</w:t>
            </w:r>
          </w:p>
        </w:tc>
        <w:tc>
          <w:tcPr>
            <w:tcW w:w="1760" w:type="dxa"/>
            <w:vAlign w:val="bottom"/>
            <w:vMerge w:val="restart"/>
          </w:tcPr>
          <w:p>
            <w:pPr>
              <w:jc w:val="center"/>
              <w:ind w:right="109"/>
              <w:spacing w:after="0"/>
              <w:rPr>
                <w:sz w:val="20"/>
                <w:szCs w:val="20"/>
                <w:color w:val="auto"/>
              </w:rPr>
            </w:pPr>
            <w:r>
              <w:rPr>
                <w:rFonts w:ascii="Arial" w:cs="Arial" w:eastAsia="Arial" w:hAnsi="Arial"/>
                <w:sz w:val="20"/>
                <w:szCs w:val="20"/>
                <w:color w:val="auto"/>
                <w:w w:val="89"/>
              </w:rPr>
              <w:t>333-234305</w:t>
            </w: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87"/>
              </w:rPr>
              <w:t>10.9</w:t>
            </w:r>
          </w:p>
        </w:tc>
        <w:tc>
          <w:tcPr>
            <w:tcW w:w="2700" w:type="dxa"/>
            <w:vAlign w:val="bottom"/>
            <w:vMerge w:val="restart"/>
          </w:tcPr>
          <w:p>
            <w:pPr>
              <w:jc w:val="center"/>
              <w:ind w:right="668"/>
              <w:spacing w:after="0"/>
              <w:rPr>
                <w:sz w:val="20"/>
                <w:szCs w:val="20"/>
                <w:color w:val="auto"/>
              </w:rPr>
            </w:pPr>
            <w:r>
              <w:rPr>
                <w:rFonts w:ascii="Arial" w:cs="Arial" w:eastAsia="Arial" w:hAnsi="Arial"/>
                <w:sz w:val="20"/>
                <w:szCs w:val="20"/>
                <w:color w:val="auto"/>
                <w:w w:val="89"/>
              </w:rPr>
              <w:t>10/23/2019</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6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30">
              <w:r>
                <w:rPr>
                  <w:rFonts w:ascii="Arial" w:cs="Arial" w:eastAsia="Arial" w:hAnsi="Arial"/>
                  <w:sz w:val="18"/>
                  <w:szCs w:val="18"/>
                  <w:color w:val="0000FF"/>
                </w:rPr>
                <w:t>Company and its Executives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93"/>
              </w:rPr>
              <w:t>10.12</w:t>
            </w:r>
          </w:p>
        </w:tc>
        <w:tc>
          <w:tcPr>
            <w:tcW w:w="3040" w:type="dxa"/>
            <w:vAlign w:val="bottom"/>
            <w:gridSpan w:val="30"/>
          </w:tcPr>
          <w:p>
            <w:pPr>
              <w:spacing w:after="0"/>
              <w:rPr>
                <w:rFonts w:ascii="Arial" w:cs="Arial" w:eastAsia="Arial" w:hAnsi="Arial"/>
                <w:sz w:val="18"/>
                <w:szCs w:val="18"/>
                <w:color w:val="0000FF"/>
              </w:rPr>
            </w:pPr>
            <w:hyperlink r:id="rId331">
              <w:r>
                <w:rPr>
                  <w:rFonts w:ascii="Arial" w:cs="Arial" w:eastAsia="Arial" w:hAnsi="Arial"/>
                  <w:sz w:val="18"/>
                  <w:szCs w:val="18"/>
                  <w:color w:val="0000FF"/>
                </w:rPr>
                <w:t>Integration and Purchase Agreement,</w:t>
              </w:r>
            </w:hyperlink>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272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331">
              <w:r>
                <w:rPr>
                  <w:rFonts w:ascii="Arial" w:cs="Arial" w:eastAsia="Arial" w:hAnsi="Arial"/>
                  <w:sz w:val="18"/>
                  <w:szCs w:val="18"/>
                  <w:color w:val="0000FF"/>
                  <w:w w:val="95"/>
                </w:rPr>
                <w:t>dated March 15, 2019, between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760" w:type="dxa"/>
            <w:vAlign w:val="bottom"/>
            <w:vMerge w:val="restart"/>
          </w:tcPr>
          <w:p>
            <w:pPr>
              <w:jc w:val="center"/>
              <w:ind w:right="109"/>
              <w:spacing w:after="0"/>
              <w:rPr>
                <w:sz w:val="20"/>
                <w:szCs w:val="20"/>
                <w:color w:val="auto"/>
              </w:rPr>
            </w:pPr>
            <w:r>
              <w:rPr>
                <w:rFonts w:ascii="Arial" w:cs="Arial" w:eastAsia="Arial" w:hAnsi="Arial"/>
                <w:sz w:val="18"/>
                <w:szCs w:val="18"/>
                <w:color w:val="auto"/>
                <w:w w:val="91"/>
              </w:rPr>
              <w:t>333-234305</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8"/>
              </w:rPr>
              <w:t>10.16</w:t>
            </w:r>
          </w:p>
        </w:tc>
        <w:tc>
          <w:tcPr>
            <w:tcW w:w="2700" w:type="dxa"/>
            <w:vAlign w:val="bottom"/>
            <w:vMerge w:val="restart"/>
          </w:tcPr>
          <w:p>
            <w:pPr>
              <w:jc w:val="center"/>
              <w:ind w:right="668"/>
              <w:spacing w:after="0"/>
              <w:rPr>
                <w:sz w:val="20"/>
                <w:szCs w:val="20"/>
                <w:color w:val="auto"/>
              </w:rPr>
            </w:pPr>
            <w:r>
              <w:rPr>
                <w:rFonts w:ascii="Arial" w:cs="Arial" w:eastAsia="Arial" w:hAnsi="Arial"/>
                <w:sz w:val="18"/>
                <w:szCs w:val="18"/>
                <w:color w:val="auto"/>
                <w:w w:val="90"/>
              </w:rPr>
              <w:t>10/23/2019</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3"/>
              </w:rPr>
            </w:pPr>
            <w:hyperlink r:id="rId331">
              <w:r>
                <w:rPr>
                  <w:rFonts w:ascii="Arial" w:cs="Arial" w:eastAsia="Arial" w:hAnsi="Arial"/>
                  <w:sz w:val="18"/>
                  <w:szCs w:val="18"/>
                  <w:color w:val="0000FF"/>
                  <w:w w:val="83"/>
                </w:rPr>
                <w:t>Company and MegaChips Corporation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93"/>
              </w:rPr>
              <w:t>10.13</w:t>
            </w:r>
          </w:p>
        </w:tc>
        <w:tc>
          <w:tcPr>
            <w:tcW w:w="3020" w:type="dxa"/>
            <w:vAlign w:val="bottom"/>
            <w:tcBorders>
              <w:bottom w:val="single" w:sz="8" w:color="0000FF"/>
            </w:tcBorders>
            <w:gridSpan w:val="29"/>
          </w:tcPr>
          <w:p>
            <w:pPr>
              <w:spacing w:after="0"/>
              <w:rPr>
                <w:rFonts w:ascii="Arial" w:cs="Arial" w:eastAsia="Arial" w:hAnsi="Arial"/>
                <w:sz w:val="18"/>
                <w:szCs w:val="18"/>
                <w:color w:val="0000FF"/>
                <w:w w:val="91"/>
              </w:rPr>
            </w:pPr>
            <w:hyperlink r:id="rId332">
              <w:r>
                <w:rPr>
                  <w:rFonts w:ascii="Arial" w:cs="Arial" w:eastAsia="Arial" w:hAnsi="Arial"/>
                  <w:sz w:val="18"/>
                  <w:szCs w:val="18"/>
                  <w:color w:val="0000FF"/>
                  <w:w w:val="91"/>
                </w:rPr>
                <w:t>Lease, dated April 15, 2016, between the</w:t>
              </w:r>
            </w:hyperlink>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0" w:type="dxa"/>
            <w:vAlign w:val="bottom"/>
            <w:vMerge w:val="continue"/>
          </w:tcPr>
          <w:p>
            <w:pPr>
              <w:spacing w:after="0"/>
              <w:rPr>
                <w:sz w:val="8"/>
                <w:szCs w:val="8"/>
                <w:color w:val="auto"/>
              </w:rPr>
            </w:pPr>
          </w:p>
        </w:tc>
        <w:tc>
          <w:tcPr>
            <w:tcW w:w="3040" w:type="dxa"/>
            <w:vAlign w:val="bottom"/>
            <w:gridSpan w:val="30"/>
            <w:vMerge w:val="restart"/>
          </w:tcPr>
          <w:p>
            <w:pPr>
              <w:spacing w:after="0" w:line="156" w:lineRule="exact"/>
              <w:rPr>
                <w:rFonts w:ascii="Arial" w:cs="Arial" w:eastAsia="Arial" w:hAnsi="Arial"/>
                <w:sz w:val="18"/>
                <w:szCs w:val="18"/>
                <w:color w:val="0000FF"/>
                <w:w w:val="99"/>
              </w:rPr>
            </w:pPr>
            <w:hyperlink r:id="rId332">
              <w:r>
                <w:rPr>
                  <w:rFonts w:ascii="Arial" w:cs="Arial" w:eastAsia="Arial" w:hAnsi="Arial"/>
                  <w:sz w:val="18"/>
                  <w:szCs w:val="18"/>
                  <w:color w:val="0000FF"/>
                  <w:w w:val="99"/>
                </w:rPr>
                <w:t>Company and Batton Associates, LLC</w:t>
              </w:r>
            </w:hyperlink>
          </w:p>
        </w:tc>
        <w:tc>
          <w:tcPr>
            <w:tcW w:w="1020" w:type="dxa"/>
            <w:vAlign w:val="bottom"/>
            <w:vMerge w:val="restart"/>
          </w:tcPr>
          <w:p>
            <w:pPr>
              <w:jc w:val="center"/>
              <w:spacing w:after="0" w:line="156" w:lineRule="exact"/>
              <w:rPr>
                <w:sz w:val="20"/>
                <w:szCs w:val="20"/>
                <w:color w:val="auto"/>
              </w:rPr>
            </w:pPr>
            <w:r>
              <w:rPr>
                <w:rFonts w:ascii="Arial" w:cs="Arial" w:eastAsia="Arial" w:hAnsi="Arial"/>
                <w:sz w:val="18"/>
                <w:szCs w:val="18"/>
                <w:color w:val="auto"/>
                <w:w w:val="92"/>
              </w:rPr>
              <w:t>S-1</w:t>
            </w:r>
          </w:p>
        </w:tc>
        <w:tc>
          <w:tcPr>
            <w:tcW w:w="1760" w:type="dxa"/>
            <w:vAlign w:val="bottom"/>
            <w:vMerge w:val="restart"/>
          </w:tcPr>
          <w:p>
            <w:pPr>
              <w:jc w:val="center"/>
              <w:ind w:right="109"/>
              <w:spacing w:after="0" w:line="156" w:lineRule="exact"/>
              <w:rPr>
                <w:sz w:val="20"/>
                <w:szCs w:val="20"/>
                <w:color w:val="auto"/>
              </w:rPr>
            </w:pPr>
            <w:r>
              <w:rPr>
                <w:rFonts w:ascii="Arial" w:cs="Arial" w:eastAsia="Arial" w:hAnsi="Arial"/>
                <w:sz w:val="18"/>
                <w:szCs w:val="18"/>
                <w:color w:val="auto"/>
                <w:w w:val="91"/>
              </w:rPr>
              <w:t>333-234305</w:t>
            </w:r>
          </w:p>
        </w:tc>
        <w:tc>
          <w:tcPr>
            <w:tcW w:w="1520" w:type="dxa"/>
            <w:vAlign w:val="bottom"/>
            <w:vMerge w:val="restart"/>
          </w:tcPr>
          <w:p>
            <w:pPr>
              <w:jc w:val="center"/>
              <w:spacing w:after="0" w:line="156" w:lineRule="exact"/>
              <w:rPr>
                <w:sz w:val="20"/>
                <w:szCs w:val="20"/>
                <w:color w:val="auto"/>
              </w:rPr>
            </w:pPr>
            <w:r>
              <w:rPr>
                <w:rFonts w:ascii="Arial" w:cs="Arial" w:eastAsia="Arial" w:hAnsi="Arial"/>
                <w:sz w:val="18"/>
                <w:szCs w:val="18"/>
                <w:color w:val="auto"/>
                <w:w w:val="88"/>
              </w:rPr>
              <w:t>10.17</w:t>
            </w:r>
          </w:p>
        </w:tc>
        <w:tc>
          <w:tcPr>
            <w:tcW w:w="2700" w:type="dxa"/>
            <w:vAlign w:val="bottom"/>
            <w:vMerge w:val="restart"/>
          </w:tcPr>
          <w:p>
            <w:pPr>
              <w:jc w:val="center"/>
              <w:ind w:right="668"/>
              <w:spacing w:after="0" w:line="156" w:lineRule="exact"/>
              <w:rPr>
                <w:sz w:val="20"/>
                <w:szCs w:val="20"/>
                <w:color w:val="auto"/>
              </w:rPr>
            </w:pPr>
            <w:r>
              <w:rPr>
                <w:rFonts w:ascii="Arial" w:cs="Arial" w:eastAsia="Arial" w:hAnsi="Arial"/>
                <w:sz w:val="18"/>
                <w:szCs w:val="18"/>
                <w:color w:val="auto"/>
                <w:w w:val="90"/>
              </w:rPr>
              <w:t>10/23/2019</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3040" w:type="dxa"/>
            <w:vAlign w:val="bottom"/>
            <w:gridSpan w:val="30"/>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10.14*</w:t>
            </w:r>
          </w:p>
        </w:tc>
        <w:tc>
          <w:tcPr>
            <w:tcW w:w="268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1"/>
              </w:rPr>
            </w:pPr>
            <w:hyperlink r:id="rId333">
              <w:r>
                <w:rPr>
                  <w:rFonts w:ascii="Arial" w:cs="Arial" w:eastAsia="Arial" w:hAnsi="Arial"/>
                  <w:sz w:val="18"/>
                  <w:szCs w:val="18"/>
                  <w:color w:val="0000FF"/>
                  <w:w w:val="91"/>
                </w:rPr>
                <w:t>License Agreement, dated August 1,</w:t>
              </w:r>
            </w:hyperlink>
          </w:p>
        </w:tc>
        <w:tc>
          <w:tcPr>
            <w:tcW w:w="80" w:type="dxa"/>
            <w:vAlign w:val="bottom"/>
            <w:tcBorders>
              <w:top w:val="single" w:sz="8" w:color="0000FF"/>
            </w:tcBorders>
            <w:gridSpan w:val="3"/>
          </w:tcPr>
          <w:p>
            <w:pPr>
              <w:spacing w:after="0"/>
              <w:rPr>
                <w:sz w:val="24"/>
                <w:szCs w:val="24"/>
                <w:color w:val="auto"/>
              </w:rPr>
            </w:pPr>
          </w:p>
        </w:tc>
        <w:tc>
          <w:tcPr>
            <w:tcW w:w="280" w:type="dxa"/>
            <w:vAlign w:val="bottom"/>
            <w:gridSpan w:val="8"/>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3040" w:type="dxa"/>
            <w:vAlign w:val="bottom"/>
            <w:gridSpan w:val="30"/>
          </w:tcPr>
          <w:p>
            <w:pPr>
              <w:spacing w:after="0" w:line="156" w:lineRule="exact"/>
              <w:rPr>
                <w:rFonts w:ascii="Arial" w:cs="Arial" w:eastAsia="Arial" w:hAnsi="Arial"/>
                <w:sz w:val="18"/>
                <w:szCs w:val="18"/>
                <w:color w:val="0000FF"/>
                <w:w w:val="93"/>
              </w:rPr>
            </w:pPr>
            <w:hyperlink r:id="rId333">
              <w:r>
                <w:rPr>
                  <w:rFonts w:ascii="Arial" w:cs="Arial" w:eastAsia="Arial" w:hAnsi="Arial"/>
                  <w:sz w:val="18"/>
                  <w:szCs w:val="18"/>
                  <w:color w:val="0000FF"/>
                  <w:w w:val="93"/>
                </w:rPr>
                <w:t>2018, between the Company and Robert</w:t>
              </w:r>
            </w:hyperlink>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760" w:type="dxa"/>
            <w:vAlign w:val="bottom"/>
            <w:vMerge w:val="restart"/>
          </w:tcPr>
          <w:p>
            <w:pPr>
              <w:jc w:val="center"/>
              <w:ind w:right="109"/>
              <w:spacing w:after="0"/>
              <w:rPr>
                <w:sz w:val="20"/>
                <w:szCs w:val="20"/>
                <w:color w:val="auto"/>
              </w:rPr>
            </w:pPr>
            <w:r>
              <w:rPr>
                <w:rFonts w:ascii="Arial" w:cs="Arial" w:eastAsia="Arial" w:hAnsi="Arial"/>
                <w:sz w:val="18"/>
                <w:szCs w:val="18"/>
                <w:color w:val="auto"/>
                <w:w w:val="91"/>
              </w:rPr>
              <w:t>333-234305</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8"/>
              </w:rPr>
              <w:t>10.18</w:t>
            </w:r>
          </w:p>
        </w:tc>
        <w:tc>
          <w:tcPr>
            <w:tcW w:w="2700" w:type="dxa"/>
            <w:vAlign w:val="bottom"/>
            <w:vMerge w:val="restart"/>
          </w:tcPr>
          <w:p>
            <w:pPr>
              <w:jc w:val="center"/>
              <w:ind w:right="668"/>
              <w:spacing w:after="0"/>
              <w:rPr>
                <w:sz w:val="20"/>
                <w:szCs w:val="20"/>
                <w:color w:val="auto"/>
              </w:rPr>
            </w:pPr>
            <w:r>
              <w:rPr>
                <w:rFonts w:ascii="Arial" w:cs="Arial" w:eastAsia="Arial" w:hAnsi="Arial"/>
                <w:sz w:val="18"/>
                <w:szCs w:val="18"/>
                <w:color w:val="auto"/>
                <w:w w:val="90"/>
              </w:rPr>
              <w:t>10/23/2019</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333">
              <w:r>
                <w:rPr>
                  <w:rFonts w:ascii="Arial" w:cs="Arial" w:eastAsia="Arial" w:hAnsi="Arial"/>
                  <w:sz w:val="18"/>
                  <w:szCs w:val="18"/>
                  <w:color w:val="0000FF"/>
                  <w:w w:val="93"/>
                </w:rPr>
                <w:t>Bosch LLC</w:t>
              </w:r>
            </w:hyperlink>
          </w:p>
        </w:tc>
        <w:tc>
          <w:tcPr>
            <w:tcW w:w="40" w:type="dxa"/>
            <w:vAlign w:val="bottom"/>
            <w:tcBorders>
              <w:top w:val="single" w:sz="8" w:color="0000FF"/>
              <w:bottom w:val="single" w:sz="8" w:color="0000EE"/>
            </w:tcBorders>
          </w:tcPr>
          <w:p>
            <w:pPr>
              <w:spacing w:after="0"/>
              <w:rPr>
                <w:sz w:val="13"/>
                <w:szCs w:val="13"/>
                <w:color w:val="auto"/>
              </w:rPr>
            </w:pPr>
          </w:p>
        </w:tc>
        <w:tc>
          <w:tcPr>
            <w:tcW w:w="206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00" w:type="dxa"/>
            <w:vAlign w:val="bottom"/>
          </w:tcPr>
          <w:p>
            <w:pPr>
              <w:spacing w:after="0"/>
              <w:rPr>
                <w:sz w:val="24"/>
                <w:szCs w:val="24"/>
                <w:color w:val="auto"/>
              </w:rPr>
            </w:pPr>
          </w:p>
        </w:tc>
        <w:tc>
          <w:tcPr>
            <w:tcW w:w="3040" w:type="dxa"/>
            <w:vAlign w:val="bottom"/>
            <w:gridSpan w:val="30"/>
          </w:tcPr>
          <w:p>
            <w:pPr>
              <w:spacing w:after="0"/>
              <w:rPr>
                <w:rFonts w:ascii="Arial" w:cs="Arial" w:eastAsia="Arial" w:hAnsi="Arial"/>
                <w:sz w:val="18"/>
                <w:szCs w:val="18"/>
                <w:color w:val="0000FF"/>
                <w:w w:val="97"/>
              </w:rPr>
            </w:pPr>
            <w:hyperlink r:id="rId334">
              <w:r>
                <w:rPr>
                  <w:rFonts w:ascii="Arial" w:cs="Arial" w:eastAsia="Arial" w:hAnsi="Arial"/>
                  <w:sz w:val="18"/>
                  <w:szCs w:val="18"/>
                  <w:color w:val="0000FF"/>
                  <w:w w:val="97"/>
                </w:rPr>
                <w:t>Amended and Restated Manufacturing</w:t>
              </w:r>
            </w:hyperlink>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10.15*</w:t>
            </w:r>
          </w:p>
        </w:tc>
        <w:tc>
          <w:tcPr>
            <w:tcW w:w="27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334">
              <w:r>
                <w:rPr>
                  <w:rFonts w:ascii="Arial" w:cs="Arial" w:eastAsia="Arial" w:hAnsi="Arial"/>
                  <w:sz w:val="18"/>
                  <w:szCs w:val="18"/>
                  <w:color w:val="0000FF"/>
                  <w:w w:val="90"/>
                </w:rPr>
                <w:t>Agreement, dated February 23, 2017,</w:t>
              </w:r>
            </w:hyperlink>
          </w:p>
        </w:tc>
        <w:tc>
          <w:tcPr>
            <w:tcW w:w="80" w:type="dxa"/>
            <w:vAlign w:val="bottom"/>
            <w:tcBorders>
              <w:top w:val="single" w:sz="8" w:color="0000FF"/>
            </w:tcBorders>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200" w:type="dxa"/>
            <w:vAlign w:val="bottom"/>
            <w:vMerge w:val="continue"/>
          </w:tcPr>
          <w:p>
            <w:pPr>
              <w:spacing w:after="0"/>
              <w:rPr>
                <w:sz w:val="8"/>
                <w:szCs w:val="8"/>
                <w:color w:val="auto"/>
              </w:rPr>
            </w:pPr>
          </w:p>
        </w:tc>
        <w:tc>
          <w:tcPr>
            <w:tcW w:w="3040" w:type="dxa"/>
            <w:vAlign w:val="bottom"/>
            <w:gridSpan w:val="30"/>
            <w:vMerge w:val="restart"/>
          </w:tcPr>
          <w:p>
            <w:pPr>
              <w:spacing w:after="0" w:line="156" w:lineRule="exact"/>
              <w:rPr>
                <w:rFonts w:ascii="Arial" w:cs="Arial" w:eastAsia="Arial" w:hAnsi="Arial"/>
                <w:sz w:val="18"/>
                <w:szCs w:val="18"/>
                <w:color w:val="0000FF"/>
                <w:w w:val="91"/>
              </w:rPr>
            </w:pPr>
            <w:hyperlink r:id="rId334">
              <w:r>
                <w:rPr>
                  <w:rFonts w:ascii="Arial" w:cs="Arial" w:eastAsia="Arial" w:hAnsi="Arial"/>
                  <w:sz w:val="18"/>
                  <w:szCs w:val="18"/>
                  <w:color w:val="0000FF"/>
                  <w:w w:val="91"/>
                </w:rPr>
                <w:t>between the Company and Robert Bosch</w:t>
              </w:r>
            </w:hyperlink>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760" w:type="dxa"/>
            <w:vAlign w:val="bottom"/>
            <w:vMerge w:val="restart"/>
          </w:tcPr>
          <w:p>
            <w:pPr>
              <w:jc w:val="center"/>
              <w:ind w:right="109"/>
              <w:spacing w:after="0"/>
              <w:rPr>
                <w:sz w:val="20"/>
                <w:szCs w:val="20"/>
                <w:color w:val="auto"/>
              </w:rPr>
            </w:pPr>
            <w:r>
              <w:rPr>
                <w:rFonts w:ascii="Arial" w:cs="Arial" w:eastAsia="Arial" w:hAnsi="Arial"/>
                <w:sz w:val="18"/>
                <w:szCs w:val="18"/>
                <w:color w:val="auto"/>
                <w:w w:val="91"/>
              </w:rPr>
              <w:t>333-234305</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8"/>
              </w:rPr>
              <w:t>10.19</w:t>
            </w:r>
          </w:p>
        </w:tc>
        <w:tc>
          <w:tcPr>
            <w:tcW w:w="2700" w:type="dxa"/>
            <w:vAlign w:val="bottom"/>
            <w:vMerge w:val="restart"/>
          </w:tcPr>
          <w:p>
            <w:pPr>
              <w:jc w:val="center"/>
              <w:ind w:right="668"/>
              <w:spacing w:after="0"/>
              <w:rPr>
                <w:sz w:val="20"/>
                <w:szCs w:val="20"/>
                <w:color w:val="auto"/>
              </w:rPr>
            </w:pPr>
            <w:r>
              <w:rPr>
                <w:rFonts w:ascii="Arial" w:cs="Arial" w:eastAsia="Arial" w:hAnsi="Arial"/>
                <w:sz w:val="18"/>
                <w:szCs w:val="18"/>
                <w:color w:val="auto"/>
                <w:w w:val="90"/>
              </w:rPr>
              <w:t>10/23/2019</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3040" w:type="dxa"/>
            <w:vAlign w:val="bottom"/>
            <w:gridSpan w:val="30"/>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r:id="rId334">
              <w:r>
                <w:rPr>
                  <w:rFonts w:ascii="Arial" w:cs="Arial" w:eastAsia="Arial" w:hAnsi="Arial"/>
                  <w:sz w:val="18"/>
                  <w:szCs w:val="18"/>
                  <w:color w:val="0000FF"/>
                  <w:w w:val="96"/>
                </w:rPr>
                <w:t>LLC</w:t>
              </w:r>
            </w:hyperlink>
          </w:p>
        </w:tc>
        <w:tc>
          <w:tcPr>
            <w:tcW w:w="266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00" w:type="dxa"/>
            <w:vAlign w:val="bottom"/>
          </w:tcPr>
          <w:p>
            <w:pPr>
              <w:spacing w:after="0"/>
              <w:rPr>
                <w:sz w:val="24"/>
                <w:szCs w:val="24"/>
                <w:color w:val="auto"/>
              </w:rPr>
            </w:pPr>
          </w:p>
        </w:tc>
        <w:tc>
          <w:tcPr>
            <w:tcW w:w="3040" w:type="dxa"/>
            <w:vAlign w:val="bottom"/>
            <w:gridSpan w:val="30"/>
          </w:tcPr>
          <w:p>
            <w:pPr>
              <w:spacing w:after="0"/>
              <w:rPr>
                <w:rFonts w:ascii="Arial" w:cs="Arial" w:eastAsia="Arial" w:hAnsi="Arial"/>
                <w:sz w:val="18"/>
                <w:szCs w:val="18"/>
                <w:color w:val="0000FF"/>
              </w:rPr>
            </w:pPr>
            <w:hyperlink r:id="rId335">
              <w:r>
                <w:rPr>
                  <w:rFonts w:ascii="Arial" w:cs="Arial" w:eastAsia="Arial" w:hAnsi="Arial"/>
                  <w:sz w:val="18"/>
                  <w:szCs w:val="18"/>
                  <w:color w:val="0000FF"/>
                </w:rPr>
                <w:t>Amendment No. 1 to Amended and</w:t>
              </w:r>
            </w:hyperlink>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10.16*</w:t>
            </w:r>
          </w:p>
        </w:tc>
        <w:tc>
          <w:tcPr>
            <w:tcW w:w="26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9"/>
              </w:rPr>
            </w:pPr>
            <w:hyperlink r:id="rId335">
              <w:r>
                <w:rPr>
                  <w:rFonts w:ascii="Arial" w:cs="Arial" w:eastAsia="Arial" w:hAnsi="Arial"/>
                  <w:sz w:val="18"/>
                  <w:szCs w:val="18"/>
                  <w:color w:val="0000FF"/>
                  <w:w w:val="89"/>
                </w:rPr>
                <w:t>Restated Manufacturing Agreement,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0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200" w:type="dxa"/>
            <w:vAlign w:val="bottom"/>
            <w:vMerge w:val="continue"/>
          </w:tcPr>
          <w:p>
            <w:pPr>
              <w:spacing w:after="0"/>
              <w:rPr>
                <w:sz w:val="8"/>
                <w:szCs w:val="8"/>
                <w:color w:val="auto"/>
              </w:rPr>
            </w:pPr>
          </w:p>
        </w:tc>
        <w:tc>
          <w:tcPr>
            <w:tcW w:w="3040" w:type="dxa"/>
            <w:vAlign w:val="bottom"/>
            <w:gridSpan w:val="30"/>
            <w:vMerge w:val="restart"/>
          </w:tcPr>
          <w:p>
            <w:pPr>
              <w:spacing w:after="0" w:line="156" w:lineRule="exact"/>
              <w:rPr>
                <w:rFonts w:ascii="Arial" w:cs="Arial" w:eastAsia="Arial" w:hAnsi="Arial"/>
                <w:sz w:val="18"/>
                <w:szCs w:val="18"/>
                <w:color w:val="0000FF"/>
              </w:rPr>
            </w:pPr>
            <w:hyperlink r:id="rId335">
              <w:r>
                <w:rPr>
                  <w:rFonts w:ascii="Arial" w:cs="Arial" w:eastAsia="Arial" w:hAnsi="Arial"/>
                  <w:sz w:val="18"/>
                  <w:szCs w:val="18"/>
                  <w:color w:val="0000FF"/>
                </w:rPr>
                <w:t>dated August 1, 2018, between the</w:t>
              </w:r>
            </w:hyperlink>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760" w:type="dxa"/>
            <w:vAlign w:val="bottom"/>
            <w:vMerge w:val="restart"/>
          </w:tcPr>
          <w:p>
            <w:pPr>
              <w:jc w:val="center"/>
              <w:ind w:right="109"/>
              <w:spacing w:after="0"/>
              <w:rPr>
                <w:sz w:val="20"/>
                <w:szCs w:val="20"/>
                <w:color w:val="auto"/>
              </w:rPr>
            </w:pPr>
            <w:r>
              <w:rPr>
                <w:rFonts w:ascii="Arial" w:cs="Arial" w:eastAsia="Arial" w:hAnsi="Arial"/>
                <w:sz w:val="18"/>
                <w:szCs w:val="18"/>
                <w:color w:val="auto"/>
                <w:w w:val="91"/>
              </w:rPr>
              <w:t>333-234305</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8"/>
              </w:rPr>
              <w:t>10.20</w:t>
            </w:r>
          </w:p>
        </w:tc>
        <w:tc>
          <w:tcPr>
            <w:tcW w:w="2700" w:type="dxa"/>
            <w:vAlign w:val="bottom"/>
            <w:vMerge w:val="restart"/>
          </w:tcPr>
          <w:p>
            <w:pPr>
              <w:jc w:val="center"/>
              <w:ind w:right="668"/>
              <w:spacing w:after="0"/>
              <w:rPr>
                <w:sz w:val="20"/>
                <w:szCs w:val="20"/>
                <w:color w:val="auto"/>
              </w:rPr>
            </w:pPr>
            <w:r>
              <w:rPr>
                <w:rFonts w:ascii="Arial" w:cs="Arial" w:eastAsia="Arial" w:hAnsi="Arial"/>
                <w:sz w:val="18"/>
                <w:szCs w:val="18"/>
                <w:color w:val="auto"/>
                <w:w w:val="90"/>
              </w:rPr>
              <w:t>10/23/2019</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3040" w:type="dxa"/>
            <w:vAlign w:val="bottom"/>
            <w:gridSpan w:val="30"/>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335">
              <w:r>
                <w:rPr>
                  <w:rFonts w:ascii="Arial" w:cs="Arial" w:eastAsia="Arial" w:hAnsi="Arial"/>
                  <w:sz w:val="18"/>
                  <w:szCs w:val="18"/>
                  <w:color w:val="0000FF"/>
                  <w:w w:val="90"/>
                </w:rPr>
                <w:t>Company and Robert Bosch LLC</w:t>
              </w:r>
            </w:hyperlink>
          </w:p>
        </w:tc>
        <w:tc>
          <w:tcPr>
            <w:tcW w:w="20" w:type="dxa"/>
            <w:vAlign w:val="bottom"/>
            <w:tcBorders>
              <w:top w:val="single" w:sz="8" w:color="0000FF"/>
              <w:bottom w:val="single" w:sz="8" w:color="0000EE"/>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00" w:type="dxa"/>
            <w:vAlign w:val="bottom"/>
          </w:tcPr>
          <w:p>
            <w:pPr>
              <w:spacing w:after="0"/>
              <w:rPr>
                <w:sz w:val="24"/>
                <w:szCs w:val="24"/>
                <w:color w:val="auto"/>
              </w:rPr>
            </w:pPr>
          </w:p>
        </w:tc>
        <w:tc>
          <w:tcPr>
            <w:tcW w:w="3040" w:type="dxa"/>
            <w:vAlign w:val="bottom"/>
            <w:tcBorders>
              <w:bottom w:val="single" w:sz="8" w:color="0000FF"/>
            </w:tcBorders>
            <w:gridSpan w:val="30"/>
          </w:tcPr>
          <w:p>
            <w:pPr>
              <w:spacing w:after="0"/>
              <w:rPr>
                <w:rFonts w:ascii="Arial" w:cs="Arial" w:eastAsia="Arial" w:hAnsi="Arial"/>
                <w:sz w:val="18"/>
                <w:szCs w:val="18"/>
                <w:color w:val="0000FF"/>
                <w:w w:val="88"/>
              </w:rPr>
            </w:pPr>
            <w:hyperlink r:id="rId336">
              <w:r>
                <w:rPr>
                  <w:rFonts w:ascii="Arial" w:cs="Arial" w:eastAsia="Arial" w:hAnsi="Arial"/>
                  <w:sz w:val="18"/>
                  <w:szCs w:val="18"/>
                  <w:color w:val="0000FF"/>
                  <w:w w:val="88"/>
                </w:rPr>
                <w:t>Asset purchase agreement dated February</w:t>
              </w:r>
            </w:hyperlink>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10.18*</w:t>
            </w:r>
          </w:p>
        </w:tc>
        <w:tc>
          <w:tcPr>
            <w:tcW w:w="2680" w:type="dxa"/>
            <w:vAlign w:val="bottom"/>
            <w:tcBorders>
              <w:bottom w:val="single" w:sz="8" w:color="0000FF"/>
            </w:tcBorders>
            <w:gridSpan w:val="19"/>
          </w:tcPr>
          <w:p>
            <w:pPr>
              <w:spacing w:after="0" w:line="156" w:lineRule="exact"/>
              <w:rPr>
                <w:rFonts w:ascii="Arial" w:cs="Arial" w:eastAsia="Arial" w:hAnsi="Arial"/>
                <w:sz w:val="18"/>
                <w:szCs w:val="18"/>
                <w:color w:val="0000FF"/>
                <w:w w:val="91"/>
              </w:rPr>
            </w:pPr>
            <w:hyperlink r:id="rId336">
              <w:r>
                <w:rPr>
                  <w:rFonts w:ascii="Arial" w:cs="Arial" w:eastAsia="Arial" w:hAnsi="Arial"/>
                  <w:sz w:val="18"/>
                  <w:szCs w:val="18"/>
                  <w:color w:val="0000FF"/>
                  <w:w w:val="91"/>
                </w:rPr>
                <w:t>20, 2020, by and among MegaChips</w:t>
              </w:r>
            </w:hyperlink>
          </w:p>
        </w:tc>
        <w:tc>
          <w:tcPr>
            <w:tcW w:w="360" w:type="dxa"/>
            <w:vAlign w:val="bottom"/>
            <w:gridSpan w:val="11"/>
          </w:tcPr>
          <w:p>
            <w:pPr>
              <w:spacing w:after="0"/>
              <w:rPr>
                <w:sz w:val="13"/>
                <w:szCs w:val="13"/>
                <w:color w:val="auto"/>
              </w:rPr>
            </w:pPr>
          </w:p>
        </w:tc>
        <w:tc>
          <w:tcPr>
            <w:tcW w:w="1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200" w:type="dxa"/>
            <w:vAlign w:val="bottom"/>
            <w:vMerge w:val="continue"/>
          </w:tcPr>
          <w:p>
            <w:pPr>
              <w:spacing w:after="0"/>
              <w:rPr>
                <w:sz w:val="8"/>
                <w:szCs w:val="8"/>
                <w:color w:val="auto"/>
              </w:rPr>
            </w:pPr>
          </w:p>
        </w:tc>
        <w:tc>
          <w:tcPr>
            <w:tcW w:w="3040" w:type="dxa"/>
            <w:vAlign w:val="bottom"/>
            <w:gridSpan w:val="30"/>
            <w:vMerge w:val="restart"/>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Taiwan Corporation and SiTime</w:t>
              </w:r>
            </w:hyperlink>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760" w:type="dxa"/>
            <w:vAlign w:val="bottom"/>
            <w:vMerge w:val="restart"/>
          </w:tcPr>
          <w:p>
            <w:pPr>
              <w:jc w:val="center"/>
              <w:ind w:right="129"/>
              <w:spacing w:after="0"/>
              <w:rPr>
                <w:sz w:val="20"/>
                <w:szCs w:val="20"/>
                <w:color w:val="auto"/>
              </w:rPr>
            </w:pPr>
            <w:r>
              <w:rPr>
                <w:rFonts w:ascii="Arial" w:cs="Arial" w:eastAsia="Arial" w:hAnsi="Arial"/>
                <w:sz w:val="18"/>
                <w:szCs w:val="18"/>
                <w:color w:val="auto"/>
                <w:w w:val="90"/>
              </w:rPr>
              <w:t>001-39135</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2700" w:type="dxa"/>
            <w:vAlign w:val="bottom"/>
            <w:vMerge w:val="restart"/>
          </w:tcPr>
          <w:p>
            <w:pPr>
              <w:jc w:val="center"/>
              <w:ind w:right="688"/>
              <w:spacing w:after="0"/>
              <w:rPr>
                <w:sz w:val="20"/>
                <w:szCs w:val="20"/>
                <w:color w:val="auto"/>
              </w:rPr>
            </w:pPr>
            <w:r>
              <w:rPr>
                <w:rFonts w:ascii="Arial" w:cs="Arial" w:eastAsia="Arial" w:hAnsi="Arial"/>
                <w:sz w:val="18"/>
                <w:szCs w:val="18"/>
                <w:color w:val="auto"/>
                <w:w w:val="91"/>
              </w:rPr>
              <w:t>5/7/2020</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3040" w:type="dxa"/>
            <w:vAlign w:val="bottom"/>
            <w:gridSpan w:val="30"/>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3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Corporation</w:t>
              </w:r>
            </w:hyperlink>
          </w:p>
        </w:tc>
        <w:tc>
          <w:tcPr>
            <w:tcW w:w="2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168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10.19+</w:t>
            </w:r>
          </w:p>
        </w:tc>
        <w:tc>
          <w:tcPr>
            <w:tcW w:w="3040" w:type="dxa"/>
            <w:vAlign w:val="bottom"/>
            <w:tcBorders>
              <w:bottom w:val="single" w:sz="8" w:color="0000FF"/>
            </w:tcBorders>
            <w:gridSpan w:val="30"/>
          </w:tcPr>
          <w:p>
            <w:pPr>
              <w:spacing w:after="0"/>
              <w:rPr>
                <w:rFonts w:ascii="Arial" w:cs="Arial" w:eastAsia="Arial" w:hAnsi="Arial"/>
                <w:sz w:val="18"/>
                <w:szCs w:val="18"/>
                <w:color w:val="0000FF"/>
                <w:w w:val="90"/>
              </w:rPr>
            </w:pPr>
            <w:hyperlink r:id="rId337">
              <w:r>
                <w:rPr>
                  <w:rFonts w:ascii="Arial" w:cs="Arial" w:eastAsia="Arial" w:hAnsi="Arial"/>
                  <w:sz w:val="18"/>
                  <w:szCs w:val="18"/>
                  <w:color w:val="0000FF"/>
                  <w:w w:val="90"/>
                </w:rPr>
                <w:t>Offer of Employment, dated June 5, 2020,</w:t>
              </w:r>
            </w:hyperlink>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3040" w:type="dxa"/>
            <w:vAlign w:val="bottom"/>
            <w:tcBorders>
              <w:bottom w:val="single" w:sz="8" w:color="0000FF"/>
            </w:tcBorders>
            <w:gridSpan w:val="30"/>
          </w:tcPr>
          <w:p>
            <w:pPr>
              <w:spacing w:after="0" w:line="156" w:lineRule="exact"/>
              <w:rPr>
                <w:rFonts w:ascii="Arial" w:cs="Arial" w:eastAsia="Arial" w:hAnsi="Arial"/>
                <w:sz w:val="18"/>
                <w:szCs w:val="18"/>
                <w:color w:val="0000FF"/>
                <w:w w:val="89"/>
              </w:rPr>
            </w:pPr>
            <w:hyperlink r:id="rId337">
              <w:r>
                <w:rPr>
                  <w:rFonts w:ascii="Arial" w:cs="Arial" w:eastAsia="Arial" w:hAnsi="Arial"/>
                  <w:sz w:val="18"/>
                  <w:szCs w:val="18"/>
                  <w:color w:val="0000FF"/>
                  <w:w w:val="89"/>
                </w:rPr>
                <w:t>between Vincent P. Pangrazio and SiTime</w:t>
              </w:r>
            </w:hyperlink>
          </w:p>
        </w:tc>
        <w:tc>
          <w:tcPr>
            <w:tcW w:w="1020" w:type="dxa"/>
            <w:vAlign w:val="bottom"/>
            <w:vMerge w:val="restart"/>
          </w:tcPr>
          <w:p>
            <w:pPr>
              <w:jc w:val="center"/>
              <w:ind w:left="8"/>
              <w:spacing w:after="0"/>
              <w:rPr>
                <w:sz w:val="20"/>
                <w:szCs w:val="20"/>
                <w:color w:val="auto"/>
              </w:rPr>
            </w:pPr>
            <w:r>
              <w:rPr>
                <w:rFonts w:ascii="Arial" w:cs="Arial" w:eastAsia="Arial" w:hAnsi="Arial"/>
                <w:sz w:val="18"/>
                <w:szCs w:val="18"/>
                <w:color w:val="auto"/>
                <w:w w:val="99"/>
              </w:rPr>
              <w:t>8-K</w:t>
            </w:r>
          </w:p>
        </w:tc>
        <w:tc>
          <w:tcPr>
            <w:tcW w:w="1760" w:type="dxa"/>
            <w:vAlign w:val="bottom"/>
            <w:vMerge w:val="restart"/>
          </w:tcPr>
          <w:p>
            <w:pPr>
              <w:jc w:val="center"/>
              <w:ind w:right="129"/>
              <w:spacing w:after="0"/>
              <w:rPr>
                <w:sz w:val="20"/>
                <w:szCs w:val="20"/>
                <w:color w:val="auto"/>
              </w:rPr>
            </w:pPr>
            <w:r>
              <w:rPr>
                <w:rFonts w:ascii="Arial" w:cs="Arial" w:eastAsia="Arial" w:hAnsi="Arial"/>
                <w:sz w:val="18"/>
                <w:szCs w:val="18"/>
                <w:color w:val="auto"/>
                <w:w w:val="90"/>
              </w:rPr>
              <w:t>001-39135</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2700" w:type="dxa"/>
            <w:vAlign w:val="bottom"/>
            <w:vMerge w:val="restart"/>
          </w:tcPr>
          <w:p>
            <w:pPr>
              <w:jc w:val="center"/>
              <w:ind w:right="688"/>
              <w:spacing w:after="0"/>
              <w:rPr>
                <w:sz w:val="20"/>
                <w:szCs w:val="20"/>
                <w:color w:val="auto"/>
              </w:rPr>
            </w:pPr>
            <w:r>
              <w:rPr>
                <w:rFonts w:ascii="Arial" w:cs="Arial" w:eastAsia="Arial" w:hAnsi="Arial"/>
                <w:sz w:val="18"/>
                <w:szCs w:val="18"/>
                <w:color w:val="auto"/>
                <w:w w:val="91"/>
              </w:rPr>
              <w:t>6/9/2020</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40" w:type="dxa"/>
            <w:vAlign w:val="bottom"/>
            <w:gridSpan w:val="30"/>
          </w:tcPr>
          <w:p>
            <w:pPr>
              <w:spacing w:after="0" w:line="156" w:lineRule="exact"/>
              <w:rPr>
                <w:rFonts w:ascii="Arial" w:cs="Arial" w:eastAsia="Arial" w:hAnsi="Arial"/>
                <w:sz w:val="18"/>
                <w:szCs w:val="18"/>
                <w:color w:val="0000FF"/>
              </w:rPr>
            </w:pPr>
            <w:hyperlink r:id="rId337">
              <w:r>
                <w:rPr>
                  <w:rFonts w:ascii="Arial" w:cs="Arial" w:eastAsia="Arial" w:hAnsi="Arial"/>
                  <w:sz w:val="18"/>
                  <w:szCs w:val="18"/>
                  <w:color w:val="0000FF"/>
                </w:rPr>
                <w:t>Corporation</w:t>
              </w:r>
            </w:hyperlink>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168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0" w:type="dxa"/>
            <w:vAlign w:val="bottom"/>
          </w:tcPr>
          <w:p>
            <w:pPr>
              <w:jc w:val="center"/>
              <w:ind w:right="50"/>
              <w:spacing w:after="0"/>
              <w:rPr>
                <w:sz w:val="20"/>
                <w:szCs w:val="20"/>
                <w:color w:val="auto"/>
              </w:rPr>
            </w:pPr>
            <w:r>
              <w:rPr>
                <w:rFonts w:ascii="Arial" w:cs="Arial" w:eastAsia="Arial" w:hAnsi="Arial"/>
                <w:sz w:val="18"/>
                <w:szCs w:val="18"/>
                <w:color w:val="auto"/>
                <w:w w:val="89"/>
              </w:rPr>
              <w:t>10.20+</w:t>
            </w:r>
          </w:p>
        </w:tc>
        <w:tc>
          <w:tcPr>
            <w:tcW w:w="2640" w:type="dxa"/>
            <w:vAlign w:val="bottom"/>
            <w:tcBorders>
              <w:bottom w:val="single" w:sz="8" w:color="0000FF"/>
            </w:tcBorders>
            <w:gridSpan w:val="17"/>
          </w:tcPr>
          <w:p>
            <w:pPr>
              <w:spacing w:after="0"/>
              <w:rPr>
                <w:rFonts w:ascii="Arial" w:cs="Arial" w:eastAsia="Arial" w:hAnsi="Arial"/>
                <w:sz w:val="18"/>
                <w:szCs w:val="18"/>
                <w:color w:val="0000FF"/>
                <w:w w:val="89"/>
              </w:rPr>
            </w:pPr>
            <w:hyperlink r:id="rId338">
              <w:r>
                <w:rPr>
                  <w:rFonts w:ascii="Arial" w:cs="Arial" w:eastAsia="Arial" w:hAnsi="Arial"/>
                  <w:sz w:val="18"/>
                  <w:szCs w:val="18"/>
                  <w:color w:val="0000FF"/>
                  <w:w w:val="89"/>
                </w:rPr>
                <w:t>Executive Bonus and Retention Plan</w:t>
              </w:r>
            </w:hyperlink>
          </w:p>
        </w:tc>
        <w:tc>
          <w:tcPr>
            <w:tcW w:w="20" w:type="dxa"/>
            <w:vAlign w:val="bottom"/>
            <w:tcBorders>
              <w:bottom w:val="single" w:sz="8" w:color="0000EE"/>
            </w:tcBorders>
          </w:tcPr>
          <w:p>
            <w:pPr>
              <w:spacing w:after="0"/>
              <w:rPr>
                <w:sz w:val="24"/>
                <w:szCs w:val="24"/>
                <w:color w:val="auto"/>
              </w:rPr>
            </w:pPr>
          </w:p>
        </w:tc>
        <w:tc>
          <w:tcPr>
            <w:tcW w:w="380" w:type="dxa"/>
            <w:vAlign w:val="bottom"/>
            <w:gridSpan w:val="12"/>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760" w:type="dxa"/>
            <w:vAlign w:val="bottom"/>
          </w:tcPr>
          <w:p>
            <w:pPr>
              <w:jc w:val="center"/>
              <w:ind w:right="129"/>
              <w:spacing w:after="0"/>
              <w:rPr>
                <w:sz w:val="20"/>
                <w:szCs w:val="20"/>
                <w:color w:val="auto"/>
              </w:rPr>
            </w:pPr>
            <w:r>
              <w:rPr>
                <w:rFonts w:ascii="Arial" w:cs="Arial" w:eastAsia="Arial" w:hAnsi="Arial"/>
                <w:sz w:val="18"/>
                <w:szCs w:val="18"/>
                <w:color w:val="auto"/>
                <w:w w:val="90"/>
              </w:rPr>
              <w:t>001-39135</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700" w:type="dxa"/>
            <w:vAlign w:val="bottom"/>
          </w:tcPr>
          <w:p>
            <w:pPr>
              <w:jc w:val="center"/>
              <w:ind w:right="688"/>
              <w:spacing w:after="0"/>
              <w:rPr>
                <w:sz w:val="20"/>
                <w:szCs w:val="20"/>
                <w:color w:val="auto"/>
              </w:rPr>
            </w:pPr>
            <w:r>
              <w:rPr>
                <w:rFonts w:ascii="Arial" w:cs="Arial" w:eastAsia="Arial" w:hAnsi="Arial"/>
                <w:sz w:val="18"/>
                <w:szCs w:val="18"/>
                <w:color w:val="auto"/>
                <w:w w:val="91"/>
              </w:rPr>
              <w:t>8/6/2020</w:t>
            </w:r>
          </w:p>
        </w:tc>
        <w:tc>
          <w:tcPr>
            <w:tcW w:w="0" w:type="dxa"/>
            <w:vAlign w:val="bottom"/>
          </w:tcPr>
          <w:p>
            <w:pPr>
              <w:spacing w:after="0"/>
              <w:rPr>
                <w:sz w:val="1"/>
                <w:szCs w:val="1"/>
                <w:color w:val="auto"/>
              </w:rPr>
            </w:pPr>
          </w:p>
        </w:tc>
      </w:tr>
      <w:tr>
        <w:trPr>
          <w:trHeight w:val="290"/>
        </w:trPr>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10.21*</w:t>
            </w:r>
          </w:p>
        </w:tc>
        <w:tc>
          <w:tcPr>
            <w:tcW w:w="3040" w:type="dxa"/>
            <w:vAlign w:val="bottom"/>
            <w:gridSpan w:val="30"/>
          </w:tcPr>
          <w:p>
            <w:pPr>
              <w:spacing w:after="0"/>
              <w:rPr>
                <w:rFonts w:ascii="Arial" w:cs="Arial" w:eastAsia="Arial" w:hAnsi="Arial"/>
                <w:sz w:val="18"/>
                <w:szCs w:val="18"/>
                <w:color w:val="0000FF"/>
                <w:w w:val="91"/>
              </w:rPr>
            </w:pPr>
            <w:hyperlink r:id="rId339">
              <w:r>
                <w:rPr>
                  <w:rFonts w:ascii="Arial" w:cs="Arial" w:eastAsia="Arial" w:hAnsi="Arial"/>
                  <w:sz w:val="18"/>
                  <w:szCs w:val="18"/>
                  <w:color w:val="0000FF"/>
                  <w:w w:val="91"/>
                </w:rPr>
                <w:t>Asset Purchase Agreement dated August</w:t>
              </w:r>
            </w:hyperlink>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29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39">
              <w:r>
                <w:rPr>
                  <w:rFonts w:ascii="Arial" w:cs="Arial" w:eastAsia="Arial" w:hAnsi="Arial"/>
                  <w:sz w:val="18"/>
                  <w:szCs w:val="18"/>
                  <w:color w:val="0000FF"/>
                </w:rPr>
                <w:t>4, 2020, by and among MegaChips</w:t>
              </w:r>
            </w:hyperlink>
          </w:p>
        </w:tc>
        <w:tc>
          <w:tcPr>
            <w:tcW w:w="60" w:type="dxa"/>
            <w:vAlign w:val="bottom"/>
            <w:gridSpan w:val="3"/>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760" w:type="dxa"/>
            <w:vAlign w:val="bottom"/>
            <w:vMerge w:val="restart"/>
          </w:tcPr>
          <w:p>
            <w:pPr>
              <w:jc w:val="center"/>
              <w:ind w:right="129"/>
              <w:spacing w:after="0"/>
              <w:rPr>
                <w:sz w:val="20"/>
                <w:szCs w:val="20"/>
                <w:color w:val="auto"/>
              </w:rPr>
            </w:pPr>
            <w:r>
              <w:rPr>
                <w:rFonts w:ascii="Arial" w:cs="Arial" w:eastAsia="Arial" w:hAnsi="Arial"/>
                <w:sz w:val="18"/>
                <w:szCs w:val="18"/>
                <w:color w:val="auto"/>
                <w:w w:val="90"/>
              </w:rPr>
              <w:t>001-39135</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2700" w:type="dxa"/>
            <w:vAlign w:val="bottom"/>
            <w:vMerge w:val="restart"/>
          </w:tcPr>
          <w:p>
            <w:pPr>
              <w:jc w:val="center"/>
              <w:ind w:right="688"/>
              <w:spacing w:after="0"/>
              <w:rPr>
                <w:sz w:val="20"/>
                <w:szCs w:val="20"/>
                <w:color w:val="auto"/>
              </w:rPr>
            </w:pPr>
            <w:r>
              <w:rPr>
                <w:rFonts w:ascii="Arial" w:cs="Arial" w:eastAsia="Arial" w:hAnsi="Arial"/>
                <w:sz w:val="18"/>
                <w:szCs w:val="18"/>
                <w:color w:val="auto"/>
                <w:w w:val="91"/>
              </w:rPr>
              <w:t>8/6/2020</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7"/>
              </w:rPr>
            </w:pPr>
            <w:hyperlink r:id="rId339">
              <w:r>
                <w:rPr>
                  <w:rFonts w:ascii="Arial" w:cs="Arial" w:eastAsia="Arial" w:hAnsi="Arial"/>
                  <w:sz w:val="18"/>
                  <w:szCs w:val="18"/>
                  <w:color w:val="0000FF"/>
                  <w:w w:val="87"/>
                </w:rPr>
                <w:t>Corporation and SiTime Corporation</w:t>
              </w:r>
            </w:hyperlink>
          </w:p>
        </w:tc>
        <w:tc>
          <w:tcPr>
            <w:tcW w:w="100" w:type="dxa"/>
            <w:vAlign w:val="bottom"/>
            <w:tcBorders>
              <w:bottom w:val="single" w:sz="8" w:color="0000FF"/>
            </w:tcBorders>
            <w:gridSpan w:val="5"/>
          </w:tcPr>
          <w:p>
            <w:pPr>
              <w:spacing w:after="0"/>
              <w:rPr>
                <w:sz w:val="13"/>
                <w:szCs w:val="13"/>
                <w:color w:val="auto"/>
              </w:rPr>
            </w:pPr>
          </w:p>
        </w:tc>
        <w:tc>
          <w:tcPr>
            <w:tcW w:w="380" w:type="dxa"/>
            <w:vAlign w:val="bottom"/>
            <w:gridSpan w:val="12"/>
          </w:tcPr>
          <w:p>
            <w:pPr>
              <w:spacing w:after="0"/>
              <w:rPr>
                <w:sz w:val="13"/>
                <w:szCs w:val="13"/>
                <w:color w:val="auto"/>
              </w:rPr>
            </w:pPr>
          </w:p>
        </w:tc>
        <w:tc>
          <w:tcPr>
            <w:tcW w:w="10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jc w:val="right"/>
              <w:ind w:right="1209"/>
              <w:spacing w:after="0"/>
              <w:rPr>
                <w:sz w:val="20"/>
                <w:szCs w:val="20"/>
                <w:color w:val="auto"/>
              </w:rPr>
            </w:pPr>
            <w:r>
              <w:rPr>
                <w:rFonts w:ascii="Arial" w:cs="Arial" w:eastAsia="Arial" w:hAnsi="Arial"/>
                <w:sz w:val="18"/>
                <w:szCs w:val="18"/>
                <w:color w:val="auto"/>
              </w:rPr>
              <w:t>84</w:t>
            </w: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85" w:name="page86"/>
    <w:bookmarkEnd w:id="85"/>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10.23+</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10.24+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10.25+</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10.26+</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10.28+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10.29+</w:t>
      </w:r>
    </w:p>
    <w:p>
      <w:pPr>
        <w:spacing w:after="0" w:line="3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21.1</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23.1</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24.1</w:t>
      </w: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29"/>
          </w:tcPr>
          <w:p>
            <w:pPr>
              <w:spacing w:after="0"/>
              <w:rPr>
                <w:rFonts w:ascii="Arial" w:cs="Arial" w:eastAsia="Arial" w:hAnsi="Arial"/>
                <w:sz w:val="18"/>
                <w:szCs w:val="18"/>
                <w:color w:val="0000FF"/>
                <w:w w:val="99"/>
              </w:rPr>
            </w:pPr>
            <w:hyperlink r:id="rId342">
              <w:r>
                <w:rPr>
                  <w:rFonts w:ascii="Arial" w:cs="Arial" w:eastAsia="Arial" w:hAnsi="Arial"/>
                  <w:sz w:val="18"/>
                  <w:szCs w:val="18"/>
                  <w:color w:val="0000FF"/>
                  <w:w w:val="99"/>
                </w:rPr>
                <w:t>Offer of Employment dated November</w:t>
              </w:r>
            </w:hyperlink>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88"/>
              </w:rPr>
            </w:pPr>
            <w:hyperlink r:id="rId342">
              <w:r>
                <w:rPr>
                  <w:rFonts w:ascii="Arial" w:cs="Arial" w:eastAsia="Arial" w:hAnsi="Arial"/>
                  <w:sz w:val="18"/>
                  <w:szCs w:val="18"/>
                  <w:color w:val="0000FF"/>
                  <w:w w:val="88"/>
                </w:rPr>
                <w:t>16, 2020, between Fari Assaderaghi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restart"/>
          </w:tcPr>
          <w:p>
            <w:pPr>
              <w:ind w:left="320"/>
              <w:spacing w:after="0"/>
              <w:rPr>
                <w:sz w:val="20"/>
                <w:szCs w:val="20"/>
                <w:color w:val="auto"/>
              </w:rPr>
            </w:pPr>
            <w:r>
              <w:rPr>
                <w:rFonts w:ascii="Arial" w:cs="Arial" w:eastAsia="Arial" w:hAnsi="Arial"/>
                <w:sz w:val="18"/>
                <w:szCs w:val="18"/>
                <w:color w:val="auto"/>
              </w:rPr>
              <w:t>10-K</w:t>
            </w:r>
          </w:p>
        </w:tc>
        <w:tc>
          <w:tcPr>
            <w:tcW w:w="1740" w:type="dxa"/>
            <w:vAlign w:val="bottom"/>
            <w:vMerge w:val="restart"/>
          </w:tcPr>
          <w:p>
            <w:pPr>
              <w:jc w:val="right"/>
              <w:ind w:right="510"/>
              <w:spacing w:after="0"/>
              <w:rPr>
                <w:sz w:val="20"/>
                <w:szCs w:val="20"/>
                <w:color w:val="auto"/>
              </w:rPr>
            </w:pPr>
            <w:r>
              <w:rPr>
                <w:rFonts w:ascii="Arial" w:cs="Arial" w:eastAsia="Arial" w:hAnsi="Arial"/>
                <w:sz w:val="18"/>
                <w:szCs w:val="18"/>
                <w:color w:val="auto"/>
              </w:rPr>
              <w:t>001-39135</w:t>
            </w:r>
          </w:p>
        </w:tc>
        <w:tc>
          <w:tcPr>
            <w:tcW w:w="1580" w:type="dxa"/>
            <w:vAlign w:val="bottom"/>
            <w:vMerge w:val="restart"/>
          </w:tcPr>
          <w:p>
            <w:pPr>
              <w:jc w:val="right"/>
              <w:ind w:right="510"/>
              <w:spacing w:after="0"/>
              <w:rPr>
                <w:sz w:val="20"/>
                <w:szCs w:val="20"/>
                <w:color w:val="auto"/>
              </w:rPr>
            </w:pPr>
            <w:r>
              <w:rPr>
                <w:rFonts w:ascii="Arial" w:cs="Arial" w:eastAsia="Arial" w:hAnsi="Arial"/>
                <w:sz w:val="18"/>
                <w:szCs w:val="18"/>
                <w:color w:val="auto"/>
              </w:rPr>
              <w:t>10.22</w:t>
            </w:r>
          </w:p>
        </w:tc>
        <w:tc>
          <w:tcPr>
            <w:tcW w:w="2240" w:type="dxa"/>
            <w:vAlign w:val="bottom"/>
            <w:vMerge w:val="restart"/>
          </w:tcPr>
          <w:p>
            <w:pPr>
              <w:ind w:left="580"/>
              <w:spacing w:after="0"/>
              <w:rPr>
                <w:sz w:val="20"/>
                <w:szCs w:val="20"/>
                <w:color w:val="auto"/>
              </w:rPr>
            </w:pPr>
            <w:r>
              <w:rPr>
                <w:rFonts w:ascii="Arial" w:cs="Arial" w:eastAsia="Arial" w:hAnsi="Arial"/>
                <w:sz w:val="18"/>
                <w:szCs w:val="18"/>
                <w:color w:val="auto"/>
              </w:rPr>
              <w:t>2/16/2021</w:t>
            </w:r>
          </w:p>
        </w:tc>
        <w:tc>
          <w:tcPr>
            <w:tcW w:w="0" w:type="dxa"/>
            <w:vAlign w:val="bottom"/>
          </w:tcPr>
          <w:p>
            <w:pPr>
              <w:spacing w:after="0"/>
              <w:rPr>
                <w:sz w:val="1"/>
                <w:szCs w:val="1"/>
                <w:color w:val="auto"/>
              </w:rPr>
            </w:pPr>
          </w:p>
        </w:tc>
      </w:tr>
      <w:tr>
        <w:trPr>
          <w:trHeight w:val="155"/>
        </w:trPr>
        <w:tc>
          <w:tcPr>
            <w:tcW w:w="144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342">
              <w:r>
                <w:rPr>
                  <w:rFonts w:ascii="Arial" w:cs="Arial" w:eastAsia="Arial" w:hAnsi="Arial"/>
                  <w:sz w:val="18"/>
                  <w:szCs w:val="18"/>
                  <w:color w:val="0000FF"/>
                  <w:w w:val="91"/>
                </w:rPr>
                <w:t>SiTime Corporation</w:t>
              </w:r>
            </w:hyperlink>
          </w:p>
        </w:tc>
        <w:tc>
          <w:tcPr>
            <w:tcW w:w="20" w:type="dxa"/>
            <w:vAlign w:val="bottom"/>
            <w:tcBorders>
              <w:bottom w:val="single" w:sz="8" w:color="0000EE"/>
            </w:tcBorders>
          </w:tcPr>
          <w:p>
            <w:pPr>
              <w:spacing w:after="0"/>
              <w:rPr>
                <w:sz w:val="13"/>
                <w:szCs w:val="13"/>
                <w:color w:val="auto"/>
              </w:rPr>
            </w:pPr>
          </w:p>
        </w:tc>
        <w:tc>
          <w:tcPr>
            <w:tcW w:w="148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040" w:type="dxa"/>
            <w:vAlign w:val="bottom"/>
            <w:gridSpan w:val="29"/>
          </w:tcPr>
          <w:p>
            <w:pPr>
              <w:spacing w:after="0"/>
              <w:rPr>
                <w:rFonts w:ascii="Arial" w:cs="Arial" w:eastAsia="Arial" w:hAnsi="Arial"/>
                <w:sz w:val="18"/>
                <w:szCs w:val="18"/>
                <w:color w:val="0000FF"/>
              </w:rPr>
            </w:pPr>
            <w:hyperlink r:id="rId343">
              <w:r>
                <w:rPr>
                  <w:rFonts w:ascii="Arial" w:cs="Arial" w:eastAsia="Arial" w:hAnsi="Arial"/>
                  <w:sz w:val="18"/>
                  <w:szCs w:val="18"/>
                  <w:color w:val="0000FF"/>
                </w:rPr>
                <w:t>Independent Director Compensation</w:t>
              </w:r>
            </w:hyperlink>
          </w:p>
        </w:tc>
        <w:tc>
          <w:tcPr>
            <w:tcW w:w="20" w:type="dxa"/>
            <w:vAlign w:val="bottom"/>
          </w:tcPr>
          <w:p>
            <w:pPr>
              <w:spacing w:after="0"/>
              <w:rPr>
                <w:sz w:val="24"/>
                <w:szCs w:val="24"/>
                <w:color w:val="auto"/>
              </w:rPr>
            </w:pPr>
          </w:p>
        </w:tc>
        <w:tc>
          <w:tcPr>
            <w:tcW w:w="1000" w:type="dxa"/>
            <w:vAlign w:val="bottom"/>
            <w:vMerge w:val="restart"/>
          </w:tcPr>
          <w:p>
            <w:pPr>
              <w:jc w:val="center"/>
              <w:ind w:left="30"/>
              <w:spacing w:after="0"/>
              <w:rPr>
                <w:sz w:val="20"/>
                <w:szCs w:val="20"/>
                <w:color w:val="auto"/>
              </w:rPr>
            </w:pPr>
            <w:r>
              <w:rPr>
                <w:rFonts w:ascii="Arial" w:cs="Arial" w:eastAsia="Arial" w:hAnsi="Arial"/>
                <w:sz w:val="18"/>
                <w:szCs w:val="18"/>
                <w:color w:val="auto"/>
                <w:w w:val="94"/>
              </w:rPr>
              <w:t>10-K</w:t>
            </w:r>
          </w:p>
        </w:tc>
        <w:tc>
          <w:tcPr>
            <w:tcW w:w="1740" w:type="dxa"/>
            <w:vAlign w:val="bottom"/>
            <w:vMerge w:val="restart"/>
          </w:tcPr>
          <w:p>
            <w:pPr>
              <w:jc w:val="right"/>
              <w:ind w:right="510"/>
              <w:spacing w:after="0"/>
              <w:rPr>
                <w:sz w:val="20"/>
                <w:szCs w:val="20"/>
                <w:color w:val="auto"/>
              </w:rPr>
            </w:pPr>
            <w:r>
              <w:rPr>
                <w:rFonts w:ascii="Arial" w:cs="Arial" w:eastAsia="Arial" w:hAnsi="Arial"/>
                <w:sz w:val="18"/>
                <w:szCs w:val="18"/>
                <w:color w:val="auto"/>
              </w:rPr>
              <w:t>001-39135</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8"/>
              </w:rPr>
              <w:t>10.23</w:t>
            </w:r>
          </w:p>
        </w:tc>
        <w:tc>
          <w:tcPr>
            <w:tcW w:w="2240" w:type="dxa"/>
            <w:vAlign w:val="bottom"/>
            <w:vMerge w:val="restart"/>
          </w:tcPr>
          <w:p>
            <w:pPr>
              <w:ind w:left="580"/>
              <w:spacing w:after="0"/>
              <w:rPr>
                <w:sz w:val="20"/>
                <w:szCs w:val="20"/>
                <w:color w:val="auto"/>
              </w:rPr>
            </w:pPr>
            <w:r>
              <w:rPr>
                <w:rFonts w:ascii="Arial" w:cs="Arial" w:eastAsia="Arial" w:hAnsi="Arial"/>
                <w:sz w:val="18"/>
                <w:szCs w:val="18"/>
                <w:color w:val="auto"/>
              </w:rPr>
              <w:t>2/16/2021</w:t>
            </w:r>
          </w:p>
        </w:tc>
        <w:tc>
          <w:tcPr>
            <w:tcW w:w="0" w:type="dxa"/>
            <w:vAlign w:val="bottom"/>
          </w:tcPr>
          <w:p>
            <w:pPr>
              <w:spacing w:after="0"/>
              <w:rPr>
                <w:sz w:val="1"/>
                <w:szCs w:val="1"/>
                <w:color w:val="auto"/>
              </w:rPr>
            </w:pPr>
          </w:p>
        </w:tc>
      </w:tr>
      <w:tr>
        <w:trPr>
          <w:trHeight w:val="155"/>
        </w:trPr>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343">
              <w:r>
                <w:rPr>
                  <w:rFonts w:ascii="Arial" w:cs="Arial" w:eastAsia="Arial" w:hAnsi="Arial"/>
                  <w:sz w:val="18"/>
                  <w:szCs w:val="18"/>
                  <w:color w:val="0000FF"/>
                  <w:w w:val="91"/>
                </w:rPr>
                <w:t>Policy</w:t>
              </w:r>
            </w:hyperlink>
          </w:p>
        </w:tc>
        <w:tc>
          <w:tcPr>
            <w:tcW w:w="22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040" w:type="dxa"/>
            <w:vAlign w:val="bottom"/>
            <w:gridSpan w:val="29"/>
          </w:tcPr>
          <w:p>
            <w:pPr>
              <w:spacing w:after="0"/>
              <w:rPr>
                <w:rFonts w:ascii="Arial" w:cs="Arial" w:eastAsia="Arial" w:hAnsi="Arial"/>
                <w:sz w:val="18"/>
                <w:szCs w:val="18"/>
                <w:color w:val="0000FF"/>
              </w:rPr>
            </w:pPr>
            <w:hyperlink r:id="rId344">
              <w:r>
                <w:rPr>
                  <w:rFonts w:ascii="Arial" w:cs="Arial" w:eastAsia="Arial" w:hAnsi="Arial"/>
                  <w:sz w:val="18"/>
                  <w:szCs w:val="18"/>
                  <w:color w:val="0000FF"/>
                </w:rPr>
                <w:t>Letter Agreement dated April 1, 2021</w:t>
              </w:r>
            </w:hyperlink>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9"/>
              </w:rPr>
            </w:pPr>
            <w:hyperlink r:id="rId344">
              <w:r>
                <w:rPr>
                  <w:rFonts w:ascii="Arial" w:cs="Arial" w:eastAsia="Arial" w:hAnsi="Arial"/>
                  <w:sz w:val="18"/>
                  <w:szCs w:val="18"/>
                  <w:color w:val="0000FF"/>
                  <w:w w:val="89"/>
                </w:rPr>
                <w:t>between Christine Heckart and SiTime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740" w:type="dxa"/>
            <w:vAlign w:val="bottom"/>
            <w:vMerge w:val="restart"/>
          </w:tcPr>
          <w:p>
            <w:pPr>
              <w:jc w:val="right"/>
              <w:ind w:right="490"/>
              <w:spacing w:after="0"/>
              <w:rPr>
                <w:sz w:val="20"/>
                <w:szCs w:val="20"/>
                <w:color w:val="auto"/>
              </w:rPr>
            </w:pPr>
            <w:r>
              <w:rPr>
                <w:rFonts w:ascii="Arial" w:cs="Arial" w:eastAsia="Arial" w:hAnsi="Arial"/>
                <w:sz w:val="18"/>
                <w:szCs w:val="18"/>
                <w:color w:val="auto"/>
              </w:rPr>
              <w:t>001-39135</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2240" w:type="dxa"/>
            <w:vAlign w:val="bottom"/>
            <w:vMerge w:val="restart"/>
          </w:tcPr>
          <w:p>
            <w:pPr>
              <w:jc w:val="center"/>
              <w:ind w:right="310"/>
              <w:spacing w:after="0"/>
              <w:rPr>
                <w:sz w:val="20"/>
                <w:szCs w:val="20"/>
                <w:color w:val="auto"/>
              </w:rPr>
            </w:pPr>
            <w:r>
              <w:rPr>
                <w:rFonts w:ascii="Arial" w:cs="Arial" w:eastAsia="Arial" w:hAnsi="Arial"/>
                <w:sz w:val="18"/>
                <w:szCs w:val="18"/>
                <w:color w:val="auto"/>
                <w:w w:val="91"/>
              </w:rPr>
              <w:t>4/5/2021</w:t>
            </w:r>
          </w:p>
        </w:tc>
        <w:tc>
          <w:tcPr>
            <w:tcW w:w="0" w:type="dxa"/>
            <w:vAlign w:val="bottom"/>
          </w:tcPr>
          <w:p>
            <w:pPr>
              <w:spacing w:after="0"/>
              <w:rPr>
                <w:sz w:val="1"/>
                <w:szCs w:val="1"/>
                <w:color w:val="auto"/>
              </w:rPr>
            </w:pPr>
          </w:p>
        </w:tc>
      </w:tr>
      <w:tr>
        <w:trPr>
          <w:trHeight w:val="155"/>
        </w:trPr>
        <w:tc>
          <w:tcPr>
            <w:tcW w:w="2860" w:type="dxa"/>
            <w:vAlign w:val="bottom"/>
            <w:gridSpan w:val="22"/>
          </w:tcPr>
          <w:p>
            <w:pPr>
              <w:spacing w:after="0" w:line="156" w:lineRule="exact"/>
              <w:rPr>
                <w:rFonts w:ascii="Arial" w:cs="Arial" w:eastAsia="Arial" w:hAnsi="Arial"/>
                <w:sz w:val="18"/>
                <w:szCs w:val="18"/>
                <w:color w:val="0000FF"/>
              </w:rPr>
            </w:pPr>
            <w:hyperlink r:id="rId344">
              <w:r>
                <w:rPr>
                  <w:rFonts w:ascii="Arial" w:cs="Arial" w:eastAsia="Arial" w:hAnsi="Arial"/>
                  <w:sz w:val="18"/>
                  <w:szCs w:val="18"/>
                  <w:color w:val="0000FF"/>
                </w:rPr>
                <w:t>Corporation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40" w:type="dxa"/>
            <w:vAlign w:val="bottom"/>
            <w:gridSpan w:val="29"/>
          </w:tcPr>
          <w:p>
            <w:pPr>
              <w:spacing w:after="0"/>
              <w:rPr>
                <w:rFonts w:ascii="Arial" w:cs="Arial" w:eastAsia="Arial" w:hAnsi="Arial"/>
                <w:sz w:val="18"/>
                <w:szCs w:val="18"/>
                <w:color w:val="0000FF"/>
                <w:w w:val="99"/>
              </w:rPr>
            </w:pPr>
            <w:hyperlink r:id="rId345">
              <w:r>
                <w:rPr>
                  <w:rFonts w:ascii="Arial" w:cs="Arial" w:eastAsia="Arial" w:hAnsi="Arial"/>
                  <w:sz w:val="18"/>
                  <w:szCs w:val="18"/>
                  <w:color w:val="0000FF"/>
                  <w:w w:val="99"/>
                </w:rPr>
                <w:t>Consulting Agreement, dated May 15,</w:t>
              </w:r>
            </w:hyperlink>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6"/>
              </w:rPr>
            </w:pPr>
            <w:hyperlink r:id="rId345">
              <w:r>
                <w:rPr>
                  <w:rFonts w:ascii="Arial" w:cs="Arial" w:eastAsia="Arial" w:hAnsi="Arial"/>
                  <w:sz w:val="18"/>
                  <w:szCs w:val="18"/>
                  <w:color w:val="0000FF"/>
                  <w:w w:val="86"/>
                </w:rPr>
                <w:t>2021, between Akira Takata and SiTime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740" w:type="dxa"/>
            <w:vAlign w:val="bottom"/>
            <w:vMerge w:val="restart"/>
          </w:tcPr>
          <w:p>
            <w:pPr>
              <w:jc w:val="right"/>
              <w:ind w:right="490"/>
              <w:spacing w:after="0"/>
              <w:rPr>
                <w:sz w:val="20"/>
                <w:szCs w:val="20"/>
                <w:color w:val="auto"/>
              </w:rPr>
            </w:pPr>
            <w:r>
              <w:rPr>
                <w:rFonts w:ascii="Arial" w:cs="Arial" w:eastAsia="Arial" w:hAnsi="Arial"/>
                <w:sz w:val="18"/>
                <w:szCs w:val="18"/>
                <w:color w:val="auto"/>
              </w:rPr>
              <w:t>001-39135</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2240" w:type="dxa"/>
            <w:vAlign w:val="bottom"/>
            <w:vMerge w:val="restart"/>
          </w:tcPr>
          <w:p>
            <w:pPr>
              <w:jc w:val="center"/>
              <w:ind w:right="310"/>
              <w:spacing w:after="0"/>
              <w:rPr>
                <w:sz w:val="20"/>
                <w:szCs w:val="20"/>
                <w:color w:val="auto"/>
              </w:rPr>
            </w:pPr>
            <w:r>
              <w:rPr>
                <w:rFonts w:ascii="Arial" w:cs="Arial" w:eastAsia="Arial" w:hAnsi="Arial"/>
                <w:sz w:val="18"/>
                <w:szCs w:val="18"/>
                <w:color w:val="auto"/>
                <w:w w:val="91"/>
              </w:rPr>
              <w:t>8/5/2021</w:t>
            </w:r>
          </w:p>
        </w:tc>
        <w:tc>
          <w:tcPr>
            <w:tcW w:w="0" w:type="dxa"/>
            <w:vAlign w:val="bottom"/>
          </w:tcPr>
          <w:p>
            <w:pPr>
              <w:spacing w:after="0"/>
              <w:rPr>
                <w:sz w:val="1"/>
                <w:szCs w:val="1"/>
                <w:color w:val="auto"/>
              </w:rPr>
            </w:pPr>
          </w:p>
        </w:tc>
      </w:tr>
      <w:tr>
        <w:trPr>
          <w:trHeight w:val="156"/>
        </w:trPr>
        <w:tc>
          <w:tcPr>
            <w:tcW w:w="2960" w:type="dxa"/>
            <w:vAlign w:val="bottom"/>
            <w:gridSpan w:val="27"/>
          </w:tcPr>
          <w:p>
            <w:pPr>
              <w:spacing w:after="0" w:line="156" w:lineRule="exact"/>
              <w:rPr>
                <w:rFonts w:ascii="Arial" w:cs="Arial" w:eastAsia="Arial" w:hAnsi="Arial"/>
                <w:sz w:val="18"/>
                <w:szCs w:val="18"/>
                <w:color w:val="0000FF"/>
              </w:rPr>
            </w:pPr>
            <w:hyperlink r:id="rId345">
              <w:r>
                <w:rPr>
                  <w:rFonts w:ascii="Arial" w:cs="Arial" w:eastAsia="Arial" w:hAnsi="Arial"/>
                  <w:sz w:val="18"/>
                  <w:szCs w:val="18"/>
                  <w:color w:val="0000FF"/>
                </w:rPr>
                <w:t>Corporation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040" w:type="dxa"/>
            <w:vAlign w:val="bottom"/>
            <w:gridSpan w:val="29"/>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Amendment No. 1 to Consulting</w:t>
              </w:r>
            </w:hyperlink>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w:anchor="page90">
              <w:r>
                <w:rPr>
                  <w:rFonts w:ascii="Arial" w:cs="Arial" w:eastAsia="Arial" w:hAnsi="Arial"/>
                  <w:sz w:val="18"/>
                  <w:szCs w:val="18"/>
                  <w:color w:val="0000FF"/>
                  <w:w w:val="91"/>
                </w:rPr>
                <w:t>Agreement, dated December 30,</w:t>
              </w:r>
            </w:hyperlink>
          </w:p>
        </w:tc>
        <w:tc>
          <w:tcPr>
            <w:tcW w:w="420" w:type="dxa"/>
            <w:vAlign w:val="bottom"/>
            <w:tcBorders>
              <w:bottom w:val="single" w:sz="8" w:color="0000FF"/>
            </w:tcBorders>
            <w:gridSpan w:val="9"/>
          </w:tcPr>
          <w:p>
            <w:pPr>
              <w:jc w:val="right"/>
              <w:ind w:right="40"/>
              <w:spacing w:after="0" w:line="156" w:lineRule="exact"/>
              <w:rPr>
                <w:rFonts w:ascii="Arial" w:cs="Arial" w:eastAsia="Arial" w:hAnsi="Arial"/>
                <w:sz w:val="18"/>
                <w:szCs w:val="18"/>
                <w:color w:val="0000FF"/>
                <w:w w:val="79"/>
              </w:rPr>
            </w:pPr>
            <w:hyperlink w:anchor="page90">
              <w:r>
                <w:rPr>
                  <w:rFonts w:ascii="Arial" w:cs="Arial" w:eastAsia="Arial" w:hAnsi="Arial"/>
                  <w:sz w:val="18"/>
                  <w:szCs w:val="18"/>
                  <w:color w:val="0000FF"/>
                  <w:w w:val="79"/>
                </w:rPr>
                <w:t>2021,</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gridSpan w:val="21"/>
          </w:tcPr>
          <w:p>
            <w:pPr>
              <w:spacing w:after="0" w:line="156" w:lineRule="exact"/>
              <w:rPr>
                <w:rFonts w:ascii="Arial" w:cs="Arial" w:eastAsia="Arial" w:hAnsi="Arial"/>
                <w:sz w:val="18"/>
                <w:szCs w:val="18"/>
                <w:color w:val="0000FF"/>
              </w:rPr>
            </w:pPr>
            <w:hyperlink w:anchor="page90">
              <w:r>
                <w:rPr>
                  <w:rFonts w:ascii="Arial" w:cs="Arial" w:eastAsia="Arial" w:hAnsi="Arial"/>
                  <w:sz w:val="18"/>
                  <w:szCs w:val="18"/>
                  <w:color w:val="0000FF"/>
                </w:rPr>
                <w:t>between Akira Takata and SiTime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restart"/>
          </w:tcPr>
          <w:p>
            <w:pPr>
              <w:ind w:left="2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24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90">
              <w:r>
                <w:rPr>
                  <w:rFonts w:ascii="Arial" w:cs="Arial" w:eastAsia="Arial" w:hAnsi="Arial"/>
                  <w:sz w:val="18"/>
                  <w:szCs w:val="18"/>
                  <w:color w:val="0000FF"/>
                </w:rPr>
                <w:t>Corporation</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40" w:type="dxa"/>
            <w:vAlign w:val="bottom"/>
            <w:tcBorders>
              <w:bottom w:val="single" w:sz="8" w:color="0000FF"/>
            </w:tcBorders>
            <w:gridSpan w:val="29"/>
          </w:tcPr>
          <w:p>
            <w:pPr>
              <w:spacing w:after="0"/>
              <w:rPr>
                <w:rFonts w:ascii="Arial" w:cs="Arial" w:eastAsia="Arial" w:hAnsi="Arial"/>
                <w:sz w:val="18"/>
                <w:szCs w:val="18"/>
                <w:color w:val="0000FF"/>
                <w:w w:val="90"/>
              </w:rPr>
            </w:pPr>
            <w:hyperlink r:id="rId346">
              <w:r>
                <w:rPr>
                  <w:rFonts w:ascii="Arial" w:cs="Arial" w:eastAsia="Arial" w:hAnsi="Arial"/>
                  <w:sz w:val="18"/>
                  <w:szCs w:val="18"/>
                  <w:color w:val="0000FF"/>
                  <w:w w:val="90"/>
                </w:rPr>
                <w:t>First Amendment to Lease, dated January</w:t>
              </w:r>
            </w:hyperlink>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040" w:type="dxa"/>
            <w:vAlign w:val="bottom"/>
            <w:tcBorders>
              <w:bottom w:val="single" w:sz="8" w:color="0000FF"/>
            </w:tcBorders>
            <w:gridSpan w:val="29"/>
          </w:tcPr>
          <w:p>
            <w:pPr>
              <w:spacing w:after="0" w:line="156" w:lineRule="exact"/>
              <w:rPr>
                <w:rFonts w:ascii="Arial" w:cs="Arial" w:eastAsia="Arial" w:hAnsi="Arial"/>
                <w:sz w:val="18"/>
                <w:szCs w:val="18"/>
                <w:color w:val="0000FF"/>
                <w:w w:val="91"/>
              </w:rPr>
            </w:pPr>
            <w:hyperlink r:id="rId346">
              <w:r>
                <w:rPr>
                  <w:rFonts w:ascii="Arial" w:cs="Arial" w:eastAsia="Arial" w:hAnsi="Arial"/>
                  <w:sz w:val="18"/>
                  <w:szCs w:val="18"/>
                  <w:color w:val="0000FF"/>
                  <w:w w:val="91"/>
                </w:rPr>
                <w:t>7, 2021, between Batton Associates, LLC</w:t>
              </w:r>
            </w:hyperlink>
          </w:p>
        </w:tc>
        <w:tc>
          <w:tcPr>
            <w:tcW w:w="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740" w:type="dxa"/>
            <w:vAlign w:val="bottom"/>
            <w:vMerge w:val="restart"/>
          </w:tcPr>
          <w:p>
            <w:pPr>
              <w:jc w:val="right"/>
              <w:ind w:right="490"/>
              <w:spacing w:after="0"/>
              <w:rPr>
                <w:sz w:val="20"/>
                <w:szCs w:val="20"/>
                <w:color w:val="auto"/>
              </w:rPr>
            </w:pPr>
            <w:r>
              <w:rPr>
                <w:rFonts w:ascii="Arial" w:cs="Arial" w:eastAsia="Arial" w:hAnsi="Arial"/>
                <w:sz w:val="18"/>
                <w:szCs w:val="18"/>
                <w:color w:val="auto"/>
              </w:rPr>
              <w:t>001-39135</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2240" w:type="dxa"/>
            <w:vAlign w:val="bottom"/>
            <w:vMerge w:val="restart"/>
          </w:tcPr>
          <w:p>
            <w:pPr>
              <w:jc w:val="center"/>
              <w:ind w:right="310"/>
              <w:spacing w:after="0"/>
              <w:rPr>
                <w:sz w:val="20"/>
                <w:szCs w:val="20"/>
                <w:color w:val="auto"/>
              </w:rPr>
            </w:pPr>
            <w:r>
              <w:rPr>
                <w:rFonts w:ascii="Arial" w:cs="Arial" w:eastAsia="Arial" w:hAnsi="Arial"/>
                <w:sz w:val="18"/>
                <w:szCs w:val="18"/>
                <w:color w:val="auto"/>
                <w:w w:val="89"/>
              </w:rPr>
              <w:t>11/4/2021</w:t>
            </w:r>
          </w:p>
        </w:tc>
        <w:tc>
          <w:tcPr>
            <w:tcW w:w="0" w:type="dxa"/>
            <w:vAlign w:val="bottom"/>
          </w:tcPr>
          <w:p>
            <w:pPr>
              <w:spacing w:after="0"/>
              <w:rPr>
                <w:sz w:val="1"/>
                <w:szCs w:val="1"/>
                <w:color w:val="auto"/>
              </w:rPr>
            </w:pPr>
          </w:p>
        </w:tc>
      </w:tr>
      <w:tr>
        <w:trPr>
          <w:trHeight w:val="156"/>
        </w:trPr>
        <w:tc>
          <w:tcPr>
            <w:tcW w:w="1740" w:type="dxa"/>
            <w:vAlign w:val="bottom"/>
            <w:tcBorders>
              <w:bottom w:val="single" w:sz="8" w:color="0000FF"/>
            </w:tcBorders>
            <w:gridSpan w:val="7"/>
          </w:tcPr>
          <w:p>
            <w:pPr>
              <w:spacing w:after="0" w:line="156" w:lineRule="exact"/>
              <w:rPr>
                <w:rFonts w:ascii="Arial" w:cs="Arial" w:eastAsia="Arial" w:hAnsi="Arial"/>
                <w:sz w:val="18"/>
                <w:szCs w:val="18"/>
                <w:color w:val="0000FF"/>
                <w:w w:val="90"/>
              </w:rPr>
            </w:pPr>
            <w:hyperlink r:id="rId346">
              <w:r>
                <w:rPr>
                  <w:rFonts w:ascii="Arial" w:cs="Arial" w:eastAsia="Arial" w:hAnsi="Arial"/>
                  <w:sz w:val="18"/>
                  <w:szCs w:val="18"/>
                  <w:color w:val="0000FF"/>
                  <w:w w:val="90"/>
                </w:rPr>
                <w:t>and SiTime Corporation</w:t>
              </w:r>
            </w:hyperlink>
          </w:p>
        </w:tc>
        <w:tc>
          <w:tcPr>
            <w:tcW w:w="20" w:type="dxa"/>
            <w:vAlign w:val="bottom"/>
            <w:tcBorders>
              <w:bottom w:val="single" w:sz="8" w:color="0000EE"/>
            </w:tcBorders>
          </w:tcPr>
          <w:p>
            <w:pPr>
              <w:spacing w:after="0"/>
              <w:rPr>
                <w:sz w:val="13"/>
                <w:szCs w:val="13"/>
                <w:color w:val="auto"/>
              </w:rPr>
            </w:pPr>
          </w:p>
        </w:tc>
        <w:tc>
          <w:tcPr>
            <w:tcW w:w="128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68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92">
              <w:r>
                <w:rPr>
                  <w:rFonts w:ascii="Arial" w:cs="Arial" w:eastAsia="Arial" w:hAnsi="Arial"/>
                  <w:sz w:val="18"/>
                  <w:szCs w:val="18"/>
                  <w:color w:val="0000FF"/>
                  <w:w w:val="90"/>
                </w:rPr>
                <w:t>Letter Agreement, dated October 18,</w:t>
              </w:r>
            </w:hyperlink>
          </w:p>
        </w:tc>
        <w:tc>
          <w:tcPr>
            <w:tcW w:w="36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040" w:type="dxa"/>
            <w:vAlign w:val="bottom"/>
            <w:tcBorders>
              <w:bottom w:val="single" w:sz="8" w:color="0000FF"/>
            </w:tcBorders>
            <w:gridSpan w:val="29"/>
          </w:tcPr>
          <w:p>
            <w:pPr>
              <w:spacing w:after="0" w:line="156"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2021, between Rajesh Vashist and SiTime</w:t>
              </w:r>
            </w:hyperlink>
          </w:p>
        </w:tc>
        <w:tc>
          <w:tcPr>
            <w:tcW w:w="20" w:type="dxa"/>
            <w:vAlign w:val="bottom"/>
            <w:tcBorders>
              <w:bottom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restart"/>
          </w:tcPr>
          <w:p>
            <w:pPr>
              <w:ind w:left="2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3040" w:type="dxa"/>
            <w:vAlign w:val="bottom"/>
            <w:gridSpan w:val="29"/>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Corporation</w:t>
              </w:r>
            </w:hyperlink>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820" w:type="dxa"/>
            <w:vAlign w:val="bottom"/>
            <w:tcBorders>
              <w:bottom w:val="single" w:sz="8" w:color="0000FF"/>
            </w:tcBorders>
            <w:gridSpan w:val="20"/>
          </w:tcPr>
          <w:p>
            <w:pPr>
              <w:spacing w:after="0"/>
              <w:rPr>
                <w:rFonts w:ascii="Arial" w:cs="Arial" w:eastAsia="Arial" w:hAnsi="Arial"/>
                <w:sz w:val="18"/>
                <w:szCs w:val="18"/>
                <w:color w:val="0000FF"/>
                <w:w w:val="93"/>
              </w:rPr>
            </w:pPr>
            <w:hyperlink w:anchor="page96">
              <w:r>
                <w:rPr>
                  <w:rFonts w:ascii="Arial" w:cs="Arial" w:eastAsia="Arial" w:hAnsi="Arial"/>
                  <w:sz w:val="18"/>
                  <w:szCs w:val="18"/>
                  <w:color w:val="0000FF"/>
                  <w:w w:val="93"/>
                </w:rPr>
                <w:t>SiTime Corporation 2022 Inducement</w:t>
              </w:r>
            </w:hyperlink>
          </w:p>
        </w:tc>
        <w:tc>
          <w:tcPr>
            <w:tcW w:w="2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40" w:type="dxa"/>
            <w:vAlign w:val="bottom"/>
            <w:tcBorders>
              <w:bottom w:val="single" w:sz="8" w:color="0000FF"/>
            </w:tcBorders>
            <w:gridSpan w:val="29"/>
          </w:tcPr>
          <w:p>
            <w:pPr>
              <w:spacing w:after="0" w:line="156" w:lineRule="exact"/>
              <w:rPr>
                <w:rFonts w:ascii="Arial" w:cs="Arial" w:eastAsia="Arial" w:hAnsi="Arial"/>
                <w:sz w:val="18"/>
                <w:szCs w:val="18"/>
                <w:color w:val="0000FF"/>
                <w:w w:val="91"/>
              </w:rPr>
            </w:pPr>
            <w:hyperlink w:anchor="page96">
              <w:r>
                <w:rPr>
                  <w:rFonts w:ascii="Arial" w:cs="Arial" w:eastAsia="Arial" w:hAnsi="Arial"/>
                  <w:sz w:val="18"/>
                  <w:szCs w:val="18"/>
                  <w:color w:val="0000FF"/>
                  <w:w w:val="91"/>
                </w:rPr>
                <w:t>Award Plan and Form of Restricted Stock</w:t>
              </w:r>
            </w:hyperlink>
          </w:p>
        </w:tc>
        <w:tc>
          <w:tcPr>
            <w:tcW w:w="20" w:type="dxa"/>
            <w:vAlign w:val="bottom"/>
            <w:tcBorders>
              <w:bottom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restart"/>
          </w:tcPr>
          <w:p>
            <w:pPr>
              <w:ind w:left="2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3040" w:type="dxa"/>
            <w:vAlign w:val="bottom"/>
            <w:gridSpan w:val="29"/>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Unit Agreement</w:t>
              </w:r>
            </w:hyperlink>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8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130">
              <w:r>
                <w:rPr>
                  <w:rFonts w:ascii="Arial" w:cs="Arial" w:eastAsia="Arial" w:hAnsi="Arial"/>
                  <w:sz w:val="18"/>
                  <w:szCs w:val="18"/>
                  <w:color w:val="0000FF"/>
                  <w:w w:val="89"/>
                </w:rPr>
                <w:t>Subsidiaries of the Company</w:t>
              </w:r>
            </w:hyperlink>
          </w:p>
        </w:tc>
        <w:tc>
          <w:tcPr>
            <w:tcW w:w="96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ind w:left="2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91"/>
        </w:trPr>
        <w:tc>
          <w:tcPr>
            <w:tcW w:w="3040" w:type="dxa"/>
            <w:vAlign w:val="bottom"/>
            <w:gridSpan w:val="29"/>
          </w:tcPr>
          <w:p>
            <w:pPr>
              <w:spacing w:after="0"/>
              <w:rPr>
                <w:rFonts w:ascii="Arial" w:cs="Arial" w:eastAsia="Arial" w:hAnsi="Arial"/>
                <w:sz w:val="18"/>
                <w:szCs w:val="18"/>
                <w:color w:val="0000FF"/>
                <w:w w:val="92"/>
              </w:rPr>
            </w:pPr>
            <w:hyperlink w:anchor="page131">
              <w:r>
                <w:rPr>
                  <w:rFonts w:ascii="Arial" w:cs="Arial" w:eastAsia="Arial" w:hAnsi="Arial"/>
                  <w:sz w:val="18"/>
                  <w:szCs w:val="18"/>
                  <w:color w:val="0000FF"/>
                  <w:w w:val="92"/>
                </w:rPr>
                <w:t>Consent of BDO USA, LLP, Independent</w:t>
              </w:r>
            </w:hyperlink>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vMerge w:val="restart"/>
          </w:tcPr>
          <w:p>
            <w:pPr>
              <w:ind w:left="2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30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31">
              <w:r>
                <w:rPr>
                  <w:rFonts w:ascii="Arial" w:cs="Arial" w:eastAsia="Arial" w:hAnsi="Arial"/>
                  <w:sz w:val="18"/>
                  <w:szCs w:val="18"/>
                  <w:color w:val="0000FF"/>
                </w:rPr>
                <w:t>Registered Public Accounting Firm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40" w:type="dxa"/>
            <w:vAlign w:val="bottom"/>
            <w:gridSpan w:val="29"/>
          </w:tcPr>
          <w:p>
            <w:pPr>
              <w:spacing w:after="0"/>
              <w:rPr>
                <w:rFonts w:ascii="Arial" w:cs="Arial" w:eastAsia="Arial" w:hAnsi="Arial"/>
                <w:sz w:val="18"/>
                <w:szCs w:val="18"/>
                <w:color w:val="0000FF"/>
                <w:w w:val="98"/>
              </w:rPr>
            </w:pPr>
            <w:hyperlink w:anchor="page89">
              <w:r>
                <w:rPr>
                  <w:rFonts w:ascii="Arial" w:cs="Arial" w:eastAsia="Arial" w:hAnsi="Arial"/>
                  <w:sz w:val="18"/>
                  <w:szCs w:val="18"/>
                  <w:color w:val="0000FF"/>
                  <w:w w:val="98"/>
                </w:rPr>
                <w:t>Power of Attorney (see signature page</w:t>
              </w:r>
            </w:hyperlink>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vMerge w:val="restart"/>
          </w:tcPr>
          <w:p>
            <w:pPr>
              <w:ind w:left="2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28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89">
              <w:r>
                <w:rPr>
                  <w:rFonts w:ascii="Arial" w:cs="Arial" w:eastAsia="Arial" w:hAnsi="Arial"/>
                  <w:sz w:val="18"/>
                  <w:szCs w:val="18"/>
                  <w:color w:val="0000FF"/>
                </w:rPr>
                <w:t>hereto)</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040" w:type="dxa"/>
            <w:vAlign w:val="bottom"/>
            <w:gridSpan w:val="29"/>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Certification of Principal Executive</w:t>
              </w:r>
            </w:hyperlink>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00" w:type="dxa"/>
            <w:vAlign w:val="bottom"/>
            <w:tcBorders>
              <w:top w:val="single" w:sz="8" w:color="0000FF"/>
            </w:tcBorders>
            <w:gridSpan w:val="14"/>
          </w:tcPr>
          <w:p>
            <w:pPr>
              <w:spacing w:after="0" w:line="156" w:lineRule="exact"/>
              <w:rPr>
                <w:rFonts w:ascii="Arial" w:cs="Arial" w:eastAsia="Arial" w:hAnsi="Arial"/>
                <w:sz w:val="18"/>
                <w:szCs w:val="18"/>
                <w:color w:val="0000FF"/>
                <w:w w:val="90"/>
              </w:rPr>
            </w:pPr>
            <w:hyperlink w:anchor="page132">
              <w:r>
                <w:rPr>
                  <w:rFonts w:ascii="Arial" w:cs="Arial" w:eastAsia="Arial" w:hAnsi="Arial"/>
                  <w:sz w:val="18"/>
                  <w:szCs w:val="18"/>
                  <w:color w:val="0000FF"/>
                  <w:w w:val="90"/>
                </w:rPr>
                <w:t>Officer Pursuant to Rules 13a-14(a)</w:t>
              </w:r>
            </w:hyperlink>
          </w:p>
        </w:tc>
        <w:tc>
          <w:tcPr>
            <w:tcW w:w="440" w:type="dxa"/>
            <w:vAlign w:val="bottom"/>
            <w:gridSpan w:val="15"/>
          </w:tcPr>
          <w:p>
            <w:pPr>
              <w:ind w:left="20"/>
              <w:spacing w:after="0" w:line="156" w:lineRule="exact"/>
              <w:rPr>
                <w:rFonts w:ascii="Arial" w:cs="Arial" w:eastAsia="Arial" w:hAnsi="Arial"/>
                <w:sz w:val="18"/>
                <w:szCs w:val="18"/>
                <w:color w:val="0000FF"/>
              </w:rPr>
            </w:pPr>
            <w:hyperlink w:anchor="page132">
              <w:r>
                <w:rPr>
                  <w:rFonts w:ascii="Arial" w:cs="Arial" w:eastAsia="Arial" w:hAnsi="Arial"/>
                  <w:sz w:val="18"/>
                  <w:szCs w:val="18"/>
                  <w:color w:val="0000FF"/>
                </w:rPr>
                <w:t>and</w:t>
              </w:r>
            </w:hyperlink>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w:anchor="page132">
              <w:r>
                <w:rPr>
                  <w:rFonts w:ascii="Arial" w:cs="Arial" w:eastAsia="Arial" w:hAnsi="Arial"/>
                  <w:sz w:val="18"/>
                  <w:szCs w:val="18"/>
                  <w:color w:val="0000FF"/>
                  <w:w w:val="90"/>
                </w:rPr>
                <w:t>15d-14(a) under the Exchange Act, as</w:t>
              </w:r>
            </w:hyperlink>
          </w:p>
        </w:tc>
        <w:tc>
          <w:tcPr>
            <w:tcW w:w="140" w:type="dxa"/>
            <w:vAlign w:val="bottom"/>
            <w:tcBorders>
              <w:top w:val="single" w:sz="8" w:color="0000FF"/>
            </w:tcBorders>
            <w:gridSpan w:val="7"/>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gridSpan w:val="29"/>
          </w:tcPr>
          <w:p>
            <w:pPr>
              <w:spacing w:after="0" w:line="156" w:lineRule="exact"/>
              <w:rPr>
                <w:rFonts w:ascii="Arial" w:cs="Arial" w:eastAsia="Arial" w:hAnsi="Arial"/>
                <w:sz w:val="18"/>
                <w:szCs w:val="18"/>
                <w:color w:val="0000FF"/>
                <w:w w:val="96"/>
              </w:rPr>
            </w:pPr>
            <w:hyperlink w:anchor="page132">
              <w:r>
                <w:rPr>
                  <w:rFonts w:ascii="Arial" w:cs="Arial" w:eastAsia="Arial" w:hAnsi="Arial"/>
                  <w:sz w:val="18"/>
                  <w:szCs w:val="18"/>
                  <w:color w:val="0000FF"/>
                  <w:w w:val="96"/>
                </w:rPr>
                <w:t>Adopted Pursuant to Section 302 of the</w:t>
              </w:r>
            </w:hyperlink>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restart"/>
          </w:tcPr>
          <w:p>
            <w:pPr>
              <w:ind w:left="2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29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132">
              <w:r>
                <w:rPr>
                  <w:rFonts w:ascii="Arial" w:cs="Arial" w:eastAsia="Arial" w:hAnsi="Arial"/>
                  <w:sz w:val="18"/>
                  <w:szCs w:val="18"/>
                  <w:color w:val="0000FF"/>
                </w:rPr>
                <w:t>Sarbanes-Oxley Act of 2002</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jc w:val="right"/>
              <w:ind w:right="1190"/>
              <w:spacing w:after="0"/>
              <w:rPr>
                <w:sz w:val="20"/>
                <w:szCs w:val="20"/>
                <w:color w:val="auto"/>
              </w:rPr>
            </w:pPr>
            <w:r>
              <w:rPr>
                <w:rFonts w:ascii="Arial" w:cs="Arial" w:eastAsia="Arial" w:hAnsi="Arial"/>
                <w:sz w:val="18"/>
                <w:szCs w:val="18"/>
                <w:color w:val="auto"/>
              </w:rPr>
              <w:t>85</w:t>
            </w: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46990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 w:space="420"/>
            <w:col w:w="9620"/>
          </w:cols>
          <w:pgMar w:left="600" w:top="297" w:right="759" w:bottom="1440" w:gutter="0" w:footer="0" w:header="0"/>
        </w:sectPr>
      </w:pPr>
    </w:p>
    <w:bookmarkStart w:id="86" w:name="page87"/>
    <w:bookmarkEnd w:id="86"/>
    <w:tbl>
      <w:tblPr>
        <w:tblLayout w:type="fixed"/>
        <w:tblInd w:w="2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040" w:type="dxa"/>
            <w:vAlign w:val="bottom"/>
            <w:gridSpan w:val="8"/>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Certification of Principal Financial</w:t>
              </w:r>
            </w:hyperlink>
          </w:p>
        </w:tc>
        <w:tc>
          <w:tcPr>
            <w:tcW w:w="6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85"/>
              </w:rPr>
              <w:t>31.2</w:t>
            </w:r>
          </w:p>
        </w:tc>
        <w:tc>
          <w:tcPr>
            <w:tcW w:w="2560" w:type="dxa"/>
            <w:vAlign w:val="bottom"/>
            <w:tcBorders>
              <w:top w:val="single" w:sz="8" w:color="0000FF"/>
            </w:tcBorders>
            <w:gridSpan w:val="3"/>
          </w:tcPr>
          <w:p>
            <w:pPr>
              <w:spacing w:after="0" w:line="156" w:lineRule="exact"/>
              <w:rPr>
                <w:rFonts w:ascii="Arial" w:cs="Arial" w:eastAsia="Arial" w:hAnsi="Arial"/>
                <w:sz w:val="18"/>
                <w:szCs w:val="18"/>
                <w:color w:val="0000FF"/>
                <w:w w:val="89"/>
              </w:rPr>
            </w:pPr>
            <w:hyperlink w:anchor="page133">
              <w:r>
                <w:rPr>
                  <w:rFonts w:ascii="Arial" w:cs="Arial" w:eastAsia="Arial" w:hAnsi="Arial"/>
                  <w:sz w:val="18"/>
                  <w:szCs w:val="18"/>
                  <w:color w:val="0000FF"/>
                  <w:w w:val="89"/>
                </w:rPr>
                <w:t>Officer Pursuant to Rules 13a-14(a)</w:t>
              </w:r>
            </w:hyperlink>
          </w:p>
        </w:tc>
        <w:tc>
          <w:tcPr>
            <w:tcW w:w="40" w:type="dxa"/>
            <w:vAlign w:val="bottom"/>
          </w:tcPr>
          <w:p>
            <w:pPr>
              <w:spacing w:after="0"/>
              <w:rPr>
                <w:sz w:val="13"/>
                <w:szCs w:val="13"/>
                <w:color w:val="auto"/>
              </w:rPr>
            </w:pPr>
          </w:p>
        </w:tc>
        <w:tc>
          <w:tcPr>
            <w:tcW w:w="440" w:type="dxa"/>
            <w:vAlign w:val="bottom"/>
            <w:gridSpan w:val="4"/>
          </w:tcPr>
          <w:p>
            <w:pPr>
              <w:ind w:left="20"/>
              <w:spacing w:after="0" w:line="156" w:lineRule="exact"/>
              <w:rPr>
                <w:rFonts w:ascii="Arial" w:cs="Arial" w:eastAsia="Arial" w:hAnsi="Arial"/>
                <w:sz w:val="18"/>
                <w:szCs w:val="18"/>
                <w:color w:val="0000FF"/>
              </w:rPr>
            </w:pPr>
            <w:hyperlink w:anchor="page133">
              <w:r>
                <w:rPr>
                  <w:rFonts w:ascii="Arial" w:cs="Arial" w:eastAsia="Arial" w:hAnsi="Arial"/>
                  <w:sz w:val="18"/>
                  <w:szCs w:val="18"/>
                  <w:color w:val="0000FF"/>
                </w:rPr>
                <w:t>and</w:t>
              </w:r>
            </w:hyperlink>
          </w:p>
        </w:tc>
        <w:tc>
          <w:tcPr>
            <w:tcW w:w="6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27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133">
              <w:r>
                <w:rPr>
                  <w:rFonts w:ascii="Arial" w:cs="Arial" w:eastAsia="Arial" w:hAnsi="Arial"/>
                  <w:sz w:val="18"/>
                  <w:szCs w:val="18"/>
                  <w:color w:val="0000FF"/>
                  <w:w w:val="90"/>
                </w:rPr>
                <w:t>15d-14(a) under the Exchange Act, as</w:t>
              </w:r>
            </w:hyperlink>
          </w:p>
        </w:tc>
        <w:tc>
          <w:tcPr>
            <w:tcW w:w="16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040" w:type="dxa"/>
            <w:vAlign w:val="bottom"/>
            <w:gridSpan w:val="8"/>
          </w:tcPr>
          <w:p>
            <w:pPr>
              <w:spacing w:after="0" w:line="156" w:lineRule="exact"/>
              <w:rPr>
                <w:rFonts w:ascii="Arial" w:cs="Arial" w:eastAsia="Arial" w:hAnsi="Arial"/>
                <w:sz w:val="18"/>
                <w:szCs w:val="18"/>
                <w:color w:val="0000FF"/>
                <w:w w:val="96"/>
              </w:rPr>
            </w:pPr>
            <w:hyperlink w:anchor="page133">
              <w:r>
                <w:rPr>
                  <w:rFonts w:ascii="Arial" w:cs="Arial" w:eastAsia="Arial" w:hAnsi="Arial"/>
                  <w:sz w:val="18"/>
                  <w:szCs w:val="18"/>
                  <w:color w:val="0000FF"/>
                  <w:w w:val="96"/>
                </w:rPr>
                <w:t>Adopted Pursuant to Section 302 of the</w:t>
              </w:r>
            </w:hyperlink>
          </w:p>
        </w:tc>
        <w:tc>
          <w:tcPr>
            <w:tcW w:w="6580" w:type="dxa"/>
            <w:vAlign w:val="bottom"/>
            <w:vMerge w:val="restart"/>
          </w:tcPr>
          <w:p>
            <w:pPr>
              <w:ind w:left="64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8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33">
              <w:r>
                <w:rPr>
                  <w:rFonts w:ascii="Arial" w:cs="Arial" w:eastAsia="Arial" w:hAnsi="Arial"/>
                  <w:sz w:val="18"/>
                  <w:szCs w:val="18"/>
                  <w:color w:val="0000FF"/>
                </w:rPr>
                <w:t>Sarbanes-Oxley Act of 2002</w:t>
              </w:r>
            </w:hyperlink>
          </w:p>
        </w:tc>
        <w:tc>
          <w:tcPr>
            <w:tcW w:w="160" w:type="dxa"/>
            <w:vAlign w:val="bottom"/>
            <w:gridSpan w:val="2"/>
          </w:tcPr>
          <w:p>
            <w:pPr>
              <w:spacing w:after="0"/>
              <w:rPr>
                <w:sz w:val="13"/>
                <w:szCs w:val="13"/>
                <w:color w:val="auto"/>
              </w:rPr>
            </w:pPr>
          </w:p>
        </w:tc>
        <w:tc>
          <w:tcPr>
            <w:tcW w:w="6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spacing w:after="0"/>
              <w:rPr>
                <w:sz w:val="24"/>
                <w:szCs w:val="24"/>
                <w:color w:val="auto"/>
              </w:rPr>
            </w:pPr>
          </w:p>
        </w:tc>
        <w:tc>
          <w:tcPr>
            <w:tcW w:w="3040" w:type="dxa"/>
            <w:vAlign w:val="bottom"/>
            <w:gridSpan w:val="8"/>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Certification of Principal Executive</w:t>
              </w:r>
            </w:hyperlink>
          </w:p>
        </w:tc>
        <w:tc>
          <w:tcPr>
            <w:tcW w:w="6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93"/>
              </w:rPr>
              <w:t>32.1#</w:t>
            </w:r>
          </w:p>
        </w:tc>
        <w:tc>
          <w:tcPr>
            <w:tcW w:w="26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6"/>
              </w:rPr>
            </w:pPr>
            <w:hyperlink w:anchor="page134">
              <w:r>
                <w:rPr>
                  <w:rFonts w:ascii="Arial" w:cs="Arial" w:eastAsia="Arial" w:hAnsi="Arial"/>
                  <w:sz w:val="18"/>
                  <w:szCs w:val="18"/>
                  <w:color w:val="0000FF"/>
                  <w:w w:val="86"/>
                </w:rPr>
                <w:t>Officer Pursuant to 18 U.S.C. Section</w:t>
              </w:r>
            </w:hyperlink>
          </w:p>
        </w:tc>
        <w:tc>
          <w:tcPr>
            <w:tcW w:w="160" w:type="dxa"/>
            <w:vAlign w:val="bottom"/>
            <w:tcBorders>
              <w:bottom w:val="single" w:sz="8" w:color="0000FF"/>
            </w:tcBorders>
          </w:tcPr>
          <w:p>
            <w:pPr>
              <w:spacing w:after="0"/>
              <w:rPr>
                <w:sz w:val="13"/>
                <w:szCs w:val="13"/>
                <w:color w:val="auto"/>
              </w:rPr>
            </w:pPr>
          </w:p>
        </w:tc>
        <w:tc>
          <w:tcPr>
            <w:tcW w:w="280" w:type="dxa"/>
            <w:vAlign w:val="bottom"/>
            <w:gridSpan w:val="3"/>
          </w:tcPr>
          <w:p>
            <w:pPr>
              <w:spacing w:after="0"/>
              <w:rPr>
                <w:sz w:val="13"/>
                <w:szCs w:val="13"/>
                <w:color w:val="auto"/>
              </w:rPr>
            </w:pPr>
          </w:p>
        </w:tc>
        <w:tc>
          <w:tcPr>
            <w:tcW w:w="6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000" w:type="dxa"/>
            <w:vAlign w:val="bottom"/>
            <w:vMerge w:val="continue"/>
          </w:tcPr>
          <w:p>
            <w:pPr>
              <w:spacing w:after="0"/>
              <w:rPr>
                <w:sz w:val="8"/>
                <w:szCs w:val="8"/>
                <w:color w:val="auto"/>
              </w:rPr>
            </w:pPr>
          </w:p>
        </w:tc>
        <w:tc>
          <w:tcPr>
            <w:tcW w:w="3040" w:type="dxa"/>
            <w:vAlign w:val="bottom"/>
            <w:gridSpan w:val="8"/>
            <w:vMerge w:val="restart"/>
          </w:tcPr>
          <w:p>
            <w:pPr>
              <w:spacing w:after="0" w:line="156" w:lineRule="exact"/>
              <w:rPr>
                <w:rFonts w:ascii="Arial" w:cs="Arial" w:eastAsia="Arial" w:hAnsi="Arial"/>
                <w:sz w:val="18"/>
                <w:szCs w:val="18"/>
                <w:color w:val="0000FF"/>
                <w:w w:val="89"/>
              </w:rPr>
            </w:pPr>
            <w:hyperlink w:anchor="page134">
              <w:r>
                <w:rPr>
                  <w:rFonts w:ascii="Arial" w:cs="Arial" w:eastAsia="Arial" w:hAnsi="Arial"/>
                  <w:sz w:val="18"/>
                  <w:szCs w:val="18"/>
                  <w:color w:val="0000FF"/>
                  <w:w w:val="89"/>
                </w:rPr>
                <w:t>1350, as Adopted Pursuant to Section 906</w:t>
              </w:r>
            </w:hyperlink>
          </w:p>
        </w:tc>
        <w:tc>
          <w:tcPr>
            <w:tcW w:w="6580" w:type="dxa"/>
            <w:vAlign w:val="bottom"/>
            <w:vMerge w:val="restart"/>
          </w:tcPr>
          <w:p>
            <w:pPr>
              <w:ind w:left="64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9"/>
        </w:trPr>
        <w:tc>
          <w:tcPr>
            <w:tcW w:w="1000" w:type="dxa"/>
            <w:vAlign w:val="bottom"/>
          </w:tcPr>
          <w:p>
            <w:pPr>
              <w:spacing w:after="0"/>
              <w:rPr>
                <w:sz w:val="4"/>
                <w:szCs w:val="4"/>
                <w:color w:val="auto"/>
              </w:rPr>
            </w:pPr>
          </w:p>
        </w:tc>
        <w:tc>
          <w:tcPr>
            <w:tcW w:w="3040" w:type="dxa"/>
            <w:vAlign w:val="bottom"/>
            <w:tcBorders>
              <w:bottom w:val="single" w:sz="8" w:color="0000FF"/>
            </w:tcBorders>
            <w:gridSpan w:val="8"/>
            <w:vMerge w:val="continue"/>
          </w:tcPr>
          <w:p>
            <w:pPr>
              <w:spacing w:after="0"/>
              <w:rPr>
                <w:sz w:val="4"/>
                <w:szCs w:val="4"/>
                <w:color w:val="auto"/>
              </w:rPr>
            </w:pPr>
          </w:p>
        </w:tc>
        <w:tc>
          <w:tcPr>
            <w:tcW w:w="6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040" w:type="dxa"/>
            <w:vAlign w:val="bottom"/>
            <w:gridSpan w:val="8"/>
          </w:tcPr>
          <w:p>
            <w:pPr>
              <w:spacing w:after="0" w:line="156" w:lineRule="exact"/>
              <w:rPr>
                <w:rFonts w:ascii="Arial" w:cs="Arial" w:eastAsia="Arial" w:hAnsi="Arial"/>
                <w:sz w:val="18"/>
                <w:szCs w:val="18"/>
                <w:color w:val="0000FF"/>
              </w:rPr>
            </w:pPr>
            <w:hyperlink w:anchor="page134">
              <w:r>
                <w:rPr>
                  <w:rFonts w:ascii="Arial" w:cs="Arial" w:eastAsia="Arial" w:hAnsi="Arial"/>
                  <w:sz w:val="18"/>
                  <w:szCs w:val="18"/>
                  <w:color w:val="0000FF"/>
                </w:rPr>
                <w:t>of the Sarbanes-Oxley Act of 2002</w:t>
              </w:r>
            </w:hyperlink>
          </w:p>
        </w:tc>
        <w:tc>
          <w:tcPr>
            <w:tcW w:w="6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560" w:type="dxa"/>
            <w:vAlign w:val="bottom"/>
            <w:tcBorders>
              <w:bottom w:val="single" w:sz="8" w:color="0000FF"/>
            </w:tcBorders>
            <w:gridSpan w:val="3"/>
          </w:tcPr>
          <w:p>
            <w:pPr>
              <w:spacing w:after="0"/>
              <w:rPr>
                <w:rFonts w:ascii="Arial" w:cs="Arial" w:eastAsia="Arial" w:hAnsi="Arial"/>
                <w:sz w:val="18"/>
                <w:szCs w:val="18"/>
                <w:color w:val="0000FF"/>
                <w:w w:val="95"/>
              </w:rPr>
            </w:pPr>
            <w:hyperlink w:anchor="page135">
              <w:r>
                <w:rPr>
                  <w:rFonts w:ascii="Arial" w:cs="Arial" w:eastAsia="Arial" w:hAnsi="Arial"/>
                  <w:sz w:val="18"/>
                  <w:szCs w:val="18"/>
                  <w:color w:val="0000FF"/>
                  <w:w w:val="95"/>
                </w:rPr>
                <w:t>Certification of Principal Financial</w:t>
              </w:r>
            </w:hyperlink>
          </w:p>
        </w:tc>
        <w:tc>
          <w:tcPr>
            <w:tcW w:w="480" w:type="dxa"/>
            <w:vAlign w:val="bottom"/>
            <w:gridSpan w:val="5"/>
          </w:tcPr>
          <w:p>
            <w:pPr>
              <w:spacing w:after="0"/>
              <w:rPr>
                <w:sz w:val="24"/>
                <w:szCs w:val="24"/>
                <w:color w:val="auto"/>
              </w:rPr>
            </w:pPr>
          </w:p>
        </w:tc>
        <w:tc>
          <w:tcPr>
            <w:tcW w:w="6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93"/>
              </w:rPr>
              <w:t>32.2#</w:t>
            </w:r>
          </w:p>
        </w:tc>
        <w:tc>
          <w:tcPr>
            <w:tcW w:w="276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w:anchor="page135">
              <w:r>
                <w:rPr>
                  <w:rFonts w:ascii="Arial" w:cs="Arial" w:eastAsia="Arial" w:hAnsi="Arial"/>
                  <w:sz w:val="18"/>
                  <w:szCs w:val="18"/>
                  <w:color w:val="0000FF"/>
                  <w:w w:val="91"/>
                </w:rPr>
                <w:t>Officer Pursuant to 18 U.S.C. Section</w:t>
              </w:r>
            </w:hyperlink>
          </w:p>
        </w:tc>
        <w:tc>
          <w:tcPr>
            <w:tcW w:w="280" w:type="dxa"/>
            <w:vAlign w:val="bottom"/>
            <w:gridSpan w:val="3"/>
          </w:tcPr>
          <w:p>
            <w:pPr>
              <w:spacing w:after="0"/>
              <w:rPr>
                <w:sz w:val="13"/>
                <w:szCs w:val="13"/>
                <w:color w:val="auto"/>
              </w:rPr>
            </w:pPr>
          </w:p>
        </w:tc>
        <w:tc>
          <w:tcPr>
            <w:tcW w:w="6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000" w:type="dxa"/>
            <w:vAlign w:val="bottom"/>
            <w:vMerge w:val="continue"/>
          </w:tcPr>
          <w:p>
            <w:pPr>
              <w:spacing w:after="0"/>
              <w:rPr>
                <w:sz w:val="8"/>
                <w:szCs w:val="8"/>
                <w:color w:val="auto"/>
              </w:rPr>
            </w:pPr>
          </w:p>
        </w:tc>
        <w:tc>
          <w:tcPr>
            <w:tcW w:w="3040" w:type="dxa"/>
            <w:vAlign w:val="bottom"/>
            <w:gridSpan w:val="8"/>
            <w:vMerge w:val="restart"/>
          </w:tcPr>
          <w:p>
            <w:pPr>
              <w:spacing w:after="0" w:line="156" w:lineRule="exact"/>
              <w:rPr>
                <w:rFonts w:ascii="Arial" w:cs="Arial" w:eastAsia="Arial" w:hAnsi="Arial"/>
                <w:sz w:val="18"/>
                <w:szCs w:val="18"/>
                <w:color w:val="0000FF"/>
                <w:w w:val="89"/>
              </w:rPr>
            </w:pPr>
            <w:hyperlink w:anchor="page135">
              <w:r>
                <w:rPr>
                  <w:rFonts w:ascii="Arial" w:cs="Arial" w:eastAsia="Arial" w:hAnsi="Arial"/>
                  <w:sz w:val="18"/>
                  <w:szCs w:val="18"/>
                  <w:color w:val="0000FF"/>
                  <w:w w:val="89"/>
                </w:rPr>
                <w:t>1350, as Adopted Pursuant to Section 906</w:t>
              </w:r>
            </w:hyperlink>
          </w:p>
        </w:tc>
        <w:tc>
          <w:tcPr>
            <w:tcW w:w="6580" w:type="dxa"/>
            <w:vAlign w:val="bottom"/>
            <w:vMerge w:val="restart"/>
          </w:tcPr>
          <w:p>
            <w:pPr>
              <w:ind w:left="64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9"/>
        </w:trPr>
        <w:tc>
          <w:tcPr>
            <w:tcW w:w="1000" w:type="dxa"/>
            <w:vAlign w:val="bottom"/>
          </w:tcPr>
          <w:p>
            <w:pPr>
              <w:spacing w:after="0"/>
              <w:rPr>
                <w:sz w:val="4"/>
                <w:szCs w:val="4"/>
                <w:color w:val="auto"/>
              </w:rPr>
            </w:pPr>
          </w:p>
        </w:tc>
        <w:tc>
          <w:tcPr>
            <w:tcW w:w="3040" w:type="dxa"/>
            <w:vAlign w:val="bottom"/>
            <w:tcBorders>
              <w:bottom w:val="single" w:sz="8" w:color="0000FF"/>
            </w:tcBorders>
            <w:gridSpan w:val="8"/>
            <w:vMerge w:val="continue"/>
          </w:tcPr>
          <w:p>
            <w:pPr>
              <w:spacing w:after="0"/>
              <w:rPr>
                <w:sz w:val="4"/>
                <w:szCs w:val="4"/>
                <w:color w:val="auto"/>
              </w:rPr>
            </w:pPr>
          </w:p>
        </w:tc>
        <w:tc>
          <w:tcPr>
            <w:tcW w:w="6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040" w:type="dxa"/>
            <w:vAlign w:val="bottom"/>
            <w:gridSpan w:val="8"/>
          </w:tcPr>
          <w:p>
            <w:pPr>
              <w:spacing w:after="0" w:line="156" w:lineRule="exact"/>
              <w:rPr>
                <w:rFonts w:ascii="Arial" w:cs="Arial" w:eastAsia="Arial" w:hAnsi="Arial"/>
                <w:sz w:val="18"/>
                <w:szCs w:val="18"/>
                <w:color w:val="0000FF"/>
              </w:rPr>
            </w:pPr>
            <w:hyperlink w:anchor="page135">
              <w:r>
                <w:rPr>
                  <w:rFonts w:ascii="Arial" w:cs="Arial" w:eastAsia="Arial" w:hAnsi="Arial"/>
                  <w:sz w:val="18"/>
                  <w:szCs w:val="18"/>
                  <w:color w:val="0000FF"/>
                </w:rPr>
                <w:t>of the Sarbanes-Oxley Act of 2002</w:t>
              </w:r>
            </w:hyperlink>
          </w:p>
        </w:tc>
        <w:tc>
          <w:tcPr>
            <w:tcW w:w="6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5"/>
              </w:rPr>
              <w:t>101.INS</w:t>
            </w:r>
          </w:p>
        </w:tc>
        <w:tc>
          <w:tcPr>
            <w:tcW w:w="2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520" w:type="dxa"/>
            <w:vAlign w:val="bottom"/>
            <w:gridSpan w:val="6"/>
          </w:tcPr>
          <w:p>
            <w:pPr>
              <w:spacing w:after="0"/>
              <w:rPr>
                <w:sz w:val="24"/>
                <w:szCs w:val="24"/>
                <w:color w:val="auto"/>
              </w:rPr>
            </w:pPr>
          </w:p>
        </w:tc>
        <w:tc>
          <w:tcPr>
            <w:tcW w:w="6580" w:type="dxa"/>
            <w:vAlign w:val="bottom"/>
          </w:tcPr>
          <w:p>
            <w:pPr>
              <w:ind w:left="64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90"/>
              </w:rPr>
              <w:t>101.SCH</w:t>
            </w:r>
          </w:p>
        </w:tc>
        <w:tc>
          <w:tcPr>
            <w:tcW w:w="3040" w:type="dxa"/>
            <w:vAlign w:val="bottom"/>
            <w:gridSpan w:val="8"/>
          </w:tcPr>
          <w:p>
            <w:pPr>
              <w:spacing w:after="0" w:line="176" w:lineRule="exact"/>
              <w:rPr>
                <w:sz w:val="20"/>
                <w:szCs w:val="20"/>
                <w:color w:val="auto"/>
              </w:rPr>
            </w:pPr>
            <w:r>
              <w:rPr>
                <w:rFonts w:ascii="Arial" w:cs="Arial" w:eastAsia="Arial" w:hAnsi="Arial"/>
                <w:sz w:val="18"/>
                <w:szCs w:val="18"/>
                <w:color w:val="auto"/>
              </w:rPr>
              <w:t>XBRL Taxonomy Extension Schema</w:t>
            </w:r>
          </w:p>
        </w:tc>
        <w:tc>
          <w:tcPr>
            <w:tcW w:w="6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3040" w:type="dxa"/>
            <w:vAlign w:val="bottom"/>
            <w:gridSpan w:val="8"/>
            <w:vMerge w:val="restart"/>
          </w:tcPr>
          <w:p>
            <w:pPr>
              <w:spacing w:after="0" w:line="189" w:lineRule="exact"/>
              <w:rPr>
                <w:sz w:val="20"/>
                <w:szCs w:val="20"/>
                <w:color w:val="auto"/>
              </w:rPr>
            </w:pPr>
            <w:r>
              <w:rPr>
                <w:rFonts w:ascii="Arial" w:cs="Arial" w:eastAsia="Arial" w:hAnsi="Arial"/>
                <w:sz w:val="18"/>
                <w:szCs w:val="18"/>
                <w:color w:val="auto"/>
              </w:rPr>
              <w:t>Document</w:t>
            </w:r>
          </w:p>
        </w:tc>
        <w:tc>
          <w:tcPr>
            <w:tcW w:w="6580" w:type="dxa"/>
            <w:vAlign w:val="bottom"/>
            <w:vMerge w:val="restart"/>
          </w:tcPr>
          <w:p>
            <w:pPr>
              <w:ind w:left="644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3"/>
        </w:trPr>
        <w:tc>
          <w:tcPr>
            <w:tcW w:w="1000" w:type="dxa"/>
            <w:vAlign w:val="bottom"/>
          </w:tcPr>
          <w:p>
            <w:pPr>
              <w:spacing w:after="0"/>
              <w:rPr>
                <w:sz w:val="4"/>
                <w:szCs w:val="4"/>
                <w:color w:val="auto"/>
              </w:rPr>
            </w:pPr>
          </w:p>
        </w:tc>
        <w:tc>
          <w:tcPr>
            <w:tcW w:w="3040" w:type="dxa"/>
            <w:vAlign w:val="bottom"/>
            <w:gridSpan w:val="8"/>
            <w:vMerge w:val="continue"/>
          </w:tcPr>
          <w:p>
            <w:pPr>
              <w:spacing w:after="0"/>
              <w:rPr>
                <w:sz w:val="4"/>
                <w:szCs w:val="4"/>
                <w:color w:val="auto"/>
              </w:rPr>
            </w:pPr>
          </w:p>
        </w:tc>
        <w:tc>
          <w:tcPr>
            <w:tcW w:w="6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101.CAL</w:t>
            </w:r>
          </w:p>
        </w:tc>
        <w:tc>
          <w:tcPr>
            <w:tcW w:w="3040" w:type="dxa"/>
            <w:vAlign w:val="bottom"/>
            <w:gridSpan w:val="8"/>
          </w:tcPr>
          <w:p>
            <w:pPr>
              <w:spacing w:after="0" w:line="176" w:lineRule="exact"/>
              <w:rPr>
                <w:sz w:val="20"/>
                <w:szCs w:val="20"/>
                <w:color w:val="auto"/>
              </w:rPr>
            </w:pPr>
            <w:r>
              <w:rPr>
                <w:rFonts w:ascii="Arial" w:cs="Arial" w:eastAsia="Arial" w:hAnsi="Arial"/>
                <w:sz w:val="18"/>
                <w:szCs w:val="18"/>
                <w:color w:val="auto"/>
                <w:w w:val="96"/>
              </w:rPr>
              <w:t>XBRL Taxonomy Extension Calculation</w:t>
            </w:r>
          </w:p>
        </w:tc>
        <w:tc>
          <w:tcPr>
            <w:tcW w:w="6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3040" w:type="dxa"/>
            <w:vAlign w:val="bottom"/>
            <w:gridSpan w:val="8"/>
            <w:vMerge w:val="restart"/>
          </w:tcPr>
          <w:p>
            <w:pPr>
              <w:spacing w:after="0" w:line="189" w:lineRule="exact"/>
              <w:rPr>
                <w:sz w:val="20"/>
                <w:szCs w:val="20"/>
                <w:color w:val="auto"/>
              </w:rPr>
            </w:pPr>
            <w:r>
              <w:rPr>
                <w:rFonts w:ascii="Arial" w:cs="Arial" w:eastAsia="Arial" w:hAnsi="Arial"/>
                <w:sz w:val="18"/>
                <w:szCs w:val="18"/>
                <w:color w:val="auto"/>
              </w:rPr>
              <w:t>Linkbase Document</w:t>
            </w:r>
          </w:p>
        </w:tc>
        <w:tc>
          <w:tcPr>
            <w:tcW w:w="6580" w:type="dxa"/>
            <w:vAlign w:val="bottom"/>
            <w:vMerge w:val="restart"/>
          </w:tcPr>
          <w:p>
            <w:pPr>
              <w:ind w:left="644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3"/>
        </w:trPr>
        <w:tc>
          <w:tcPr>
            <w:tcW w:w="1000" w:type="dxa"/>
            <w:vAlign w:val="bottom"/>
          </w:tcPr>
          <w:p>
            <w:pPr>
              <w:spacing w:after="0"/>
              <w:rPr>
                <w:sz w:val="4"/>
                <w:szCs w:val="4"/>
                <w:color w:val="auto"/>
              </w:rPr>
            </w:pPr>
          </w:p>
        </w:tc>
        <w:tc>
          <w:tcPr>
            <w:tcW w:w="3040" w:type="dxa"/>
            <w:vAlign w:val="bottom"/>
            <w:gridSpan w:val="8"/>
            <w:vMerge w:val="continue"/>
          </w:tcPr>
          <w:p>
            <w:pPr>
              <w:spacing w:after="0"/>
              <w:rPr>
                <w:sz w:val="4"/>
                <w:szCs w:val="4"/>
                <w:color w:val="auto"/>
              </w:rPr>
            </w:pPr>
          </w:p>
        </w:tc>
        <w:tc>
          <w:tcPr>
            <w:tcW w:w="6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92"/>
              </w:rPr>
              <w:t>101.DEF</w:t>
            </w:r>
          </w:p>
        </w:tc>
        <w:tc>
          <w:tcPr>
            <w:tcW w:w="3040" w:type="dxa"/>
            <w:vAlign w:val="bottom"/>
            <w:gridSpan w:val="8"/>
          </w:tcPr>
          <w:p>
            <w:pPr>
              <w:spacing w:after="0" w:line="176" w:lineRule="exact"/>
              <w:rPr>
                <w:sz w:val="20"/>
                <w:szCs w:val="20"/>
                <w:color w:val="auto"/>
              </w:rPr>
            </w:pPr>
            <w:r>
              <w:rPr>
                <w:rFonts w:ascii="Arial" w:cs="Arial" w:eastAsia="Arial" w:hAnsi="Arial"/>
                <w:sz w:val="18"/>
                <w:szCs w:val="18"/>
                <w:color w:val="auto"/>
              </w:rPr>
              <w:t>XBRL Taxonomy Extension Definition</w:t>
            </w:r>
          </w:p>
        </w:tc>
        <w:tc>
          <w:tcPr>
            <w:tcW w:w="6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3040" w:type="dxa"/>
            <w:vAlign w:val="bottom"/>
            <w:gridSpan w:val="8"/>
            <w:vMerge w:val="restart"/>
          </w:tcPr>
          <w:p>
            <w:pPr>
              <w:spacing w:after="0" w:line="189" w:lineRule="exact"/>
              <w:rPr>
                <w:sz w:val="20"/>
                <w:szCs w:val="20"/>
                <w:color w:val="auto"/>
              </w:rPr>
            </w:pPr>
            <w:r>
              <w:rPr>
                <w:rFonts w:ascii="Arial" w:cs="Arial" w:eastAsia="Arial" w:hAnsi="Arial"/>
                <w:sz w:val="18"/>
                <w:szCs w:val="18"/>
                <w:color w:val="auto"/>
              </w:rPr>
              <w:t>Linkbase Document</w:t>
            </w:r>
          </w:p>
        </w:tc>
        <w:tc>
          <w:tcPr>
            <w:tcW w:w="6580" w:type="dxa"/>
            <w:vAlign w:val="bottom"/>
            <w:vMerge w:val="restart"/>
          </w:tcPr>
          <w:p>
            <w:pPr>
              <w:ind w:left="644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3"/>
        </w:trPr>
        <w:tc>
          <w:tcPr>
            <w:tcW w:w="1000" w:type="dxa"/>
            <w:vAlign w:val="bottom"/>
          </w:tcPr>
          <w:p>
            <w:pPr>
              <w:spacing w:after="0"/>
              <w:rPr>
                <w:sz w:val="4"/>
                <w:szCs w:val="4"/>
                <w:color w:val="auto"/>
              </w:rPr>
            </w:pPr>
          </w:p>
        </w:tc>
        <w:tc>
          <w:tcPr>
            <w:tcW w:w="3040" w:type="dxa"/>
            <w:vAlign w:val="bottom"/>
            <w:gridSpan w:val="8"/>
            <w:vMerge w:val="continue"/>
          </w:tcPr>
          <w:p>
            <w:pPr>
              <w:spacing w:after="0"/>
              <w:rPr>
                <w:sz w:val="4"/>
                <w:szCs w:val="4"/>
                <w:color w:val="auto"/>
              </w:rPr>
            </w:pPr>
          </w:p>
        </w:tc>
        <w:tc>
          <w:tcPr>
            <w:tcW w:w="6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101.LAB</w:t>
            </w:r>
          </w:p>
        </w:tc>
        <w:tc>
          <w:tcPr>
            <w:tcW w:w="3040" w:type="dxa"/>
            <w:vAlign w:val="bottom"/>
            <w:gridSpan w:val="8"/>
          </w:tcPr>
          <w:p>
            <w:pPr>
              <w:spacing w:after="0" w:line="176" w:lineRule="exact"/>
              <w:rPr>
                <w:sz w:val="20"/>
                <w:szCs w:val="20"/>
                <w:color w:val="auto"/>
              </w:rPr>
            </w:pPr>
            <w:r>
              <w:rPr>
                <w:rFonts w:ascii="Arial" w:cs="Arial" w:eastAsia="Arial" w:hAnsi="Arial"/>
                <w:sz w:val="18"/>
                <w:szCs w:val="18"/>
                <w:color w:val="auto"/>
              </w:rPr>
              <w:t>XBRL Taxonomy Extension Label</w:t>
            </w:r>
          </w:p>
        </w:tc>
        <w:tc>
          <w:tcPr>
            <w:tcW w:w="6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3040" w:type="dxa"/>
            <w:vAlign w:val="bottom"/>
            <w:gridSpan w:val="8"/>
            <w:vMerge w:val="restart"/>
          </w:tcPr>
          <w:p>
            <w:pPr>
              <w:spacing w:after="0" w:line="189" w:lineRule="exact"/>
              <w:rPr>
                <w:sz w:val="20"/>
                <w:szCs w:val="20"/>
                <w:color w:val="auto"/>
              </w:rPr>
            </w:pPr>
            <w:r>
              <w:rPr>
                <w:rFonts w:ascii="Arial" w:cs="Arial" w:eastAsia="Arial" w:hAnsi="Arial"/>
                <w:sz w:val="18"/>
                <w:szCs w:val="18"/>
                <w:color w:val="auto"/>
              </w:rPr>
              <w:t>Linkbase Document</w:t>
            </w:r>
          </w:p>
        </w:tc>
        <w:tc>
          <w:tcPr>
            <w:tcW w:w="6580" w:type="dxa"/>
            <w:vAlign w:val="bottom"/>
            <w:vMerge w:val="restart"/>
          </w:tcPr>
          <w:p>
            <w:pPr>
              <w:ind w:left="644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3"/>
        </w:trPr>
        <w:tc>
          <w:tcPr>
            <w:tcW w:w="1000" w:type="dxa"/>
            <w:vAlign w:val="bottom"/>
          </w:tcPr>
          <w:p>
            <w:pPr>
              <w:spacing w:after="0"/>
              <w:rPr>
                <w:sz w:val="4"/>
                <w:szCs w:val="4"/>
                <w:color w:val="auto"/>
              </w:rPr>
            </w:pPr>
          </w:p>
        </w:tc>
        <w:tc>
          <w:tcPr>
            <w:tcW w:w="3040" w:type="dxa"/>
            <w:vAlign w:val="bottom"/>
            <w:gridSpan w:val="8"/>
            <w:vMerge w:val="continue"/>
          </w:tcPr>
          <w:p>
            <w:pPr>
              <w:spacing w:after="0"/>
              <w:rPr>
                <w:sz w:val="4"/>
                <w:szCs w:val="4"/>
                <w:color w:val="auto"/>
              </w:rPr>
            </w:pPr>
          </w:p>
        </w:tc>
        <w:tc>
          <w:tcPr>
            <w:tcW w:w="6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101.PRE</w:t>
            </w:r>
          </w:p>
        </w:tc>
        <w:tc>
          <w:tcPr>
            <w:tcW w:w="3040" w:type="dxa"/>
            <w:vAlign w:val="bottom"/>
            <w:gridSpan w:val="8"/>
          </w:tcPr>
          <w:p>
            <w:pPr>
              <w:spacing w:after="0" w:line="176" w:lineRule="exact"/>
              <w:rPr>
                <w:sz w:val="20"/>
                <w:szCs w:val="20"/>
                <w:color w:val="auto"/>
              </w:rPr>
            </w:pPr>
            <w:r>
              <w:rPr>
                <w:rFonts w:ascii="Arial" w:cs="Arial" w:eastAsia="Arial" w:hAnsi="Arial"/>
                <w:sz w:val="18"/>
                <w:szCs w:val="18"/>
                <w:color w:val="auto"/>
                <w:w w:val="92"/>
              </w:rPr>
              <w:t>XBRL Taxonomy Extension Presentation</w:t>
            </w:r>
          </w:p>
        </w:tc>
        <w:tc>
          <w:tcPr>
            <w:tcW w:w="6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3040" w:type="dxa"/>
            <w:vAlign w:val="bottom"/>
            <w:gridSpan w:val="8"/>
            <w:vMerge w:val="restart"/>
          </w:tcPr>
          <w:p>
            <w:pPr>
              <w:spacing w:after="0"/>
              <w:rPr>
                <w:sz w:val="20"/>
                <w:szCs w:val="20"/>
                <w:color w:val="auto"/>
              </w:rPr>
            </w:pPr>
            <w:r>
              <w:rPr>
                <w:rFonts w:ascii="Arial" w:cs="Arial" w:eastAsia="Arial" w:hAnsi="Arial"/>
                <w:sz w:val="18"/>
                <w:szCs w:val="18"/>
                <w:color w:val="auto"/>
              </w:rPr>
              <w:t>Linkbase Document</w:t>
            </w:r>
          </w:p>
        </w:tc>
        <w:tc>
          <w:tcPr>
            <w:tcW w:w="6580" w:type="dxa"/>
            <w:vAlign w:val="bottom"/>
            <w:vMerge w:val="restart"/>
          </w:tcPr>
          <w:p>
            <w:pPr>
              <w:ind w:left="64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6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 references in the table above to previously filed documents or descriptions are incorporating those documents and descriptions by reference thereto.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references to documents filed as exhibits to periodic reports are to periodic reports of SiTime Corporation, SEC File No. 001-39135.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have been omitted in accordance with Item 601 of Regulation S-K.</w:t>
      </w:r>
    </w:p>
    <w:p>
      <w:pPr>
        <w:spacing w:after="0" w:line="12" w:lineRule="exact"/>
        <w:rPr>
          <w:sz w:val="20"/>
          <w:szCs w:val="20"/>
          <w:color w:val="auto"/>
        </w:rPr>
      </w:pPr>
    </w:p>
    <w:p>
      <w:pPr>
        <w:ind w:firstLine="8"/>
        <w:spacing w:after="0" w:line="206" w:lineRule="exact"/>
        <w:tabs>
          <w:tab w:leader="none" w:pos="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K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SCHEDULE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Valuation and Qualifying Accounts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4"/>
              </w:rPr>
              <w:t>Balance at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Deductions</w:t>
            </w:r>
          </w:p>
        </w:tc>
        <w:tc>
          <w:tcPr>
            <w:tcW w:w="180" w:type="dxa"/>
            <w:vAlign w:val="bottom"/>
          </w:tcPr>
          <w:p>
            <w:pPr>
              <w:spacing w:after="0"/>
              <w:rPr>
                <w:sz w:val="11"/>
                <w:szCs w:val="11"/>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Balance at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Credited to</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Expenses or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Expenses or</w:t>
            </w:r>
          </w:p>
        </w:tc>
        <w:tc>
          <w:tcPr>
            <w:tcW w:w="180" w:type="dxa"/>
            <w:vAlign w:val="bottom"/>
          </w:tcPr>
          <w:p>
            <w:pPr>
              <w:spacing w:after="0"/>
              <w:rPr>
                <w:sz w:val="12"/>
                <w:szCs w:val="12"/>
                <w:color w:val="auto"/>
              </w:rPr>
            </w:pPr>
          </w:p>
        </w:tc>
        <w:tc>
          <w:tcPr>
            <w:tcW w:w="960" w:type="dxa"/>
            <w:vAlign w:val="bottom"/>
          </w:tcPr>
          <w:p>
            <w:pPr>
              <w:jc w:val="right"/>
              <w:ind w:right="276"/>
              <w:spacing w:after="0" w:line="149" w:lineRule="exact"/>
              <w:rPr>
                <w:sz w:val="20"/>
                <w:szCs w:val="20"/>
                <w:color w:val="auto"/>
              </w:rPr>
            </w:pPr>
            <w:r>
              <w:rPr>
                <w:rFonts w:ascii="Arial" w:cs="Arial" w:eastAsia="Arial" w:hAnsi="Arial"/>
                <w:sz w:val="14"/>
                <w:szCs w:val="14"/>
                <w:b w:val="1"/>
                <w:bCs w:val="1"/>
                <w:color w:val="auto"/>
              </w:rPr>
              <w:t>End of</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of Period</w:t>
            </w:r>
          </w:p>
        </w:tc>
        <w:tc>
          <w:tcPr>
            <w:tcW w:w="20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Accounts</w:t>
            </w:r>
          </w:p>
        </w:tc>
        <w:tc>
          <w:tcPr>
            <w:tcW w:w="18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Accounts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98"/>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right"/>
              <w:ind w:right="736"/>
              <w:spacing w:after="0"/>
              <w:rPr>
                <w:sz w:val="20"/>
                <w:szCs w:val="20"/>
                <w:color w:val="auto"/>
              </w:rPr>
            </w:pPr>
            <w:r>
              <w:rPr>
                <w:rFonts w:ascii="Arial" w:cs="Arial" w:eastAsia="Arial" w:hAnsi="Arial"/>
                <w:sz w:val="13"/>
                <w:szCs w:val="13"/>
                <w:b w:val="1"/>
                <w:bCs w:val="1"/>
                <w:color w:val="auto"/>
                <w:w w:val="71"/>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Allowance for credit losses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Year Ended December 31, 2021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Year Ended December 31, 2020</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(79 )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Year Ended December 31, 2019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valuation allowance</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Year Ended December 31, 2021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55,951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13,363</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69,314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Year Ended December 31, 2020</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45,494</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10,457</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55,951</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tcPr>
          <w:p>
            <w:pPr>
              <w:ind w:left="100"/>
              <w:spacing w:after="0"/>
              <w:rPr>
                <w:sz w:val="20"/>
                <w:szCs w:val="20"/>
                <w:color w:val="auto"/>
              </w:rPr>
            </w:pPr>
            <w:r>
              <w:rPr>
                <w:rFonts w:ascii="Arial" w:cs="Arial" w:eastAsia="Arial" w:hAnsi="Arial"/>
                <w:sz w:val="18"/>
                <w:szCs w:val="18"/>
                <w:color w:val="auto"/>
              </w:rPr>
              <w:t>Year Ended December 31,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45,496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45,494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775"/>
              <w:spacing w:after="0"/>
              <w:rPr>
                <w:sz w:val="20"/>
                <w:szCs w:val="20"/>
                <w:color w:val="auto"/>
              </w:rPr>
            </w:pPr>
            <w:r>
              <w:rPr>
                <w:rFonts w:ascii="Arial" w:cs="Arial" w:eastAsia="Arial" w:hAnsi="Arial"/>
                <w:sz w:val="18"/>
                <w:szCs w:val="18"/>
                <w:color w:val="auto"/>
                <w:w w:val="89"/>
              </w:rPr>
              <w:t>87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ectPr>
          <w:pgSz w:w="11900" w:h="16838" w:orient="portrait"/>
          <w:cols w:equalWidth="0" w:num="1">
            <w:col w:w="11240"/>
          </w:cols>
          <w:pgMar w:left="320" w:top="324"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25,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700"/>
        <w:spacing w:after="0"/>
        <w:rPr>
          <w:sz w:val="20"/>
          <w:szCs w:val="20"/>
          <w:color w:val="auto"/>
        </w:rPr>
      </w:pPr>
      <w:r>
        <w:rPr>
          <w:rFonts w:ascii="Arial" w:cs="Arial" w:eastAsia="Arial" w:hAnsi="Arial"/>
          <w:sz w:val="17"/>
          <w:szCs w:val="17"/>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5080</wp:posOffset>
            </wp:positionV>
            <wp:extent cx="32404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3">
            <w:col w:w="4980" w:space="720"/>
            <w:col w:w="1420" w:space="720"/>
            <w:col w:w="3400"/>
          </w:cols>
          <w:pgMar w:left="320" w:top="324" w:right="339" w:bottom="1440" w:gutter="0" w:footer="0" w:header="0"/>
          <w:type w:val="continuous"/>
        </w:sectPr>
      </w:pPr>
    </w:p>
    <w:p>
      <w:pPr>
        <w:ind w:left="7900"/>
        <w:spacing w:after="0"/>
        <w:rPr>
          <w:sz w:val="20"/>
          <w:szCs w:val="20"/>
          <w:color w:val="auto"/>
        </w:rPr>
      </w:pPr>
      <w:r>
        <w:rPr>
          <w:rFonts w:ascii="Arial" w:cs="Arial" w:eastAsia="Arial" w:hAnsi="Arial"/>
          <w:sz w:val="18"/>
          <w:szCs w:val="18"/>
          <w:b w:val="1"/>
          <w:bCs w:val="1"/>
          <w:color w:val="auto"/>
        </w:rPr>
        <w:t>Arthur D. Chadwick</w:t>
      </w:r>
    </w:p>
    <w:p>
      <w:pPr>
        <w:spacing w:after="0" w:line="130"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Rajesh Vashist and Arthur D. Chadwick,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20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9" w:lineRule="exact"/>
        <w:rPr>
          <w:sz w:val="20"/>
          <w:szCs w:val="20"/>
          <w:color w:val="auto"/>
        </w:rPr>
      </w:pPr>
    </w:p>
    <w:p>
      <w:pPr>
        <w:ind w:left="1520"/>
        <w:spacing w:after="0"/>
        <w:tabs>
          <w:tab w:leader="none" w:pos="5860" w:val="left"/>
          <w:tab w:leader="none" w:pos="97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5"/>
            <w:vMerge w:val="restart"/>
          </w:tcPr>
          <w:p>
            <w:pPr>
              <w:jc w:val="center"/>
              <w:spacing w:after="0"/>
              <w:rPr>
                <w:sz w:val="20"/>
                <w:szCs w:val="20"/>
                <w:color w:val="auto"/>
              </w:rPr>
            </w:pPr>
            <w:r>
              <w:rPr>
                <w:rFonts w:ascii="Arial" w:cs="Arial" w:eastAsia="Arial" w:hAnsi="Arial"/>
                <w:sz w:val="18"/>
                <w:szCs w:val="18"/>
                <w:color w:val="auto"/>
                <w:w w:val="88"/>
              </w:rPr>
              <w:t xml:space="preserve">/s/ </w:t>
            </w:r>
            <w:r>
              <w:rPr>
                <w:rFonts w:ascii="Arial" w:cs="Arial" w:eastAsia="Arial" w:hAnsi="Arial"/>
                <w:sz w:val="18"/>
                <w:szCs w:val="18"/>
                <w:color w:val="auto"/>
                <w:highlight w:val="white"/>
                <w:w w:val="88"/>
              </w:rPr>
              <w:t>Rajesh Vashist</w:t>
            </w:r>
          </w:p>
        </w:tc>
        <w:tc>
          <w:tcPr>
            <w:tcW w:w="452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c>
          <w:tcPr>
            <w:tcW w:w="3340" w:type="dxa"/>
            <w:vAlign w:val="bottom"/>
            <w:vMerge w:val="restart"/>
          </w:tcPr>
          <w:p>
            <w:pPr>
              <w:ind w:left="78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203"/>
        </w:trPr>
        <w:tc>
          <w:tcPr>
            <w:tcW w:w="3380" w:type="dxa"/>
            <w:vAlign w:val="bottom"/>
            <w:gridSpan w:val="5"/>
            <w:vMerge w:val="continue"/>
          </w:tcPr>
          <w:p>
            <w:pPr>
              <w:spacing w:after="0"/>
              <w:rPr>
                <w:sz w:val="17"/>
                <w:szCs w:val="17"/>
                <w:color w:val="auto"/>
              </w:rPr>
            </w:pPr>
          </w:p>
        </w:tc>
        <w:tc>
          <w:tcPr>
            <w:tcW w:w="4520" w:type="dxa"/>
            <w:vAlign w:val="bottom"/>
          </w:tcPr>
          <w:p>
            <w:pPr>
              <w:ind w:left="140"/>
              <w:spacing w:after="0" w:line="202" w:lineRule="exact"/>
              <w:rPr>
                <w:sz w:val="20"/>
                <w:szCs w:val="20"/>
                <w:color w:val="auto"/>
              </w:rPr>
            </w:pPr>
            <w:r>
              <w:rPr>
                <w:rFonts w:ascii="Arial" w:cs="Arial" w:eastAsia="Arial" w:hAnsi="Arial"/>
                <w:sz w:val="18"/>
                <w:szCs w:val="18"/>
                <w:i w:val="1"/>
                <w:iCs w:val="1"/>
                <w:color w:val="auto"/>
              </w:rPr>
              <w:t>(Principal Executive Officer)</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Arial" w:cs="Arial" w:eastAsia="Arial" w:hAnsi="Arial"/>
                <w:sz w:val="14"/>
                <w:szCs w:val="14"/>
                <w:b w:val="1"/>
                <w:bCs w:val="1"/>
                <w:color w:val="auto"/>
                <w:w w:val="86"/>
              </w:rPr>
              <w:t>Rajesh Vashist</w:t>
            </w: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520" w:type="dxa"/>
            <w:vAlign w:val="bottom"/>
            <w:vMerge w:val="restart"/>
          </w:tcPr>
          <w:p>
            <w:pPr>
              <w:ind w:left="180"/>
              <w:spacing w:after="0"/>
              <w:rPr>
                <w:sz w:val="20"/>
                <w:szCs w:val="20"/>
                <w:color w:val="auto"/>
              </w:rPr>
            </w:pPr>
            <w:r>
              <w:rPr>
                <w:rFonts w:ascii="Arial" w:cs="Arial" w:eastAsia="Arial" w:hAnsi="Arial"/>
                <w:sz w:val="18"/>
                <w:szCs w:val="18"/>
                <w:color w:val="auto"/>
              </w:rPr>
              <w:t>Executive Vice President, Chief Financial Officer</w:t>
            </w: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380" w:type="dxa"/>
            <w:vAlign w:val="bottom"/>
            <w:gridSpan w:val="5"/>
            <w:vMerge w:val="restart"/>
          </w:tcPr>
          <w:p>
            <w:pPr>
              <w:jc w:val="center"/>
              <w:spacing w:after="0"/>
              <w:rPr>
                <w:sz w:val="20"/>
                <w:szCs w:val="20"/>
                <w:color w:val="auto"/>
              </w:rPr>
            </w:pPr>
            <w:r>
              <w:rPr>
                <w:rFonts w:ascii="Arial" w:cs="Arial" w:eastAsia="Arial" w:hAnsi="Arial"/>
                <w:sz w:val="18"/>
                <w:szCs w:val="18"/>
                <w:color w:val="auto"/>
                <w:w w:val="93"/>
              </w:rPr>
              <w:t>/s/ Arthur D. Chadwick</w:t>
            </w:r>
          </w:p>
        </w:tc>
        <w:tc>
          <w:tcPr>
            <w:tcW w:w="4520" w:type="dxa"/>
            <w:vAlign w:val="bottom"/>
            <w:vMerge w:val="continue"/>
          </w:tcPr>
          <w:p>
            <w:pPr>
              <w:spacing w:after="0"/>
              <w:rPr>
                <w:sz w:val="19"/>
                <w:szCs w:val="19"/>
                <w:color w:val="auto"/>
              </w:rPr>
            </w:pPr>
          </w:p>
        </w:tc>
        <w:tc>
          <w:tcPr>
            <w:tcW w:w="3340" w:type="dxa"/>
            <w:vAlign w:val="bottom"/>
            <w:vMerge w:val="restart"/>
          </w:tcPr>
          <w:p>
            <w:pPr>
              <w:ind w:left="82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208"/>
        </w:trPr>
        <w:tc>
          <w:tcPr>
            <w:tcW w:w="3380" w:type="dxa"/>
            <w:vAlign w:val="bottom"/>
            <w:tcBorders>
              <w:bottom w:val="single" w:sz="8" w:color="auto"/>
            </w:tcBorders>
            <w:gridSpan w:val="5"/>
            <w:vMerge w:val="continue"/>
          </w:tcPr>
          <w:p>
            <w:pPr>
              <w:spacing w:after="0"/>
              <w:rPr>
                <w:sz w:val="17"/>
                <w:szCs w:val="17"/>
                <w:color w:val="auto"/>
              </w:rPr>
            </w:pPr>
          </w:p>
        </w:tc>
        <w:tc>
          <w:tcPr>
            <w:tcW w:w="4520" w:type="dxa"/>
            <w:vAlign w:val="bottom"/>
          </w:tcPr>
          <w:p>
            <w:pPr>
              <w:ind w:left="140"/>
              <w:spacing w:after="0" w:line="202" w:lineRule="exact"/>
              <w:rPr>
                <w:sz w:val="20"/>
                <w:szCs w:val="20"/>
                <w:color w:val="auto"/>
              </w:rPr>
            </w:pPr>
            <w:r>
              <w:rPr>
                <w:rFonts w:ascii="Arial" w:cs="Arial" w:eastAsia="Arial" w:hAnsi="Arial"/>
                <w:sz w:val="18"/>
                <w:szCs w:val="18"/>
                <w:i w:val="1"/>
                <w:iCs w:val="1"/>
                <w:color w:val="auto"/>
              </w:rPr>
              <w:t>(Principal Financial and Accounting Officer)</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Arthur D. Chadwick</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380" w:type="dxa"/>
            <w:vAlign w:val="bottom"/>
            <w:gridSpan w:val="5"/>
          </w:tcPr>
          <w:p>
            <w:pPr>
              <w:jc w:val="center"/>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color w:val="auto"/>
                <w:highlight w:val="white"/>
                <w:w w:val="90"/>
              </w:rPr>
              <w:t>Raman K. Chitkara</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340" w:type="dxa"/>
            <w:vAlign w:val="bottom"/>
          </w:tcPr>
          <w:p>
            <w:pPr>
              <w:ind w:left="82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166"/>
        </w:trPr>
        <w:tc>
          <w:tcPr>
            <w:tcW w:w="1100" w:type="dxa"/>
            <w:vAlign w:val="bottom"/>
            <w:tcBorders>
              <w:top w:val="single" w:sz="8" w:color="auto"/>
            </w:tcBorders>
          </w:tcPr>
          <w:p>
            <w:pPr>
              <w:spacing w:after="0"/>
              <w:rPr>
                <w:sz w:val="14"/>
                <w:szCs w:val="14"/>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Raman K. Chitkara</w:t>
            </w:r>
          </w:p>
        </w:tc>
        <w:tc>
          <w:tcPr>
            <w:tcW w:w="880" w:type="dxa"/>
            <w:vAlign w:val="bottom"/>
            <w:tcBorders>
              <w:top w:val="single" w:sz="8" w:color="auto"/>
            </w:tcBorders>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3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/s/ Edward H. Frank</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340" w:type="dxa"/>
            <w:vAlign w:val="bottom"/>
          </w:tcPr>
          <w:p>
            <w:pPr>
              <w:ind w:left="82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22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9"/>
              </w:rPr>
              <w:t>Edward H. Frank</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3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1"/>
              </w:rPr>
              <w:t>/s/ Torsten G. Kreindl</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340" w:type="dxa"/>
            <w:vAlign w:val="bottom"/>
          </w:tcPr>
          <w:p>
            <w:pPr>
              <w:ind w:left="78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180"/>
        </w:trPr>
        <w:tc>
          <w:tcPr>
            <w:tcW w:w="3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Torsten G. Kreindl</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3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0"/>
              </w:rPr>
              <w:t>/s/ Katherine E. Schuelke</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340" w:type="dxa"/>
            <w:vAlign w:val="bottom"/>
          </w:tcPr>
          <w:p>
            <w:pPr>
              <w:ind w:left="82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180"/>
        </w:trPr>
        <w:tc>
          <w:tcPr>
            <w:tcW w:w="33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Katherine E. Schuelke</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380" w:type="dxa"/>
            <w:vAlign w:val="bottom"/>
            <w:tcBorders>
              <w:bottom w:val="single" w:sz="8" w:color="auto"/>
            </w:tcBorders>
            <w:gridSpan w:val="5"/>
          </w:tcPr>
          <w:p>
            <w:pPr>
              <w:ind w:left="1100"/>
              <w:spacing w:after="0"/>
              <w:rPr>
                <w:sz w:val="20"/>
                <w:szCs w:val="20"/>
                <w:color w:val="auto"/>
              </w:rPr>
            </w:pPr>
            <w:r>
              <w:rPr>
                <w:rFonts w:ascii="Arial" w:cs="Arial" w:eastAsia="Arial" w:hAnsi="Arial"/>
                <w:sz w:val="18"/>
                <w:szCs w:val="18"/>
                <w:color w:val="auto"/>
              </w:rPr>
              <w:t>/s/ Akira Takata</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340" w:type="dxa"/>
            <w:vAlign w:val="bottom"/>
          </w:tcPr>
          <w:p>
            <w:pPr>
              <w:ind w:left="82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228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8"/>
              </w:rPr>
              <w:t>Akira Takata</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/s/ Christine Heckart</w:t>
            </w:r>
          </w:p>
        </w:tc>
        <w:tc>
          <w:tcPr>
            <w:tcW w:w="45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3340" w:type="dxa"/>
            <w:vAlign w:val="bottom"/>
          </w:tcPr>
          <w:p>
            <w:pPr>
              <w:ind w:left="78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22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6"/>
              </w:rPr>
              <w:t>Christine Heckart</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2"/>
              </w:rPr>
              <w:t>/s/ Tom D. Yiu</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340" w:type="dxa"/>
            <w:vAlign w:val="bottom"/>
          </w:tcPr>
          <w:p>
            <w:pPr>
              <w:ind w:left="82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8"/>
              </w:rPr>
              <w:t>Tom D. Yiu</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20" w:type="dxa"/>
            <w:vAlign w:val="bottom"/>
          </w:tcPr>
          <w:p>
            <w:pPr>
              <w:ind w:left="2160"/>
              <w:spacing w:after="0"/>
              <w:rPr>
                <w:sz w:val="20"/>
                <w:szCs w:val="20"/>
                <w:color w:val="auto"/>
              </w:rPr>
            </w:pPr>
            <w:r>
              <w:rPr>
                <w:rFonts w:ascii="Arial" w:cs="Arial" w:eastAsia="Arial" w:hAnsi="Arial"/>
                <w:sz w:val="18"/>
                <w:szCs w:val="18"/>
                <w:color w:val="auto"/>
              </w:rPr>
              <w:t>88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10.26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SITIME CORPORATION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AMENDMENT NO. 1 </w:t>
      </w:r>
      <w:r>
        <w:rPr>
          <w:rFonts w:ascii="Arial" w:cs="Arial" w:eastAsia="Arial" w:hAnsi="Arial"/>
          <w:sz w:val="17"/>
          <w:szCs w:val="17"/>
          <w:b w:val="1"/>
          <w:bCs w:val="1"/>
          <w:color w:val="auto"/>
        </w:rPr>
        <w:t>TO</w:t>
      </w:r>
      <w:r>
        <w:rPr>
          <w:rFonts w:ascii="Arial" w:cs="Arial" w:eastAsia="Arial" w:hAnsi="Arial"/>
          <w:sz w:val="22"/>
          <w:szCs w:val="22"/>
          <w:b w:val="1"/>
          <w:bCs w:val="1"/>
          <w:color w:val="auto"/>
        </w:rPr>
        <w:t xml:space="preserve"> CONSULTING AGREEMENT</w:t>
      </w:r>
    </w:p>
    <w:p>
      <w:pPr>
        <w:spacing w:after="0" w:line="238" w:lineRule="exact"/>
        <w:rPr>
          <w:sz w:val="20"/>
          <w:szCs w:val="20"/>
          <w:color w:val="auto"/>
        </w:rPr>
      </w:pPr>
    </w:p>
    <w:p>
      <w:pPr>
        <w:jc w:val="both"/>
        <w:ind w:right="120" w:firstLine="749"/>
        <w:spacing w:after="0" w:line="239" w:lineRule="auto"/>
        <w:rPr>
          <w:sz w:val="20"/>
          <w:szCs w:val="20"/>
          <w:color w:val="auto"/>
        </w:rPr>
      </w:pPr>
      <w:r>
        <w:rPr>
          <w:rFonts w:ascii="Arial" w:cs="Arial" w:eastAsia="Arial" w:hAnsi="Arial"/>
          <w:sz w:val="20"/>
          <w:szCs w:val="20"/>
          <w:b w:val="1"/>
          <w:bCs w:val="1"/>
          <w:color w:val="auto"/>
        </w:rPr>
        <w:t>THIS AMENDMENT NO. 1 TO CONSULTING AGREEMENT</w:t>
      </w:r>
      <w:r>
        <w:rPr>
          <w:rFonts w:ascii="Arial" w:cs="Arial" w:eastAsia="Arial" w:hAnsi="Arial"/>
          <w:sz w:val="20"/>
          <w:szCs w:val="20"/>
          <w:color w:val="auto"/>
        </w:rPr>
        <w:t>(“</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December 30, 2021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Akira Takata (“</w:t>
      </w:r>
      <w:r>
        <w:rPr>
          <w:rFonts w:ascii="Arial" w:cs="Arial" w:eastAsia="Arial" w:hAnsi="Arial"/>
          <w:sz w:val="20"/>
          <w:szCs w:val="20"/>
          <w:b w:val="1"/>
          <w:bCs w:val="1"/>
          <w:color w:val="auto"/>
        </w:rPr>
        <w:t>Consultant”</w:t>
      </w:r>
      <w:r>
        <w:rPr>
          <w:rFonts w:ascii="Arial" w:cs="Arial" w:eastAsia="Arial" w:hAnsi="Arial"/>
          <w:sz w:val="20"/>
          <w:szCs w:val="20"/>
          <w:color w:val="auto"/>
        </w:rPr>
        <w:t>) and SiTime Corporation with its principal place of business at 5441 Patrick Henry Drive, Santa Clara 95054, USA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RECITALS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and Consultant previously entered into a Consulting Agreement dated May 15, 2021 (the</w:t>
      </w:r>
      <w:r>
        <w:rPr>
          <w:rFonts w:ascii="Arial" w:cs="Arial" w:eastAsia="Arial" w:hAnsi="Arial"/>
          <w:sz w:val="18"/>
          <w:szCs w:val="18"/>
          <w:b w:val="1"/>
          <w:bCs w:val="1"/>
          <w:color w:val="auto"/>
        </w:rPr>
        <w:t xml:space="preserve"> “Agreement”</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desire to amend the Agreement as set forth below.</w:t>
      </w:r>
    </w:p>
    <w:p>
      <w:pPr>
        <w:spacing w:after="0" w:line="202" w:lineRule="exact"/>
        <w:rPr>
          <w:sz w:val="20"/>
          <w:szCs w:val="20"/>
          <w:color w:val="auto"/>
        </w:rPr>
      </w:pPr>
    </w:p>
    <w:p>
      <w:pPr>
        <w:ind w:right="100" w:firstLine="749"/>
        <w:spacing w:after="0" w:line="25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of which is hereby acknowledged, the parties hereby agree</w:t>
      </w:r>
      <w:r>
        <w:rPr>
          <w:rFonts w:ascii="Arial" w:cs="Arial" w:eastAsia="Arial" w:hAnsi="Arial"/>
          <w:sz w:val="20"/>
          <w:szCs w:val="20"/>
          <w:b w:val="1"/>
          <w:bCs w:val="1"/>
          <w:color w:val="auto"/>
        </w:rPr>
        <w:t xml:space="preserve"> </w:t>
      </w:r>
      <w:r>
        <w:rPr>
          <w:rFonts w:ascii="Arial" w:cs="Arial" w:eastAsia="Arial" w:hAnsi="Arial"/>
          <w:sz w:val="20"/>
          <w:szCs w:val="20"/>
          <w:color w:val="auto"/>
        </w:rPr>
        <w:t>as follows: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p>
    <w:p>
      <w:pPr>
        <w:spacing w:after="0" w:line="303" w:lineRule="exact"/>
        <w:rPr>
          <w:sz w:val="20"/>
          <w:szCs w:val="20"/>
          <w:color w:val="auto"/>
        </w:rPr>
      </w:pPr>
    </w:p>
    <w:p>
      <w:pPr>
        <w:ind w:left="1500" w:hanging="504"/>
        <w:spacing w:after="0"/>
        <w:tabs>
          <w:tab w:leader="none" w:pos="15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Section 10.1 is hereby amended and restated as follows:</w:t>
      </w:r>
    </w:p>
    <w:p>
      <w:pPr>
        <w:spacing w:after="0" w:line="175" w:lineRule="exact"/>
        <w:rPr>
          <w:sz w:val="20"/>
          <w:szCs w:val="20"/>
          <w:color w:val="auto"/>
        </w:rPr>
      </w:pPr>
    </w:p>
    <w:p>
      <w:pPr>
        <w:ind w:left="1020" w:right="660"/>
        <w:spacing w:after="0" w:line="246" w:lineRule="auto"/>
        <w:rPr>
          <w:sz w:val="20"/>
          <w:szCs w:val="20"/>
          <w:color w:val="auto"/>
        </w:rPr>
      </w:pPr>
      <w:r>
        <w:rPr>
          <w:rFonts w:ascii="Arial" w:cs="Arial" w:eastAsia="Arial" w:hAnsi="Arial"/>
          <w:sz w:val="20"/>
          <w:szCs w:val="20"/>
          <w:color w:val="auto"/>
        </w:rPr>
        <w:t>“10.1 Term. The initial term of this Agreement is until December 31, 2022, unless earlier terminated as provided in this Agreement.”</w:t>
      </w:r>
    </w:p>
    <w:p>
      <w:pPr>
        <w:spacing w:after="0" w:line="69" w:lineRule="exact"/>
        <w:rPr>
          <w:sz w:val="20"/>
          <w:szCs w:val="20"/>
          <w:color w:val="auto"/>
        </w:rPr>
      </w:pPr>
    </w:p>
    <w:p>
      <w:pPr>
        <w:ind w:left="1500" w:right="620" w:hanging="504"/>
        <w:spacing w:after="0" w:line="246" w:lineRule="auto"/>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Project Assignment #1 Under Consulting Agreement, which is Exhibit A to the Agreement, is hereby amended and restated as set forth in Exhibit A attached hereto.</w:t>
      </w:r>
    </w:p>
    <w:p>
      <w:pPr>
        <w:spacing w:after="0" w:line="68" w:lineRule="exact"/>
        <w:rPr>
          <w:rFonts w:ascii="Arial" w:cs="Arial" w:eastAsia="Arial" w:hAnsi="Arial"/>
          <w:sz w:val="20"/>
          <w:szCs w:val="20"/>
          <w:color w:val="auto"/>
        </w:rPr>
      </w:pPr>
    </w:p>
    <w:p>
      <w:pPr>
        <w:ind w:left="1500" w:right="360" w:hanging="504"/>
        <w:spacing w:after="0" w:line="246" w:lineRule="auto"/>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Unless otherwise amended in this Amendment, the original terms and conditions of the Agreement shall remain in full force and effect.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caused this Amendment to be executed by their duty authorized representatives.</w:t>
      </w:r>
    </w:p>
    <w:p>
      <w:pPr>
        <w:spacing w:after="0" w:line="195"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SiTime Corporation</w:t>
      </w:r>
    </w:p>
    <w:p>
      <w:pPr>
        <w:spacing w:after="0" w:line="189" w:lineRule="exact"/>
        <w:rPr>
          <w:sz w:val="20"/>
          <w:szCs w:val="20"/>
          <w:color w:val="auto"/>
        </w:rPr>
      </w:pPr>
    </w:p>
    <w:p>
      <w:pPr>
        <w:ind w:left="71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6"/>
          <w:szCs w:val="16"/>
          <w:color w:val="auto"/>
        </w:rPr>
        <w:t>Lionel Bonnot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10160</wp:posOffset>
            </wp:positionV>
            <wp:extent cx="260604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20"/>
          <w:szCs w:val="20"/>
          <w:color w:val="auto"/>
        </w:rPr>
        <w:t>By: Lionel Bonnot</w:t>
      </w:r>
    </w:p>
    <w:p>
      <w:pPr>
        <w:ind w:left="714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16"/>
          <w:szCs w:val="16"/>
          <w:color w:val="auto"/>
        </w:rPr>
        <w:t>EVP Sales &amp; BD</w:t>
      </w:r>
    </w:p>
    <w:p>
      <w:pPr>
        <w:spacing w:after="0" w:line="200" w:lineRule="exact"/>
        <w:rPr>
          <w:sz w:val="20"/>
          <w:szCs w:val="20"/>
          <w:color w:val="auto"/>
        </w:rPr>
      </w:pPr>
    </w:p>
    <w:p>
      <w:pPr>
        <w:spacing w:after="0" w:line="229"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Akira Takata</w:t>
      </w:r>
    </w:p>
    <w:p>
      <w:pPr>
        <w:spacing w:after="0" w:line="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/s/ Akira Takata</w:t>
      </w:r>
    </w:p>
    <w:p>
      <w:pPr>
        <w:spacing w:after="0" w:line="11"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-143510</wp:posOffset>
            </wp:positionV>
            <wp:extent cx="26060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Amended and Restated Project Assignment #1 Under Consulting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Project: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Consultant will render the following services to Client as Client may from time to time request:</w:t>
      </w:r>
    </w:p>
    <w:p>
      <w:pPr>
        <w:ind w:left="1340" w:hanging="314"/>
        <w:spacing w:after="0" w:line="227" w:lineRule="auto"/>
        <w:tabs>
          <w:tab w:leader="none" w:pos="1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Assistance with sales organization and recruiting in Japan;</w:t>
      </w:r>
    </w:p>
    <w:p>
      <w:pPr>
        <w:ind w:left="1340" w:hanging="314"/>
        <w:spacing w:after="0" w:line="225" w:lineRule="auto"/>
        <w:tabs>
          <w:tab w:leader="none" w:pos="1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Assistance with introductions to key distributor management teams; and</w:t>
      </w:r>
    </w:p>
    <w:p>
      <w:pPr>
        <w:ind w:left="1340" w:hanging="314"/>
        <w:spacing w:after="0"/>
        <w:tabs>
          <w:tab w:leader="none" w:pos="1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Make introductions to Tier 1 Japanese customers.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And Reimbursement: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Cash Fee: $5,000 per month(pro rata for any partial month).</w:t>
      </w:r>
    </w:p>
    <w:p>
      <w:pPr>
        <w:spacing w:after="0" w:line="202"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Equity Fee: Subject to approval by Client’s Board of Directors or a Committee thereof, the Client anticipates granting Consultant a restricted stock unit award for 500 shares of the Client’s common stock (the “First Award”). The anticipated First Award will be governed by the terms and conditions of the Client’s 2019 Stock Incentive Plan (the “Plan”) and Consultant’s grant agreement, and vest on the November 20, 2021, subject to Consultant’s Continuous Service (as defined in the Plan) as of such date. Subject to approval by Client’s Board of Directors or a Committee thereof, the Client anticipates granting Consultant an additional restricted stock unit award for 300 shares of the Client’s common stock (the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“Second Award”). The anticipated Second Award will be governed by the terms and conditions of the Plan and Consultant’s grant agreement, and vest on the November 20, 2022, subject to Consultant’s Continuous Service (as defined in the Plan) as of such date.</w:t>
      </w:r>
    </w:p>
    <w:p>
      <w:pPr>
        <w:spacing w:after="0" w:line="170"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Consultant will be reimbursed for third party expenses (at cost) if approved in writing in advance by Client. Consultant will invoice Client monthly for services and expenses and will provide such reasonable receipts or other documentation of expenses as Client might request, including copies of time records. Payment terms: Client will be invoiced on the first day of each month for services rendered and expenses incurred during the previous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Rajesh Vashist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October 18, 2021</w:t>
      </w:r>
    </w:p>
    <w:p>
      <w:pPr>
        <w:spacing w:after="0" w:line="246" w:lineRule="exact"/>
        <w:rPr>
          <w:sz w:val="20"/>
          <w:szCs w:val="20"/>
          <w:color w:val="auto"/>
        </w:rPr>
      </w:pPr>
    </w:p>
    <w:p>
      <w:pPr>
        <w:spacing w:after="0"/>
        <w:tabs>
          <w:tab w:leader="none" w:pos="1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9"/>
          <w:szCs w:val="19"/>
          <w:color w:val="auto"/>
        </w:rPr>
        <w:t>Temporary assignment to SiTime Netherlands,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9344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Dear Rajesh Vashist,</w:t>
      </w:r>
    </w:p>
    <w:p>
      <w:pPr>
        <w:spacing w:after="0" w:line="26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In connection with your temporary assignment to SiTime Netherlands, B.V., in Delft, the Netherlands, SiTime Corporation would hereby like to confirm the terms and conditions of your temporary assignment.</w:t>
      </w:r>
    </w:p>
    <w:p>
      <w:pPr>
        <w:spacing w:after="0" w:line="346"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Confirmation of employment and duration of assignment</w:t>
      </w:r>
    </w:p>
    <w:p>
      <w:pPr>
        <w:spacing w:after="0" w:line="27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You have been employed on a fulltime basis by SiTime Corporation since September 2007, most recently in the position of Chief Executive Officer. Subject to your ability to reside and work in the Netherlands (i.e., you are in possession of the necessary residence and work permit), you will be temporarily transferred to SiTime Netherlands, B.V. for a fixed term of 11 months and 29 days commencing on December 1, 2021. Your temporary assignment will therefore terminate 11 months and 29 days after commencement. Upon completion or early termination of your temporary assignment, you will return to the United States to resume your previous duties. In the event you are not physically present in the Netherlands and/or unable to produce the necessary permits on the first day of this temporary assignment, the start date of this temporary assignment will be postponed until the day after the day that you are physically present in the Netherlands and can prove that you are in possession of the necessary statutory residence and work permits.</w:t>
      </w:r>
    </w:p>
    <w:p>
      <w:pPr>
        <w:spacing w:after="0" w:line="354"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employment agreement and applicable law</w:t>
      </w:r>
    </w:p>
    <w:p>
      <w:pPr>
        <w:spacing w:after="0" w:line="27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During your temporary assignment to SiTime Netherlands, B.V. in the Netherlands, you will remain employed by SiTime Corporation. Your employment agreement with SiTime Corporation, including all its terms and conditions, will remain in full force and effect, unless parties agree to different terms and conditions in this transfer letter.</w:t>
      </w:r>
    </w:p>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the event of a conflict between your employment agreement and this temporary assignment letter, the provisions of this temporary assignment letter will take precedence, albeit only during the period of the temporary assignment.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Your employment with SiTime Corporation, including your temporary assignment, will continue to be governed by, construed under, and enforced in accordance with the laws of California.</w:t>
      </w:r>
    </w:p>
    <w:p>
      <w:pPr>
        <w:spacing w:after="0" w:line="373"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Function and working hours</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During your temporary assignment, you will work full time (40 hours per week) in Delft, the Netherlands, as Chief Executive Officer of SiTime Corporation. You will report to the Board of Directors of SiTime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Your current job description will remain unchanged.</w:t>
      </w:r>
    </w:p>
    <w:p>
      <w:pPr>
        <w:spacing w:after="0" w:line="200" w:lineRule="exact"/>
        <w:rPr>
          <w:sz w:val="20"/>
          <w:szCs w:val="20"/>
          <w:color w:val="auto"/>
        </w:rPr>
      </w:pPr>
    </w:p>
    <w:p>
      <w:pPr>
        <w:spacing w:after="0" w:line="241"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Employment benefits during temporary assignment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During your temporary assignment you are entitled to the following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ind w:left="1540" w:hanging="514"/>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Fixed gross salary:</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During your temporary assignment to SiTime Netherlands, B.V., you will continue to receive your current gross salary in the amount of USO $58,875 monthly paid from U.S. payroll. Your Euro reference salary is EUR €41,000 monthly less any US tax obligations.</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This salary is inclusive of the statutory 8% vacation allowance. Your vacation allowance will be paid out simultaneously with your monthly salary. If and insofar as you can receive free compensation of extraterritorial expenses pursuant to article10ea of the Wage and Salaries Tax (Implementation) Decree 1965 (Uitvoeringsbesluit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loonbelasting 1965), we agree that your gross salary is including the extraterritorial expenses.</w:t>
      </w:r>
    </w:p>
    <w:p>
      <w:pPr>
        <w:spacing w:after="0" w:line="200" w:lineRule="exact"/>
        <w:rPr>
          <w:sz w:val="20"/>
          <w:szCs w:val="20"/>
          <w:color w:val="auto"/>
        </w:rPr>
      </w:pPr>
    </w:p>
    <w:p>
      <w:pPr>
        <w:spacing w:after="0" w:line="228" w:lineRule="exact"/>
        <w:rPr>
          <w:sz w:val="20"/>
          <w:szCs w:val="20"/>
          <w:color w:val="auto"/>
        </w:rPr>
      </w:pPr>
    </w:p>
    <w:p>
      <w:pPr>
        <w:ind w:left="1540" w:hanging="514"/>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Variable compensation</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Your eligibility to earn a bonus as per your employment agreement will remain unchanged. Any bonus paid out includes the statutory 8%vacation allowance.</w:t>
      </w:r>
    </w:p>
    <w:p>
      <w:pPr>
        <w:spacing w:after="0" w:line="360" w:lineRule="exact"/>
        <w:rPr>
          <w:sz w:val="20"/>
          <w:szCs w:val="20"/>
          <w:color w:val="auto"/>
        </w:rPr>
      </w:pPr>
    </w:p>
    <w:p>
      <w:pPr>
        <w:ind w:left="1540" w:hanging="514"/>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Benefits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your temporary assignment, you will be provided with the following:</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Pre-Departure and Relocation</w:t>
      </w:r>
    </w:p>
    <w:p>
      <w:pPr>
        <w:spacing w:after="0" w:line="228" w:lineRule="exact"/>
        <w:rPr>
          <w:sz w:val="20"/>
          <w:szCs w:val="20"/>
          <w:color w:val="auto"/>
        </w:rPr>
      </w:pPr>
    </w:p>
    <w:p>
      <w:pPr>
        <w:jc w:val="both"/>
        <w:spacing w:after="0" w:line="321" w:lineRule="auto"/>
        <w:rPr>
          <w:sz w:val="20"/>
          <w:szCs w:val="20"/>
          <w:color w:val="auto"/>
        </w:rPr>
      </w:pPr>
      <w:r>
        <w:rPr>
          <w:rFonts w:ascii="Arial" w:cs="Arial" w:eastAsia="Arial" w:hAnsi="Arial"/>
          <w:sz w:val="17"/>
          <w:szCs w:val="17"/>
          <w:u w:val="single" w:color="auto"/>
          <w:color w:val="auto"/>
        </w:rPr>
        <w:t>Tax Consultant.</w:t>
      </w:r>
      <w:r>
        <w:rPr>
          <w:rFonts w:ascii="Arial" w:cs="Arial" w:eastAsia="Arial" w:hAnsi="Arial"/>
          <w:sz w:val="17"/>
          <w:szCs w:val="17"/>
          <w:color w:val="auto"/>
        </w:rPr>
        <w:t xml:space="preserve"> Grant Thornton, will be available to meet with you for an initial review of the tax policies and practices of SiTime Corporation, both in the United States (the "Home Country") and in the Netherlands (the "Host Country"). These tax consultations also provide you with an opportunity to understand the tax issues related to the temporary assignment. We will advise the tax consultant to hold your personal information in strict confidence. You will be responsible for completing and filing all required Home Country and Host Country tax returns. Grant Thornton will be made available to review and advise on your Home Country and Host Country tax returns.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On Assignment</w:t>
      </w:r>
    </w:p>
    <w:p>
      <w:pPr>
        <w:spacing w:after="0" w:line="228" w:lineRule="exact"/>
        <w:rPr>
          <w:sz w:val="20"/>
          <w:szCs w:val="20"/>
          <w:color w:val="auto"/>
        </w:rPr>
      </w:pPr>
    </w:p>
    <w:p>
      <w:pPr>
        <w:jc w:val="both"/>
        <w:spacing w:after="0" w:line="314" w:lineRule="auto"/>
        <w:rPr>
          <w:sz w:val="20"/>
          <w:szCs w:val="20"/>
          <w:color w:val="auto"/>
        </w:rPr>
      </w:pPr>
      <w:r>
        <w:rPr>
          <w:rFonts w:ascii="Arial" w:cs="Arial" w:eastAsia="Arial" w:hAnsi="Arial"/>
          <w:sz w:val="17"/>
          <w:szCs w:val="17"/>
          <w:u w:val="single" w:color="auto"/>
          <w:color w:val="auto"/>
        </w:rPr>
        <w:t>Tax Equalization</w:t>
      </w:r>
      <w:r>
        <w:rPr>
          <w:rFonts w:ascii="Arial" w:cs="Arial" w:eastAsia="Arial" w:hAnsi="Arial"/>
          <w:sz w:val="17"/>
          <w:szCs w:val="17"/>
          <w:color w:val="auto"/>
        </w:rPr>
        <w:t>. SiTime Corporation operates a 'tax equalization' policy to treat you as fairly and equitably as possible from a tax perspective to ensure that your tax burden on your stay-at-home employment income while on your international assignment will be approximately the same as the tax that would have been incurred had you remained in the Home Country. This tax equalization is designed and intended to yield neither an economic benefit nor detriment to you, as an employee on an international assignment. This is achieved by deducting "hypothetical tax" in addition to certain actual taxes from your pay and SiTime Corporation paying your actual income tax and social taxes on your employment income. The designated tax service consultant will explain tax equalization in more detail during your tax consultations.</w:t>
      </w:r>
    </w:p>
    <w:p>
      <w:pPr>
        <w:spacing w:after="0" w:line="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Notwithstanding anything in this Agreement to the contrary, any payments made to you in connection with the foregoing tax equalization shall be made no later than the end of your second taxable year beginning after the taxable year in which your U.S. Federal income tax return is required to be filed (including any extensions} for the year to which the compensation subject to such tax equalization payment relates, or, if later, your second taxable year beginning after the latest such taxable year in which your foreign tax return or payment is required to be filed or made for the year to which the compensation subject to the tax equalization payment relates.</w:t>
      </w:r>
    </w:p>
    <w:p>
      <w:pPr>
        <w:spacing w:after="0" w:line="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The tax equalization described in this subsection (a} and in SiTime Corporation's tax equalization policy document and all of your obligations thereunder shall survive the termination of this agreement and your temporary assignment.</w:t>
      </w:r>
    </w:p>
    <w:p>
      <w:pPr>
        <w:spacing w:after="0" w:line="57" w:lineRule="exact"/>
        <w:rPr>
          <w:sz w:val="20"/>
          <w:szCs w:val="20"/>
          <w:color w:val="auto"/>
        </w:rPr>
      </w:pPr>
    </w:p>
    <w:p>
      <w:pPr>
        <w:ind w:left="1020" w:hanging="503"/>
        <w:spacing w:after="0" w:line="243"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Cost of Living Allowance.</w:t>
      </w:r>
      <w:r>
        <w:rPr>
          <w:rFonts w:ascii="Arial" w:cs="Arial" w:eastAsia="Arial" w:hAnsi="Arial"/>
          <w:sz w:val="17"/>
          <w:szCs w:val="17"/>
          <w:color w:val="auto"/>
        </w:rPr>
        <w:t xml:space="preserve"> During the temporary assignment, you will be eligible to receive a Cost of Living Allowance, in the net amount of $44,000 USD per year ($3,666 per month}, payable in the Home Country, in equal bi weekly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jc w:val="both"/>
        <w:ind w:left="1020"/>
        <w:spacing w:after="0" w:line="236" w:lineRule="auto"/>
        <w:rPr>
          <w:sz w:val="20"/>
          <w:szCs w:val="20"/>
          <w:color w:val="auto"/>
        </w:rPr>
      </w:pPr>
      <w:r>
        <w:rPr>
          <w:rFonts w:ascii="Arial" w:cs="Arial" w:eastAsia="Arial" w:hAnsi="Arial"/>
          <w:sz w:val="17"/>
          <w:szCs w:val="17"/>
          <w:color w:val="auto"/>
        </w:rPr>
        <w:t>instalments in accordance with SiTime Corporation's regular payroll policies. This allowance is intended to assist you to pay for general expenses related to goods and services. SiTime Corporation may, at its sole discretion, review and adjust this Cost of Living Allowance in the event of significant foreign exchange rate fluctuations. SiTime Corporation will determine in its sole discretion if and to what extent this allowance will be renewed after the first year of the temporary assignment.</w:t>
      </w:r>
    </w:p>
    <w:p>
      <w:pPr>
        <w:spacing w:after="0" w:line="95" w:lineRule="exact"/>
        <w:rPr>
          <w:sz w:val="20"/>
          <w:szCs w:val="20"/>
          <w:color w:val="auto"/>
        </w:rPr>
      </w:pPr>
    </w:p>
    <w:p>
      <w:pPr>
        <w:jc w:val="both"/>
        <w:ind w:left="1020" w:hanging="503"/>
        <w:spacing w:after="0" w:line="23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Car Lease</w:t>
      </w:r>
      <w:r>
        <w:rPr>
          <w:rFonts w:ascii="Arial" w:cs="Arial" w:eastAsia="Arial" w:hAnsi="Arial"/>
          <w:sz w:val="17"/>
          <w:szCs w:val="17"/>
          <w:color w:val="auto"/>
        </w:rPr>
        <w:t>: During the temporary assignment, you will be eligible to receive a car allowance in the net amount of $10,000 USD per year ($833 per month), payable in the Home Country, in substantially equal bi-weekly instalments in accordance with SiTime Corporation's regular payroll policies. This allowance is intended to assist you to pay for transportation expenses.</w:t>
      </w:r>
    </w:p>
    <w:p>
      <w:pPr>
        <w:spacing w:after="0" w:line="93" w:lineRule="exact"/>
        <w:rPr>
          <w:rFonts w:ascii="Arial" w:cs="Arial" w:eastAsia="Arial" w:hAnsi="Arial"/>
          <w:sz w:val="17"/>
          <w:szCs w:val="17"/>
          <w:color w:val="auto"/>
        </w:rPr>
      </w:pPr>
    </w:p>
    <w:p>
      <w:pPr>
        <w:jc w:val="both"/>
        <w:ind w:left="1020" w:hanging="503"/>
        <w:spacing w:after="0" w:line="235"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Housing</w:t>
      </w:r>
      <w:r>
        <w:rPr>
          <w:rFonts w:ascii="Arial" w:cs="Arial" w:eastAsia="Arial" w:hAnsi="Arial"/>
          <w:sz w:val="17"/>
          <w:szCs w:val="17"/>
          <w:color w:val="auto"/>
        </w:rPr>
        <w:t>. SiTime Corporation will enter into a lease in the Host Country for accommodation on your behalf for a period of no more than 1 year. The lease may be up to $120,000 per annum ($10,000 per month); provided, however, to the extent SiTime Corporation enters into a lease for accommodations on your behalf in the Host Country exceeding the foregoing amount, you agree to reimburse SiTime Corporation for the difference. If the amount of rent due under your lease in the Host Country is less than amount set forth above, you are not entitled to any payment or benefits in respect of the difference in value.</w:t>
      </w:r>
    </w:p>
    <w:p>
      <w:pPr>
        <w:spacing w:after="0" w:line="95" w:lineRule="exact"/>
        <w:rPr>
          <w:rFonts w:ascii="Arial" w:cs="Arial" w:eastAsia="Arial" w:hAnsi="Arial"/>
          <w:sz w:val="17"/>
          <w:szCs w:val="17"/>
          <w:color w:val="auto"/>
        </w:rPr>
      </w:pPr>
    </w:p>
    <w:p>
      <w:pPr>
        <w:jc w:val="both"/>
        <w:ind w:left="1020" w:hanging="503"/>
        <w:spacing w:after="0" w:line="236"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Shipping and Travel Expenses</w:t>
      </w:r>
      <w:r>
        <w:rPr>
          <w:rFonts w:ascii="Arial" w:cs="Arial" w:eastAsia="Arial" w:hAnsi="Arial"/>
          <w:sz w:val="17"/>
          <w:szCs w:val="17"/>
          <w:color w:val="auto"/>
        </w:rPr>
        <w:t>. SiTime Corporation will appoint a relocation company and cover all reasonable costs relating to the relocation of you and your spouse to the Host Country and your return at the end of your temporary assignment. This includes the shipment and insurance of your personal belongings and household goods. SiTime Corporation will cover the costs of two round-trip business class flights between the Host Country and the Home Country for your spouse during your temporary assignment.</w:t>
      </w:r>
    </w:p>
    <w:p>
      <w:pPr>
        <w:spacing w:after="0" w:line="95" w:lineRule="exact"/>
        <w:rPr>
          <w:rFonts w:ascii="Arial" w:cs="Arial" w:eastAsia="Arial" w:hAnsi="Arial"/>
          <w:sz w:val="17"/>
          <w:szCs w:val="17"/>
          <w:color w:val="auto"/>
        </w:rPr>
      </w:pPr>
    </w:p>
    <w:p>
      <w:pPr>
        <w:jc w:val="both"/>
        <w:ind w:left="1020" w:hanging="503"/>
        <w:spacing w:after="0" w:line="234"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Income Tax Preparation and Immigration Fees</w:t>
      </w:r>
      <w:r>
        <w:rPr>
          <w:rFonts w:ascii="Arial" w:cs="Arial" w:eastAsia="Arial" w:hAnsi="Arial"/>
          <w:sz w:val="17"/>
          <w:szCs w:val="17"/>
          <w:color w:val="auto"/>
        </w:rPr>
        <w:t>. SiTime Corporation will provide you SiTime Corporation designated service providers, selected at SiTime Corporation's discretion, to assist you with any required work permits, visa, and basic income tax preparation services in both the Host Country and the Home Country with respect to any tax years falling within the term of the temporary assignment or any extended term thereof, if applicable; or to the extent SiTime Corporation compensates you for services attributable to this temporary assignment outside of the term or extended term, if applicable. You are responsible to retain your own professional services for any other matters, including but not limited to services for tax liabilities or filings from investments, services for legal matters unrelated to work permit or visa, etc.</w:t>
      </w:r>
    </w:p>
    <w:p>
      <w:pPr>
        <w:spacing w:after="0" w:line="200" w:lineRule="exact"/>
        <w:rPr>
          <w:sz w:val="20"/>
          <w:szCs w:val="20"/>
          <w:color w:val="auto"/>
        </w:rPr>
      </w:pPr>
    </w:p>
    <w:p>
      <w:pPr>
        <w:spacing w:after="0" w:line="213" w:lineRule="exact"/>
        <w:rPr>
          <w:sz w:val="20"/>
          <w:szCs w:val="20"/>
          <w:color w:val="auto"/>
        </w:rPr>
      </w:pPr>
    </w:p>
    <w:p>
      <w:pPr>
        <w:ind w:left="1540" w:hanging="514"/>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Vacation days and public holidays:</w:t>
      </w:r>
    </w:p>
    <w:p>
      <w:pPr>
        <w:spacing w:after="0" w:line="27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During the term of your temporary assignment, you will remain entitled to the number of vacation days as provided to employees in the United States. Your vacation entitlement is however subject to a minimum of 20 vacation days per vacation year (based on a 40 hour work week). In the respective vacation year in which your temporary assignment commences or terminates, your minimum vacation day entitlement will be calculated on a pro rata basis. The vacation year in the Netherlands runs from January 1 to December 31. You must strive to use any vacation accrued during your temporary assignment during the temporary assignment period.</w:t>
      </w: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Days which are declared national public holidays in the United States but not in the Netherlands will be considered as vacation days if you take leave during those days.</w:t>
      </w:r>
    </w:p>
    <w:p>
      <w:pPr>
        <w:spacing w:after="0" w:line="319" w:lineRule="exact"/>
        <w:rPr>
          <w:sz w:val="20"/>
          <w:szCs w:val="20"/>
          <w:color w:val="auto"/>
        </w:rPr>
      </w:pPr>
    </w:p>
    <w:p>
      <w:pPr>
        <w:ind w:left="1540" w:hanging="514"/>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Healthcare insurance</w:t>
      </w:r>
    </w:p>
    <w:p>
      <w:pPr>
        <w:spacing w:after="0" w:line="23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SiTime Corporation will provide for adequate health care insurance during your temporary assignment, which will pay medical expenses incurred by you in the Netherlands.</w:t>
      </w:r>
    </w:p>
    <w:p>
      <w:pPr>
        <w:spacing w:after="0" w:line="360" w:lineRule="exact"/>
        <w:rPr>
          <w:sz w:val="20"/>
          <w:szCs w:val="20"/>
          <w:color w:val="auto"/>
        </w:rPr>
      </w:pPr>
    </w:p>
    <w:p>
      <w:pPr>
        <w:ind w:left="1540" w:hanging="514"/>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Incapacity for work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case of incapacity for work, you are required to immediately inform SiTime Netherlands,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B.V. thereof. If you are not present at the offices on the first day of your incapacity for work, the aforementioned information will be given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SiTime Netherlands, B.V. no later than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9.30a.m.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1" w:right="339" w:bottom="1440" w:gutter="0" w:footer="0" w:header="0"/>
        </w:sectPr>
      </w:pPr>
    </w:p>
    <w:bookmarkStart w:id="94" w:name="page95"/>
    <w:bookmarkEnd w:id="94"/>
    <w:p>
      <w:pPr>
        <w:jc w:val="both"/>
        <w:spacing w:after="0" w:line="301" w:lineRule="auto"/>
        <w:rPr>
          <w:sz w:val="20"/>
          <w:szCs w:val="20"/>
          <w:color w:val="auto"/>
        </w:rPr>
      </w:pPr>
      <w:r>
        <w:rPr>
          <w:rFonts w:ascii="Arial" w:cs="Arial" w:eastAsia="Arial" w:hAnsi="Arial"/>
          <w:sz w:val="18"/>
          <w:szCs w:val="18"/>
          <w:color w:val="auto"/>
        </w:rPr>
        <w:t>The rules concerning sick pay as per your current employment agreement and/or as per California law will remain applicable during your temporary assignment. Your eligibility to sick pay is however subject to the Dutch Immigration and Naturalization Service's (in Dutch IND) minimum monthly income criteria for Intra Company Transfer(ICT) employees aged 30 or above (2019: € 4.500,-, excluding 8% vacation allowance). This means that you will always remain entitled to at least the ICT minimum monthly income during sickness.</w:t>
      </w:r>
    </w:p>
    <w:p>
      <w:pPr>
        <w:spacing w:after="0" w:line="366"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Social security in home country</w:t>
      </w:r>
    </w:p>
    <w:p>
      <w:pPr>
        <w:spacing w:after="0" w:line="27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SiTime Corporation will apply to the Social Security Administration for you to remain socially insured in the United States during your temporary assignment, provided national and/or international legislation and regulations offer the possibility thereto. SiTime Corporation will request a certificate of coverage for your benefit. You hereby grant your cooperation if and insofar as is necessary.</w:t>
      </w:r>
    </w:p>
    <w:p>
      <w:pPr>
        <w:spacing w:after="0" w:line="377"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Termination and prolongation of the assignment</w:t>
      </w:r>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Notwithstanding your temporary assignment to SiTime Netherlands, B.V., both SiTime Corporation and you remain authorized to terminate the employment relationship between SiTime Corporation and yourself and the temporary assignment in accordance with the terms and conditions of your employment agreement, with or without cause or advance notice as per any day prior to the end date of this temporary assignment.</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Your temporary assignment will in any case terminate at the same moment that your employment agreement terminates, irrespective of whether SiTime Corporation takes or you take the initiative to terminate your employment agreement.</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Kindly sign this letter where indicated below to indicate your acknowledgement and agreement to the temporary assignment and the related terms and conditions.</w:t>
      </w:r>
    </w:p>
    <w:p>
      <w:pPr>
        <w:spacing w:after="0" w:line="238"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We appreciate your service to SiTime Corporation and SiTime Netherlands, B.V. If you have any questions with regard to above, please do not hesitate to contact me.</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 Vincent Pangrazio</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Vincent Pangrazio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EVP, Chief Legal Officer and Secretary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SiTime Corporation</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9"/>
          <w:szCs w:val="19"/>
          <w:color w:val="auto"/>
        </w:rPr>
        <w:t>/s/ Rajesh Vashist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 accept the above terms and conditions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Rajesh Vashist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9"/>
          <w:szCs w:val="19"/>
          <w:color w:val="auto"/>
        </w:rPr>
        <w:t>Date: October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10.29</w:t>
      </w:r>
    </w:p>
    <w:p>
      <w:pPr>
        <w:spacing w:after="0" w:line="206"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SITIME CORPORATION</w:t>
      </w:r>
    </w:p>
    <w:p>
      <w:pPr>
        <w:spacing w:after="0" w:line="20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2022 INDUCEMENT AWARD PLAN</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(Adopted by the Compensation Committee on February 23, 2022)</w:t>
      </w:r>
    </w:p>
    <w:p>
      <w:pPr>
        <w:spacing w:after="0" w:line="98"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(Effective on February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191770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15" w:right="339" w:bottom="1440" w:gutter="0" w:footer="0" w:header="0"/>
        </w:sectPr>
      </w:pPr>
    </w:p>
    <w:bookmarkStart w:id="96" w:name="page97"/>
    <w:bookmarkEnd w:id="96"/>
    <w:tbl>
      <w:tblPr>
        <w:tblLayout w:type="fixed"/>
        <w:tblInd w:w="20" w:type="dxa"/>
        <w:tblCellMar>
          <w:top w:w="0" w:type="dxa"/>
          <w:left w:w="0" w:type="dxa"/>
          <w:bottom w:w="0" w:type="dxa"/>
          <w:right w:w="0" w:type="dxa"/>
        </w:tblCellMar>
      </w:tblPr>
      <w:tr>
        <w:trPr>
          <w:trHeight w:val="280"/>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80" w:type="dxa"/>
            <w:vAlign w:val="bottom"/>
          </w:tcPr>
          <w:p>
            <w:pPr>
              <w:ind w:left="2400"/>
              <w:spacing w:after="0"/>
              <w:rPr>
                <w:sz w:val="20"/>
                <w:szCs w:val="20"/>
                <w:color w:val="auto"/>
              </w:rPr>
            </w:pPr>
            <w:r>
              <w:rPr>
                <w:rFonts w:ascii="Arial" w:cs="Arial" w:eastAsia="Arial" w:hAnsi="Arial"/>
                <w:sz w:val="22"/>
                <w:szCs w:val="22"/>
                <w:b w:val="1"/>
                <w:bCs w:val="1"/>
                <w:color w:val="auto"/>
              </w:rPr>
              <w:t>TABLE OF CONTENTS</w:t>
            </w:r>
          </w:p>
        </w:tc>
        <w:tc>
          <w:tcPr>
            <w:tcW w:w="2280" w:type="dxa"/>
            <w:vAlign w:val="bottom"/>
          </w:tcPr>
          <w:p>
            <w:pPr>
              <w:spacing w:after="0"/>
              <w:rPr>
                <w:sz w:val="24"/>
                <w:szCs w:val="24"/>
                <w:color w:val="auto"/>
              </w:rPr>
            </w:pPr>
          </w:p>
        </w:tc>
      </w:tr>
      <w:tr>
        <w:trPr>
          <w:trHeight w:val="473"/>
        </w:trPr>
        <w:tc>
          <w:tcPr>
            <w:tcW w:w="2040" w:type="dxa"/>
            <w:vAlign w:val="bottom"/>
            <w:gridSpan w:val="2"/>
          </w:tcPr>
          <w:p>
            <w:pPr>
              <w:spacing w:after="0"/>
              <w:rPr>
                <w:sz w:val="20"/>
                <w:szCs w:val="20"/>
                <w:color w:val="auto"/>
              </w:rPr>
            </w:pPr>
            <w:r>
              <w:rPr>
                <w:rFonts w:ascii="Arial" w:cs="Arial" w:eastAsia="Arial" w:hAnsi="Arial"/>
                <w:sz w:val="22"/>
                <w:szCs w:val="22"/>
                <w:b w:val="1"/>
                <w:bCs w:val="1"/>
                <w:color w:val="auto"/>
              </w:rPr>
              <w:t>SECTION 1.</w:t>
            </w:r>
          </w:p>
        </w:tc>
        <w:tc>
          <w:tcPr>
            <w:tcW w:w="6880" w:type="dxa"/>
            <w:vAlign w:val="bottom"/>
          </w:tcPr>
          <w:p>
            <w:pPr>
              <w:ind w:left="20"/>
              <w:spacing w:after="0"/>
              <w:rPr>
                <w:sz w:val="20"/>
                <w:szCs w:val="20"/>
                <w:color w:val="auto"/>
              </w:rPr>
            </w:pPr>
            <w:r>
              <w:rPr>
                <w:rFonts w:ascii="Arial" w:cs="Arial" w:eastAsia="Arial" w:hAnsi="Arial"/>
                <w:sz w:val="22"/>
                <w:szCs w:val="22"/>
                <w:b w:val="1"/>
                <w:bCs w:val="1"/>
                <w:color w:val="auto"/>
              </w:rPr>
              <w:t>ESTABLISHMENT AND PURPOSE.</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1</w:t>
            </w:r>
          </w:p>
        </w:tc>
      </w:tr>
      <w:tr>
        <w:trPr>
          <w:trHeight w:val="445"/>
        </w:trPr>
        <w:tc>
          <w:tcPr>
            <w:tcW w:w="2040" w:type="dxa"/>
            <w:vAlign w:val="bottom"/>
            <w:gridSpan w:val="2"/>
          </w:tcPr>
          <w:p>
            <w:pPr>
              <w:spacing w:after="0"/>
              <w:rPr>
                <w:sz w:val="20"/>
                <w:szCs w:val="20"/>
                <w:color w:val="auto"/>
              </w:rPr>
            </w:pPr>
            <w:r>
              <w:rPr>
                <w:rFonts w:ascii="Arial" w:cs="Arial" w:eastAsia="Arial" w:hAnsi="Arial"/>
                <w:sz w:val="22"/>
                <w:szCs w:val="22"/>
                <w:b w:val="1"/>
                <w:bCs w:val="1"/>
                <w:color w:val="auto"/>
              </w:rPr>
              <w:t>SECTION 2.</w:t>
            </w:r>
          </w:p>
        </w:tc>
        <w:tc>
          <w:tcPr>
            <w:tcW w:w="6880" w:type="dxa"/>
            <w:vAlign w:val="bottom"/>
          </w:tcPr>
          <w:p>
            <w:pPr>
              <w:ind w:left="20"/>
              <w:spacing w:after="0"/>
              <w:rPr>
                <w:sz w:val="20"/>
                <w:szCs w:val="20"/>
                <w:color w:val="auto"/>
              </w:rPr>
            </w:pPr>
            <w:r>
              <w:rPr>
                <w:rFonts w:ascii="Arial" w:cs="Arial" w:eastAsia="Arial" w:hAnsi="Arial"/>
                <w:sz w:val="22"/>
                <w:szCs w:val="22"/>
                <w:b w:val="1"/>
                <w:bCs w:val="1"/>
                <w:color w:val="auto"/>
              </w:rPr>
              <w:t>DEFINITIONS.</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1</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(a)</w:t>
            </w:r>
          </w:p>
        </w:tc>
        <w:tc>
          <w:tcPr>
            <w:tcW w:w="1160" w:type="dxa"/>
            <w:vAlign w:val="bottom"/>
          </w:tcPr>
          <w:p>
            <w:pPr>
              <w:ind w:left="200"/>
              <w:spacing w:after="0"/>
              <w:rPr>
                <w:sz w:val="20"/>
                <w:szCs w:val="20"/>
                <w:color w:val="auto"/>
              </w:rPr>
            </w:pPr>
            <w:r>
              <w:rPr>
                <w:rFonts w:ascii="Arial" w:cs="Arial" w:eastAsia="Arial" w:hAnsi="Arial"/>
                <w:sz w:val="22"/>
                <w:szCs w:val="22"/>
                <w:color w:val="auto"/>
              </w:rPr>
              <w:t>“Affiliate”</w:t>
            </w:r>
          </w:p>
        </w:tc>
        <w:tc>
          <w:tcPr>
            <w:tcW w:w="68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(b)</w:t>
            </w:r>
          </w:p>
        </w:tc>
        <w:tc>
          <w:tcPr>
            <w:tcW w:w="1160" w:type="dxa"/>
            <w:vAlign w:val="bottom"/>
          </w:tcPr>
          <w:p>
            <w:pPr>
              <w:ind w:left="200"/>
              <w:spacing w:after="0"/>
              <w:rPr>
                <w:sz w:val="20"/>
                <w:szCs w:val="20"/>
                <w:color w:val="auto"/>
              </w:rPr>
            </w:pPr>
            <w:r>
              <w:rPr>
                <w:rFonts w:ascii="Arial" w:cs="Arial" w:eastAsia="Arial" w:hAnsi="Arial"/>
                <w:sz w:val="22"/>
                <w:szCs w:val="22"/>
                <w:color w:val="auto"/>
              </w:rPr>
              <w:t>“Award”</w:t>
            </w:r>
          </w:p>
        </w:tc>
        <w:tc>
          <w:tcPr>
            <w:tcW w:w="68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(c)</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“Award Agreement”</w:t>
            </w:r>
          </w:p>
        </w:tc>
        <w:tc>
          <w:tcPr>
            <w:tcW w:w="2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(d)</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“Board of Directors” or “Board”</w:t>
            </w:r>
          </w:p>
        </w:tc>
        <w:tc>
          <w:tcPr>
            <w:tcW w:w="2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(e)</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“Cash-Based Award”</w:t>
            </w:r>
          </w:p>
        </w:tc>
        <w:tc>
          <w:tcPr>
            <w:tcW w:w="2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(f)</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“Change in Control”</w:t>
            </w:r>
          </w:p>
        </w:tc>
        <w:tc>
          <w:tcPr>
            <w:tcW w:w="2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(g)</w:t>
            </w:r>
          </w:p>
        </w:tc>
        <w:tc>
          <w:tcPr>
            <w:tcW w:w="1160" w:type="dxa"/>
            <w:vAlign w:val="bottom"/>
          </w:tcPr>
          <w:p>
            <w:pPr>
              <w:ind w:left="200"/>
              <w:spacing w:after="0"/>
              <w:rPr>
                <w:sz w:val="20"/>
                <w:szCs w:val="20"/>
                <w:color w:val="auto"/>
              </w:rPr>
            </w:pPr>
            <w:r>
              <w:rPr>
                <w:rFonts w:ascii="Arial" w:cs="Arial" w:eastAsia="Arial" w:hAnsi="Arial"/>
                <w:sz w:val="22"/>
                <w:szCs w:val="22"/>
                <w:color w:val="auto"/>
              </w:rPr>
              <w:t>“Code”</w:t>
            </w:r>
          </w:p>
        </w:tc>
        <w:tc>
          <w:tcPr>
            <w:tcW w:w="68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(h)</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“Committee”</w:t>
            </w: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(i)</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“Company”</w:t>
            </w: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(j)</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“Consultant”</w:t>
            </w: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(k)</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“Disability”</w:t>
            </w: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(l)</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“Employee”</w:t>
            </w: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(m)</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“Exchange Act”</w:t>
            </w: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(n)</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“Exercise Price”</w:t>
            </w: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(o)</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“Fair Market Value”</w:t>
            </w:r>
          </w:p>
        </w:tc>
        <w:tc>
          <w:tcPr>
            <w:tcW w:w="22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(p)</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“Nonstatutory Option”</w:t>
            </w: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(q)</w:t>
            </w:r>
          </w:p>
        </w:tc>
        <w:tc>
          <w:tcPr>
            <w:tcW w:w="1160" w:type="dxa"/>
            <w:vAlign w:val="bottom"/>
          </w:tcPr>
          <w:p>
            <w:pPr>
              <w:ind w:left="200"/>
              <w:spacing w:after="0"/>
              <w:rPr>
                <w:sz w:val="20"/>
                <w:szCs w:val="20"/>
                <w:color w:val="auto"/>
              </w:rPr>
            </w:pPr>
            <w:r>
              <w:rPr>
                <w:rFonts w:ascii="Arial" w:cs="Arial" w:eastAsia="Arial" w:hAnsi="Arial"/>
                <w:sz w:val="22"/>
                <w:szCs w:val="22"/>
                <w:color w:val="auto"/>
              </w:rPr>
              <w:t>“Option”</w:t>
            </w:r>
          </w:p>
        </w:tc>
        <w:tc>
          <w:tcPr>
            <w:tcW w:w="68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(r)</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“Outside Director”</w:t>
            </w: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(s)</w:t>
            </w:r>
          </w:p>
        </w:tc>
        <w:tc>
          <w:tcPr>
            <w:tcW w:w="1160" w:type="dxa"/>
            <w:vAlign w:val="bottom"/>
          </w:tcPr>
          <w:p>
            <w:pPr>
              <w:ind w:left="200"/>
              <w:spacing w:after="0"/>
              <w:rPr>
                <w:sz w:val="20"/>
                <w:szCs w:val="20"/>
                <w:color w:val="auto"/>
              </w:rPr>
            </w:pPr>
            <w:r>
              <w:rPr>
                <w:rFonts w:ascii="Arial" w:cs="Arial" w:eastAsia="Arial" w:hAnsi="Arial"/>
                <w:sz w:val="22"/>
                <w:szCs w:val="22"/>
                <w:color w:val="auto"/>
              </w:rPr>
              <w:t>“Parent”</w:t>
            </w:r>
          </w:p>
        </w:tc>
        <w:tc>
          <w:tcPr>
            <w:tcW w:w="68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7"/>
        </w:trPr>
        <w:tc>
          <w:tcPr>
            <w:tcW w:w="880" w:type="dxa"/>
            <w:vAlign w:val="bottom"/>
          </w:tcPr>
          <w:p>
            <w:pPr>
              <w:ind w:left="320"/>
              <w:spacing w:after="0"/>
              <w:rPr>
                <w:sz w:val="20"/>
                <w:szCs w:val="20"/>
                <w:color w:val="auto"/>
              </w:rPr>
            </w:pPr>
            <w:r>
              <w:rPr>
                <w:rFonts w:ascii="Arial" w:cs="Arial" w:eastAsia="Arial" w:hAnsi="Arial"/>
                <w:sz w:val="22"/>
                <w:szCs w:val="22"/>
                <w:color w:val="auto"/>
              </w:rPr>
              <w:t>(t)</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“Participant”</w:t>
            </w: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(u)</w:t>
            </w:r>
          </w:p>
        </w:tc>
        <w:tc>
          <w:tcPr>
            <w:tcW w:w="1160" w:type="dxa"/>
            <w:vAlign w:val="bottom"/>
          </w:tcPr>
          <w:p>
            <w:pPr>
              <w:ind w:left="200"/>
              <w:spacing w:after="0"/>
              <w:rPr>
                <w:sz w:val="20"/>
                <w:szCs w:val="20"/>
                <w:color w:val="auto"/>
              </w:rPr>
            </w:pPr>
            <w:r>
              <w:rPr>
                <w:rFonts w:ascii="Arial" w:cs="Arial" w:eastAsia="Arial" w:hAnsi="Arial"/>
                <w:sz w:val="22"/>
                <w:szCs w:val="22"/>
                <w:color w:val="auto"/>
              </w:rPr>
              <w:t>“Plan”</w:t>
            </w:r>
          </w:p>
        </w:tc>
        <w:tc>
          <w:tcPr>
            <w:tcW w:w="68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(v)</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“Purchase Price”</w:t>
            </w: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(w)</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“Restricted Share”</w:t>
            </w: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(x)</w:t>
            </w:r>
          </w:p>
        </w:tc>
        <w:tc>
          <w:tcPr>
            <w:tcW w:w="1160" w:type="dxa"/>
            <w:vAlign w:val="bottom"/>
          </w:tcPr>
          <w:p>
            <w:pPr>
              <w:ind w:left="200"/>
              <w:spacing w:after="0"/>
              <w:rPr>
                <w:sz w:val="20"/>
                <w:szCs w:val="20"/>
                <w:color w:val="auto"/>
              </w:rPr>
            </w:pPr>
            <w:r>
              <w:rPr>
                <w:rFonts w:ascii="Arial" w:cs="Arial" w:eastAsia="Arial" w:hAnsi="Arial"/>
                <w:sz w:val="22"/>
                <w:szCs w:val="22"/>
                <w:color w:val="auto"/>
              </w:rPr>
              <w:t>“SAR”</w:t>
            </w:r>
          </w:p>
        </w:tc>
        <w:tc>
          <w:tcPr>
            <w:tcW w:w="68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(y)</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“Section 409A”</w:t>
            </w: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(z)</w:t>
            </w:r>
          </w:p>
        </w:tc>
        <w:tc>
          <w:tcPr>
            <w:tcW w:w="8040" w:type="dxa"/>
            <w:vAlign w:val="bottom"/>
            <w:gridSpan w:val="2"/>
          </w:tcPr>
          <w:p>
            <w:pPr>
              <w:ind w:left="200"/>
              <w:spacing w:after="0"/>
              <w:rPr>
                <w:sz w:val="20"/>
                <w:szCs w:val="20"/>
                <w:color w:val="auto"/>
              </w:rPr>
            </w:pPr>
            <w:r>
              <w:rPr>
                <w:rFonts w:ascii="Arial" w:cs="Arial" w:eastAsia="Arial" w:hAnsi="Arial"/>
                <w:sz w:val="22"/>
                <w:szCs w:val="22"/>
                <w:color w:val="auto"/>
              </w:rPr>
              <w:t>“Securities Act”</w:t>
            </w: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(aa)</w:t>
            </w:r>
          </w:p>
        </w:tc>
        <w:tc>
          <w:tcPr>
            <w:tcW w:w="1160" w:type="dxa"/>
            <w:vAlign w:val="bottom"/>
          </w:tcPr>
          <w:p>
            <w:pPr>
              <w:ind w:left="200"/>
              <w:spacing w:after="0"/>
              <w:rPr>
                <w:sz w:val="20"/>
                <w:szCs w:val="20"/>
                <w:color w:val="auto"/>
              </w:rPr>
            </w:pPr>
            <w:r>
              <w:rPr>
                <w:rFonts w:ascii="Arial" w:cs="Arial" w:eastAsia="Arial" w:hAnsi="Arial"/>
                <w:sz w:val="22"/>
                <w:szCs w:val="22"/>
                <w:color w:val="auto"/>
              </w:rPr>
              <w:t>“Service”</w:t>
            </w:r>
          </w:p>
        </w:tc>
        <w:tc>
          <w:tcPr>
            <w:tcW w:w="68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4</w:t>
            </w: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74"/>
        </w:trPr>
        <w:tc>
          <w:tcPr>
            <w:tcW w:w="880" w:type="dxa"/>
            <w:vAlign w:val="bottom"/>
          </w:tcPr>
          <w:p>
            <w:pPr>
              <w:ind w:left="320"/>
              <w:spacing w:after="0"/>
              <w:rPr>
                <w:sz w:val="20"/>
                <w:szCs w:val="20"/>
                <w:color w:val="auto"/>
              </w:rPr>
            </w:pPr>
            <w:r>
              <w:rPr>
                <w:rFonts w:ascii="Arial" w:cs="Arial" w:eastAsia="Arial" w:hAnsi="Arial"/>
                <w:sz w:val="22"/>
                <w:szCs w:val="22"/>
                <w:color w:val="auto"/>
              </w:rPr>
              <w:t>(bb)</w:t>
            </w:r>
          </w:p>
        </w:tc>
        <w:tc>
          <w:tcPr>
            <w:tcW w:w="1040" w:type="dxa"/>
            <w:vAlign w:val="bottom"/>
          </w:tcPr>
          <w:p>
            <w:pPr>
              <w:ind w:left="200"/>
              <w:spacing w:after="0"/>
              <w:rPr>
                <w:sz w:val="20"/>
                <w:szCs w:val="20"/>
                <w:color w:val="auto"/>
              </w:rPr>
            </w:pPr>
            <w:r>
              <w:rPr>
                <w:rFonts w:ascii="Arial" w:cs="Arial" w:eastAsia="Arial" w:hAnsi="Arial"/>
                <w:sz w:val="22"/>
                <w:szCs w:val="22"/>
                <w:color w:val="auto"/>
              </w:rPr>
              <w:t>“Share”</w:t>
            </w:r>
          </w:p>
        </w:tc>
        <w:tc>
          <w:tcPr>
            <w:tcW w:w="6700" w:type="dxa"/>
            <w:vAlign w:val="bottom"/>
          </w:tcPr>
          <w:p>
            <w:pPr>
              <w:spacing w:after="0"/>
              <w:rPr>
                <w:sz w:val="23"/>
                <w:szCs w:val="23"/>
                <w:color w:val="auto"/>
              </w:rPr>
            </w:pP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(cc)</w:t>
            </w:r>
          </w:p>
        </w:tc>
        <w:tc>
          <w:tcPr>
            <w:tcW w:w="1040" w:type="dxa"/>
            <w:vAlign w:val="bottom"/>
          </w:tcPr>
          <w:p>
            <w:pPr>
              <w:ind w:left="200"/>
              <w:spacing w:after="0"/>
              <w:rPr>
                <w:sz w:val="20"/>
                <w:szCs w:val="20"/>
                <w:color w:val="auto"/>
              </w:rPr>
            </w:pPr>
            <w:r>
              <w:rPr>
                <w:rFonts w:ascii="Arial" w:cs="Arial" w:eastAsia="Arial" w:hAnsi="Arial"/>
                <w:sz w:val="22"/>
                <w:szCs w:val="22"/>
                <w:color w:val="auto"/>
              </w:rPr>
              <w:t>“Stock”</w:t>
            </w:r>
          </w:p>
        </w:tc>
        <w:tc>
          <w:tcPr>
            <w:tcW w:w="67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(dd)</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“Stock Unit”</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(ee)</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“Subsidiary”</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45"/>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SECTION 3.</w:t>
            </w:r>
          </w:p>
        </w:tc>
        <w:tc>
          <w:tcPr>
            <w:tcW w:w="6700" w:type="dxa"/>
            <w:vAlign w:val="bottom"/>
          </w:tcPr>
          <w:p>
            <w:pPr>
              <w:ind w:left="140"/>
              <w:spacing w:after="0"/>
              <w:rPr>
                <w:sz w:val="20"/>
                <w:szCs w:val="20"/>
                <w:color w:val="auto"/>
              </w:rPr>
            </w:pPr>
            <w:r>
              <w:rPr>
                <w:rFonts w:ascii="Arial" w:cs="Arial" w:eastAsia="Arial" w:hAnsi="Arial"/>
                <w:sz w:val="22"/>
                <w:szCs w:val="22"/>
                <w:b w:val="1"/>
                <w:bCs w:val="1"/>
                <w:color w:val="auto"/>
              </w:rPr>
              <w:t>ADMINISTRATION.</w:t>
            </w:r>
          </w:p>
        </w:tc>
        <w:tc>
          <w:tcPr>
            <w:tcW w:w="2580" w:type="dxa"/>
            <w:vAlign w:val="bottom"/>
          </w:tcPr>
          <w:p>
            <w:pPr>
              <w:jc w:val="right"/>
              <w:spacing w:after="0"/>
              <w:rPr>
                <w:sz w:val="20"/>
                <w:szCs w:val="20"/>
                <w:color w:val="auto"/>
              </w:rPr>
            </w:pPr>
            <w:r>
              <w:rPr>
                <w:rFonts w:ascii="Arial" w:cs="Arial" w:eastAsia="Arial" w:hAnsi="Arial"/>
                <w:sz w:val="22"/>
                <w:szCs w:val="22"/>
                <w:b w:val="1"/>
                <w:bCs w:val="1"/>
                <w:color w:val="auto"/>
              </w:rPr>
              <w:t>5</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(a)</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Committee Composition</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(b)</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Committee Procedures</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(c)</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Committee Responsibilities</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46"/>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SECTION 4.</w:t>
            </w:r>
          </w:p>
        </w:tc>
        <w:tc>
          <w:tcPr>
            <w:tcW w:w="6700" w:type="dxa"/>
            <w:vAlign w:val="bottom"/>
          </w:tcPr>
          <w:p>
            <w:pPr>
              <w:ind w:left="140"/>
              <w:spacing w:after="0"/>
              <w:rPr>
                <w:sz w:val="20"/>
                <w:szCs w:val="20"/>
                <w:color w:val="auto"/>
              </w:rPr>
            </w:pPr>
            <w:r>
              <w:rPr>
                <w:rFonts w:ascii="Arial" w:cs="Arial" w:eastAsia="Arial" w:hAnsi="Arial"/>
                <w:sz w:val="22"/>
                <w:szCs w:val="22"/>
                <w:b w:val="1"/>
                <w:bCs w:val="1"/>
                <w:color w:val="auto"/>
              </w:rPr>
              <w:t>ELIGIBILITY.</w:t>
            </w:r>
          </w:p>
        </w:tc>
        <w:tc>
          <w:tcPr>
            <w:tcW w:w="2580" w:type="dxa"/>
            <w:vAlign w:val="bottom"/>
          </w:tcPr>
          <w:p>
            <w:pPr>
              <w:jc w:val="right"/>
              <w:spacing w:after="0"/>
              <w:rPr>
                <w:sz w:val="20"/>
                <w:szCs w:val="20"/>
                <w:color w:val="auto"/>
              </w:rPr>
            </w:pPr>
            <w:r>
              <w:rPr>
                <w:rFonts w:ascii="Arial" w:cs="Arial" w:eastAsia="Arial" w:hAnsi="Arial"/>
                <w:sz w:val="22"/>
                <w:szCs w:val="22"/>
                <w:b w:val="1"/>
                <w:bCs w:val="1"/>
                <w:color w:val="auto"/>
              </w:rPr>
              <w:t>7</w:t>
            </w:r>
          </w:p>
        </w:tc>
      </w:tr>
      <w:tr>
        <w:trPr>
          <w:trHeight w:val="445"/>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SECTION 5.</w:t>
            </w:r>
          </w:p>
        </w:tc>
        <w:tc>
          <w:tcPr>
            <w:tcW w:w="6700" w:type="dxa"/>
            <w:vAlign w:val="bottom"/>
          </w:tcPr>
          <w:p>
            <w:pPr>
              <w:ind w:left="140"/>
              <w:spacing w:after="0"/>
              <w:rPr>
                <w:sz w:val="20"/>
                <w:szCs w:val="20"/>
                <w:color w:val="auto"/>
              </w:rPr>
            </w:pPr>
            <w:r>
              <w:rPr>
                <w:rFonts w:ascii="Arial" w:cs="Arial" w:eastAsia="Arial" w:hAnsi="Arial"/>
                <w:sz w:val="22"/>
                <w:szCs w:val="22"/>
                <w:b w:val="1"/>
                <w:bCs w:val="1"/>
                <w:color w:val="auto"/>
              </w:rPr>
              <w:t>STOCK SUBJECT TO PLAN.</w:t>
            </w:r>
          </w:p>
        </w:tc>
        <w:tc>
          <w:tcPr>
            <w:tcW w:w="2580" w:type="dxa"/>
            <w:vAlign w:val="bottom"/>
          </w:tcPr>
          <w:p>
            <w:pPr>
              <w:jc w:val="right"/>
              <w:spacing w:after="0"/>
              <w:rPr>
                <w:sz w:val="20"/>
                <w:szCs w:val="20"/>
                <w:color w:val="auto"/>
              </w:rPr>
            </w:pPr>
            <w:r>
              <w:rPr>
                <w:rFonts w:ascii="Arial" w:cs="Arial" w:eastAsia="Arial" w:hAnsi="Arial"/>
                <w:sz w:val="22"/>
                <w:szCs w:val="22"/>
                <w:b w:val="1"/>
                <w:bCs w:val="1"/>
                <w:color w:val="auto"/>
              </w:rPr>
              <w:t>7</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(a)</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Basic Limitation</w:t>
            </w:r>
          </w:p>
        </w:tc>
        <w:tc>
          <w:tcPr>
            <w:tcW w:w="25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(b)</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Additional Shares</w:t>
            </w:r>
          </w:p>
        </w:tc>
        <w:tc>
          <w:tcPr>
            <w:tcW w:w="25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(c)</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Substitution and Assumption of Awards</w:t>
            </w:r>
          </w:p>
        </w:tc>
        <w:tc>
          <w:tcPr>
            <w:tcW w:w="25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46"/>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SECTION 6.</w:t>
            </w:r>
          </w:p>
        </w:tc>
        <w:tc>
          <w:tcPr>
            <w:tcW w:w="6700" w:type="dxa"/>
            <w:vAlign w:val="bottom"/>
          </w:tcPr>
          <w:p>
            <w:pPr>
              <w:ind w:left="140"/>
              <w:spacing w:after="0"/>
              <w:rPr>
                <w:sz w:val="20"/>
                <w:szCs w:val="20"/>
                <w:color w:val="auto"/>
              </w:rPr>
            </w:pPr>
            <w:r>
              <w:rPr>
                <w:rFonts w:ascii="Arial" w:cs="Arial" w:eastAsia="Arial" w:hAnsi="Arial"/>
                <w:sz w:val="22"/>
                <w:szCs w:val="22"/>
                <w:b w:val="1"/>
                <w:bCs w:val="1"/>
                <w:color w:val="auto"/>
              </w:rPr>
              <w:t>RESTRICTED SHARES.</w:t>
            </w:r>
          </w:p>
        </w:tc>
        <w:tc>
          <w:tcPr>
            <w:tcW w:w="2580" w:type="dxa"/>
            <w:vAlign w:val="bottom"/>
          </w:tcPr>
          <w:p>
            <w:pPr>
              <w:jc w:val="right"/>
              <w:spacing w:after="0"/>
              <w:rPr>
                <w:sz w:val="20"/>
                <w:szCs w:val="20"/>
                <w:color w:val="auto"/>
              </w:rPr>
            </w:pPr>
            <w:r>
              <w:rPr>
                <w:rFonts w:ascii="Arial" w:cs="Arial" w:eastAsia="Arial" w:hAnsi="Arial"/>
                <w:sz w:val="22"/>
                <w:szCs w:val="22"/>
                <w:b w:val="1"/>
                <w:bCs w:val="1"/>
                <w:color w:val="auto"/>
              </w:rPr>
              <w:t>8</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(a)</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Restricted Share Award Agreement</w:t>
            </w: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(b)</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Payment for Awards</w:t>
            </w: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(c)</w:t>
            </w:r>
          </w:p>
        </w:tc>
        <w:tc>
          <w:tcPr>
            <w:tcW w:w="1040" w:type="dxa"/>
            <w:vAlign w:val="bottom"/>
          </w:tcPr>
          <w:p>
            <w:pPr>
              <w:ind w:left="200"/>
              <w:spacing w:after="0"/>
              <w:rPr>
                <w:sz w:val="20"/>
                <w:szCs w:val="20"/>
                <w:color w:val="auto"/>
              </w:rPr>
            </w:pPr>
            <w:r>
              <w:rPr>
                <w:rFonts w:ascii="Arial" w:cs="Arial" w:eastAsia="Arial" w:hAnsi="Arial"/>
                <w:sz w:val="22"/>
                <w:szCs w:val="22"/>
                <w:color w:val="auto"/>
              </w:rPr>
              <w:t>Vesting</w:t>
            </w:r>
          </w:p>
        </w:tc>
        <w:tc>
          <w:tcPr>
            <w:tcW w:w="67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7"/>
        </w:trPr>
        <w:tc>
          <w:tcPr>
            <w:tcW w:w="880" w:type="dxa"/>
            <w:vAlign w:val="bottom"/>
          </w:tcPr>
          <w:p>
            <w:pPr>
              <w:ind w:left="320"/>
              <w:spacing w:after="0"/>
              <w:rPr>
                <w:sz w:val="20"/>
                <w:szCs w:val="20"/>
                <w:color w:val="auto"/>
              </w:rPr>
            </w:pPr>
            <w:r>
              <w:rPr>
                <w:rFonts w:ascii="Arial" w:cs="Arial" w:eastAsia="Arial" w:hAnsi="Arial"/>
                <w:sz w:val="22"/>
                <w:szCs w:val="22"/>
                <w:color w:val="auto"/>
              </w:rPr>
              <w:t>(d)</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Voting and Dividend Rights</w:t>
            </w: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(e)</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Restrictions on Transfer of Shares</w:t>
            </w: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45"/>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SECTION 7.</w:t>
            </w:r>
          </w:p>
        </w:tc>
        <w:tc>
          <w:tcPr>
            <w:tcW w:w="6700" w:type="dxa"/>
            <w:vAlign w:val="bottom"/>
          </w:tcPr>
          <w:p>
            <w:pPr>
              <w:ind w:left="140"/>
              <w:spacing w:after="0"/>
              <w:rPr>
                <w:sz w:val="20"/>
                <w:szCs w:val="20"/>
                <w:color w:val="auto"/>
              </w:rPr>
            </w:pPr>
            <w:r>
              <w:rPr>
                <w:rFonts w:ascii="Arial" w:cs="Arial" w:eastAsia="Arial" w:hAnsi="Arial"/>
                <w:sz w:val="22"/>
                <w:szCs w:val="22"/>
                <w:b w:val="1"/>
                <w:bCs w:val="1"/>
                <w:color w:val="auto"/>
              </w:rPr>
              <w:t>TERMS AND CONDITIONS OF OPTIONS.</w:t>
            </w:r>
          </w:p>
        </w:tc>
        <w:tc>
          <w:tcPr>
            <w:tcW w:w="2580" w:type="dxa"/>
            <w:vAlign w:val="bottom"/>
          </w:tcPr>
          <w:p>
            <w:pPr>
              <w:jc w:val="right"/>
              <w:spacing w:after="0"/>
              <w:rPr>
                <w:sz w:val="20"/>
                <w:szCs w:val="20"/>
                <w:color w:val="auto"/>
              </w:rPr>
            </w:pPr>
            <w:r>
              <w:rPr>
                <w:rFonts w:ascii="Arial" w:cs="Arial" w:eastAsia="Arial" w:hAnsi="Arial"/>
                <w:sz w:val="22"/>
                <w:szCs w:val="22"/>
                <w:b w:val="1"/>
                <w:bCs w:val="1"/>
                <w:color w:val="auto"/>
              </w:rPr>
              <w:t>8</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(a)</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Stock Option Award Agreement</w:t>
            </w: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(b)</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Number of Shares</w:t>
            </w:r>
          </w:p>
        </w:tc>
        <w:tc>
          <w:tcPr>
            <w:tcW w:w="25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(c)</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Exercise Price</w:t>
            </w:r>
          </w:p>
        </w:tc>
        <w:tc>
          <w:tcPr>
            <w:tcW w:w="25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(d)</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Withholding Taxes</w:t>
            </w:r>
          </w:p>
        </w:tc>
        <w:tc>
          <w:tcPr>
            <w:tcW w:w="25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(e)</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Exercisability and Term</w:t>
            </w:r>
          </w:p>
        </w:tc>
        <w:tc>
          <w:tcPr>
            <w:tcW w:w="25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(f)</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Exercise of Options</w:t>
            </w:r>
          </w:p>
        </w:tc>
        <w:tc>
          <w:tcPr>
            <w:tcW w:w="25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(g)</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Effect of Change in Control</w:t>
            </w:r>
          </w:p>
        </w:tc>
        <w:tc>
          <w:tcPr>
            <w:tcW w:w="25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(h)</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No Rights as a Stockholder</w:t>
            </w:r>
          </w:p>
        </w:tc>
        <w:tc>
          <w:tcPr>
            <w:tcW w:w="25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880" w:type="dxa"/>
            <w:vAlign w:val="bottom"/>
          </w:tcPr>
          <w:p>
            <w:pPr>
              <w:ind w:left="320"/>
              <w:spacing w:after="0"/>
              <w:rPr>
                <w:sz w:val="20"/>
                <w:szCs w:val="20"/>
                <w:color w:val="auto"/>
              </w:rPr>
            </w:pPr>
            <w:r>
              <w:rPr>
                <w:rFonts w:ascii="Arial" w:cs="Arial" w:eastAsia="Arial" w:hAnsi="Arial"/>
                <w:sz w:val="22"/>
                <w:szCs w:val="22"/>
                <w:color w:val="auto"/>
              </w:rPr>
              <w:t>(i)</w:t>
            </w:r>
          </w:p>
        </w:tc>
        <w:tc>
          <w:tcPr>
            <w:tcW w:w="7740" w:type="dxa"/>
            <w:vAlign w:val="bottom"/>
            <w:gridSpan w:val="2"/>
          </w:tcPr>
          <w:p>
            <w:pPr>
              <w:ind w:left="200"/>
              <w:spacing w:after="0"/>
              <w:rPr>
                <w:sz w:val="20"/>
                <w:szCs w:val="20"/>
                <w:color w:val="auto"/>
              </w:rPr>
            </w:pPr>
            <w:r>
              <w:rPr>
                <w:rFonts w:ascii="Arial" w:cs="Arial" w:eastAsia="Arial" w:hAnsi="Arial"/>
                <w:sz w:val="22"/>
                <w:szCs w:val="22"/>
                <w:color w:val="auto"/>
              </w:rPr>
              <w:t>Modification, Extension and Renewal of Options</w:t>
            </w:r>
          </w:p>
        </w:tc>
        <w:tc>
          <w:tcPr>
            <w:tcW w:w="2580" w:type="dxa"/>
            <w:vAlign w:val="bottom"/>
          </w:tcPr>
          <w:p>
            <w:pPr>
              <w:jc w:val="right"/>
              <w:spacing w:after="0"/>
              <w:rPr>
                <w:sz w:val="20"/>
                <w:szCs w:val="20"/>
                <w:color w:val="auto"/>
              </w:rPr>
            </w:pPr>
            <w:r>
              <w:rPr>
                <w:rFonts w:ascii="Arial" w:cs="Arial" w:eastAsia="Arial" w:hAnsi="Arial"/>
                <w:sz w:val="22"/>
                <w:szCs w:val="22"/>
                <w:color w:val="auto"/>
              </w:rPr>
              <w:t>10</w:t>
            </w: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7" w:right="35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274"/>
        </w:trPr>
        <w:tc>
          <w:tcPr>
            <w:tcW w:w="820" w:type="dxa"/>
            <w:vAlign w:val="bottom"/>
          </w:tcPr>
          <w:p>
            <w:pPr>
              <w:ind w:left="320"/>
              <w:spacing w:after="0"/>
              <w:rPr>
                <w:sz w:val="20"/>
                <w:szCs w:val="20"/>
                <w:color w:val="auto"/>
              </w:rPr>
            </w:pPr>
            <w:r>
              <w:rPr>
                <w:rFonts w:ascii="Arial" w:cs="Arial" w:eastAsia="Arial" w:hAnsi="Arial"/>
                <w:sz w:val="22"/>
                <w:szCs w:val="22"/>
                <w:color w:val="auto"/>
              </w:rPr>
              <w:t>(j)</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Repricing of Options</w:t>
            </w:r>
          </w:p>
        </w:tc>
        <w:tc>
          <w:tcPr>
            <w:tcW w:w="29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(k)</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Restrictions on Transfer of Shares</w:t>
            </w:r>
          </w:p>
        </w:tc>
        <w:tc>
          <w:tcPr>
            <w:tcW w:w="29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(l)</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Buyout Provisions</w:t>
            </w:r>
          </w:p>
        </w:tc>
        <w:tc>
          <w:tcPr>
            <w:tcW w:w="29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8.</w:t>
            </w:r>
          </w:p>
        </w:tc>
        <w:tc>
          <w:tcPr>
            <w:tcW w:w="6560" w:type="dxa"/>
            <w:vAlign w:val="bottom"/>
          </w:tcPr>
          <w:p>
            <w:pPr>
              <w:ind w:left="380"/>
              <w:spacing w:after="0"/>
              <w:rPr>
                <w:sz w:val="20"/>
                <w:szCs w:val="20"/>
                <w:color w:val="auto"/>
              </w:rPr>
            </w:pPr>
            <w:r>
              <w:rPr>
                <w:rFonts w:ascii="Arial" w:cs="Arial" w:eastAsia="Arial" w:hAnsi="Arial"/>
                <w:sz w:val="22"/>
                <w:szCs w:val="22"/>
                <w:b w:val="1"/>
                <w:bCs w:val="1"/>
                <w:color w:val="auto"/>
              </w:rPr>
              <w:t>PAYMENT FOR SHARES.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10</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(a)</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General Rule</w:t>
            </w:r>
          </w:p>
        </w:tc>
        <w:tc>
          <w:tcPr>
            <w:tcW w:w="29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(b)</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Surrender of Stock</w:t>
            </w:r>
          </w:p>
        </w:tc>
        <w:tc>
          <w:tcPr>
            <w:tcW w:w="29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(c)</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Services To Be Rendered</w:t>
            </w:r>
          </w:p>
        </w:tc>
        <w:tc>
          <w:tcPr>
            <w:tcW w:w="29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(d)</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Cashless Exercise</w:t>
            </w:r>
          </w:p>
        </w:tc>
        <w:tc>
          <w:tcPr>
            <w:tcW w:w="29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(e)</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Exercise/Pledge</w:t>
            </w:r>
          </w:p>
        </w:tc>
        <w:tc>
          <w:tcPr>
            <w:tcW w:w="29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(f)</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Net Exercise</w:t>
            </w:r>
          </w:p>
        </w:tc>
        <w:tc>
          <w:tcPr>
            <w:tcW w:w="29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(g)</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Promissory Note</w:t>
            </w:r>
          </w:p>
        </w:tc>
        <w:tc>
          <w:tcPr>
            <w:tcW w:w="29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(h)</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Other Forms of Payment</w:t>
            </w:r>
          </w:p>
        </w:tc>
        <w:tc>
          <w:tcPr>
            <w:tcW w:w="29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(i)</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Limitations under Applicable Law</w:t>
            </w:r>
          </w:p>
        </w:tc>
        <w:tc>
          <w:tcPr>
            <w:tcW w:w="29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9.</w:t>
            </w:r>
          </w:p>
        </w:tc>
        <w:tc>
          <w:tcPr>
            <w:tcW w:w="6560" w:type="dxa"/>
            <w:vAlign w:val="bottom"/>
          </w:tcPr>
          <w:p>
            <w:pPr>
              <w:ind w:left="380"/>
              <w:spacing w:after="0"/>
              <w:rPr>
                <w:sz w:val="20"/>
                <w:szCs w:val="20"/>
                <w:color w:val="auto"/>
              </w:rPr>
            </w:pPr>
            <w:r>
              <w:rPr>
                <w:rFonts w:ascii="Arial" w:cs="Arial" w:eastAsia="Arial" w:hAnsi="Arial"/>
                <w:sz w:val="22"/>
                <w:szCs w:val="22"/>
                <w:b w:val="1"/>
                <w:bCs w:val="1"/>
                <w:color w:val="auto"/>
              </w:rPr>
              <w:t>STOCK APPRECIATION RIGHTS.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11</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(a)</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SAR Award Agreement</w:t>
            </w:r>
          </w:p>
        </w:tc>
        <w:tc>
          <w:tcPr>
            <w:tcW w:w="29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(b)</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Number of Shares</w:t>
            </w:r>
          </w:p>
        </w:tc>
        <w:tc>
          <w:tcPr>
            <w:tcW w:w="29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(c)</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Exercise Price</w:t>
            </w:r>
          </w:p>
        </w:tc>
        <w:tc>
          <w:tcPr>
            <w:tcW w:w="29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(d)</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Exercisability and Term</w:t>
            </w:r>
          </w:p>
        </w:tc>
        <w:tc>
          <w:tcPr>
            <w:tcW w:w="29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(e)</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Effect of Change in Control</w:t>
            </w:r>
          </w:p>
        </w:tc>
        <w:tc>
          <w:tcPr>
            <w:tcW w:w="29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(f)</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Exercise of SARs</w:t>
            </w:r>
          </w:p>
        </w:tc>
        <w:tc>
          <w:tcPr>
            <w:tcW w:w="29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(g)</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Modification, Extension or Assumption of SARs</w:t>
            </w:r>
          </w:p>
        </w:tc>
        <w:tc>
          <w:tcPr>
            <w:tcW w:w="29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7"/>
        </w:trPr>
        <w:tc>
          <w:tcPr>
            <w:tcW w:w="820" w:type="dxa"/>
            <w:vAlign w:val="bottom"/>
          </w:tcPr>
          <w:p>
            <w:pPr>
              <w:ind w:left="320"/>
              <w:spacing w:after="0"/>
              <w:rPr>
                <w:sz w:val="20"/>
                <w:szCs w:val="20"/>
                <w:color w:val="auto"/>
              </w:rPr>
            </w:pPr>
            <w:r>
              <w:rPr>
                <w:rFonts w:ascii="Arial" w:cs="Arial" w:eastAsia="Arial" w:hAnsi="Arial"/>
                <w:sz w:val="22"/>
                <w:szCs w:val="22"/>
                <w:color w:val="auto"/>
              </w:rPr>
              <w:t>(h)</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Repricing of SARs</w:t>
            </w:r>
          </w:p>
        </w:tc>
        <w:tc>
          <w:tcPr>
            <w:tcW w:w="29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(i)</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Buyout Provisions</w:t>
            </w:r>
          </w:p>
        </w:tc>
        <w:tc>
          <w:tcPr>
            <w:tcW w:w="29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46"/>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10.</w:t>
            </w:r>
          </w:p>
        </w:tc>
        <w:tc>
          <w:tcPr>
            <w:tcW w:w="6560" w:type="dxa"/>
            <w:vAlign w:val="bottom"/>
          </w:tcPr>
          <w:p>
            <w:pPr>
              <w:ind w:left="380"/>
              <w:spacing w:after="0"/>
              <w:rPr>
                <w:sz w:val="20"/>
                <w:szCs w:val="20"/>
                <w:color w:val="auto"/>
              </w:rPr>
            </w:pPr>
            <w:r>
              <w:rPr>
                <w:rFonts w:ascii="Arial" w:cs="Arial" w:eastAsia="Arial" w:hAnsi="Arial"/>
                <w:sz w:val="22"/>
                <w:szCs w:val="22"/>
                <w:b w:val="1"/>
                <w:bCs w:val="1"/>
                <w:color w:val="auto"/>
              </w:rPr>
              <w:t>STOCK UNITS.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13</w:t>
            </w:r>
          </w:p>
        </w:tc>
      </w:tr>
      <w:tr>
        <w:trPr>
          <w:trHeight w:val="337"/>
        </w:trPr>
        <w:tc>
          <w:tcPr>
            <w:tcW w:w="820" w:type="dxa"/>
            <w:vAlign w:val="bottom"/>
          </w:tcPr>
          <w:p>
            <w:pPr>
              <w:ind w:left="320"/>
              <w:spacing w:after="0"/>
              <w:rPr>
                <w:sz w:val="20"/>
                <w:szCs w:val="20"/>
                <w:color w:val="auto"/>
              </w:rPr>
            </w:pPr>
            <w:r>
              <w:rPr>
                <w:rFonts w:ascii="Arial" w:cs="Arial" w:eastAsia="Arial" w:hAnsi="Arial"/>
                <w:sz w:val="22"/>
                <w:szCs w:val="22"/>
                <w:color w:val="auto"/>
              </w:rPr>
              <w:t>(a)</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Stock Unit Award Agreement</w:t>
            </w:r>
          </w:p>
        </w:tc>
        <w:tc>
          <w:tcPr>
            <w:tcW w:w="29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(b)</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Payment for Awards</w:t>
            </w:r>
          </w:p>
        </w:tc>
        <w:tc>
          <w:tcPr>
            <w:tcW w:w="29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(c)</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Vesting Conditions</w:t>
            </w:r>
          </w:p>
        </w:tc>
        <w:tc>
          <w:tcPr>
            <w:tcW w:w="29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(d)</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Voting and Dividend Rights</w:t>
            </w:r>
          </w:p>
        </w:tc>
        <w:tc>
          <w:tcPr>
            <w:tcW w:w="29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(e)</w:t>
            </w:r>
          </w:p>
        </w:tc>
        <w:tc>
          <w:tcPr>
            <w:tcW w:w="7420" w:type="dxa"/>
            <w:vAlign w:val="bottom"/>
            <w:gridSpan w:val="2"/>
          </w:tcPr>
          <w:p>
            <w:pPr>
              <w:ind w:left="260"/>
              <w:spacing w:after="0"/>
              <w:rPr>
                <w:sz w:val="20"/>
                <w:szCs w:val="20"/>
                <w:color w:val="auto"/>
              </w:rPr>
            </w:pPr>
            <w:r>
              <w:rPr>
                <w:rFonts w:ascii="Arial" w:cs="Arial" w:eastAsia="Arial" w:hAnsi="Arial"/>
                <w:sz w:val="22"/>
                <w:szCs w:val="22"/>
                <w:color w:val="auto"/>
              </w:rPr>
              <w:t>Form and Time of Settlement of Stock Units</w:t>
            </w:r>
          </w:p>
        </w:tc>
        <w:tc>
          <w:tcPr>
            <w:tcW w:w="2960" w:type="dxa"/>
            <w:vAlign w:val="bottom"/>
          </w:tcPr>
          <w:p>
            <w:pPr>
              <w:jc w:val="right"/>
              <w:spacing w:after="0"/>
              <w:rPr>
                <w:sz w:val="20"/>
                <w:szCs w:val="20"/>
                <w:color w:val="auto"/>
              </w:rPr>
            </w:pPr>
            <w:r>
              <w:rPr>
                <w:rFonts w:ascii="Arial" w:cs="Arial" w:eastAsia="Arial" w:hAnsi="Arial"/>
                <w:sz w:val="22"/>
                <w:szCs w:val="22"/>
                <w:color w:val="auto"/>
              </w:rPr>
              <w:t>13</w:t>
            </w: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7" w:right="35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74"/>
        </w:trPr>
        <w:tc>
          <w:tcPr>
            <w:tcW w:w="820" w:type="dxa"/>
            <w:vAlign w:val="bottom"/>
          </w:tcPr>
          <w:p>
            <w:pPr>
              <w:ind w:left="320"/>
              <w:spacing w:after="0"/>
              <w:rPr>
                <w:sz w:val="20"/>
                <w:szCs w:val="20"/>
                <w:color w:val="auto"/>
              </w:rPr>
            </w:pPr>
            <w:r>
              <w:rPr>
                <w:rFonts w:ascii="Arial" w:cs="Arial" w:eastAsia="Arial" w:hAnsi="Arial"/>
                <w:sz w:val="22"/>
                <w:szCs w:val="22"/>
                <w:color w:val="auto"/>
              </w:rPr>
              <w:t>(f)</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Death of Participant</w:t>
            </w:r>
          </w:p>
        </w:tc>
        <w:tc>
          <w:tcPr>
            <w:tcW w:w="23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(g)</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Creditors’ Rights</w:t>
            </w:r>
          </w:p>
        </w:tc>
        <w:tc>
          <w:tcPr>
            <w:tcW w:w="23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11.</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CASH-BASED AWARDS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r>
        <w:trPr>
          <w:trHeight w:val="446"/>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12.</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ADJUSTMENT OF SHARES.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(a)</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Adjustments</w:t>
            </w:r>
          </w:p>
        </w:tc>
        <w:tc>
          <w:tcPr>
            <w:tcW w:w="23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(b)</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Dissolution or Liquidation</w:t>
            </w:r>
          </w:p>
        </w:tc>
        <w:tc>
          <w:tcPr>
            <w:tcW w:w="23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(c)</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Reorganizations</w:t>
            </w:r>
          </w:p>
        </w:tc>
        <w:tc>
          <w:tcPr>
            <w:tcW w:w="23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(d)</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Reservation of Rights</w:t>
            </w:r>
          </w:p>
        </w:tc>
        <w:tc>
          <w:tcPr>
            <w:tcW w:w="23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13.</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DEFERRAL OF AWARDS.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(a)</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Committee Powers</w:t>
            </w:r>
          </w:p>
        </w:tc>
        <w:tc>
          <w:tcPr>
            <w:tcW w:w="23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(b)</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General Rules</w:t>
            </w:r>
          </w:p>
        </w:tc>
        <w:tc>
          <w:tcPr>
            <w:tcW w:w="23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46"/>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14.</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LEGAL AND REGULATORY REQUIREMENTS.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15.</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TAXES.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17</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(a)</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Withholding Taxes</w:t>
            </w:r>
          </w:p>
        </w:tc>
        <w:tc>
          <w:tcPr>
            <w:tcW w:w="23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(b)</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Share Withholding</w:t>
            </w:r>
          </w:p>
        </w:tc>
        <w:tc>
          <w:tcPr>
            <w:tcW w:w="23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(c)</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Section 409A</w:t>
            </w:r>
          </w:p>
        </w:tc>
        <w:tc>
          <w:tcPr>
            <w:tcW w:w="23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46"/>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16.</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TRANSFERABILITY.</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17</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17.</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PERFORMANCE BASED AWARDS.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18</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18.</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NO EMPLOYMENT RIGHTS.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18</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19.</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DURATION AND AMENDMENTS.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18</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(a)</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Term of the Plan</w:t>
            </w:r>
          </w:p>
        </w:tc>
        <w:tc>
          <w:tcPr>
            <w:tcW w:w="23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(b)</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Right to Amend the Plan</w:t>
            </w:r>
          </w:p>
        </w:tc>
        <w:tc>
          <w:tcPr>
            <w:tcW w:w="23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38"/>
        </w:trPr>
        <w:tc>
          <w:tcPr>
            <w:tcW w:w="820" w:type="dxa"/>
            <w:vAlign w:val="bottom"/>
          </w:tcPr>
          <w:p>
            <w:pPr>
              <w:ind w:left="320"/>
              <w:spacing w:after="0"/>
              <w:rPr>
                <w:sz w:val="20"/>
                <w:szCs w:val="20"/>
                <w:color w:val="auto"/>
              </w:rPr>
            </w:pPr>
            <w:r>
              <w:rPr>
                <w:rFonts w:ascii="Arial" w:cs="Arial" w:eastAsia="Arial" w:hAnsi="Arial"/>
                <w:sz w:val="22"/>
                <w:szCs w:val="22"/>
                <w:color w:val="auto"/>
              </w:rPr>
              <w:t>(c)</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Effect of Termination</w:t>
            </w:r>
          </w:p>
        </w:tc>
        <w:tc>
          <w:tcPr>
            <w:tcW w:w="23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20.</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AWARDS TO NON-U.S. PARTICIPANTS.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18</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21.</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GOVERNING LAW.</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18</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22.</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SUCCESSORS AND ASSIGNS.</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445"/>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SECTION 23.</w:t>
            </w:r>
          </w:p>
        </w:tc>
        <w:tc>
          <w:tcPr>
            <w:tcW w:w="7220" w:type="dxa"/>
            <w:vAlign w:val="bottom"/>
          </w:tcPr>
          <w:p>
            <w:pPr>
              <w:ind w:left="380"/>
              <w:spacing w:after="0"/>
              <w:rPr>
                <w:sz w:val="20"/>
                <w:szCs w:val="20"/>
                <w:color w:val="auto"/>
              </w:rPr>
            </w:pPr>
            <w:r>
              <w:rPr>
                <w:rFonts w:ascii="Arial" w:cs="Arial" w:eastAsia="Arial" w:hAnsi="Arial"/>
                <w:sz w:val="22"/>
                <w:szCs w:val="22"/>
                <w:b w:val="1"/>
                <w:bCs w:val="1"/>
                <w:color w:val="auto"/>
              </w:rPr>
              <w:t>EXECUTION.</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bl>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7" w:right="359" w:bottom="1440" w:gutter="0" w:footer="0" w:header="0"/>
        </w:sectPr>
      </w:pPr>
    </w:p>
    <w:bookmarkStart w:id="100" w:name="page101"/>
    <w:bookmarkEnd w:id="100"/>
    <w:p>
      <w:pPr>
        <w:ind w:left="4400"/>
        <w:spacing w:after="0"/>
        <w:rPr>
          <w:sz w:val="20"/>
          <w:szCs w:val="20"/>
          <w:color w:val="auto"/>
        </w:rPr>
      </w:pPr>
      <w:r>
        <w:rPr>
          <w:rFonts w:ascii="Arial" w:cs="Arial" w:eastAsia="Arial" w:hAnsi="Arial"/>
          <w:sz w:val="22"/>
          <w:szCs w:val="22"/>
          <w:b w:val="1"/>
          <w:bCs w:val="1"/>
          <w:color w:val="auto"/>
        </w:rPr>
        <w:t>SITIME CORPORATION</w:t>
      </w:r>
    </w:p>
    <w:p>
      <w:pPr>
        <w:spacing w:after="0" w:line="206"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2022 INDUCEMENT AWARD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ESTABLISHMENT AND PURPOSE.</w:t>
      </w:r>
    </w:p>
    <w:p>
      <w:pPr>
        <w:spacing w:after="0" w:line="212" w:lineRule="exact"/>
        <w:rPr>
          <w:sz w:val="20"/>
          <w:szCs w:val="20"/>
          <w:color w:val="auto"/>
        </w:rPr>
      </w:pPr>
    </w:p>
    <w:p>
      <w:pPr>
        <w:ind w:right="80" w:firstLine="749"/>
        <w:spacing w:after="0" w:line="236" w:lineRule="auto"/>
        <w:rPr>
          <w:sz w:val="20"/>
          <w:szCs w:val="20"/>
          <w:color w:val="auto"/>
        </w:rPr>
      </w:pPr>
      <w:r>
        <w:rPr>
          <w:rFonts w:ascii="Arial" w:cs="Arial" w:eastAsia="Arial" w:hAnsi="Arial"/>
          <w:sz w:val="22"/>
          <w:szCs w:val="22"/>
          <w:color w:val="auto"/>
        </w:rPr>
        <w:t>The Plan was adopted by the Committee on February 23, 2022 and is effective on such date (the “Effective Date”). The Plan’s purpose is to provide an inducement material for eligible award recipients to enter into employment with the Company, a Parent, a Subsidiary or an Affiliate within the meaning of Rule 5635(c)(4) of the Nasdaq Listing Rules and to enhance the Company’s ability to attract, retain and motivate such persons by providing these individuals with equity ownership and other incentive opportunities.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DEFINITIONS.</w:t>
      </w:r>
    </w:p>
    <w:p>
      <w:pPr>
        <w:spacing w:after="0" w:line="212" w:lineRule="exact"/>
        <w:rPr>
          <w:sz w:val="20"/>
          <w:szCs w:val="20"/>
          <w:color w:val="auto"/>
        </w:rPr>
      </w:pPr>
    </w:p>
    <w:p>
      <w:pPr>
        <w:ind w:right="220" w:firstLine="757"/>
        <w:spacing w:after="0" w:line="250"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color w:val="auto"/>
        </w:rPr>
        <w:t>“Affiliate” means any entity other than a Subsidiary, if the Company and/or one or more Subsidiaries own not less than 50% of such entity.</w:t>
      </w:r>
    </w:p>
    <w:p>
      <w:pPr>
        <w:spacing w:after="0" w:line="174" w:lineRule="exact"/>
        <w:rPr>
          <w:rFonts w:ascii="Arial" w:cs="Arial" w:eastAsia="Arial" w:hAnsi="Arial"/>
          <w:sz w:val="22"/>
          <w:szCs w:val="22"/>
          <w:color w:val="auto"/>
        </w:rPr>
      </w:pPr>
    </w:p>
    <w:p>
      <w:pPr>
        <w:ind w:left="1500" w:hanging="743"/>
        <w:spacing w:after="0"/>
        <w:tabs>
          <w:tab w:leader="none" w:pos="15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“Award” means any award of an Option, a SAR, a Restricted Share, a Stock Unit or a Cash-Based Award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88" w:lineRule="exact"/>
        <w:rPr>
          <w:rFonts w:ascii="Arial" w:cs="Arial" w:eastAsia="Arial" w:hAnsi="Arial"/>
          <w:sz w:val="19"/>
          <w:szCs w:val="19"/>
          <w:color w:val="auto"/>
        </w:rPr>
      </w:pPr>
    </w:p>
    <w:p>
      <w:pPr>
        <w:ind w:right="120" w:firstLine="757"/>
        <w:spacing w:after="0" w:line="250"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color w:val="auto"/>
        </w:rPr>
        <w:t>“Award Agreement” means the agreement between the Company and the recipient of an Award which contains the terms, conditions and restrictions pertaining to such Award.</w:t>
      </w:r>
    </w:p>
    <w:p>
      <w:pPr>
        <w:spacing w:after="0" w:line="174" w:lineRule="exact"/>
        <w:rPr>
          <w:rFonts w:ascii="Arial" w:cs="Arial" w:eastAsia="Arial" w:hAnsi="Arial"/>
          <w:sz w:val="22"/>
          <w:szCs w:val="22"/>
          <w:color w:val="auto"/>
        </w:rPr>
      </w:pPr>
    </w:p>
    <w:p>
      <w:pPr>
        <w:ind w:left="1500" w:hanging="743"/>
        <w:spacing w:after="0"/>
        <w:tabs>
          <w:tab w:leader="none" w:pos="15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“Board of Directors” or “Board” means the Board of Directors of the Company, as constituted from time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188" w:lineRule="exact"/>
        <w:rPr>
          <w:rFonts w:ascii="Arial" w:cs="Arial" w:eastAsia="Arial" w:hAnsi="Arial"/>
          <w:sz w:val="19"/>
          <w:szCs w:val="19"/>
          <w:color w:val="auto"/>
        </w:rPr>
      </w:pPr>
    </w:p>
    <w:p>
      <w:pPr>
        <w:ind w:left="1500" w:hanging="743"/>
        <w:spacing w:after="0"/>
        <w:tabs>
          <w:tab w:leader="none" w:pos="15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“Cash-Based Award” means an Award that entitles the Participant to receive a cash-denominated payment.</w:t>
      </w:r>
    </w:p>
    <w:p>
      <w:pPr>
        <w:spacing w:after="0" w:line="240" w:lineRule="exact"/>
        <w:rPr>
          <w:rFonts w:ascii="Arial" w:cs="Arial" w:eastAsia="Arial" w:hAnsi="Arial"/>
          <w:sz w:val="19"/>
          <w:szCs w:val="19"/>
          <w:color w:val="auto"/>
        </w:rPr>
      </w:pPr>
    </w:p>
    <w:p>
      <w:pPr>
        <w:ind w:left="2000" w:hanging="1243"/>
        <w:spacing w:after="0"/>
        <w:tabs>
          <w:tab w:leader="none" w:pos="20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“Change in Control” means the occurrence of any of the following events:</w:t>
      </w:r>
    </w:p>
    <w:p>
      <w:pPr>
        <w:spacing w:after="0" w:line="206" w:lineRule="exact"/>
        <w:rPr>
          <w:rFonts w:ascii="Arial" w:cs="Arial" w:eastAsia="Arial" w:hAnsi="Arial"/>
          <w:sz w:val="22"/>
          <w:szCs w:val="22"/>
          <w:color w:val="auto"/>
        </w:rPr>
      </w:pPr>
    </w:p>
    <w:p>
      <w:pPr>
        <w:ind w:left="2260" w:right="100" w:hanging="755"/>
        <w:spacing w:after="0" w:line="250" w:lineRule="auto"/>
        <w:tabs>
          <w:tab w:leader="none" w:pos="22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change in the composition of the Board of Directors occurs, as a result of which fewer than one-half of the incumbent directors are directors who either:</w:t>
      </w:r>
    </w:p>
    <w:p>
      <w:pPr>
        <w:spacing w:after="0" w:line="174" w:lineRule="exact"/>
        <w:rPr>
          <w:rFonts w:ascii="Arial" w:cs="Arial" w:eastAsia="Arial" w:hAnsi="Arial"/>
          <w:sz w:val="22"/>
          <w:szCs w:val="22"/>
          <w:color w:val="auto"/>
        </w:rPr>
      </w:pPr>
    </w:p>
    <w:p>
      <w:pPr>
        <w:ind w:left="3000" w:right="160" w:hanging="746"/>
        <w:spacing w:after="0" w:line="250" w:lineRule="auto"/>
        <w:tabs>
          <w:tab w:leader="none" w:pos="3000" w:val="left"/>
        </w:tabs>
        <w:numPr>
          <w:ilvl w:val="2"/>
          <w:numId w:val="47"/>
        </w:numPr>
        <w:rPr>
          <w:rFonts w:ascii="Arial" w:cs="Arial" w:eastAsia="Arial" w:hAnsi="Arial"/>
          <w:sz w:val="22"/>
          <w:szCs w:val="22"/>
          <w:color w:val="auto"/>
        </w:rPr>
      </w:pPr>
      <w:r>
        <w:rPr>
          <w:rFonts w:ascii="Arial" w:cs="Arial" w:eastAsia="Arial" w:hAnsi="Arial"/>
          <w:sz w:val="22"/>
          <w:szCs w:val="22"/>
          <w:color w:val="auto"/>
        </w:rPr>
        <w:t>Had been directors of the Company on the “look-back date” (as defined below) (the “original directors”); or</w:t>
      </w:r>
    </w:p>
    <w:p>
      <w:pPr>
        <w:spacing w:after="0" w:line="174" w:lineRule="exact"/>
        <w:rPr>
          <w:rFonts w:ascii="Arial" w:cs="Arial" w:eastAsia="Arial" w:hAnsi="Arial"/>
          <w:sz w:val="22"/>
          <w:szCs w:val="22"/>
          <w:color w:val="auto"/>
        </w:rPr>
      </w:pPr>
    </w:p>
    <w:p>
      <w:pPr>
        <w:ind w:left="3000" w:hanging="746"/>
        <w:spacing w:after="0" w:line="238" w:lineRule="auto"/>
        <w:tabs>
          <w:tab w:leader="none" w:pos="3000" w:val="left"/>
        </w:tabs>
        <w:numPr>
          <w:ilvl w:val="2"/>
          <w:numId w:val="47"/>
        </w:numPr>
        <w:rPr>
          <w:rFonts w:ascii="Arial" w:cs="Arial" w:eastAsia="Arial" w:hAnsi="Arial"/>
          <w:sz w:val="22"/>
          <w:szCs w:val="22"/>
          <w:color w:val="auto"/>
        </w:rPr>
      </w:pPr>
      <w:r>
        <w:rPr>
          <w:rFonts w:ascii="Arial" w:cs="Arial" w:eastAsia="Arial" w:hAnsi="Arial"/>
          <w:sz w:val="22"/>
          <w:szCs w:val="22"/>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01" w:name="page102"/>
    <w:bookmarkEnd w:id="101"/>
    <w:p>
      <w:pPr>
        <w:ind w:left="2260" w:right="60"/>
        <w:spacing w:after="0" w:line="252" w:lineRule="auto"/>
        <w:rPr>
          <w:sz w:val="20"/>
          <w:szCs w:val="20"/>
          <w:color w:val="auto"/>
        </w:rPr>
      </w:pPr>
      <w:r>
        <w:rPr>
          <w:rFonts w:ascii="Arial" w:cs="Arial" w:eastAsia="Arial" w:hAnsi="Arial"/>
          <w:sz w:val="21"/>
          <w:szCs w:val="21"/>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174" w:lineRule="exact"/>
        <w:rPr>
          <w:sz w:val="20"/>
          <w:szCs w:val="20"/>
          <w:color w:val="auto"/>
        </w:rPr>
      </w:pPr>
    </w:p>
    <w:p>
      <w:pPr>
        <w:ind w:left="2260" w:right="60" w:hanging="755"/>
        <w:spacing w:after="0" w:line="245" w:lineRule="auto"/>
        <w:tabs>
          <w:tab w:leader="none" w:pos="22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80" w:lineRule="exact"/>
        <w:rPr>
          <w:rFonts w:ascii="Arial" w:cs="Arial" w:eastAsia="Arial" w:hAnsi="Arial"/>
          <w:sz w:val="21"/>
          <w:szCs w:val="21"/>
          <w:color w:val="auto"/>
        </w:rPr>
      </w:pPr>
    </w:p>
    <w:p>
      <w:pPr>
        <w:ind w:left="2260" w:hanging="755"/>
        <w:spacing w:after="0" w:line="279" w:lineRule="auto"/>
        <w:tabs>
          <w:tab w:leader="none" w:pos="22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50" w:lineRule="exact"/>
        <w:rPr>
          <w:rFonts w:ascii="Arial" w:cs="Arial" w:eastAsia="Arial" w:hAnsi="Arial"/>
          <w:sz w:val="19"/>
          <w:szCs w:val="19"/>
          <w:color w:val="auto"/>
        </w:rPr>
      </w:pPr>
    </w:p>
    <w:p>
      <w:pPr>
        <w:ind w:left="2260" w:hanging="755"/>
        <w:spacing w:after="0"/>
        <w:tabs>
          <w:tab w:leader="none" w:pos="22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sale, transfer or other disposition of all or substantially all of the Company’s assets.</w:t>
      </w:r>
    </w:p>
    <w:p>
      <w:pPr>
        <w:spacing w:after="0" w:line="206" w:lineRule="exact"/>
        <w:rPr>
          <w:sz w:val="20"/>
          <w:szCs w:val="20"/>
          <w:color w:val="auto"/>
        </w:rPr>
      </w:pPr>
    </w:p>
    <w:p>
      <w:pPr>
        <w:ind w:right="240" w:firstLine="749"/>
        <w:spacing w:after="0" w:line="250" w:lineRule="auto"/>
        <w:rPr>
          <w:sz w:val="20"/>
          <w:szCs w:val="20"/>
          <w:color w:val="auto"/>
        </w:rPr>
      </w:pPr>
      <w:r>
        <w:rPr>
          <w:rFonts w:ascii="Arial" w:cs="Arial" w:eastAsia="Arial" w:hAnsi="Arial"/>
          <w:sz w:val="22"/>
          <w:szCs w:val="22"/>
          <w:color w:val="auto"/>
        </w:rPr>
        <w:t>For purposes of subsection (f)(i) above, the term “look-back date” means the later of (1) the Effective Date and (2) the date that is 24 months prior to the date of the event that may constitute a Change in Control.</w:t>
      </w:r>
    </w:p>
    <w:p>
      <w:pPr>
        <w:spacing w:after="0" w:line="175" w:lineRule="exact"/>
        <w:rPr>
          <w:sz w:val="20"/>
          <w:szCs w:val="20"/>
          <w:color w:val="auto"/>
        </w:rPr>
      </w:pPr>
    </w:p>
    <w:p>
      <w:pPr>
        <w:ind w:right="80" w:firstLine="749"/>
        <w:spacing w:after="0" w:line="252" w:lineRule="auto"/>
        <w:rPr>
          <w:sz w:val="20"/>
          <w:szCs w:val="20"/>
          <w:color w:val="auto"/>
        </w:rPr>
      </w:pPr>
      <w:r>
        <w:rPr>
          <w:rFonts w:ascii="Arial" w:cs="Arial" w:eastAsia="Arial" w:hAnsi="Arial"/>
          <w:sz w:val="21"/>
          <w:szCs w:val="21"/>
          <w:color w:val="auto"/>
        </w:rPr>
        <w:t>For purposes of subsection (f)(ii)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74" w:lineRule="exact"/>
        <w:rPr>
          <w:sz w:val="20"/>
          <w:szCs w:val="20"/>
          <w:color w:val="auto"/>
        </w:rPr>
      </w:pPr>
    </w:p>
    <w:p>
      <w:pPr>
        <w:jc w:val="both"/>
        <w:ind w:right="60" w:firstLine="749"/>
        <w:spacing w:after="0"/>
        <w:rPr>
          <w:sz w:val="20"/>
          <w:szCs w:val="20"/>
          <w:color w:val="auto"/>
        </w:rPr>
      </w:pPr>
      <w:r>
        <w:rPr>
          <w:rFonts w:ascii="Arial" w:cs="Arial" w:eastAsia="Arial" w:hAnsi="Arial"/>
          <w:sz w:val="22"/>
          <w:szCs w:val="22"/>
          <w:color w:val="auto"/>
        </w:rPr>
        <w:t>Any other provision of this Section 2(f) notwithstanding, a transaction shall not constitute a Change in Control if its sole purpose is to change the state of the Company’s incorporation or to create a holding company that will be owned in substantially the same proportions by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102" w:name="page103"/>
    <w:bookmarkEnd w:id="102"/>
    <w:p>
      <w:pPr>
        <w:ind w:right="80"/>
        <w:spacing w:after="0" w:line="257" w:lineRule="auto"/>
        <w:rPr>
          <w:sz w:val="20"/>
          <w:szCs w:val="20"/>
          <w:color w:val="auto"/>
        </w:rPr>
      </w:pPr>
      <w:r>
        <w:rPr>
          <w:rFonts w:ascii="Arial" w:cs="Arial" w:eastAsia="Arial" w:hAnsi="Arial"/>
          <w:sz w:val="21"/>
          <w:szCs w:val="21"/>
          <w:color w:val="auto"/>
        </w:rPr>
        <w:t>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169" w:lineRule="exact"/>
        <w:rPr>
          <w:sz w:val="20"/>
          <w:szCs w:val="20"/>
          <w:color w:val="auto"/>
        </w:rPr>
      </w:pPr>
    </w:p>
    <w:p>
      <w:pPr>
        <w:ind w:right="480" w:firstLine="757"/>
        <w:spacing w:after="0" w:line="250" w:lineRule="auto"/>
        <w:tabs>
          <w:tab w:leader="none" w:pos="1498" w:val="left"/>
        </w:tabs>
        <w:numPr>
          <w:ilvl w:val="0"/>
          <w:numId w:val="49"/>
        </w:numPr>
        <w:rPr>
          <w:rFonts w:ascii="Arial" w:cs="Arial" w:eastAsia="Arial" w:hAnsi="Arial"/>
          <w:sz w:val="22"/>
          <w:szCs w:val="22"/>
          <w:color w:val="auto"/>
        </w:rPr>
      </w:pPr>
      <w:r>
        <w:rPr>
          <w:rFonts w:ascii="Arial" w:cs="Arial" w:eastAsia="Arial" w:hAnsi="Arial"/>
          <w:sz w:val="22"/>
          <w:szCs w:val="22"/>
          <w:color w:val="auto"/>
        </w:rPr>
        <w:t>“Code” means the United States Internal Revenue Code of 1986, as amended, and the rules and regulations promulgated thereunder.</w:t>
      </w:r>
    </w:p>
    <w:p>
      <w:pPr>
        <w:spacing w:after="0" w:line="174" w:lineRule="exact"/>
        <w:rPr>
          <w:rFonts w:ascii="Arial" w:cs="Arial" w:eastAsia="Arial" w:hAnsi="Arial"/>
          <w:sz w:val="22"/>
          <w:szCs w:val="22"/>
          <w:color w:val="auto"/>
        </w:rPr>
      </w:pPr>
    </w:p>
    <w:p>
      <w:pPr>
        <w:ind w:right="60" w:firstLine="757"/>
        <w:spacing w:after="0" w:line="250" w:lineRule="auto"/>
        <w:tabs>
          <w:tab w:leader="none" w:pos="1498" w:val="left"/>
        </w:tabs>
        <w:numPr>
          <w:ilvl w:val="0"/>
          <w:numId w:val="49"/>
        </w:numPr>
        <w:rPr>
          <w:rFonts w:ascii="Arial" w:cs="Arial" w:eastAsia="Arial" w:hAnsi="Arial"/>
          <w:sz w:val="22"/>
          <w:szCs w:val="22"/>
          <w:color w:val="auto"/>
        </w:rPr>
      </w:pPr>
      <w:r>
        <w:rPr>
          <w:rFonts w:ascii="Arial" w:cs="Arial" w:eastAsia="Arial" w:hAnsi="Arial"/>
          <w:sz w:val="22"/>
          <w:szCs w:val="22"/>
          <w:color w:val="auto"/>
        </w:rPr>
        <w:t>“Committee” means the Compensation Committee as designated by the Board of Directors, which is authorized to administer the Plan, as described in Section 3 hereof.</w:t>
      </w:r>
    </w:p>
    <w:p>
      <w:pPr>
        <w:spacing w:after="0" w:line="174" w:lineRule="exact"/>
        <w:rPr>
          <w:rFonts w:ascii="Arial" w:cs="Arial" w:eastAsia="Arial" w:hAnsi="Arial"/>
          <w:sz w:val="22"/>
          <w:szCs w:val="22"/>
          <w:color w:val="auto"/>
        </w:rPr>
      </w:pPr>
    </w:p>
    <w:p>
      <w:pPr>
        <w:ind w:left="1940" w:hanging="1183"/>
        <w:spacing w:after="0"/>
        <w:tabs>
          <w:tab w:leader="none" w:pos="19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“Company” means SiTime Corporation, a Delaware corporation.</w:t>
      </w:r>
    </w:p>
    <w:p>
      <w:pPr>
        <w:spacing w:after="0" w:line="206" w:lineRule="exact"/>
        <w:rPr>
          <w:rFonts w:ascii="Arial" w:cs="Arial" w:eastAsia="Arial" w:hAnsi="Arial"/>
          <w:sz w:val="22"/>
          <w:szCs w:val="22"/>
          <w:color w:val="auto"/>
        </w:rPr>
      </w:pPr>
    </w:p>
    <w:p>
      <w:pPr>
        <w:ind w:right="20" w:firstLine="757"/>
        <w:spacing w:after="0" w:line="252" w:lineRule="auto"/>
        <w:tabs>
          <w:tab w:leader="none" w:pos="1930" w:val="left"/>
        </w:tabs>
        <w:numPr>
          <w:ilvl w:val="0"/>
          <w:numId w:val="49"/>
        </w:numPr>
        <w:rPr>
          <w:rFonts w:ascii="Arial" w:cs="Arial" w:eastAsia="Arial" w:hAnsi="Arial"/>
          <w:sz w:val="21"/>
          <w:szCs w:val="21"/>
          <w:color w:val="auto"/>
        </w:rPr>
      </w:pPr>
      <w:r>
        <w:rPr>
          <w:rFonts w:ascii="Arial" w:cs="Arial" w:eastAsia="Arial" w:hAnsi="Arial"/>
          <w:sz w:val="21"/>
          <w:szCs w:val="21"/>
          <w:color w:val="auto"/>
        </w:rPr>
        <w:t>“Consultant” means an individual who is a consultant or advisor and who provides bona fide services to the Company, a Parent, a Subsidiary or an Affiliate as an independent contractor (not including service as a member of the Board of Directors) or a member of the board of directors of a Parent or a Subsidiary, in each case who is not an Employee. Consultants are not eligible to receive Awards with respect to their service in such capacity.</w:t>
      </w:r>
    </w:p>
    <w:p>
      <w:pPr>
        <w:spacing w:after="0" w:line="173" w:lineRule="exact"/>
        <w:rPr>
          <w:rFonts w:ascii="Arial" w:cs="Arial" w:eastAsia="Arial" w:hAnsi="Arial"/>
          <w:sz w:val="21"/>
          <w:szCs w:val="21"/>
          <w:color w:val="auto"/>
        </w:rPr>
      </w:pPr>
    </w:p>
    <w:p>
      <w:pPr>
        <w:ind w:left="1500" w:hanging="743"/>
        <w:spacing w:after="0"/>
        <w:tabs>
          <w:tab w:leader="none" w:pos="1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“Disability” means any permanent and total disability as defined by Section 22(e)(3) of the Code.</w:t>
      </w:r>
    </w:p>
    <w:p>
      <w:pPr>
        <w:spacing w:after="0" w:line="206" w:lineRule="exact"/>
        <w:rPr>
          <w:rFonts w:ascii="Arial" w:cs="Arial" w:eastAsia="Arial" w:hAnsi="Arial"/>
          <w:sz w:val="22"/>
          <w:szCs w:val="22"/>
          <w:color w:val="auto"/>
        </w:rPr>
      </w:pPr>
    </w:p>
    <w:p>
      <w:pPr>
        <w:ind w:left="1940" w:hanging="1183"/>
        <w:spacing w:after="0"/>
        <w:tabs>
          <w:tab w:leader="none" w:pos="19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“Employee” means any individual who is a common-law employee of the Company, a Parent, a Subsidiary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an Affiliate.</w:t>
      </w:r>
    </w:p>
    <w:p>
      <w:pPr>
        <w:spacing w:after="0" w:line="188" w:lineRule="exact"/>
        <w:rPr>
          <w:rFonts w:ascii="Arial" w:cs="Arial" w:eastAsia="Arial" w:hAnsi="Arial"/>
          <w:sz w:val="19"/>
          <w:szCs w:val="19"/>
          <w:color w:val="auto"/>
        </w:rPr>
      </w:pPr>
    </w:p>
    <w:p>
      <w:pPr>
        <w:ind w:right="600" w:firstLine="757"/>
        <w:spacing w:after="0" w:line="250" w:lineRule="auto"/>
        <w:tabs>
          <w:tab w:leader="none" w:pos="1498"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“Exchange Act” means the United States Securities Exchange Act of 1934, as amended, and the rules and regulations promulgated thereunder.</w:t>
      </w:r>
    </w:p>
    <w:p>
      <w:pPr>
        <w:spacing w:after="0" w:line="174" w:lineRule="exact"/>
        <w:rPr>
          <w:rFonts w:ascii="Arial" w:cs="Arial" w:eastAsia="Arial" w:hAnsi="Arial"/>
          <w:sz w:val="22"/>
          <w:szCs w:val="22"/>
          <w:color w:val="auto"/>
        </w:rPr>
      </w:pPr>
    </w:p>
    <w:p>
      <w:pPr>
        <w:ind w:right="60" w:firstLine="757"/>
        <w:spacing w:after="0" w:line="252" w:lineRule="auto"/>
        <w:tabs>
          <w:tab w:leader="none" w:pos="1498" w:val="left"/>
        </w:tabs>
        <w:numPr>
          <w:ilvl w:val="0"/>
          <w:numId w:val="49"/>
        </w:numPr>
        <w:rPr>
          <w:rFonts w:ascii="Arial" w:cs="Arial" w:eastAsia="Arial" w:hAnsi="Arial"/>
          <w:sz w:val="21"/>
          <w:szCs w:val="21"/>
          <w:color w:val="auto"/>
        </w:rPr>
      </w:pPr>
      <w:r>
        <w:rPr>
          <w:rFonts w:ascii="Arial" w:cs="Arial" w:eastAsia="Arial" w:hAnsi="Arial"/>
          <w:sz w:val="21"/>
          <w:szCs w:val="21"/>
          <w:color w:val="auto"/>
        </w:rPr>
        <w:t>“Exercise Price” means, in the case of an Option, the amount for which one Share may be purchased upon exercise of such Option, as specified in the applicable Stock Option Agreement. “Exercise Price” means, in the case of a SAR, an amount, as specified in the applicable SAR Award Agreement, which is subtracted from the Fair Market Value of one Share in determining the amount payable upon exercise of such SAR.</w:t>
      </w:r>
    </w:p>
    <w:p>
      <w:pPr>
        <w:spacing w:after="0" w:line="173" w:lineRule="exact"/>
        <w:rPr>
          <w:rFonts w:ascii="Arial" w:cs="Arial" w:eastAsia="Arial" w:hAnsi="Arial"/>
          <w:sz w:val="21"/>
          <w:szCs w:val="21"/>
          <w:color w:val="auto"/>
        </w:rPr>
      </w:pPr>
    </w:p>
    <w:p>
      <w:pPr>
        <w:ind w:left="1500" w:hanging="743"/>
        <w:spacing w:after="0"/>
        <w:tabs>
          <w:tab w:leader="none" w:pos="15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“Fair Market Value” with respect to a Share, means the market price of one Share, determined by the Committee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188" w:lineRule="exact"/>
        <w:rPr>
          <w:sz w:val="20"/>
          <w:szCs w:val="20"/>
          <w:color w:val="auto"/>
        </w:rPr>
      </w:pPr>
    </w:p>
    <w:p>
      <w:pPr>
        <w:ind w:left="2260" w:right="40" w:hanging="755"/>
        <w:spacing w:after="0" w:line="282" w:lineRule="auto"/>
        <w:tabs>
          <w:tab w:leader="none" w:pos="22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03" w:name="page104"/>
    <w:bookmarkEnd w:id="103"/>
    <w:p>
      <w:pPr>
        <w:ind w:left="2260" w:right="40" w:hanging="755"/>
        <w:spacing w:after="0" w:line="238" w:lineRule="auto"/>
        <w:tabs>
          <w:tab w:leader="none" w:pos="2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184" w:lineRule="exact"/>
        <w:rPr>
          <w:rFonts w:ascii="Arial" w:cs="Arial" w:eastAsia="Arial" w:hAnsi="Arial"/>
          <w:sz w:val="22"/>
          <w:szCs w:val="22"/>
          <w:color w:val="auto"/>
        </w:rPr>
      </w:pPr>
    </w:p>
    <w:p>
      <w:pPr>
        <w:ind w:left="2260" w:right="60" w:hanging="755"/>
        <w:spacing w:after="0" w:line="250" w:lineRule="auto"/>
        <w:tabs>
          <w:tab w:leader="none" w:pos="2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none of the foregoing provisions is applicable, then the Fair Market Value shall be determined by the Committee in good faith on such basis as it deems appropriate.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In all cases, the determination of Fair Market Value by the Committee shall be conclusive and binding on all persons.</w:t>
      </w:r>
    </w:p>
    <w:p>
      <w:pPr>
        <w:spacing w:after="0" w:line="218" w:lineRule="exact"/>
        <w:rPr>
          <w:sz w:val="20"/>
          <w:szCs w:val="20"/>
          <w:color w:val="auto"/>
        </w:rPr>
      </w:pPr>
    </w:p>
    <w:p>
      <w:pPr>
        <w:ind w:left="1500" w:hanging="743"/>
        <w:spacing w:after="0"/>
        <w:tabs>
          <w:tab w:leader="none" w:pos="15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“Nonstatutory Option” means a stock option that is not an incentive stock option described in Section 422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ind w:left="1500" w:hanging="743"/>
        <w:spacing w:after="0"/>
        <w:tabs>
          <w:tab w:leader="none" w:pos="15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“Option” means a Nonstatutory Option granted under the Plan and entitling the holder to purchase Shares.</w:t>
      </w:r>
    </w:p>
    <w:p>
      <w:pPr>
        <w:spacing w:after="0" w:line="240" w:lineRule="exact"/>
        <w:rPr>
          <w:rFonts w:ascii="Arial" w:cs="Arial" w:eastAsia="Arial" w:hAnsi="Arial"/>
          <w:sz w:val="19"/>
          <w:szCs w:val="19"/>
          <w:color w:val="auto"/>
        </w:rPr>
      </w:pPr>
    </w:p>
    <w:p>
      <w:pPr>
        <w:ind w:right="180" w:firstLine="757"/>
        <w:spacing w:after="0"/>
        <w:tabs>
          <w:tab w:leader="none" w:pos="1930" w:val="left"/>
        </w:tabs>
        <w:numPr>
          <w:ilvl w:val="0"/>
          <w:numId w:val="53"/>
        </w:numPr>
        <w:rPr>
          <w:rFonts w:ascii="Arial" w:cs="Arial" w:eastAsia="Arial" w:hAnsi="Arial"/>
          <w:sz w:val="22"/>
          <w:szCs w:val="22"/>
          <w:color w:val="auto"/>
        </w:rPr>
      </w:pPr>
      <w:r>
        <w:rPr>
          <w:rFonts w:ascii="Arial" w:cs="Arial" w:eastAsia="Arial" w:hAnsi="Arial"/>
          <w:sz w:val="22"/>
          <w:szCs w:val="22"/>
          <w:color w:val="auto"/>
        </w:rPr>
        <w:t>“Outside Director” means a member of the Board of Directors who is not a common-law employee of, or paid consultant to, the Company, a Parent or a Subsidiary. Outside Directors are not eligible to receive Awards with respect to their service in such capacity.</w:t>
      </w:r>
    </w:p>
    <w:p>
      <w:pPr>
        <w:spacing w:after="0" w:line="186" w:lineRule="exact"/>
        <w:rPr>
          <w:rFonts w:ascii="Arial" w:cs="Arial" w:eastAsia="Arial" w:hAnsi="Arial"/>
          <w:sz w:val="22"/>
          <w:szCs w:val="22"/>
          <w:color w:val="auto"/>
        </w:rPr>
      </w:pPr>
    </w:p>
    <w:p>
      <w:pPr>
        <w:ind w:right="40" w:firstLine="757"/>
        <w:spacing w:after="0" w:line="252" w:lineRule="auto"/>
        <w:tabs>
          <w:tab w:leader="none" w:pos="1498" w:val="left"/>
        </w:tabs>
        <w:numPr>
          <w:ilvl w:val="0"/>
          <w:numId w:val="53"/>
        </w:numPr>
        <w:rPr>
          <w:rFonts w:ascii="Arial" w:cs="Arial" w:eastAsia="Arial" w:hAnsi="Arial"/>
          <w:sz w:val="21"/>
          <w:szCs w:val="21"/>
          <w:color w:val="auto"/>
        </w:rPr>
      </w:pPr>
      <w:r>
        <w:rPr>
          <w:rFonts w:ascii="Arial" w:cs="Arial" w:eastAsia="Arial" w:hAnsi="Arial"/>
          <w:sz w:val="21"/>
          <w:szCs w:val="21"/>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73" w:lineRule="exact"/>
        <w:rPr>
          <w:rFonts w:ascii="Arial" w:cs="Arial" w:eastAsia="Arial" w:hAnsi="Arial"/>
          <w:sz w:val="21"/>
          <w:szCs w:val="21"/>
          <w:color w:val="auto"/>
        </w:rPr>
      </w:pPr>
    </w:p>
    <w:p>
      <w:pPr>
        <w:ind w:left="1940" w:hanging="1183"/>
        <w:spacing w:after="0"/>
        <w:tabs>
          <w:tab w:leader="none" w:pos="19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“Participant” means a person who holds an Award.</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“Plan” means this SiTime Corporation 2022 Inducement Award Plan, as amended from time to time.</w:t>
      </w:r>
    </w:p>
    <w:p>
      <w:pPr>
        <w:spacing w:after="0" w:line="206" w:lineRule="exact"/>
        <w:rPr>
          <w:rFonts w:ascii="Arial" w:cs="Arial" w:eastAsia="Arial" w:hAnsi="Arial"/>
          <w:sz w:val="22"/>
          <w:szCs w:val="22"/>
          <w:color w:val="auto"/>
        </w:rPr>
      </w:pPr>
    </w:p>
    <w:p>
      <w:pPr>
        <w:ind w:right="40" w:firstLine="757"/>
        <w:spacing w:after="0" w:line="250" w:lineRule="auto"/>
        <w:tabs>
          <w:tab w:leader="none" w:pos="1498" w:val="left"/>
        </w:tabs>
        <w:numPr>
          <w:ilvl w:val="0"/>
          <w:numId w:val="53"/>
        </w:numPr>
        <w:rPr>
          <w:rFonts w:ascii="Arial" w:cs="Arial" w:eastAsia="Arial" w:hAnsi="Arial"/>
          <w:sz w:val="22"/>
          <w:szCs w:val="22"/>
          <w:color w:val="auto"/>
        </w:rPr>
      </w:pPr>
      <w:r>
        <w:rPr>
          <w:rFonts w:ascii="Arial" w:cs="Arial" w:eastAsia="Arial" w:hAnsi="Arial"/>
          <w:sz w:val="22"/>
          <w:szCs w:val="22"/>
          <w:color w:val="auto"/>
        </w:rPr>
        <w:t>“Purchase Price” means the consideration for which one Share may be acquired under the Plan (other than upon exercise of an Option), as specified by the Committee.</w:t>
      </w:r>
    </w:p>
    <w:p>
      <w:pPr>
        <w:spacing w:after="0" w:line="174" w:lineRule="exact"/>
        <w:rPr>
          <w:rFonts w:ascii="Arial" w:cs="Arial" w:eastAsia="Arial" w:hAnsi="Arial"/>
          <w:sz w:val="22"/>
          <w:szCs w:val="22"/>
          <w:color w:val="auto"/>
        </w:rPr>
      </w:pPr>
    </w:p>
    <w:p>
      <w:pPr>
        <w:ind w:left="1500" w:hanging="743"/>
        <w:spacing w:after="0"/>
        <w:tabs>
          <w:tab w:leader="none" w:pos="15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“Restricted Share” means a Share awarded under the Plan.</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“SAR” means a stock appreciation right granted under the Plan.</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“Section 409A” means Section 409A of the Code.</w:t>
      </w:r>
    </w:p>
    <w:p>
      <w:pPr>
        <w:spacing w:after="0" w:line="206" w:lineRule="exact"/>
        <w:rPr>
          <w:rFonts w:ascii="Arial" w:cs="Arial" w:eastAsia="Arial" w:hAnsi="Arial"/>
          <w:sz w:val="22"/>
          <w:szCs w:val="22"/>
          <w:color w:val="auto"/>
        </w:rPr>
      </w:pPr>
    </w:p>
    <w:p>
      <w:pPr>
        <w:ind w:right="460" w:firstLine="757"/>
        <w:spacing w:after="0" w:line="250" w:lineRule="auto"/>
        <w:tabs>
          <w:tab w:leader="none" w:pos="1498" w:val="left"/>
        </w:tabs>
        <w:numPr>
          <w:ilvl w:val="0"/>
          <w:numId w:val="53"/>
        </w:numPr>
        <w:rPr>
          <w:rFonts w:ascii="Arial" w:cs="Arial" w:eastAsia="Arial" w:hAnsi="Arial"/>
          <w:sz w:val="22"/>
          <w:szCs w:val="22"/>
          <w:color w:val="auto"/>
        </w:rPr>
      </w:pPr>
      <w:r>
        <w:rPr>
          <w:rFonts w:ascii="Arial" w:cs="Arial" w:eastAsia="Arial" w:hAnsi="Arial"/>
          <w:sz w:val="22"/>
          <w:szCs w:val="22"/>
          <w:color w:val="auto"/>
        </w:rPr>
        <w:t>“Securities Act” means the United States Securities Act of 1933, as amended, and the rules and regulations promulgated thereunder.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104" w:name="page105"/>
    <w:bookmarkEnd w:id="104"/>
    <w:p>
      <w:pPr>
        <w:ind w:right="60" w:firstLine="757"/>
        <w:spacing w:after="0" w:line="279" w:lineRule="auto"/>
        <w:tabs>
          <w:tab w:leader="none" w:pos="1498" w:val="left"/>
        </w:tabs>
        <w:numPr>
          <w:ilvl w:val="0"/>
          <w:numId w:val="54"/>
        </w:numPr>
        <w:rPr>
          <w:rFonts w:ascii="Arial" w:cs="Arial" w:eastAsia="Arial" w:hAnsi="Arial"/>
          <w:sz w:val="19"/>
          <w:szCs w:val="19"/>
          <w:color w:val="auto"/>
        </w:rPr>
      </w:pPr>
      <w:r>
        <w:rPr>
          <w:rFonts w:ascii="Arial" w:cs="Arial" w:eastAsia="Arial" w:hAnsi="Arial"/>
          <w:sz w:val="19"/>
          <w:szCs w:val="19"/>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50" w:lineRule="exact"/>
        <w:rPr>
          <w:rFonts w:ascii="Arial" w:cs="Arial" w:eastAsia="Arial" w:hAnsi="Arial"/>
          <w:sz w:val="19"/>
          <w:szCs w:val="19"/>
          <w:color w:val="auto"/>
        </w:rPr>
      </w:pPr>
    </w:p>
    <w:p>
      <w:pPr>
        <w:ind w:left="1500" w:hanging="743"/>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“Share” means one share of Stock, as adjusted in accordance with Section 12 (if applicable).</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“Stock” means the Common Stock, par value $0.0001 per share, of the Company.</w:t>
      </w:r>
    </w:p>
    <w:p>
      <w:pPr>
        <w:spacing w:after="0" w:line="206" w:lineRule="exact"/>
        <w:rPr>
          <w:rFonts w:ascii="Arial" w:cs="Arial" w:eastAsia="Arial" w:hAnsi="Arial"/>
          <w:sz w:val="22"/>
          <w:szCs w:val="22"/>
          <w:color w:val="auto"/>
        </w:rPr>
      </w:pPr>
    </w:p>
    <w:p>
      <w:pPr>
        <w:ind w:right="180" w:firstLine="757"/>
        <w:spacing w:after="0" w:line="328" w:lineRule="auto"/>
        <w:tabs>
          <w:tab w:leader="none" w:pos="1498" w:val="left"/>
        </w:tabs>
        <w:numPr>
          <w:ilvl w:val="0"/>
          <w:numId w:val="54"/>
        </w:numPr>
        <w:rPr>
          <w:rFonts w:ascii="Arial" w:cs="Arial" w:eastAsia="Arial" w:hAnsi="Arial"/>
          <w:sz w:val="19"/>
          <w:szCs w:val="19"/>
          <w:color w:val="auto"/>
        </w:rPr>
      </w:pPr>
      <w:r>
        <w:rPr>
          <w:rFonts w:ascii="Arial" w:cs="Arial" w:eastAsia="Arial" w:hAnsi="Arial"/>
          <w:sz w:val="19"/>
          <w:szCs w:val="19"/>
          <w:color w:val="auto"/>
        </w:rPr>
        <w:t>“Stock Unit” means a bookkeeping entry representing the Company’s obligation under the Plan to deliver one Share (or distribute cash) on a future date in accordance with the provisions of a Stock Unit Award Agreement.</w:t>
      </w:r>
    </w:p>
    <w:p>
      <w:pPr>
        <w:spacing w:after="0" w:line="104" w:lineRule="exact"/>
        <w:rPr>
          <w:rFonts w:ascii="Arial" w:cs="Arial" w:eastAsia="Arial" w:hAnsi="Arial"/>
          <w:sz w:val="19"/>
          <w:szCs w:val="19"/>
          <w:color w:val="auto"/>
        </w:rPr>
      </w:pPr>
    </w:p>
    <w:p>
      <w:pPr>
        <w:ind w:right="220" w:firstLine="757"/>
        <w:spacing w:after="0" w:line="297" w:lineRule="auto"/>
        <w:tabs>
          <w:tab w:leader="none" w:pos="1498" w:val="left"/>
        </w:tabs>
        <w:numPr>
          <w:ilvl w:val="0"/>
          <w:numId w:val="54"/>
        </w:numPr>
        <w:rPr>
          <w:rFonts w:ascii="Arial" w:cs="Arial" w:eastAsia="Arial" w:hAnsi="Arial"/>
          <w:sz w:val="19"/>
          <w:szCs w:val="19"/>
          <w:color w:val="auto"/>
        </w:rPr>
      </w:pPr>
      <w:r>
        <w:rPr>
          <w:rFonts w:ascii="Arial" w:cs="Arial" w:eastAsia="Arial" w:hAnsi="Arial"/>
          <w:sz w:val="19"/>
          <w:szCs w:val="19"/>
          <w:color w:val="auto"/>
        </w:rPr>
        <w:t>“Subsidiary” means any corporation, if the Company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ADMINISTRATION.</w:t>
      </w:r>
    </w:p>
    <w:p>
      <w:pPr>
        <w:spacing w:after="0" w:line="212" w:lineRule="exact"/>
        <w:rPr>
          <w:sz w:val="20"/>
          <w:szCs w:val="20"/>
          <w:color w:val="auto"/>
        </w:rPr>
      </w:pPr>
    </w:p>
    <w:p>
      <w:pPr>
        <w:ind w:firstLine="757"/>
        <w:spacing w:after="0" w:line="236" w:lineRule="auto"/>
        <w:tabs>
          <w:tab w:leader="none" w:pos="1498"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Committee Composition</w:t>
      </w:r>
      <w:r>
        <w:rPr>
          <w:rFonts w:ascii="Arial" w:cs="Arial" w:eastAsia="Arial" w:hAnsi="Arial"/>
          <w:sz w:val="22"/>
          <w:szCs w:val="22"/>
          <w:color w:val="auto"/>
        </w:rPr>
        <w:t>. The Plan shall be administered by a Committee appointed by the Board, or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acting as the Committee. The Committee shall consist of two or more directors of the Company. In addition, to the extent required by the Board, the composition of the Committee shall satisfy such requirements as the Securities and Exchange Commission may establish for administrators acting under plans intended to qualify for exemption under Rule 16b-3 (or its successor) under the Exchange Act.</w:t>
      </w:r>
    </w:p>
    <w:p>
      <w:pPr>
        <w:spacing w:after="0" w:line="187" w:lineRule="exact"/>
        <w:rPr>
          <w:rFonts w:ascii="Arial" w:cs="Arial" w:eastAsia="Arial" w:hAnsi="Arial"/>
          <w:sz w:val="22"/>
          <w:szCs w:val="22"/>
          <w:color w:val="auto"/>
        </w:rPr>
      </w:pPr>
    </w:p>
    <w:p>
      <w:pPr>
        <w:jc w:val="both"/>
        <w:ind w:right="540" w:firstLine="757"/>
        <w:spacing w:after="0" w:line="252" w:lineRule="auto"/>
        <w:tabs>
          <w:tab w:leader="none" w:pos="1498" w:val="left"/>
        </w:tabs>
        <w:numPr>
          <w:ilvl w:val="0"/>
          <w:numId w:val="55"/>
        </w:numPr>
        <w:rPr>
          <w:rFonts w:ascii="Arial" w:cs="Arial" w:eastAsia="Arial" w:hAnsi="Arial"/>
          <w:sz w:val="21"/>
          <w:szCs w:val="21"/>
          <w:color w:val="auto"/>
        </w:rPr>
      </w:pPr>
      <w:r>
        <w:rPr>
          <w:rFonts w:ascii="Arial" w:cs="Arial" w:eastAsia="Arial" w:hAnsi="Arial"/>
          <w:sz w:val="21"/>
          <w:szCs w:val="21"/>
          <w:i w:val="1"/>
          <w:iCs w:val="1"/>
          <w:color w:val="auto"/>
        </w:rPr>
        <w:t>Committee Procedures</w:t>
      </w:r>
      <w:r>
        <w:rPr>
          <w:rFonts w:ascii="Arial" w:cs="Arial" w:eastAsia="Arial" w:hAnsi="Arial"/>
          <w:sz w:val="21"/>
          <w:szCs w:val="21"/>
          <w:color w:val="auto"/>
        </w:rPr>
        <w:t>. The Board of Directors shall designate one of the members of the Committee as</w:t>
      </w:r>
      <w:r>
        <w:rPr>
          <w:rFonts w:ascii="Arial" w:cs="Arial" w:eastAsia="Arial" w:hAnsi="Arial"/>
          <w:sz w:val="21"/>
          <w:szCs w:val="21"/>
          <w:i w:val="1"/>
          <w:iCs w:val="1"/>
          <w:color w:val="auto"/>
        </w:rPr>
        <w:t xml:space="preserve"> </w:t>
      </w:r>
      <w:r>
        <w:rPr>
          <w:rFonts w:ascii="Arial" w:cs="Arial" w:eastAsia="Arial" w:hAnsi="Arial"/>
          <w:sz w:val="21"/>
          <w:szCs w:val="21"/>
          <w:color w:val="auto"/>
        </w:rPr>
        <w:t>chairman. The Committee may hold 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173" w:lineRule="exact"/>
        <w:rPr>
          <w:rFonts w:ascii="Arial" w:cs="Arial" w:eastAsia="Arial" w:hAnsi="Arial"/>
          <w:sz w:val="21"/>
          <w:szCs w:val="21"/>
          <w:color w:val="auto"/>
        </w:rPr>
      </w:pPr>
    </w:p>
    <w:p>
      <w:pPr>
        <w:ind w:right="160" w:firstLine="757"/>
        <w:spacing w:after="0" w:line="250" w:lineRule="auto"/>
        <w:tabs>
          <w:tab w:leader="none" w:pos="1498"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Committee Responsibilities</w:t>
      </w:r>
      <w:r>
        <w:rPr>
          <w:rFonts w:ascii="Arial" w:cs="Arial" w:eastAsia="Arial" w:hAnsi="Arial"/>
          <w:sz w:val="22"/>
          <w:szCs w:val="22"/>
          <w:color w:val="auto"/>
        </w:rPr>
        <w:t>. Subject to the provisions of the Plan, the Committee shall have full authority and</w:t>
      </w:r>
      <w:r>
        <w:rPr>
          <w:rFonts w:ascii="Arial" w:cs="Arial" w:eastAsia="Arial" w:hAnsi="Arial"/>
          <w:sz w:val="22"/>
          <w:szCs w:val="22"/>
          <w:i w:val="1"/>
          <w:iCs w:val="1"/>
          <w:color w:val="auto"/>
        </w:rPr>
        <w:t xml:space="preserve"> </w:t>
      </w:r>
      <w:r>
        <w:rPr>
          <w:rFonts w:ascii="Arial" w:cs="Arial" w:eastAsia="Arial" w:hAnsi="Arial"/>
          <w:sz w:val="22"/>
          <w:szCs w:val="22"/>
          <w:color w:val="auto"/>
        </w:rPr>
        <w:t>discretion to take the following actions:</w:t>
      </w:r>
    </w:p>
    <w:p>
      <w:pPr>
        <w:spacing w:after="0" w:line="174" w:lineRule="exact"/>
        <w:rPr>
          <w:rFonts w:ascii="Arial" w:cs="Arial" w:eastAsia="Arial" w:hAnsi="Arial"/>
          <w:sz w:val="22"/>
          <w:szCs w:val="22"/>
          <w:color w:val="auto"/>
        </w:rPr>
      </w:pPr>
    </w:p>
    <w:p>
      <w:pPr>
        <w:ind w:left="2260" w:hanging="755"/>
        <w:spacing w:after="0"/>
        <w:tabs>
          <w:tab w:leader="none" w:pos="22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To interpret the Plan and to apply its provisions;</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To adopt, amend or rescind rules, procedures and forms relating to the Plan;</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7" w:right="399" w:bottom="1440" w:gutter="0" w:footer="0" w:header="0"/>
        </w:sectPr>
      </w:pPr>
    </w:p>
    <w:bookmarkStart w:id="105" w:name="page106"/>
    <w:bookmarkEnd w:id="105"/>
    <w:p>
      <w:pPr>
        <w:ind w:left="2260" w:right="360" w:hanging="755"/>
        <w:spacing w:after="0" w:line="328" w:lineRule="auto"/>
        <w:tabs>
          <w:tab w:leader="none" w:pos="22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adopt, amend or terminate sub-plans established for the purpose of satisfying applicable foreign laws including qualifying for preferred tax treatment under applicable foreign tax laws;</w:t>
      </w:r>
    </w:p>
    <w:p>
      <w:pPr>
        <w:spacing w:after="0" w:line="104" w:lineRule="exact"/>
        <w:rPr>
          <w:rFonts w:ascii="Arial" w:cs="Arial" w:eastAsia="Arial" w:hAnsi="Arial"/>
          <w:sz w:val="19"/>
          <w:szCs w:val="19"/>
          <w:color w:val="auto"/>
        </w:rPr>
      </w:pPr>
    </w:p>
    <w:p>
      <w:pPr>
        <w:ind w:left="2260" w:hanging="755"/>
        <w:spacing w:after="0" w:line="250" w:lineRule="auto"/>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authorize any person to execute, on behalf of the Company, any instrument required to carry out the purposes of the Plan;</w:t>
      </w:r>
    </w:p>
    <w:p>
      <w:pPr>
        <w:spacing w:after="0" w:line="174" w:lineRule="exact"/>
        <w:rPr>
          <w:rFonts w:ascii="Arial" w:cs="Arial" w:eastAsia="Arial" w:hAnsi="Arial"/>
          <w:sz w:val="22"/>
          <w:szCs w:val="22"/>
          <w:color w:val="auto"/>
        </w:rPr>
      </w:pPr>
    </w:p>
    <w:p>
      <w:pPr>
        <w:ind w:left="2260" w:hanging="755"/>
        <w:spacing w:after="0"/>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determine when Awards are to be granted under the Plan;</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select the Participants to whom Awards are to be granted;</w:t>
      </w:r>
    </w:p>
    <w:p>
      <w:pPr>
        <w:spacing w:after="0" w:line="206" w:lineRule="exact"/>
        <w:rPr>
          <w:rFonts w:ascii="Arial" w:cs="Arial" w:eastAsia="Arial" w:hAnsi="Arial"/>
          <w:sz w:val="22"/>
          <w:szCs w:val="22"/>
          <w:color w:val="auto"/>
        </w:rPr>
      </w:pPr>
    </w:p>
    <w:p>
      <w:pPr>
        <w:ind w:left="2260" w:right="280" w:hanging="755"/>
        <w:spacing w:after="0" w:line="250" w:lineRule="auto"/>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determine the type of Award and number of Shares or amount of cash to be made subject to each Award;</w:t>
      </w:r>
    </w:p>
    <w:p>
      <w:pPr>
        <w:spacing w:after="0" w:line="174" w:lineRule="exact"/>
        <w:rPr>
          <w:rFonts w:ascii="Arial" w:cs="Arial" w:eastAsia="Arial" w:hAnsi="Arial"/>
          <w:sz w:val="22"/>
          <w:szCs w:val="22"/>
          <w:color w:val="auto"/>
        </w:rPr>
      </w:pPr>
    </w:p>
    <w:p>
      <w:pPr>
        <w:ind w:left="2260" w:right="60" w:hanging="755"/>
        <w:spacing w:after="0" w:line="252" w:lineRule="auto"/>
        <w:tabs>
          <w:tab w:leader="none" w:pos="22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and to specify the provisions of the agreement relating to such Award;</w:t>
      </w:r>
    </w:p>
    <w:p>
      <w:pPr>
        <w:spacing w:after="0" w:line="173" w:lineRule="exact"/>
        <w:rPr>
          <w:rFonts w:ascii="Arial" w:cs="Arial" w:eastAsia="Arial" w:hAnsi="Arial"/>
          <w:sz w:val="21"/>
          <w:szCs w:val="21"/>
          <w:color w:val="auto"/>
        </w:rPr>
      </w:pPr>
    </w:p>
    <w:p>
      <w:pPr>
        <w:ind w:left="2260" w:right="340" w:hanging="755"/>
        <w:spacing w:after="0"/>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amend any outstanding Award Agreement, subject to applicable legal restrictions and listing requirements and to the consent of the Participant if the Participant’s rights or obligations would be materially impaired;</w:t>
      </w:r>
    </w:p>
    <w:p>
      <w:pPr>
        <w:spacing w:after="0" w:line="186" w:lineRule="exact"/>
        <w:rPr>
          <w:rFonts w:ascii="Arial" w:cs="Arial" w:eastAsia="Arial" w:hAnsi="Arial"/>
          <w:sz w:val="22"/>
          <w:szCs w:val="22"/>
          <w:color w:val="auto"/>
        </w:rPr>
      </w:pPr>
    </w:p>
    <w:p>
      <w:pPr>
        <w:ind w:left="2260" w:right="780" w:hanging="755"/>
        <w:spacing w:after="0" w:line="250" w:lineRule="auto"/>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prescribe the consideration for the grant of each Award or other right under the Plan and to determine the sufficiency of such consideration;</w:t>
      </w:r>
    </w:p>
    <w:p>
      <w:pPr>
        <w:spacing w:after="0" w:line="174" w:lineRule="exact"/>
        <w:rPr>
          <w:rFonts w:ascii="Arial" w:cs="Arial" w:eastAsia="Arial" w:hAnsi="Arial"/>
          <w:sz w:val="22"/>
          <w:szCs w:val="22"/>
          <w:color w:val="auto"/>
        </w:rPr>
      </w:pPr>
    </w:p>
    <w:p>
      <w:pPr>
        <w:ind w:left="2260" w:right="60" w:hanging="755"/>
        <w:spacing w:after="0" w:line="250" w:lineRule="auto"/>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determine the disposition of each Award or other right under the Plan in the event of a Participant’s divorce or dissolution of marriage;</w:t>
      </w:r>
    </w:p>
    <w:p>
      <w:pPr>
        <w:spacing w:after="0" w:line="174" w:lineRule="exact"/>
        <w:rPr>
          <w:rFonts w:ascii="Arial" w:cs="Arial" w:eastAsia="Arial" w:hAnsi="Arial"/>
          <w:sz w:val="22"/>
          <w:szCs w:val="22"/>
          <w:color w:val="auto"/>
        </w:rPr>
      </w:pPr>
    </w:p>
    <w:p>
      <w:pPr>
        <w:ind w:left="2260" w:right="200" w:hanging="755"/>
        <w:spacing w:after="0" w:line="250" w:lineRule="auto"/>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determine whether Awards under the Plan will be granted in replacement of other grants under an incentive or other compensation plan of an acquired business;</w:t>
      </w:r>
    </w:p>
    <w:p>
      <w:pPr>
        <w:spacing w:after="0" w:line="174" w:lineRule="exact"/>
        <w:rPr>
          <w:rFonts w:ascii="Arial" w:cs="Arial" w:eastAsia="Arial" w:hAnsi="Arial"/>
          <w:sz w:val="22"/>
          <w:szCs w:val="22"/>
          <w:color w:val="auto"/>
        </w:rPr>
      </w:pPr>
    </w:p>
    <w:p>
      <w:pPr>
        <w:ind w:left="2260" w:right="260" w:hanging="755"/>
        <w:spacing w:after="0" w:line="250" w:lineRule="auto"/>
        <w:tabs>
          <w:tab w:leader="none" w:pos="2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correct any defect, supply any omission, or reconcile any inconsistency in the Plan or any Award Agreement;</w:t>
      </w:r>
    </w:p>
    <w:p>
      <w:pPr>
        <w:spacing w:after="0" w:line="174" w:lineRule="exact"/>
        <w:rPr>
          <w:rFonts w:ascii="Arial" w:cs="Arial" w:eastAsia="Arial" w:hAnsi="Arial"/>
          <w:sz w:val="22"/>
          <w:szCs w:val="22"/>
          <w:color w:val="auto"/>
        </w:rPr>
      </w:pPr>
    </w:p>
    <w:p>
      <w:pPr>
        <w:ind w:left="2260" w:right="20" w:hanging="755"/>
        <w:spacing w:after="0" w:line="274" w:lineRule="auto"/>
        <w:tabs>
          <w:tab w:leader="none" w:pos="22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To establish or verify the extent of satisfaction of any performance goals or other conditions applicable to the grant, issuance, exercisability, vesting and/or ability to retain any Award; and</w:t>
      </w:r>
    </w:p>
    <w:p>
      <w:pPr>
        <w:spacing w:after="0" w:line="150" w:lineRule="exact"/>
        <w:rPr>
          <w:rFonts w:ascii="Arial" w:cs="Arial" w:eastAsia="Arial" w:hAnsi="Arial"/>
          <w:sz w:val="21"/>
          <w:szCs w:val="21"/>
          <w:color w:val="auto"/>
        </w:rPr>
      </w:pPr>
    </w:p>
    <w:p>
      <w:pPr>
        <w:ind w:left="2260" w:hanging="755"/>
        <w:spacing w:after="0"/>
        <w:tabs>
          <w:tab w:leader="none" w:pos="22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To take any other actions deemed necessary or advisable for the administration of the Plan.</w:t>
      </w:r>
    </w:p>
    <w:p>
      <w:pPr>
        <w:spacing w:after="0" w:line="245"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Notwithstanding anything in the Plan to the contrary, the grant of Awards must be approved by the Company’s independent compensation committee or a majority of the Company’s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7" w:right="419" w:bottom="1440" w:gutter="0" w:footer="0" w:header="0"/>
        </w:sectPr>
      </w:pPr>
    </w:p>
    <w:bookmarkStart w:id="106" w:name="page107"/>
    <w:bookmarkEnd w:id="106"/>
    <w:p>
      <w:pPr>
        <w:ind w:right="280"/>
        <w:spacing w:after="0" w:line="328" w:lineRule="auto"/>
        <w:rPr>
          <w:sz w:val="20"/>
          <w:szCs w:val="20"/>
          <w:color w:val="auto"/>
        </w:rPr>
      </w:pPr>
      <w:r>
        <w:rPr>
          <w:rFonts w:ascii="Arial" w:cs="Arial" w:eastAsia="Arial" w:hAnsi="Arial"/>
          <w:sz w:val="19"/>
          <w:szCs w:val="19"/>
          <w:color w:val="auto"/>
        </w:rPr>
        <w:t>independent directors (as defined in Rule 5605(a)(2) of the Nasdaq Listing Rules) in order to comply with the exemption from the stockholder approval requirement for “inducement grants” provided under Rule 5635(c)(4) of the Nasdaq Listing Rules.</w:t>
      </w:r>
    </w:p>
    <w:p>
      <w:pPr>
        <w:spacing w:after="0" w:line="10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ELIGIBILITY.</w:t>
      </w:r>
    </w:p>
    <w:p>
      <w:pPr>
        <w:spacing w:after="0" w:line="239" w:lineRule="exact"/>
        <w:rPr>
          <w:sz w:val="20"/>
          <w:szCs w:val="20"/>
          <w:color w:val="auto"/>
        </w:rPr>
      </w:pPr>
    </w:p>
    <w:p>
      <w:pPr>
        <w:ind w:right="40" w:firstLine="749"/>
        <w:spacing w:after="0" w:line="282" w:lineRule="auto"/>
        <w:rPr>
          <w:sz w:val="20"/>
          <w:szCs w:val="20"/>
          <w:color w:val="auto"/>
        </w:rPr>
      </w:pPr>
      <w:r>
        <w:rPr>
          <w:rFonts w:ascii="Arial" w:cs="Arial" w:eastAsia="Arial" w:hAnsi="Arial"/>
          <w:sz w:val="19"/>
          <w:szCs w:val="19"/>
          <w:color w:val="auto"/>
        </w:rPr>
        <w:t>Awards may only be granted to Employees who satisfy the standards for inducement grants under Rule 5635(c)(4) of the Nasdaq Listing Rules, where the Award is an inducement material to the individual’s entering into employment with the Company, a Parent, a Subsidiary or an Affiliate within the meaning of Rule 5635(c)(4) of the Nasdaq Listing Rules. For clarity, Awards may not be granted to (i) Consultants or Outside Directors, for service in such capacities, or (ii) any individual who was previously an Employee or Outside Director, other than following a bona fide period of non-employment.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STOCK SUBJECT TO PLAN.</w:t>
      </w:r>
    </w:p>
    <w:p>
      <w:pPr>
        <w:spacing w:after="0" w:line="212" w:lineRule="exact"/>
        <w:rPr>
          <w:sz w:val="20"/>
          <w:szCs w:val="20"/>
          <w:color w:val="auto"/>
        </w:rPr>
      </w:pPr>
    </w:p>
    <w:p>
      <w:pPr>
        <w:ind w:firstLine="757"/>
        <w:spacing w:after="0" w:line="249" w:lineRule="auto"/>
        <w:tabs>
          <w:tab w:leader="none" w:pos="1498" w:val="left"/>
        </w:tabs>
        <w:numPr>
          <w:ilvl w:val="0"/>
          <w:numId w:val="57"/>
        </w:numPr>
        <w:rPr>
          <w:rFonts w:ascii="Arial" w:cs="Arial" w:eastAsia="Arial" w:hAnsi="Arial"/>
          <w:sz w:val="21"/>
          <w:szCs w:val="21"/>
          <w:color w:val="auto"/>
        </w:rPr>
      </w:pPr>
      <w:r>
        <w:rPr>
          <w:rFonts w:ascii="Arial" w:cs="Arial" w:eastAsia="Arial" w:hAnsi="Arial"/>
          <w:sz w:val="21"/>
          <w:szCs w:val="21"/>
          <w:i w:val="1"/>
          <w:iCs w:val="1"/>
          <w:color w:val="auto"/>
        </w:rPr>
        <w:t>Basic Limitation</w:t>
      </w:r>
      <w:r>
        <w:rPr>
          <w:rFonts w:ascii="Arial" w:cs="Arial" w:eastAsia="Arial" w:hAnsi="Arial"/>
          <w:sz w:val="21"/>
          <w:szCs w:val="21"/>
          <w:color w:val="auto"/>
        </w:rPr>
        <w:t>. Shares offered under the Plan shall be authorized but unissued Shares or treasury Shares. The</w:t>
      </w:r>
      <w:r>
        <w:rPr>
          <w:rFonts w:ascii="Arial" w:cs="Arial" w:eastAsia="Arial" w:hAnsi="Arial"/>
          <w:sz w:val="21"/>
          <w:szCs w:val="21"/>
          <w:i w:val="1"/>
          <w:iCs w:val="1"/>
          <w:color w:val="auto"/>
        </w:rPr>
        <w:t xml:space="preserve"> </w:t>
      </w:r>
      <w:r>
        <w:rPr>
          <w:rFonts w:ascii="Arial" w:cs="Arial" w:eastAsia="Arial" w:hAnsi="Arial"/>
          <w:sz w:val="21"/>
          <w:szCs w:val="21"/>
          <w:color w:val="auto"/>
        </w:rPr>
        <w:t>aggregate number of Shares authorized for issuance as Awards under the Plan shall not exceed 250,000 Shares, subject to adjustment pursuant to Section 12.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78" w:lineRule="exact"/>
        <w:rPr>
          <w:rFonts w:ascii="Arial" w:cs="Arial" w:eastAsia="Arial" w:hAnsi="Arial"/>
          <w:sz w:val="21"/>
          <w:szCs w:val="21"/>
          <w:color w:val="auto"/>
        </w:rPr>
      </w:pPr>
    </w:p>
    <w:p>
      <w:pPr>
        <w:ind w:right="20" w:firstLine="757"/>
        <w:spacing w:after="0" w:line="274" w:lineRule="auto"/>
        <w:tabs>
          <w:tab w:leader="none" w:pos="1498" w:val="left"/>
        </w:tabs>
        <w:numPr>
          <w:ilvl w:val="0"/>
          <w:numId w:val="57"/>
        </w:numPr>
        <w:rPr>
          <w:rFonts w:ascii="Arial" w:cs="Arial" w:eastAsia="Arial" w:hAnsi="Arial"/>
          <w:sz w:val="19"/>
          <w:szCs w:val="19"/>
          <w:color w:val="auto"/>
        </w:rPr>
      </w:pPr>
      <w:r>
        <w:rPr>
          <w:rFonts w:ascii="Arial" w:cs="Arial" w:eastAsia="Arial" w:hAnsi="Arial"/>
          <w:sz w:val="19"/>
          <w:szCs w:val="19"/>
          <w:i w:val="1"/>
          <w:iCs w:val="1"/>
          <w:color w:val="auto"/>
        </w:rPr>
        <w:t>Additional Shares</w:t>
      </w:r>
      <w:r>
        <w:rPr>
          <w:rFonts w:ascii="Arial" w:cs="Arial" w:eastAsia="Arial" w:hAnsi="Arial"/>
          <w:sz w:val="19"/>
          <w:szCs w:val="19"/>
          <w:color w:val="auto"/>
        </w:rPr>
        <w:t>. If Restricted Shares or Shares issued upon the exercise of Options are forfeited, then such</w:t>
      </w:r>
      <w:r>
        <w:rPr>
          <w:rFonts w:ascii="Arial" w:cs="Arial" w:eastAsia="Arial" w:hAnsi="Arial"/>
          <w:sz w:val="19"/>
          <w:szCs w:val="19"/>
          <w:i w:val="1"/>
          <w:iCs w:val="1"/>
          <w:color w:val="auto"/>
        </w:rPr>
        <w:t xml:space="preserve"> </w:t>
      </w:r>
      <w:r>
        <w:rPr>
          <w:rFonts w:ascii="Arial" w:cs="Arial" w:eastAsia="Arial" w:hAnsi="Arial"/>
          <w:sz w:val="19"/>
          <w:szCs w:val="19"/>
          <w:color w:val="auto"/>
        </w:rPr>
        <w:t>Shares shall again become available for Awards under the Plan. If Stock Units, Options or SARs are forfeited or terminate for any reason before being exercised or settled, or an Award is settled in cash without the delivery of Shares to the holder, then any Shares subject to the Award shall again become available for Awards under the Plan. Only the number of Shares (if any) actually issued in settlement of Awards (and not forfeited) shall reduce the number available in Section 5(a) and the balance shall again become available for Awards under the Plan. Any Shares withheld to satisfy the grant price or Exercise Price or tax withholding obligation pursuant to any Award shall again become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158" w:lineRule="exact"/>
        <w:rPr>
          <w:rFonts w:ascii="Arial" w:cs="Arial" w:eastAsia="Arial" w:hAnsi="Arial"/>
          <w:sz w:val="19"/>
          <w:szCs w:val="19"/>
          <w:color w:val="auto"/>
        </w:rPr>
      </w:pPr>
    </w:p>
    <w:p>
      <w:pPr>
        <w:ind w:right="380" w:firstLine="757"/>
        <w:spacing w:after="0" w:line="238" w:lineRule="auto"/>
        <w:tabs>
          <w:tab w:leader="none" w:pos="1498"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Substitution and Assumption of Awards</w:t>
      </w:r>
      <w:r>
        <w:rPr>
          <w:rFonts w:ascii="Arial" w:cs="Arial" w:eastAsia="Arial" w:hAnsi="Arial"/>
          <w:sz w:val="22"/>
          <w:szCs w:val="22"/>
          <w:color w:val="auto"/>
        </w:rPr>
        <w:t>. The Committee may make Awards under the Plan by assumption,</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substitution or replacement of stock options, stock appreciation rights, stock units or similar awards granted by another entity (including a Parent or Subsidiary), if such assumption, substitution or replacement is in connection with an asset acquisition,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07" w:name="page108"/>
    <w:bookmarkEnd w:id="107"/>
    <w:p>
      <w:pPr>
        <w:spacing w:after="0" w:line="249" w:lineRule="auto"/>
        <w:rPr>
          <w:sz w:val="20"/>
          <w:szCs w:val="20"/>
          <w:color w:val="auto"/>
        </w:rPr>
      </w:pPr>
      <w:r>
        <w:rPr>
          <w:rFonts w:ascii="Arial" w:cs="Arial" w:eastAsia="Arial" w:hAnsi="Arial"/>
          <w:sz w:val="21"/>
          <w:szCs w:val="21"/>
          <w:color w:val="auto"/>
        </w:rPr>
        <w:t>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RESTRICTED SHARES.</w:t>
      </w:r>
    </w:p>
    <w:p>
      <w:pPr>
        <w:spacing w:after="0" w:line="212" w:lineRule="exact"/>
        <w:rPr>
          <w:sz w:val="20"/>
          <w:szCs w:val="20"/>
          <w:color w:val="auto"/>
        </w:rPr>
      </w:pPr>
    </w:p>
    <w:p>
      <w:pPr>
        <w:jc w:val="both"/>
        <w:ind w:right="120" w:firstLine="757"/>
        <w:spacing w:after="0" w:line="287" w:lineRule="auto"/>
        <w:tabs>
          <w:tab w:leader="none" w:pos="1498"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Restricted Share Award Agreement</w:t>
      </w:r>
      <w:r>
        <w:rPr>
          <w:rFonts w:ascii="Arial" w:cs="Arial" w:eastAsia="Arial" w:hAnsi="Arial"/>
          <w:sz w:val="19"/>
          <w:szCs w:val="19"/>
          <w:color w:val="auto"/>
        </w:rPr>
        <w:t>. Each grant of Restricted Shares under the Plan shall be evidenced by a</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42" w:lineRule="exact"/>
        <w:rPr>
          <w:rFonts w:ascii="Arial" w:cs="Arial" w:eastAsia="Arial" w:hAnsi="Arial"/>
          <w:sz w:val="19"/>
          <w:szCs w:val="19"/>
          <w:color w:val="auto"/>
        </w:rPr>
      </w:pPr>
    </w:p>
    <w:p>
      <w:pPr>
        <w:ind w:right="300" w:firstLine="757"/>
        <w:spacing w:after="0"/>
        <w:tabs>
          <w:tab w:leader="none" w:pos="1498"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Payment for Awards</w:t>
      </w:r>
      <w:r>
        <w:rPr>
          <w:rFonts w:ascii="Arial" w:cs="Arial" w:eastAsia="Arial" w:hAnsi="Arial"/>
          <w:sz w:val="22"/>
          <w:szCs w:val="22"/>
          <w:color w:val="auto"/>
        </w:rPr>
        <w:t>. Restricted Shares may be sold or awarded under the Plan for such consideration as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may determine, including (without limitation) cash, cash equivalents, full-recourse promissory notes and future services.</w:t>
      </w:r>
    </w:p>
    <w:p>
      <w:pPr>
        <w:spacing w:after="0" w:line="186" w:lineRule="exact"/>
        <w:rPr>
          <w:rFonts w:ascii="Arial" w:cs="Arial" w:eastAsia="Arial" w:hAnsi="Arial"/>
          <w:sz w:val="22"/>
          <w:szCs w:val="22"/>
          <w:color w:val="auto"/>
        </w:rPr>
      </w:pPr>
    </w:p>
    <w:p>
      <w:pPr>
        <w:ind w:right="140" w:firstLine="757"/>
        <w:spacing w:after="0" w:line="282" w:lineRule="auto"/>
        <w:tabs>
          <w:tab w:leader="none" w:pos="1498"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Each Award of Restricted Shares may or may not be subject to vesting. Vesting shall occur, in full or</w:t>
      </w:r>
      <w:r>
        <w:rPr>
          <w:rFonts w:ascii="Arial" w:cs="Arial" w:eastAsia="Arial" w:hAnsi="Arial"/>
          <w:sz w:val="19"/>
          <w:szCs w:val="19"/>
          <w:i w:val="1"/>
          <w:iCs w:val="1"/>
          <w:color w:val="auto"/>
        </w:rPr>
        <w:t xml:space="preserve"> </w:t>
      </w:r>
      <w:r>
        <w:rPr>
          <w:rFonts w:ascii="Arial" w:cs="Arial" w:eastAsia="Arial" w:hAnsi="Arial"/>
          <w:sz w:val="19"/>
          <w:szCs w:val="19"/>
          <w:color w:val="auto"/>
        </w:rPr>
        <w:t>in 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spacing w:after="0" w:line="147" w:lineRule="exact"/>
        <w:rPr>
          <w:rFonts w:ascii="Arial" w:cs="Arial" w:eastAsia="Arial" w:hAnsi="Arial"/>
          <w:sz w:val="19"/>
          <w:szCs w:val="19"/>
          <w:color w:val="auto"/>
        </w:rPr>
      </w:pPr>
    </w:p>
    <w:p>
      <w:pPr>
        <w:ind w:right="140" w:firstLine="757"/>
        <w:spacing w:after="0" w:line="236" w:lineRule="auto"/>
        <w:tabs>
          <w:tab w:leader="none" w:pos="1498"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Voting and Dividend Rights</w:t>
      </w:r>
      <w:r>
        <w:rPr>
          <w:rFonts w:ascii="Arial" w:cs="Arial" w:eastAsia="Arial" w:hAnsi="Arial"/>
          <w:sz w:val="22"/>
          <w:szCs w:val="22"/>
          <w:color w:val="auto"/>
        </w:rPr>
        <w:t>. The holders of Restricted Shares awarded under the Plan shall have the same</w:t>
      </w:r>
      <w:r>
        <w:rPr>
          <w:rFonts w:ascii="Arial" w:cs="Arial" w:eastAsia="Arial" w:hAnsi="Arial"/>
          <w:sz w:val="22"/>
          <w:szCs w:val="22"/>
          <w:i w:val="1"/>
          <w:iCs w:val="1"/>
          <w:color w:val="auto"/>
        </w:rPr>
        <w:t xml:space="preserve"> </w:t>
      </w:r>
      <w:r>
        <w:rPr>
          <w:rFonts w:ascii="Arial" w:cs="Arial" w:eastAsia="Arial" w:hAnsi="Arial"/>
          <w:sz w:val="22"/>
          <w:szCs w:val="22"/>
          <w:color w:val="auto"/>
        </w:rPr>
        <w:t>voting, dividend and other rights as the Company’s other stockholders. A Restricted Share Award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w:t>
      </w:r>
    </w:p>
    <w:p>
      <w:pPr>
        <w:spacing w:after="0" w:line="187" w:lineRule="exact"/>
        <w:rPr>
          <w:rFonts w:ascii="Arial" w:cs="Arial" w:eastAsia="Arial" w:hAnsi="Arial"/>
          <w:sz w:val="22"/>
          <w:szCs w:val="22"/>
          <w:color w:val="auto"/>
        </w:rPr>
      </w:pPr>
    </w:p>
    <w:p>
      <w:pPr>
        <w:ind w:firstLine="757"/>
        <w:spacing w:after="0" w:line="297" w:lineRule="auto"/>
        <w:tabs>
          <w:tab w:leader="none" w:pos="1498"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Restrictions on Transfer of Shares</w:t>
      </w:r>
      <w:r>
        <w:rPr>
          <w:rFonts w:ascii="Arial" w:cs="Arial" w:eastAsia="Arial" w:hAnsi="Arial"/>
          <w:sz w:val="19"/>
          <w:szCs w:val="19"/>
          <w:color w:val="auto"/>
        </w:rPr>
        <w:t>. Restricted Shares shall be subject to such rights of repurchase, rights of first</w:t>
      </w:r>
      <w:r>
        <w:rPr>
          <w:rFonts w:ascii="Arial" w:cs="Arial" w:eastAsia="Arial" w:hAnsi="Arial"/>
          <w:sz w:val="19"/>
          <w:szCs w:val="19"/>
          <w:i w:val="1"/>
          <w:iCs w:val="1"/>
          <w:color w:val="auto"/>
        </w:rPr>
        <w:t xml:space="preserve"> </w:t>
      </w:r>
      <w:r>
        <w:rPr>
          <w:rFonts w:ascii="Arial" w:cs="Arial" w:eastAsia="Arial" w:hAnsi="Arial"/>
          <w:sz w:val="19"/>
          <w:szCs w:val="19"/>
          <w:color w:val="auto"/>
        </w:rPr>
        <w:t>refusal or other restrictions as the Committee may determine. Such restrictions shall be set forth in the applicable Restricted Share Award Agreement and shall apply in addition to any general restrictions that may apply to all holders of Shares.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TERMS AND CONDITIONS OF OPTIONS.</w:t>
      </w:r>
    </w:p>
    <w:p>
      <w:pPr>
        <w:spacing w:after="0" w:line="212" w:lineRule="exact"/>
        <w:rPr>
          <w:sz w:val="20"/>
          <w:szCs w:val="20"/>
          <w:color w:val="auto"/>
        </w:rPr>
      </w:pPr>
    </w:p>
    <w:p>
      <w:pPr>
        <w:ind w:right="20" w:firstLine="757"/>
        <w:spacing w:after="0" w:line="297" w:lineRule="auto"/>
        <w:tabs>
          <w:tab w:leader="none" w:pos="1498" w:val="left"/>
        </w:tabs>
        <w:numPr>
          <w:ilvl w:val="0"/>
          <w:numId w:val="59"/>
        </w:numPr>
        <w:rPr>
          <w:rFonts w:ascii="Arial" w:cs="Arial" w:eastAsia="Arial" w:hAnsi="Arial"/>
          <w:sz w:val="19"/>
          <w:szCs w:val="19"/>
          <w:color w:val="auto"/>
        </w:rPr>
      </w:pPr>
      <w:r>
        <w:rPr>
          <w:rFonts w:ascii="Arial" w:cs="Arial" w:eastAsia="Arial" w:hAnsi="Arial"/>
          <w:sz w:val="19"/>
          <w:szCs w:val="19"/>
          <w:i w:val="1"/>
          <w:iCs w:val="1"/>
          <w:color w:val="auto"/>
        </w:rPr>
        <w:t>Stock Option Award Agreement</w:t>
      </w:r>
      <w:r>
        <w:rPr>
          <w:rFonts w:ascii="Arial" w:cs="Arial" w:eastAsia="Arial" w:hAnsi="Arial"/>
          <w:sz w:val="19"/>
          <w:szCs w:val="19"/>
          <w:color w:val="auto"/>
        </w:rPr>
        <w:t>. Each grant of an Option under the Plan shall be evidenced by a Stock Option</w:t>
      </w:r>
      <w:r>
        <w:rPr>
          <w:rFonts w:ascii="Arial" w:cs="Arial" w:eastAsia="Arial" w:hAnsi="Arial"/>
          <w:sz w:val="19"/>
          <w:szCs w:val="19"/>
          <w:i w:val="1"/>
          <w:iCs w:val="1"/>
          <w:color w:val="auto"/>
        </w:rPr>
        <w:t xml:space="preserve"> </w:t>
      </w:r>
      <w:r>
        <w:rPr>
          <w:rFonts w:ascii="Arial" w:cs="Arial" w:eastAsia="Arial" w:hAnsi="Arial"/>
          <w:sz w:val="19"/>
          <w:szCs w:val="19"/>
          <w:color w:val="auto"/>
        </w:rPr>
        <w:t>Award Agreement between the Participant and the Company. Such Option shall be subject to all applicable terms and conditions of the Plan and may be subject to any other terms and conditions which are not inconsistent with the Plan and which the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7" w:right="399" w:bottom="1440" w:gutter="0" w:footer="0" w:header="0"/>
        </w:sectPr>
      </w:pPr>
    </w:p>
    <w:bookmarkStart w:id="108" w:name="page109"/>
    <w:bookmarkEnd w:id="108"/>
    <w:p>
      <w:pPr>
        <w:ind w:right="360"/>
        <w:spacing w:after="0" w:line="250" w:lineRule="auto"/>
        <w:rPr>
          <w:sz w:val="20"/>
          <w:szCs w:val="20"/>
          <w:color w:val="auto"/>
        </w:rPr>
      </w:pPr>
      <w:r>
        <w:rPr>
          <w:rFonts w:ascii="Arial" w:cs="Arial" w:eastAsia="Arial" w:hAnsi="Arial"/>
          <w:sz w:val="22"/>
          <w:szCs w:val="22"/>
          <w:color w:val="auto"/>
        </w:rPr>
        <w:t>Committee deems appropriate for inclusion in a Stock Option Award Agreement. The provisions of the various Stock Option Award Agreements entered into under the Plan need not be identical.</w:t>
      </w:r>
    </w:p>
    <w:p>
      <w:pPr>
        <w:spacing w:after="0" w:line="175" w:lineRule="exact"/>
        <w:rPr>
          <w:sz w:val="20"/>
          <w:szCs w:val="20"/>
          <w:color w:val="auto"/>
        </w:rPr>
      </w:pPr>
    </w:p>
    <w:p>
      <w:pPr>
        <w:ind w:right="120" w:firstLine="757"/>
        <w:spacing w:after="0" w:line="250" w:lineRule="auto"/>
        <w:tabs>
          <w:tab w:leader="none" w:pos="1498" w:val="left"/>
        </w:tabs>
        <w:numPr>
          <w:ilvl w:val="0"/>
          <w:numId w:val="60"/>
        </w:numPr>
        <w:rPr>
          <w:rFonts w:ascii="Arial" w:cs="Arial" w:eastAsia="Arial" w:hAnsi="Arial"/>
          <w:sz w:val="22"/>
          <w:szCs w:val="22"/>
          <w:color w:val="auto"/>
        </w:rPr>
      </w:pPr>
      <w:r>
        <w:rPr>
          <w:rFonts w:ascii="Arial" w:cs="Arial" w:eastAsia="Arial" w:hAnsi="Arial"/>
          <w:sz w:val="22"/>
          <w:szCs w:val="22"/>
          <w:i w:val="1"/>
          <w:iCs w:val="1"/>
          <w:color w:val="auto"/>
        </w:rPr>
        <w:t>Number of Shares</w:t>
      </w:r>
      <w:r>
        <w:rPr>
          <w:rFonts w:ascii="Arial" w:cs="Arial" w:eastAsia="Arial" w:hAnsi="Arial"/>
          <w:sz w:val="22"/>
          <w:szCs w:val="22"/>
          <w:color w:val="auto"/>
        </w:rPr>
        <w:t>. Each Stock Option Award Agreement shall specify the number of Shares that are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the Option and shall provide for the adjustment of such number in accordance with Section 12.</w:t>
      </w:r>
    </w:p>
    <w:p>
      <w:pPr>
        <w:spacing w:after="0" w:line="174" w:lineRule="exact"/>
        <w:rPr>
          <w:rFonts w:ascii="Arial" w:cs="Arial" w:eastAsia="Arial" w:hAnsi="Arial"/>
          <w:sz w:val="22"/>
          <w:szCs w:val="22"/>
          <w:color w:val="auto"/>
        </w:rPr>
      </w:pPr>
    </w:p>
    <w:p>
      <w:pPr>
        <w:ind w:right="40" w:firstLine="757"/>
        <w:spacing w:after="0" w:line="248" w:lineRule="auto"/>
        <w:tabs>
          <w:tab w:leader="none" w:pos="1498" w:val="left"/>
        </w:tabs>
        <w:numPr>
          <w:ilvl w:val="0"/>
          <w:numId w:val="60"/>
        </w:numPr>
        <w:rPr>
          <w:rFonts w:ascii="Arial" w:cs="Arial" w:eastAsia="Arial" w:hAnsi="Arial"/>
          <w:sz w:val="21"/>
          <w:szCs w:val="21"/>
          <w:color w:val="auto"/>
        </w:rPr>
      </w:pPr>
      <w:r>
        <w:rPr>
          <w:rFonts w:ascii="Arial" w:cs="Arial" w:eastAsia="Arial" w:hAnsi="Arial"/>
          <w:sz w:val="21"/>
          <w:szCs w:val="21"/>
          <w:i w:val="1"/>
          <w:iCs w:val="1"/>
          <w:color w:val="auto"/>
        </w:rPr>
        <w:t>Exercise Price</w:t>
      </w:r>
      <w:r>
        <w:rPr>
          <w:rFonts w:ascii="Arial" w:cs="Arial" w:eastAsia="Arial" w:hAnsi="Arial"/>
          <w:sz w:val="21"/>
          <w:szCs w:val="21"/>
          <w:color w:val="auto"/>
        </w:rPr>
        <w:t>. Each Stock Option Award Agreement shall specify the Exercise Price. The Exercise Price of an</w:t>
      </w:r>
      <w:r>
        <w:rPr>
          <w:rFonts w:ascii="Arial" w:cs="Arial" w:eastAsia="Arial" w:hAnsi="Arial"/>
          <w:sz w:val="21"/>
          <w:szCs w:val="21"/>
          <w:i w:val="1"/>
          <w:iCs w:val="1"/>
          <w:color w:val="auto"/>
        </w:rPr>
        <w:t xml:space="preserve"> </w:t>
      </w:r>
      <w:r>
        <w:rPr>
          <w:rFonts w:ascii="Arial" w:cs="Arial" w:eastAsia="Arial" w:hAnsi="Arial"/>
          <w:sz w:val="21"/>
          <w:szCs w:val="21"/>
          <w:color w:val="auto"/>
        </w:rPr>
        <w:t>Option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409A. Subject to the foregoing in this Section 7(c), the Exercise Price under any Option shall be determined by the Committee in its sole discretion. The Exercise Price shall be payable in one of the forms described in Section 8.</w:t>
      </w:r>
    </w:p>
    <w:p>
      <w:pPr>
        <w:spacing w:after="0" w:line="176" w:lineRule="exact"/>
        <w:rPr>
          <w:rFonts w:ascii="Arial" w:cs="Arial" w:eastAsia="Arial" w:hAnsi="Arial"/>
          <w:sz w:val="21"/>
          <w:szCs w:val="21"/>
          <w:color w:val="auto"/>
        </w:rPr>
      </w:pPr>
    </w:p>
    <w:p>
      <w:pPr>
        <w:ind w:firstLine="757"/>
        <w:spacing w:after="0" w:line="236" w:lineRule="auto"/>
        <w:tabs>
          <w:tab w:leader="none" w:pos="1498" w:val="left"/>
        </w:tabs>
        <w:numPr>
          <w:ilvl w:val="0"/>
          <w:numId w:val="60"/>
        </w:numPr>
        <w:rPr>
          <w:rFonts w:ascii="Arial" w:cs="Arial" w:eastAsia="Arial" w:hAnsi="Arial"/>
          <w:sz w:val="22"/>
          <w:szCs w:val="22"/>
          <w:color w:val="auto"/>
        </w:rPr>
      </w:pPr>
      <w:r>
        <w:rPr>
          <w:rFonts w:ascii="Arial" w:cs="Arial" w:eastAsia="Arial" w:hAnsi="Arial"/>
          <w:sz w:val="22"/>
          <w:szCs w:val="22"/>
          <w:i w:val="1"/>
          <w:iCs w:val="1"/>
          <w:color w:val="auto"/>
        </w:rPr>
        <w:t>Withholding Taxes</w:t>
      </w:r>
      <w:r>
        <w:rPr>
          <w:rFonts w:ascii="Arial" w:cs="Arial" w:eastAsia="Arial" w:hAnsi="Arial"/>
          <w:sz w:val="22"/>
          <w:szCs w:val="22"/>
          <w:color w:val="auto"/>
        </w:rPr>
        <w:t>. As a condition to the exercise of an Option, the Participant shall make such arrangements as</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87" w:lineRule="exact"/>
        <w:rPr>
          <w:rFonts w:ascii="Arial" w:cs="Arial" w:eastAsia="Arial" w:hAnsi="Arial"/>
          <w:sz w:val="22"/>
          <w:szCs w:val="22"/>
          <w:color w:val="auto"/>
        </w:rPr>
      </w:pPr>
    </w:p>
    <w:p>
      <w:pPr>
        <w:ind w:right="380" w:firstLine="757"/>
        <w:spacing w:after="0" w:line="275" w:lineRule="auto"/>
        <w:tabs>
          <w:tab w:leader="none" w:pos="1498" w:val="left"/>
        </w:tabs>
        <w:numPr>
          <w:ilvl w:val="0"/>
          <w:numId w:val="60"/>
        </w:numPr>
        <w:rPr>
          <w:rFonts w:ascii="Arial" w:cs="Arial" w:eastAsia="Arial" w:hAnsi="Arial"/>
          <w:sz w:val="19"/>
          <w:szCs w:val="19"/>
          <w:color w:val="auto"/>
        </w:rPr>
      </w:pPr>
      <w:r>
        <w:rPr>
          <w:rFonts w:ascii="Arial" w:cs="Arial" w:eastAsia="Arial" w:hAnsi="Arial"/>
          <w:sz w:val="19"/>
          <w:szCs w:val="19"/>
          <w:i w:val="1"/>
          <w:iCs w:val="1"/>
          <w:color w:val="auto"/>
        </w:rPr>
        <w:t>Exercisability and Term</w:t>
      </w:r>
      <w:r>
        <w:rPr>
          <w:rFonts w:ascii="Arial" w:cs="Arial" w:eastAsia="Arial" w:hAnsi="Arial"/>
          <w:sz w:val="19"/>
          <w:szCs w:val="19"/>
          <w:color w:val="auto"/>
        </w:rPr>
        <w:t>. Each Stock Option Award Agreement shall specify the date when all or any</w:t>
      </w:r>
      <w:r>
        <w:rPr>
          <w:rFonts w:ascii="Arial" w:cs="Arial" w:eastAsia="Arial" w:hAnsi="Arial"/>
          <w:sz w:val="19"/>
          <w:szCs w:val="19"/>
          <w:i w:val="1"/>
          <w:iCs w:val="1"/>
          <w:color w:val="auto"/>
        </w:rPr>
        <w:t xml:space="preserve"> </w:t>
      </w:r>
      <w:r>
        <w:rPr>
          <w:rFonts w:ascii="Arial" w:cs="Arial" w:eastAsia="Arial" w:hAnsi="Arial"/>
          <w:sz w:val="19"/>
          <w:szCs w:val="19"/>
          <w:color w:val="auto"/>
        </w:rPr>
        <w:t>installment of the Option is to become exercisable. The Stock Option Award Agreement shall also specify the term of the Option, which shall in no event exceed 10 years from the date of grant. A Stock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57" w:lineRule="exact"/>
        <w:rPr>
          <w:rFonts w:ascii="Arial" w:cs="Arial" w:eastAsia="Arial" w:hAnsi="Arial"/>
          <w:sz w:val="19"/>
          <w:szCs w:val="19"/>
          <w:color w:val="auto"/>
        </w:rPr>
      </w:pPr>
    </w:p>
    <w:p>
      <w:pPr>
        <w:ind w:right="20" w:firstLine="757"/>
        <w:spacing w:after="0" w:line="248" w:lineRule="auto"/>
        <w:tabs>
          <w:tab w:leader="none" w:pos="1984" w:val="left"/>
        </w:tabs>
        <w:numPr>
          <w:ilvl w:val="0"/>
          <w:numId w:val="60"/>
        </w:numPr>
        <w:rPr>
          <w:rFonts w:ascii="Arial" w:cs="Arial" w:eastAsia="Arial" w:hAnsi="Arial"/>
          <w:sz w:val="21"/>
          <w:szCs w:val="21"/>
          <w:color w:val="auto"/>
        </w:rPr>
      </w:pPr>
      <w:r>
        <w:rPr>
          <w:rFonts w:ascii="Arial" w:cs="Arial" w:eastAsia="Arial" w:hAnsi="Arial"/>
          <w:sz w:val="21"/>
          <w:szCs w:val="21"/>
          <w:i w:val="1"/>
          <w:iCs w:val="1"/>
          <w:color w:val="auto"/>
        </w:rPr>
        <w:t>Exercise of Options</w:t>
      </w:r>
      <w:r>
        <w:rPr>
          <w:rFonts w:ascii="Arial" w:cs="Arial" w:eastAsia="Arial" w:hAnsi="Arial"/>
          <w:sz w:val="21"/>
          <w:szCs w:val="21"/>
          <w:color w:val="auto"/>
        </w:rPr>
        <w:t>. Each Stock Option Award Agreement shall set forth the extent to which the</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109" w:name="page110"/>
    <w:bookmarkEnd w:id="109"/>
    <w:p>
      <w:pPr>
        <w:ind w:firstLine="757"/>
        <w:spacing w:after="0"/>
        <w:tabs>
          <w:tab w:leader="none" w:pos="1498"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Effect of Change in Control</w:t>
      </w:r>
      <w:r>
        <w:rPr>
          <w:rFonts w:ascii="Arial" w:cs="Arial" w:eastAsia="Arial" w:hAnsi="Arial"/>
          <w:sz w:val="22"/>
          <w:szCs w:val="22"/>
          <w:color w:val="auto"/>
        </w:rPr>
        <w:t>. The Committee may determine, at the time of granting an Option or thereafter, that</w:t>
      </w:r>
      <w:r>
        <w:rPr>
          <w:rFonts w:ascii="Arial" w:cs="Arial" w:eastAsia="Arial" w:hAnsi="Arial"/>
          <w:sz w:val="22"/>
          <w:szCs w:val="22"/>
          <w:i w:val="1"/>
          <w:iCs w:val="1"/>
          <w:color w:val="auto"/>
        </w:rPr>
        <w:t xml:space="preserve"> </w:t>
      </w:r>
      <w:r>
        <w:rPr>
          <w:rFonts w:ascii="Arial" w:cs="Arial" w:eastAsia="Arial" w:hAnsi="Arial"/>
          <w:sz w:val="22"/>
          <w:szCs w:val="22"/>
          <w:color w:val="auto"/>
        </w:rPr>
        <w:t>such Option shall become exercisable as to all or part of the Shares subject to such Option in the event that a Change in Control occurs with respect to the Company.</w:t>
      </w:r>
    </w:p>
    <w:p>
      <w:pPr>
        <w:spacing w:after="0" w:line="186" w:lineRule="exact"/>
        <w:rPr>
          <w:rFonts w:ascii="Arial" w:cs="Arial" w:eastAsia="Arial" w:hAnsi="Arial"/>
          <w:sz w:val="22"/>
          <w:szCs w:val="22"/>
          <w:color w:val="auto"/>
        </w:rPr>
      </w:pPr>
    </w:p>
    <w:p>
      <w:pPr>
        <w:ind w:right="180" w:firstLine="757"/>
        <w:spacing w:after="0"/>
        <w:tabs>
          <w:tab w:leader="none" w:pos="1498"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No Rights as a Stockholder</w:t>
      </w:r>
      <w:r>
        <w:rPr>
          <w:rFonts w:ascii="Arial" w:cs="Arial" w:eastAsia="Arial" w:hAnsi="Arial"/>
          <w:sz w:val="22"/>
          <w:szCs w:val="22"/>
          <w:color w:val="auto"/>
        </w:rPr>
        <w:t>. A Participant shall have no rights as a stockholder with respect to any Shares</w:t>
      </w:r>
      <w:r>
        <w:rPr>
          <w:rFonts w:ascii="Arial" w:cs="Arial" w:eastAsia="Arial" w:hAnsi="Arial"/>
          <w:sz w:val="22"/>
          <w:szCs w:val="22"/>
          <w:i w:val="1"/>
          <w:iCs w:val="1"/>
          <w:color w:val="auto"/>
        </w:rPr>
        <w:t xml:space="preserve"> </w:t>
      </w:r>
      <w:r>
        <w:rPr>
          <w:rFonts w:ascii="Arial" w:cs="Arial" w:eastAsia="Arial" w:hAnsi="Arial"/>
          <w:sz w:val="22"/>
          <w:szCs w:val="22"/>
          <w:color w:val="auto"/>
        </w:rPr>
        <w:t>covered by his Option until the date of the issuance of a stock certificate for such Shares. No adjustments shall be made, except as provided in Section 12.</w:t>
      </w:r>
    </w:p>
    <w:p>
      <w:pPr>
        <w:spacing w:after="0" w:line="186" w:lineRule="exact"/>
        <w:rPr>
          <w:rFonts w:ascii="Arial" w:cs="Arial" w:eastAsia="Arial" w:hAnsi="Arial"/>
          <w:sz w:val="22"/>
          <w:szCs w:val="22"/>
          <w:color w:val="auto"/>
        </w:rPr>
      </w:pPr>
    </w:p>
    <w:p>
      <w:pPr>
        <w:ind w:right="40" w:firstLine="757"/>
        <w:spacing w:after="0" w:line="238" w:lineRule="auto"/>
        <w:tabs>
          <w:tab w:leader="none" w:pos="1930"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Modification, Extension and Renewal of Options</w:t>
      </w:r>
      <w:r>
        <w:rPr>
          <w:rFonts w:ascii="Arial" w:cs="Arial" w:eastAsia="Arial" w:hAnsi="Arial"/>
          <w:sz w:val="22"/>
          <w:szCs w:val="22"/>
          <w:color w:val="auto"/>
        </w:rPr>
        <w:t>. Within the limitations of the Plan, applicable law and</w:t>
      </w:r>
      <w:r>
        <w:rPr>
          <w:rFonts w:ascii="Arial" w:cs="Arial" w:eastAsia="Arial" w:hAnsi="Arial"/>
          <w:sz w:val="22"/>
          <w:szCs w:val="22"/>
          <w:i w:val="1"/>
          <w:iCs w:val="1"/>
          <w:color w:val="auto"/>
        </w:rPr>
        <w:t xml:space="preserve"> </w:t>
      </w:r>
      <w:r>
        <w:rPr>
          <w:rFonts w:ascii="Arial" w:cs="Arial" w:eastAsia="Arial" w:hAnsi="Arial"/>
          <w:sz w:val="22"/>
          <w:szCs w:val="22"/>
          <w:color w:val="auto"/>
        </w:rPr>
        <w:t>listing requirements, the Committee may modify, extend or renew outstanding Options without stockholder approval. The foregoing notwithstanding, no modification of an Option shall, without the consent of the Participant, materially impair his or her rights or obligations under such Option.</w:t>
      </w:r>
    </w:p>
    <w:p>
      <w:pPr>
        <w:spacing w:after="0" w:line="184" w:lineRule="exact"/>
        <w:rPr>
          <w:rFonts w:ascii="Arial" w:cs="Arial" w:eastAsia="Arial" w:hAnsi="Arial"/>
          <w:sz w:val="22"/>
          <w:szCs w:val="22"/>
          <w:color w:val="auto"/>
        </w:rPr>
      </w:pPr>
    </w:p>
    <w:p>
      <w:pPr>
        <w:ind w:firstLine="757"/>
        <w:spacing w:after="0" w:line="248" w:lineRule="auto"/>
        <w:tabs>
          <w:tab w:leader="none" w:pos="1930" w:val="left"/>
        </w:tabs>
        <w:numPr>
          <w:ilvl w:val="0"/>
          <w:numId w:val="61"/>
        </w:numPr>
        <w:rPr>
          <w:rFonts w:ascii="Arial" w:cs="Arial" w:eastAsia="Arial" w:hAnsi="Arial"/>
          <w:sz w:val="21"/>
          <w:szCs w:val="21"/>
          <w:color w:val="auto"/>
        </w:rPr>
      </w:pPr>
      <w:r>
        <w:rPr>
          <w:rFonts w:ascii="Arial" w:cs="Arial" w:eastAsia="Arial" w:hAnsi="Arial"/>
          <w:sz w:val="21"/>
          <w:szCs w:val="21"/>
          <w:i w:val="1"/>
          <w:iCs w:val="1"/>
          <w:color w:val="auto"/>
        </w:rPr>
        <w:t>Repricing of Options</w:t>
      </w:r>
      <w:r>
        <w:rPr>
          <w:rFonts w:ascii="Arial" w:cs="Arial" w:eastAsia="Arial" w:hAnsi="Arial"/>
          <w:sz w:val="21"/>
          <w:szCs w:val="21"/>
          <w:color w:val="auto"/>
        </w:rPr>
        <w:t>. Within the limitations of the Plan, applicable law and listing requirements,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Committee may effect, at any time and from time to time, with the consent of any adversely affected Participant, (i) the reduction of the Exercise Price of any outstanding Option under the Plan or (ii) any other action that is treated as a repricing under generally accepted accounting principles, in each case without stockholder approval; </w:t>
      </w:r>
      <w:r>
        <w:rPr>
          <w:rFonts w:ascii="Arial" w:cs="Arial" w:eastAsia="Arial" w:hAnsi="Arial"/>
          <w:sz w:val="21"/>
          <w:szCs w:val="21"/>
          <w:i w:val="1"/>
          <w:iCs w:val="1"/>
          <w:color w:val="auto"/>
        </w:rPr>
        <w:t>provided, however</w:t>
      </w:r>
      <w:r>
        <w:rPr>
          <w:rFonts w:ascii="Arial" w:cs="Arial" w:eastAsia="Arial" w:hAnsi="Arial"/>
          <w:sz w:val="21"/>
          <w:szCs w:val="21"/>
          <w:color w:val="auto"/>
        </w:rPr>
        <w:t>, that no such reduction or action may be effected if it is determined, in the Company’s sole discretion, that such reduction or action would result in any such outstanding Option becoming subject to the requirements of Section 409A.</w:t>
      </w:r>
    </w:p>
    <w:p>
      <w:pPr>
        <w:spacing w:after="0" w:line="176" w:lineRule="exact"/>
        <w:rPr>
          <w:rFonts w:ascii="Arial" w:cs="Arial" w:eastAsia="Arial" w:hAnsi="Arial"/>
          <w:sz w:val="21"/>
          <w:szCs w:val="21"/>
          <w:color w:val="auto"/>
        </w:rPr>
      </w:pPr>
    </w:p>
    <w:p>
      <w:pPr>
        <w:jc w:val="both"/>
        <w:ind w:right="20" w:firstLine="757"/>
        <w:spacing w:after="0" w:line="238" w:lineRule="auto"/>
        <w:tabs>
          <w:tab w:leader="none" w:pos="1498"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Restrictions on Transfer of Shares</w:t>
      </w:r>
      <w:r>
        <w:rPr>
          <w:rFonts w:ascii="Arial" w:cs="Arial" w:eastAsia="Arial" w:hAnsi="Arial"/>
          <w:sz w:val="22"/>
          <w:szCs w:val="22"/>
          <w:color w:val="auto"/>
        </w:rPr>
        <w:t>. Any Shares issued upon exercise of an Option shall be subject to such</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forfeiture conditions, rights of repurchase, rights of first refusal and other transfer restrictions as the Committee may determine. Such restrictions shall be set forth in the applicable Stock Option Award Agreement and shall apply in addition to any general restrictions that may apply to all holders of Shares.</w:t>
      </w:r>
    </w:p>
    <w:p>
      <w:pPr>
        <w:spacing w:after="0" w:line="184" w:lineRule="exact"/>
        <w:rPr>
          <w:rFonts w:ascii="Arial" w:cs="Arial" w:eastAsia="Arial" w:hAnsi="Arial"/>
          <w:sz w:val="22"/>
          <w:szCs w:val="22"/>
          <w:color w:val="auto"/>
        </w:rPr>
      </w:pPr>
    </w:p>
    <w:p>
      <w:pPr>
        <w:ind w:right="40" w:firstLine="757"/>
        <w:spacing w:after="0" w:line="257" w:lineRule="auto"/>
        <w:tabs>
          <w:tab w:leader="none" w:pos="1930" w:val="left"/>
        </w:tabs>
        <w:numPr>
          <w:ilvl w:val="0"/>
          <w:numId w:val="61"/>
        </w:numPr>
        <w:rPr>
          <w:rFonts w:ascii="Arial" w:cs="Arial" w:eastAsia="Arial" w:hAnsi="Arial"/>
          <w:sz w:val="21"/>
          <w:szCs w:val="21"/>
          <w:color w:val="auto"/>
        </w:rPr>
      </w:pPr>
      <w:r>
        <w:rPr>
          <w:rFonts w:ascii="Arial" w:cs="Arial" w:eastAsia="Arial" w:hAnsi="Arial"/>
          <w:sz w:val="21"/>
          <w:szCs w:val="21"/>
          <w:i w:val="1"/>
          <w:iCs w:val="1"/>
          <w:color w:val="auto"/>
        </w:rPr>
        <w:t>Buyout Provisions</w:t>
      </w:r>
      <w:r>
        <w:rPr>
          <w:rFonts w:ascii="Arial" w:cs="Arial" w:eastAsia="Arial" w:hAnsi="Arial"/>
          <w:sz w:val="21"/>
          <w:szCs w:val="21"/>
          <w:color w:val="auto"/>
        </w:rPr>
        <w:t>. The Committee may at any time (i) offer to buy out for a payment in cash or cash</w:t>
      </w:r>
      <w:r>
        <w:rPr>
          <w:rFonts w:ascii="Arial" w:cs="Arial" w:eastAsia="Arial" w:hAnsi="Arial"/>
          <w:sz w:val="21"/>
          <w:szCs w:val="21"/>
          <w:i w:val="1"/>
          <w:iCs w:val="1"/>
          <w:color w:val="auto"/>
        </w:rPr>
        <w:t xml:space="preserve"> </w:t>
      </w:r>
      <w:r>
        <w:rPr>
          <w:rFonts w:ascii="Arial" w:cs="Arial" w:eastAsia="Arial" w:hAnsi="Arial"/>
          <w:sz w:val="21"/>
          <w:szCs w:val="21"/>
          <w:color w:val="auto"/>
        </w:rPr>
        <w:t>equivalents an Option previously granted or (ii) authorize a Participant to elect to cash out an Option previously granted, in either case at such time and based upon such terms and conditions as the Committee shall establish.</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PAYMENT FOR SHARES.</w:t>
      </w:r>
    </w:p>
    <w:p>
      <w:pPr>
        <w:spacing w:after="0" w:line="212" w:lineRule="exact"/>
        <w:rPr>
          <w:sz w:val="20"/>
          <w:szCs w:val="20"/>
          <w:color w:val="auto"/>
        </w:rPr>
      </w:pPr>
    </w:p>
    <w:p>
      <w:pPr>
        <w:ind w:right="240" w:firstLine="757"/>
        <w:spacing w:after="0"/>
        <w:tabs>
          <w:tab w:leader="none" w:pos="1498"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General Rule</w:t>
      </w:r>
      <w:r>
        <w:rPr>
          <w:rFonts w:ascii="Arial" w:cs="Arial" w:eastAsia="Arial" w:hAnsi="Arial"/>
          <w:sz w:val="22"/>
          <w:szCs w:val="22"/>
          <w:color w:val="auto"/>
        </w:rPr>
        <w:t>. The entire Exercise Price or Purchase Price of Shares issued under the Plan shall be payable in</w:t>
      </w:r>
      <w:r>
        <w:rPr>
          <w:rFonts w:ascii="Arial" w:cs="Arial" w:eastAsia="Arial" w:hAnsi="Arial"/>
          <w:sz w:val="22"/>
          <w:szCs w:val="22"/>
          <w:i w:val="1"/>
          <w:iCs w:val="1"/>
          <w:color w:val="auto"/>
        </w:rPr>
        <w:t xml:space="preserve"> </w:t>
      </w:r>
      <w:r>
        <w:rPr>
          <w:rFonts w:ascii="Arial" w:cs="Arial" w:eastAsia="Arial" w:hAnsi="Arial"/>
          <w:sz w:val="22"/>
          <w:szCs w:val="22"/>
          <w:color w:val="auto"/>
        </w:rPr>
        <w:t>lawful money of the United States of America at the time when such Shares are purchased, except as provided in Section 8(b) through Section 8(h) below.</w:t>
      </w:r>
    </w:p>
    <w:p>
      <w:pPr>
        <w:spacing w:after="0" w:line="186" w:lineRule="exact"/>
        <w:rPr>
          <w:rFonts w:ascii="Arial" w:cs="Arial" w:eastAsia="Arial" w:hAnsi="Arial"/>
          <w:sz w:val="22"/>
          <w:szCs w:val="22"/>
          <w:color w:val="auto"/>
        </w:rPr>
      </w:pPr>
    </w:p>
    <w:p>
      <w:pPr>
        <w:jc w:val="both"/>
        <w:ind w:right="40" w:firstLine="757"/>
        <w:spacing w:after="0" w:line="252" w:lineRule="auto"/>
        <w:tabs>
          <w:tab w:leader="none" w:pos="1498" w:val="left"/>
        </w:tabs>
        <w:numPr>
          <w:ilvl w:val="0"/>
          <w:numId w:val="62"/>
        </w:numPr>
        <w:rPr>
          <w:rFonts w:ascii="Arial" w:cs="Arial" w:eastAsia="Arial" w:hAnsi="Arial"/>
          <w:sz w:val="21"/>
          <w:szCs w:val="21"/>
          <w:color w:val="auto"/>
        </w:rPr>
      </w:pPr>
      <w:r>
        <w:rPr>
          <w:rFonts w:ascii="Arial" w:cs="Arial" w:eastAsia="Arial" w:hAnsi="Arial"/>
          <w:sz w:val="21"/>
          <w:szCs w:val="21"/>
          <w:i w:val="1"/>
          <w:iCs w:val="1"/>
          <w:color w:val="auto"/>
        </w:rPr>
        <w:t>Surrender of Stock</w:t>
      </w:r>
      <w:r>
        <w:rPr>
          <w:rFonts w:ascii="Arial" w:cs="Arial" w:eastAsia="Arial" w:hAnsi="Arial"/>
          <w:sz w:val="21"/>
          <w:szCs w:val="21"/>
          <w:color w:val="auto"/>
        </w:rPr>
        <w:t>. To the extent that a Stock Option Award Agreement so provides, payment may be made all</w:t>
      </w:r>
      <w:r>
        <w:rPr>
          <w:rFonts w:ascii="Arial" w:cs="Arial" w:eastAsia="Arial" w:hAnsi="Arial"/>
          <w:sz w:val="21"/>
          <w:szCs w:val="21"/>
          <w:i w:val="1"/>
          <w:iCs w:val="1"/>
          <w:color w:val="auto"/>
        </w:rPr>
        <w:t xml:space="preserve"> </w:t>
      </w:r>
      <w:r>
        <w:rPr>
          <w:rFonts w:ascii="Arial" w:cs="Arial" w:eastAsia="Arial" w:hAnsi="Arial"/>
          <w:sz w:val="21"/>
          <w:szCs w:val="21"/>
          <w:color w:val="auto"/>
        </w:rPr>
        <w:t>or in part by 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10" w:name="page111"/>
    <w:bookmarkEnd w:id="110"/>
    <w:p>
      <w:pPr>
        <w:ind w:right="720"/>
        <w:spacing w:after="0" w:line="250" w:lineRule="auto"/>
        <w:rPr>
          <w:sz w:val="20"/>
          <w:szCs w:val="20"/>
          <w:color w:val="auto"/>
        </w:rPr>
      </w:pPr>
      <w:r>
        <w:rPr>
          <w:rFonts w:ascii="Arial" w:cs="Arial" w:eastAsia="Arial" w:hAnsi="Arial"/>
          <w:sz w:val="22"/>
          <w:szCs w:val="22"/>
          <w:color w:val="auto"/>
        </w:rPr>
        <w:t>payment of the Exercise Price if such action would cause the Company to recognize compensation expense (or additional compensation expense) with respect to the Option for financial reporting purposes.</w:t>
      </w:r>
    </w:p>
    <w:p>
      <w:pPr>
        <w:spacing w:after="0" w:line="175" w:lineRule="exact"/>
        <w:rPr>
          <w:sz w:val="20"/>
          <w:szCs w:val="20"/>
          <w:color w:val="auto"/>
        </w:rPr>
      </w:pPr>
    </w:p>
    <w:p>
      <w:pPr>
        <w:jc w:val="both"/>
        <w:ind w:right="360" w:firstLine="757"/>
        <w:spacing w:after="0" w:line="287" w:lineRule="auto"/>
        <w:tabs>
          <w:tab w:leader="none" w:pos="1498"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Services To Be Rendered</w:t>
      </w:r>
      <w:r>
        <w:rPr>
          <w:rFonts w:ascii="Arial" w:cs="Arial" w:eastAsia="Arial" w:hAnsi="Arial"/>
          <w:sz w:val="19"/>
          <w:szCs w:val="19"/>
          <w:color w:val="auto"/>
        </w:rPr>
        <w:t>. At the discretion of the Committee, Shares may be awarded under the Plan in</w:t>
      </w:r>
      <w:r>
        <w:rPr>
          <w:rFonts w:ascii="Arial" w:cs="Arial" w:eastAsia="Arial" w:hAnsi="Arial"/>
          <w:sz w:val="19"/>
          <w:szCs w:val="19"/>
          <w:i w:val="1"/>
          <w:iCs w:val="1"/>
          <w:color w:val="auto"/>
        </w:rPr>
        <w:t xml:space="preserve"> </w:t>
      </w:r>
      <w:r>
        <w:rPr>
          <w:rFonts w:ascii="Arial" w:cs="Arial" w:eastAsia="Arial" w:hAnsi="Arial"/>
          <w:sz w:val="19"/>
          <w:szCs w:val="19"/>
          <w:color w:val="auto"/>
        </w:rPr>
        <w:t>consideration of services to be rendered to the Company or a Subsidiary. If Shares are awarded without the payment of a Purchase Price in cash, the Committee shall make a determination (at the time of the Award) of the value of the services to be rendered by the Participant and the sufficiency of the consideration to meet the requirements of Section 6(b).</w:t>
      </w:r>
    </w:p>
    <w:p>
      <w:pPr>
        <w:spacing w:after="0" w:line="142" w:lineRule="exact"/>
        <w:rPr>
          <w:rFonts w:ascii="Arial" w:cs="Arial" w:eastAsia="Arial" w:hAnsi="Arial"/>
          <w:sz w:val="19"/>
          <w:szCs w:val="19"/>
          <w:color w:val="auto"/>
        </w:rPr>
      </w:pPr>
    </w:p>
    <w:p>
      <w:pPr>
        <w:ind w:right="20" w:firstLine="757"/>
        <w:spacing w:after="0" w:line="257" w:lineRule="auto"/>
        <w:tabs>
          <w:tab w:leader="none" w:pos="1498"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Cashless Exercise</w:t>
      </w:r>
      <w:r>
        <w:rPr>
          <w:rFonts w:ascii="Arial" w:cs="Arial" w:eastAsia="Arial" w:hAnsi="Arial"/>
          <w:sz w:val="21"/>
          <w:szCs w:val="21"/>
          <w:color w:val="auto"/>
        </w:rPr>
        <w:t>. To the extent that a Stock Option Award Agreement so provides, payment may be made all</w:t>
      </w:r>
      <w:r>
        <w:rPr>
          <w:rFonts w:ascii="Arial" w:cs="Arial" w:eastAsia="Arial" w:hAnsi="Arial"/>
          <w:sz w:val="21"/>
          <w:szCs w:val="21"/>
          <w:i w:val="1"/>
          <w:iCs w:val="1"/>
          <w:color w:val="auto"/>
        </w:rPr>
        <w:t xml:space="preserve"> </w:t>
      </w:r>
      <w:r>
        <w:rPr>
          <w:rFonts w:ascii="Arial" w:cs="Arial" w:eastAsia="Arial" w:hAnsi="Arial"/>
          <w:sz w:val="21"/>
          <w:szCs w:val="21"/>
          <w:color w:val="auto"/>
        </w:rPr>
        <w:t>or in part by delivery (on a form prescribed by the Committee) of an irrevocable direction to a securities broker to sell Shares and to deliver all or part of the sale proceeds to the Company in payment of the aggregate Exercise Price.</w:t>
      </w:r>
    </w:p>
    <w:p>
      <w:pPr>
        <w:spacing w:after="0" w:line="169" w:lineRule="exact"/>
        <w:rPr>
          <w:rFonts w:ascii="Arial" w:cs="Arial" w:eastAsia="Arial" w:hAnsi="Arial"/>
          <w:sz w:val="21"/>
          <w:szCs w:val="21"/>
          <w:color w:val="auto"/>
        </w:rPr>
      </w:pPr>
    </w:p>
    <w:p>
      <w:pPr>
        <w:ind w:right="40" w:firstLine="757"/>
        <w:spacing w:after="0" w:line="238" w:lineRule="auto"/>
        <w:tabs>
          <w:tab w:leader="none" w:pos="1498"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Exercise/Pledge</w:t>
      </w:r>
      <w:r>
        <w:rPr>
          <w:rFonts w:ascii="Arial" w:cs="Arial" w:eastAsia="Arial" w:hAnsi="Arial"/>
          <w:sz w:val="22"/>
          <w:szCs w:val="22"/>
          <w:color w:val="auto"/>
        </w:rPr>
        <w:t>. To the extent that a Stock Option Award Agreement so provides, payment may be made all or</w:t>
      </w:r>
      <w:r>
        <w:rPr>
          <w:rFonts w:ascii="Arial" w:cs="Arial" w:eastAsia="Arial" w:hAnsi="Arial"/>
          <w:sz w:val="22"/>
          <w:szCs w:val="22"/>
          <w:i w:val="1"/>
          <w:iCs w:val="1"/>
          <w:color w:val="auto"/>
        </w:rPr>
        <w:t xml:space="preserve"> </w:t>
      </w:r>
      <w:r>
        <w:rPr>
          <w:rFonts w:ascii="Arial" w:cs="Arial" w:eastAsia="Arial" w:hAnsi="Arial"/>
          <w:sz w:val="22"/>
          <w:szCs w:val="22"/>
          <w:color w:val="auto"/>
        </w:rPr>
        <w:t>in part by delivery (on a form prescribed by the Committee) of an irrevocable direction to a securities broker or lender to pledge Shares, as security for a loan, and to deliver all or part of the loan proceeds to the Company in payment of the aggregate Exercise Price.</w:t>
      </w:r>
    </w:p>
    <w:p>
      <w:pPr>
        <w:spacing w:after="0" w:line="184" w:lineRule="exact"/>
        <w:rPr>
          <w:rFonts w:ascii="Arial" w:cs="Arial" w:eastAsia="Arial" w:hAnsi="Arial"/>
          <w:sz w:val="22"/>
          <w:szCs w:val="22"/>
          <w:color w:val="auto"/>
        </w:rPr>
      </w:pPr>
    </w:p>
    <w:p>
      <w:pPr>
        <w:ind w:firstLine="757"/>
        <w:spacing w:after="0" w:line="279" w:lineRule="auto"/>
        <w:tabs>
          <w:tab w:leader="none" w:pos="1930"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Net Exercise</w:t>
      </w:r>
      <w:r>
        <w:rPr>
          <w:rFonts w:ascii="Arial" w:cs="Arial" w:eastAsia="Arial" w:hAnsi="Arial"/>
          <w:sz w:val="19"/>
          <w:szCs w:val="19"/>
          <w:color w:val="auto"/>
        </w:rPr>
        <w:t>. To the extent that a Stock Option Award Agreement so provides, payment may be made all</w:t>
      </w:r>
      <w:r>
        <w:rPr>
          <w:rFonts w:ascii="Arial" w:cs="Arial" w:eastAsia="Arial" w:hAnsi="Arial"/>
          <w:sz w:val="19"/>
          <w:szCs w:val="19"/>
          <w:i w:val="1"/>
          <w:iCs w:val="1"/>
          <w:color w:val="auto"/>
        </w:rPr>
        <w:t xml:space="preserve"> </w:t>
      </w:r>
      <w:r>
        <w:rPr>
          <w:rFonts w:ascii="Arial" w:cs="Arial" w:eastAsia="Arial" w:hAnsi="Arial"/>
          <w:sz w:val="19"/>
          <w:szCs w:val="19"/>
          <w:color w:val="auto"/>
        </w:rPr>
        <w:t>or in part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Stock Option Agreement.</w:t>
      </w:r>
    </w:p>
    <w:p>
      <w:pPr>
        <w:spacing w:after="0" w:line="150" w:lineRule="exact"/>
        <w:rPr>
          <w:rFonts w:ascii="Arial" w:cs="Arial" w:eastAsia="Arial" w:hAnsi="Arial"/>
          <w:sz w:val="19"/>
          <w:szCs w:val="19"/>
          <w:color w:val="auto"/>
        </w:rPr>
      </w:pPr>
    </w:p>
    <w:p>
      <w:pPr>
        <w:ind w:right="20" w:firstLine="757"/>
        <w:spacing w:after="0"/>
        <w:tabs>
          <w:tab w:leader="none" w:pos="1498"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Promissory Note</w:t>
      </w:r>
      <w:r>
        <w:rPr>
          <w:rFonts w:ascii="Arial" w:cs="Arial" w:eastAsia="Arial" w:hAnsi="Arial"/>
          <w:sz w:val="22"/>
          <w:szCs w:val="22"/>
          <w:color w:val="auto"/>
        </w:rPr>
        <w:t>. To the extent that a Stock Option Award Agreement or Restricted Share Award Agreement so</w:t>
      </w:r>
      <w:r>
        <w:rPr>
          <w:rFonts w:ascii="Arial" w:cs="Arial" w:eastAsia="Arial" w:hAnsi="Arial"/>
          <w:sz w:val="22"/>
          <w:szCs w:val="22"/>
          <w:i w:val="1"/>
          <w:iCs w:val="1"/>
          <w:color w:val="auto"/>
        </w:rPr>
        <w:t xml:space="preserve"> </w:t>
      </w:r>
      <w:r>
        <w:rPr>
          <w:rFonts w:ascii="Arial" w:cs="Arial" w:eastAsia="Arial" w:hAnsi="Arial"/>
          <w:sz w:val="22"/>
          <w:szCs w:val="22"/>
          <w:color w:val="auto"/>
        </w:rPr>
        <w:t>provides, payment may be made all or in part by delivering (on a form prescribed by the Company) a full-recourse promissory note.</w:t>
      </w:r>
    </w:p>
    <w:p>
      <w:pPr>
        <w:spacing w:after="0" w:line="186" w:lineRule="exact"/>
        <w:rPr>
          <w:rFonts w:ascii="Arial" w:cs="Arial" w:eastAsia="Arial" w:hAnsi="Arial"/>
          <w:sz w:val="22"/>
          <w:szCs w:val="22"/>
          <w:color w:val="auto"/>
        </w:rPr>
      </w:pPr>
    </w:p>
    <w:p>
      <w:pPr>
        <w:ind w:right="300" w:firstLine="757"/>
        <w:spacing w:after="0" w:line="328" w:lineRule="auto"/>
        <w:tabs>
          <w:tab w:leader="none" w:pos="1498"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Other Forms of Payment</w:t>
      </w:r>
      <w:r>
        <w:rPr>
          <w:rFonts w:ascii="Arial" w:cs="Arial" w:eastAsia="Arial" w:hAnsi="Arial"/>
          <w:sz w:val="19"/>
          <w:szCs w:val="19"/>
          <w:color w:val="auto"/>
        </w:rPr>
        <w:t>. To the extent that a Stock Option Award Agreement or Restricted Share Award</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so provides, payment may be made in any other form that is consistent with applicable laws, regulations and rules.</w:t>
      </w:r>
    </w:p>
    <w:p>
      <w:pPr>
        <w:spacing w:after="0" w:line="104" w:lineRule="exact"/>
        <w:rPr>
          <w:rFonts w:ascii="Arial" w:cs="Arial" w:eastAsia="Arial" w:hAnsi="Arial"/>
          <w:sz w:val="19"/>
          <w:szCs w:val="19"/>
          <w:color w:val="auto"/>
        </w:rPr>
      </w:pPr>
    </w:p>
    <w:p>
      <w:pPr>
        <w:ind w:right="480" w:firstLine="757"/>
        <w:spacing w:after="0"/>
        <w:tabs>
          <w:tab w:leader="none" w:pos="1930"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Limitations under Applicable Law</w:t>
      </w:r>
      <w:r>
        <w:rPr>
          <w:rFonts w:ascii="Arial" w:cs="Arial" w:eastAsia="Arial" w:hAnsi="Arial"/>
          <w:sz w:val="22"/>
          <w:szCs w:val="22"/>
          <w:color w:val="auto"/>
        </w:rPr>
        <w:t>. Notwithstanding anything herein or in a Stock Option Award</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or Restricted Share Award Agreement to the contrary, payment may not be made in any form that is unlawful, as determined by the Committee in its sole discretion.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STOCK APPRECIATION RIGHTS.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111" w:name="page112"/>
    <w:bookmarkEnd w:id="111"/>
    <w:p>
      <w:pPr>
        <w:jc w:val="both"/>
        <w:ind w:right="60" w:firstLine="757"/>
        <w:spacing w:after="0" w:line="238" w:lineRule="auto"/>
        <w:tabs>
          <w:tab w:leader="none" w:pos="1498"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SAR Award Agreement</w:t>
      </w:r>
      <w:r>
        <w:rPr>
          <w:rFonts w:ascii="Arial" w:cs="Arial" w:eastAsia="Arial" w:hAnsi="Arial"/>
          <w:sz w:val="22"/>
          <w:szCs w:val="22"/>
          <w:color w:val="auto"/>
        </w:rPr>
        <w:t>. Each grant of a SAR under the Plan shall be evidenced by a SAR Award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84" w:lineRule="exact"/>
        <w:rPr>
          <w:rFonts w:ascii="Arial" w:cs="Arial" w:eastAsia="Arial" w:hAnsi="Arial"/>
          <w:sz w:val="22"/>
          <w:szCs w:val="22"/>
          <w:color w:val="auto"/>
        </w:rPr>
      </w:pPr>
    </w:p>
    <w:p>
      <w:pPr>
        <w:ind w:right="100" w:firstLine="757"/>
        <w:spacing w:after="0" w:line="250" w:lineRule="auto"/>
        <w:tabs>
          <w:tab w:leader="none" w:pos="1498"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Number of Shares</w:t>
      </w:r>
      <w:r>
        <w:rPr>
          <w:rFonts w:ascii="Arial" w:cs="Arial" w:eastAsia="Arial" w:hAnsi="Arial"/>
          <w:sz w:val="22"/>
          <w:szCs w:val="22"/>
          <w:color w:val="auto"/>
        </w:rPr>
        <w:t>. Each SAR Award Agreement shall specify the number of Shares to which the SAR pertains</w:t>
      </w:r>
      <w:r>
        <w:rPr>
          <w:rFonts w:ascii="Arial" w:cs="Arial" w:eastAsia="Arial" w:hAnsi="Arial"/>
          <w:sz w:val="22"/>
          <w:szCs w:val="22"/>
          <w:i w:val="1"/>
          <w:iCs w:val="1"/>
          <w:color w:val="auto"/>
        </w:rPr>
        <w:t xml:space="preserve"> </w:t>
      </w:r>
      <w:r>
        <w:rPr>
          <w:rFonts w:ascii="Arial" w:cs="Arial" w:eastAsia="Arial" w:hAnsi="Arial"/>
          <w:sz w:val="22"/>
          <w:szCs w:val="22"/>
          <w:color w:val="auto"/>
        </w:rPr>
        <w:t>and shall provide for the adjustment of such number in accordance with Section 12.</w:t>
      </w:r>
    </w:p>
    <w:p>
      <w:pPr>
        <w:spacing w:after="0" w:line="174" w:lineRule="exact"/>
        <w:rPr>
          <w:rFonts w:ascii="Arial" w:cs="Arial" w:eastAsia="Arial" w:hAnsi="Arial"/>
          <w:sz w:val="22"/>
          <w:szCs w:val="22"/>
          <w:color w:val="auto"/>
        </w:rPr>
      </w:pPr>
    </w:p>
    <w:p>
      <w:pPr>
        <w:ind w:right="240" w:firstLine="757"/>
        <w:spacing w:after="0" w:line="282" w:lineRule="auto"/>
        <w:tabs>
          <w:tab w:leader="none" w:pos="1498"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Exercise Price</w:t>
      </w:r>
      <w:r>
        <w:rPr>
          <w:rFonts w:ascii="Arial" w:cs="Arial" w:eastAsia="Arial" w:hAnsi="Arial"/>
          <w:sz w:val="19"/>
          <w:szCs w:val="19"/>
          <w:color w:val="auto"/>
        </w:rPr>
        <w:t>. Each SAR Award Agreement shall specify the Exercise Price. The Exercise Price of a SAR</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be less 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409A. Subject to the foregoing in this Section 9(c), the Exercise Price under any SAR shall be determined by the Committee in its sole discretion.</w:t>
      </w:r>
    </w:p>
    <w:p>
      <w:pPr>
        <w:spacing w:after="0" w:line="147" w:lineRule="exact"/>
        <w:rPr>
          <w:rFonts w:ascii="Arial" w:cs="Arial" w:eastAsia="Arial" w:hAnsi="Arial"/>
          <w:sz w:val="19"/>
          <w:szCs w:val="19"/>
          <w:color w:val="auto"/>
        </w:rPr>
      </w:pPr>
    </w:p>
    <w:p>
      <w:pPr>
        <w:ind w:right="40" w:firstLine="757"/>
        <w:spacing w:after="0" w:line="246" w:lineRule="auto"/>
        <w:tabs>
          <w:tab w:leader="none" w:pos="1498" w:val="left"/>
        </w:tabs>
        <w:numPr>
          <w:ilvl w:val="0"/>
          <w:numId w:val="64"/>
        </w:numPr>
        <w:rPr>
          <w:rFonts w:ascii="Arial" w:cs="Arial" w:eastAsia="Arial" w:hAnsi="Arial"/>
          <w:sz w:val="21"/>
          <w:szCs w:val="21"/>
          <w:color w:val="auto"/>
        </w:rPr>
      </w:pPr>
      <w:r>
        <w:rPr>
          <w:rFonts w:ascii="Arial" w:cs="Arial" w:eastAsia="Arial" w:hAnsi="Arial"/>
          <w:sz w:val="21"/>
          <w:szCs w:val="21"/>
          <w:i w:val="1"/>
          <w:iCs w:val="1"/>
          <w:color w:val="auto"/>
        </w:rPr>
        <w:t>Exercisability and Term</w:t>
      </w:r>
      <w:r>
        <w:rPr>
          <w:rFonts w:ascii="Arial" w:cs="Arial" w:eastAsia="Arial" w:hAnsi="Arial"/>
          <w:sz w:val="21"/>
          <w:szCs w:val="21"/>
          <w:color w:val="auto"/>
        </w:rPr>
        <w:t>. Each SAR Award Agreement shall specify the date when all or any installment of the</w:t>
      </w:r>
      <w:r>
        <w:rPr>
          <w:rFonts w:ascii="Arial" w:cs="Arial" w:eastAsia="Arial" w:hAnsi="Arial"/>
          <w:sz w:val="21"/>
          <w:szCs w:val="21"/>
          <w:i w:val="1"/>
          <w:iCs w:val="1"/>
          <w:color w:val="auto"/>
        </w:rPr>
        <w:t xml:space="preserve"> </w:t>
      </w:r>
      <w:r>
        <w:rPr>
          <w:rFonts w:ascii="Arial" w:cs="Arial" w:eastAsia="Arial" w:hAnsi="Arial"/>
          <w:sz w:val="21"/>
          <w:szCs w:val="21"/>
          <w:color w:val="auto"/>
        </w:rPr>
        <w:t>SAR is to become exercisable. The SAR Award Agreement shall also specify the term of the SAR, which shall in no event exceed 10 years from the date of grant. A SAR Award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Option at the time of grant or thereafter. A SAR granted under the Plan may provide that it will be exercisable only in the event of a Change in Control.</w:t>
      </w:r>
    </w:p>
    <w:p>
      <w:pPr>
        <w:spacing w:after="0" w:line="179" w:lineRule="exact"/>
        <w:rPr>
          <w:rFonts w:ascii="Arial" w:cs="Arial" w:eastAsia="Arial" w:hAnsi="Arial"/>
          <w:sz w:val="21"/>
          <w:szCs w:val="21"/>
          <w:color w:val="auto"/>
        </w:rPr>
      </w:pPr>
    </w:p>
    <w:p>
      <w:pPr>
        <w:jc w:val="both"/>
        <w:ind w:right="220" w:firstLine="757"/>
        <w:spacing w:after="0"/>
        <w:tabs>
          <w:tab w:leader="none" w:pos="1498"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Effect of Change in Control</w:t>
      </w:r>
      <w:r>
        <w:rPr>
          <w:rFonts w:ascii="Arial" w:cs="Arial" w:eastAsia="Arial" w:hAnsi="Arial"/>
          <w:sz w:val="22"/>
          <w:szCs w:val="22"/>
          <w:color w:val="auto"/>
        </w:rPr>
        <w:t>. The Committee may determine, at the time of granting a SAR or thereafter, that</w:t>
      </w:r>
      <w:r>
        <w:rPr>
          <w:rFonts w:ascii="Arial" w:cs="Arial" w:eastAsia="Arial" w:hAnsi="Arial"/>
          <w:sz w:val="22"/>
          <w:szCs w:val="22"/>
          <w:i w:val="1"/>
          <w:iCs w:val="1"/>
          <w:color w:val="auto"/>
        </w:rPr>
        <w:t xml:space="preserve"> </w:t>
      </w:r>
      <w:r>
        <w:rPr>
          <w:rFonts w:ascii="Arial" w:cs="Arial" w:eastAsia="Arial" w:hAnsi="Arial"/>
          <w:sz w:val="22"/>
          <w:szCs w:val="22"/>
          <w:color w:val="auto"/>
        </w:rPr>
        <w:t>such SAR shall become fully exercisable as to all Shares subject to such SAR in the event that a Change in Control occurs with respect to the Company.</w:t>
      </w:r>
    </w:p>
    <w:p>
      <w:pPr>
        <w:spacing w:after="0" w:line="186" w:lineRule="exact"/>
        <w:rPr>
          <w:rFonts w:ascii="Arial" w:cs="Arial" w:eastAsia="Arial" w:hAnsi="Arial"/>
          <w:sz w:val="22"/>
          <w:szCs w:val="22"/>
          <w:color w:val="auto"/>
        </w:rPr>
      </w:pPr>
    </w:p>
    <w:p>
      <w:pPr>
        <w:jc w:val="both"/>
        <w:ind w:firstLine="757"/>
        <w:spacing w:after="0" w:line="236" w:lineRule="auto"/>
        <w:tabs>
          <w:tab w:leader="none" w:pos="193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Exercise of SARs</w:t>
      </w:r>
      <w:r>
        <w:rPr>
          <w:rFonts w:ascii="Arial" w:cs="Arial" w:eastAsia="Arial" w:hAnsi="Arial"/>
          <w:sz w:val="22"/>
          <w:szCs w:val="22"/>
          <w:color w:val="auto"/>
        </w:rPr>
        <w:t>. Upon exercise of a SAR, the Participant (or any person having the right to exercise the</w:t>
      </w:r>
      <w:r>
        <w:rPr>
          <w:rFonts w:ascii="Arial" w:cs="Arial" w:eastAsia="Arial" w:hAnsi="Arial"/>
          <w:sz w:val="22"/>
          <w:szCs w:val="22"/>
          <w:i w:val="1"/>
          <w:iCs w:val="1"/>
          <w:color w:val="auto"/>
        </w:rPr>
        <w:t xml:space="preserve"> </w:t>
      </w:r>
      <w:r>
        <w:rPr>
          <w:rFonts w:ascii="Arial" w:cs="Arial" w:eastAsia="Arial" w:hAnsi="Arial"/>
          <w:sz w:val="22"/>
          <w:szCs w:val="22"/>
          <w:color w:val="auto"/>
        </w:rPr>
        <w:t>SAR after his or 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87" w:lineRule="exact"/>
        <w:rPr>
          <w:rFonts w:ascii="Arial" w:cs="Arial" w:eastAsia="Arial" w:hAnsi="Arial"/>
          <w:sz w:val="22"/>
          <w:szCs w:val="22"/>
          <w:color w:val="auto"/>
        </w:rPr>
      </w:pPr>
    </w:p>
    <w:p>
      <w:pPr>
        <w:ind w:right="260" w:firstLine="757"/>
        <w:spacing w:after="0" w:line="238" w:lineRule="auto"/>
        <w:tabs>
          <w:tab w:leader="none" w:pos="1498"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Modification, Extension or Assumption of SARs</w:t>
      </w:r>
      <w:r>
        <w:rPr>
          <w:rFonts w:ascii="Arial" w:cs="Arial" w:eastAsia="Arial" w:hAnsi="Arial"/>
          <w:sz w:val="22"/>
          <w:szCs w:val="22"/>
          <w:color w:val="auto"/>
        </w:rPr>
        <w:t>. Within the limitations of the Plan, applicable law and listing</w:t>
      </w:r>
      <w:r>
        <w:rPr>
          <w:rFonts w:ascii="Arial" w:cs="Arial" w:eastAsia="Arial" w:hAnsi="Arial"/>
          <w:sz w:val="22"/>
          <w:szCs w:val="22"/>
          <w:i w:val="1"/>
          <w:iCs w:val="1"/>
          <w:color w:val="auto"/>
        </w:rPr>
        <w:t xml:space="preserve"> </w:t>
      </w:r>
      <w:r>
        <w:rPr>
          <w:rFonts w:ascii="Arial" w:cs="Arial" w:eastAsia="Arial" w:hAnsi="Arial"/>
          <w:sz w:val="22"/>
          <w:szCs w:val="22"/>
          <w:color w:val="auto"/>
        </w:rPr>
        <w:t>requirements, the Committee may modify, extend or assume outstanding SARs without stockholder approval. The foregoing notwithstanding, no modification of a SAR shall, without the consent of the holder, materially impair his or her rights or obligations under such SAR.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12" w:name="page113"/>
    <w:bookmarkEnd w:id="112"/>
    <w:p>
      <w:pPr>
        <w:ind w:right="220" w:firstLine="757"/>
        <w:spacing w:after="0" w:line="279" w:lineRule="auto"/>
        <w:tabs>
          <w:tab w:leader="none" w:pos="1498" w:val="left"/>
        </w:tabs>
        <w:numPr>
          <w:ilvl w:val="0"/>
          <w:numId w:val="65"/>
        </w:numPr>
        <w:rPr>
          <w:rFonts w:ascii="Arial" w:cs="Arial" w:eastAsia="Arial" w:hAnsi="Arial"/>
          <w:sz w:val="19"/>
          <w:szCs w:val="19"/>
          <w:color w:val="auto"/>
        </w:rPr>
      </w:pPr>
      <w:r>
        <w:rPr>
          <w:rFonts w:ascii="Arial" w:cs="Arial" w:eastAsia="Arial" w:hAnsi="Arial"/>
          <w:sz w:val="19"/>
          <w:szCs w:val="19"/>
          <w:i w:val="1"/>
          <w:iCs w:val="1"/>
          <w:color w:val="auto"/>
        </w:rPr>
        <w:t>Repricing of SARs</w:t>
      </w:r>
      <w:r>
        <w:rPr>
          <w:rFonts w:ascii="Arial" w:cs="Arial" w:eastAsia="Arial" w:hAnsi="Arial"/>
          <w:sz w:val="19"/>
          <w:szCs w:val="19"/>
          <w:color w:val="auto"/>
        </w:rPr>
        <w:t>. Within the limitations of the Plan, applicable law and listing requirements, the 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may effect, at any time and from time to time, with the consent of any adversely affected Participant, (i) the reduction of the Exercise Price of any outstanding SAR under the Plan or (ii) any other action that is treated as a repricing under generally accepted accounting principles, in each case without stockholder approval;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reduction or action may be effected if it is determined, in the Company’s sole discretion, that such reduction or action would result in any such outstanding SAR becoming subject to the requirements of Section 409A.</w:t>
      </w:r>
    </w:p>
    <w:p>
      <w:pPr>
        <w:spacing w:after="0" w:line="150" w:lineRule="exact"/>
        <w:rPr>
          <w:rFonts w:ascii="Arial" w:cs="Arial" w:eastAsia="Arial" w:hAnsi="Arial"/>
          <w:sz w:val="19"/>
          <w:szCs w:val="19"/>
          <w:color w:val="auto"/>
        </w:rPr>
      </w:pPr>
    </w:p>
    <w:p>
      <w:pPr>
        <w:ind w:right="140" w:firstLine="757"/>
        <w:spacing w:after="0"/>
        <w:tabs>
          <w:tab w:leader="none" w:pos="193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Buyout Provisions</w:t>
      </w:r>
      <w:r>
        <w:rPr>
          <w:rFonts w:ascii="Arial" w:cs="Arial" w:eastAsia="Arial" w:hAnsi="Arial"/>
          <w:sz w:val="22"/>
          <w:szCs w:val="22"/>
          <w:color w:val="auto"/>
        </w:rPr>
        <w:t>. The Committee may at any time (i) offer to buy out for a payment in cash or cash</w:t>
      </w:r>
      <w:r>
        <w:rPr>
          <w:rFonts w:ascii="Arial" w:cs="Arial" w:eastAsia="Arial" w:hAnsi="Arial"/>
          <w:sz w:val="22"/>
          <w:szCs w:val="22"/>
          <w:i w:val="1"/>
          <w:iCs w:val="1"/>
          <w:color w:val="auto"/>
        </w:rPr>
        <w:t xml:space="preserve"> </w:t>
      </w:r>
      <w:r>
        <w:rPr>
          <w:rFonts w:ascii="Arial" w:cs="Arial" w:eastAsia="Arial" w:hAnsi="Arial"/>
          <w:sz w:val="22"/>
          <w:szCs w:val="22"/>
          <w:color w:val="auto"/>
        </w:rPr>
        <w:t>equivalents a SAR previously granted, or (ii) authorize a Participant to elect to cash out a SAR previously granted, in either case at such time and based upon such terms and conditions as the Committee shall establish.</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 STOCK UNITS.</w:t>
      </w:r>
    </w:p>
    <w:p>
      <w:pPr>
        <w:spacing w:after="0" w:line="212" w:lineRule="exact"/>
        <w:rPr>
          <w:sz w:val="20"/>
          <w:szCs w:val="20"/>
          <w:color w:val="auto"/>
        </w:rPr>
      </w:pPr>
    </w:p>
    <w:p>
      <w:pPr>
        <w:ind w:firstLine="757"/>
        <w:spacing w:after="0" w:line="238" w:lineRule="auto"/>
        <w:tabs>
          <w:tab w:leader="none" w:pos="1498"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Stock Unit Award Agreement</w:t>
      </w:r>
      <w:r>
        <w:rPr>
          <w:rFonts w:ascii="Arial" w:cs="Arial" w:eastAsia="Arial" w:hAnsi="Arial"/>
          <w:sz w:val="22"/>
          <w:szCs w:val="22"/>
          <w:color w:val="auto"/>
        </w:rPr>
        <w:t>. Each grant of Stock Units under the Plan shall be evidenced by a Stock Unit</w:t>
      </w:r>
      <w:r>
        <w:rPr>
          <w:rFonts w:ascii="Arial" w:cs="Arial" w:eastAsia="Arial" w:hAnsi="Arial"/>
          <w:sz w:val="22"/>
          <w:szCs w:val="22"/>
          <w:i w:val="1"/>
          <w:iCs w:val="1"/>
          <w:color w:val="auto"/>
        </w:rPr>
        <w:t xml:space="preserve"> </w:t>
      </w:r>
      <w:r>
        <w:rPr>
          <w:rFonts w:ascii="Arial" w:cs="Arial" w:eastAsia="Arial" w:hAnsi="Arial"/>
          <w:sz w:val="22"/>
          <w:szCs w:val="22"/>
          <w:color w:val="auto"/>
        </w:rPr>
        <w:t>Award Agreement between the Participant and the Company. Such Stock Units shall be subject to all applicable terms of the Plan and may be subject to any other terms that are not inconsistent with the Plan. The provisions of the various Stock Unit Award Agreements entered into under the Plan need not be identical.</w:t>
      </w:r>
    </w:p>
    <w:p>
      <w:pPr>
        <w:spacing w:after="0" w:line="184" w:lineRule="exact"/>
        <w:rPr>
          <w:rFonts w:ascii="Arial" w:cs="Arial" w:eastAsia="Arial" w:hAnsi="Arial"/>
          <w:sz w:val="22"/>
          <w:szCs w:val="22"/>
          <w:color w:val="auto"/>
        </w:rPr>
      </w:pPr>
    </w:p>
    <w:p>
      <w:pPr>
        <w:ind w:right="240" w:firstLine="757"/>
        <w:spacing w:after="0" w:line="250" w:lineRule="auto"/>
        <w:tabs>
          <w:tab w:leader="none" w:pos="1498"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Payment for Awards</w:t>
      </w:r>
      <w:r>
        <w:rPr>
          <w:rFonts w:ascii="Arial" w:cs="Arial" w:eastAsia="Arial" w:hAnsi="Arial"/>
          <w:sz w:val="22"/>
          <w:szCs w:val="22"/>
          <w:color w:val="auto"/>
        </w:rPr>
        <w:t>. To the extent that an Award is granted in the form of Stock Units, no cash consideration</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required of the Award recipients.</w:t>
      </w:r>
    </w:p>
    <w:p>
      <w:pPr>
        <w:spacing w:after="0" w:line="174" w:lineRule="exact"/>
        <w:rPr>
          <w:rFonts w:ascii="Arial" w:cs="Arial" w:eastAsia="Arial" w:hAnsi="Arial"/>
          <w:sz w:val="22"/>
          <w:szCs w:val="22"/>
          <w:color w:val="auto"/>
        </w:rPr>
      </w:pPr>
    </w:p>
    <w:p>
      <w:pPr>
        <w:jc w:val="both"/>
        <w:ind w:right="320" w:firstLine="757"/>
        <w:spacing w:after="0" w:line="273" w:lineRule="auto"/>
        <w:tabs>
          <w:tab w:leader="none" w:pos="1498"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Vesting Conditions</w:t>
      </w:r>
      <w:r>
        <w:rPr>
          <w:rFonts w:ascii="Arial" w:cs="Arial" w:eastAsia="Arial" w:hAnsi="Arial"/>
          <w:sz w:val="19"/>
          <w:szCs w:val="19"/>
          <w:color w:val="auto"/>
        </w:rPr>
        <w:t>. Each Award of Stock Units may or may not be subject to vesting. Vesting shall occur, in</w:t>
      </w:r>
      <w:r>
        <w:rPr>
          <w:rFonts w:ascii="Arial" w:cs="Arial" w:eastAsia="Arial" w:hAnsi="Arial"/>
          <w:sz w:val="19"/>
          <w:szCs w:val="19"/>
          <w:i w:val="1"/>
          <w:iCs w:val="1"/>
          <w:color w:val="auto"/>
        </w:rPr>
        <w:t xml:space="preserve"> </w:t>
      </w:r>
      <w:r>
        <w:rPr>
          <w:rFonts w:ascii="Arial" w:cs="Arial" w:eastAsia="Arial" w:hAnsi="Arial"/>
          <w:sz w:val="19"/>
          <w:szCs w:val="19"/>
          <w:color w:val="auto"/>
        </w:rPr>
        <w:t>full or in installments, upon satisfaction of the conditions specified in the Stock Unit Award Agreement. A Stock Unit Award Agreement may provide for accelerated vesting in the event of the Participant’s death, Disability or retirement or other events.</w:t>
      </w:r>
    </w:p>
    <w:p>
      <w:pPr>
        <w:spacing w:after="0" w:line="1" w:lineRule="exact"/>
        <w:rPr>
          <w:rFonts w:ascii="Arial" w:cs="Arial" w:eastAsia="Arial" w:hAnsi="Arial"/>
          <w:sz w:val="19"/>
          <w:szCs w:val="19"/>
          <w:color w:val="auto"/>
        </w:rPr>
      </w:pPr>
    </w:p>
    <w:p>
      <w:pPr>
        <w:ind w:right="80"/>
        <w:spacing w:after="0" w:line="236" w:lineRule="auto"/>
        <w:rPr>
          <w:rFonts w:ascii="Arial" w:cs="Arial" w:eastAsia="Arial" w:hAnsi="Arial"/>
          <w:sz w:val="19"/>
          <w:szCs w:val="19"/>
          <w:color w:val="auto"/>
        </w:rPr>
      </w:pPr>
      <w:r>
        <w:rPr>
          <w:rFonts w:ascii="Arial" w:cs="Arial" w:eastAsia="Arial" w:hAnsi="Arial"/>
          <w:sz w:val="22"/>
          <w:szCs w:val="22"/>
          <w:color w:val="auto"/>
        </w:rPr>
        <w:t>The Committee may determine, at the time of granting Stock Units or thereafter, that all or part of such Stock Units shall become vested in the event that a Change in Control occurs with respect to the Company.</w:t>
      </w:r>
    </w:p>
    <w:p>
      <w:pPr>
        <w:spacing w:after="0" w:line="186" w:lineRule="exact"/>
        <w:rPr>
          <w:rFonts w:ascii="Arial" w:cs="Arial" w:eastAsia="Arial" w:hAnsi="Arial"/>
          <w:sz w:val="19"/>
          <w:szCs w:val="19"/>
          <w:color w:val="auto"/>
        </w:rPr>
      </w:pPr>
    </w:p>
    <w:p>
      <w:pPr>
        <w:ind w:right="60" w:firstLine="757"/>
        <w:spacing w:after="0" w:line="246" w:lineRule="auto"/>
        <w:tabs>
          <w:tab w:leader="none" w:pos="1498" w:val="left"/>
        </w:tabs>
        <w:numPr>
          <w:ilvl w:val="0"/>
          <w:numId w:val="66"/>
        </w:numPr>
        <w:rPr>
          <w:rFonts w:ascii="Arial" w:cs="Arial" w:eastAsia="Arial" w:hAnsi="Arial"/>
          <w:sz w:val="21"/>
          <w:szCs w:val="21"/>
          <w:color w:val="auto"/>
        </w:rPr>
      </w:pPr>
      <w:r>
        <w:rPr>
          <w:rFonts w:ascii="Arial" w:cs="Arial" w:eastAsia="Arial" w:hAnsi="Arial"/>
          <w:sz w:val="21"/>
          <w:szCs w:val="21"/>
          <w:i w:val="1"/>
          <w:iCs w:val="1"/>
          <w:color w:val="auto"/>
        </w:rPr>
        <w:t>Voting and Dividend Rights</w:t>
      </w:r>
      <w:r>
        <w:rPr>
          <w:rFonts w:ascii="Arial" w:cs="Arial" w:eastAsia="Arial" w:hAnsi="Arial"/>
          <w:sz w:val="21"/>
          <w:szCs w:val="21"/>
          <w:color w:val="auto"/>
        </w:rPr>
        <w:t>. The holders of Stock Units shall have no voting rights. Prior to settlement or</w:t>
      </w:r>
      <w:r>
        <w:rPr>
          <w:rFonts w:ascii="Arial" w:cs="Arial" w:eastAsia="Arial" w:hAnsi="Arial"/>
          <w:sz w:val="21"/>
          <w:szCs w:val="21"/>
          <w:i w:val="1"/>
          <w:iCs w:val="1"/>
          <w:color w:val="auto"/>
        </w:rPr>
        <w:t xml:space="preserve"> </w:t>
      </w:r>
      <w:r>
        <w:rPr>
          <w:rFonts w:ascii="Arial" w:cs="Arial" w:eastAsia="Arial" w:hAnsi="Arial"/>
          <w:sz w:val="21"/>
          <w:szCs w:val="21"/>
          <w:color w:val="auto"/>
        </w:rPr>
        <w:t>forfeiture, any 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184" w:lineRule="exact"/>
        <w:rPr>
          <w:rFonts w:ascii="Arial" w:cs="Arial" w:eastAsia="Arial" w:hAnsi="Arial"/>
          <w:sz w:val="21"/>
          <w:szCs w:val="21"/>
          <w:color w:val="auto"/>
        </w:rPr>
      </w:pPr>
    </w:p>
    <w:p>
      <w:pPr>
        <w:ind w:right="60" w:firstLine="757"/>
        <w:spacing w:after="0"/>
        <w:tabs>
          <w:tab w:leader="none" w:pos="1498"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Form and Time of Settlement of Stock Units</w:t>
      </w:r>
      <w:r>
        <w:rPr>
          <w:rFonts w:ascii="Arial" w:cs="Arial" w:eastAsia="Arial" w:hAnsi="Arial"/>
          <w:sz w:val="22"/>
          <w:szCs w:val="22"/>
          <w:color w:val="auto"/>
        </w:rPr>
        <w:t>. Settlement of vested Stock Units may be made in the form of (i)</w:t>
      </w:r>
      <w:r>
        <w:rPr>
          <w:rFonts w:ascii="Arial" w:cs="Arial" w:eastAsia="Arial" w:hAnsi="Arial"/>
          <w:sz w:val="22"/>
          <w:szCs w:val="22"/>
          <w:i w:val="1"/>
          <w:iCs w:val="1"/>
          <w:color w:val="auto"/>
        </w:rPr>
        <w:t xml:space="preserve"> </w:t>
      </w:r>
      <w:r>
        <w:rPr>
          <w:rFonts w:ascii="Arial" w:cs="Arial" w:eastAsia="Arial" w:hAnsi="Arial"/>
          <w:sz w:val="22"/>
          <w:szCs w:val="22"/>
          <w:color w:val="auto"/>
        </w:rPr>
        <w:t>cash, (ii) Shares or (iii) any combination of both, as determined by the Committee. The actual number of Stock Units eligible for settlement may be larger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13" w:name="page114"/>
    <w:bookmarkEnd w:id="113"/>
    <w:p>
      <w:pPr>
        <w:ind w:right="100"/>
        <w:spacing w:after="0" w:line="234" w:lineRule="auto"/>
        <w:rPr>
          <w:sz w:val="20"/>
          <w:szCs w:val="20"/>
          <w:color w:val="auto"/>
        </w:rPr>
      </w:pPr>
      <w:r>
        <w:rPr>
          <w:rFonts w:ascii="Arial" w:cs="Arial" w:eastAsia="Arial" w:hAnsi="Arial"/>
          <w:sz w:val="22"/>
          <w:szCs w:val="22"/>
          <w:color w:val="auto"/>
        </w:rPr>
        <w:t>smaller than the number included in the original Award, based on predetermined performance factors. Methods of converting Stock Units into cash may include (without limitation) a method based on the average Fair Market Value of Shares over a series of trading days. A Stock Unit Award Agreement may provide that vested Stock Units may be settled in a lump sum or in installments. A Stock Unit Award Agreement may provide that the distribution may occur or commence when all vesting conditions applicable to the Stock Units have been satisfied or have lapsed, or it may be deferred to any later date, subject to compliance with Section 409A. The amount of a deferred distribution may be increased by an interest factor or by dividend equivalents. Until an Award of Stock Units is settled, the number of such Stock Units shall be subject to adjustment pursuant to Section 12.</w:t>
      </w:r>
    </w:p>
    <w:p>
      <w:pPr>
        <w:spacing w:after="0" w:line="187" w:lineRule="exact"/>
        <w:rPr>
          <w:sz w:val="20"/>
          <w:szCs w:val="20"/>
          <w:color w:val="auto"/>
        </w:rPr>
      </w:pPr>
    </w:p>
    <w:p>
      <w:pPr>
        <w:ind w:right="160" w:firstLine="757"/>
        <w:spacing w:after="0" w:line="248" w:lineRule="auto"/>
        <w:tabs>
          <w:tab w:leader="none" w:pos="1984" w:val="left"/>
        </w:tabs>
        <w:numPr>
          <w:ilvl w:val="0"/>
          <w:numId w:val="67"/>
        </w:numPr>
        <w:rPr>
          <w:rFonts w:ascii="Arial" w:cs="Arial" w:eastAsia="Arial" w:hAnsi="Arial"/>
          <w:sz w:val="21"/>
          <w:szCs w:val="21"/>
          <w:color w:val="auto"/>
        </w:rPr>
      </w:pPr>
      <w:r>
        <w:rPr>
          <w:rFonts w:ascii="Arial" w:cs="Arial" w:eastAsia="Arial" w:hAnsi="Arial"/>
          <w:sz w:val="21"/>
          <w:szCs w:val="21"/>
          <w:i w:val="1"/>
          <w:iCs w:val="1"/>
          <w:color w:val="auto"/>
        </w:rPr>
        <w:t>Death of Participant</w:t>
      </w:r>
      <w:r>
        <w:rPr>
          <w:rFonts w:ascii="Arial" w:cs="Arial" w:eastAsia="Arial" w:hAnsi="Arial"/>
          <w:sz w:val="21"/>
          <w:szCs w:val="21"/>
          <w:color w:val="auto"/>
        </w:rPr>
        <w:t>. Any Stock Unit Award that becomes payable after the Participant’s death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distributed to the Participant’s beneficiary or beneficiaries. Each recipient of a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Stock Units Award that becomes payable after the Participant’s death shall be distributed to the Participant’s estate.</w:t>
      </w:r>
    </w:p>
    <w:p>
      <w:pPr>
        <w:spacing w:after="0" w:line="176" w:lineRule="exact"/>
        <w:rPr>
          <w:rFonts w:ascii="Arial" w:cs="Arial" w:eastAsia="Arial" w:hAnsi="Arial"/>
          <w:sz w:val="21"/>
          <w:szCs w:val="21"/>
          <w:color w:val="auto"/>
        </w:rPr>
      </w:pPr>
    </w:p>
    <w:p>
      <w:pPr>
        <w:ind w:right="180" w:firstLine="757"/>
        <w:spacing w:after="0"/>
        <w:tabs>
          <w:tab w:leader="none" w:pos="1498"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Creditors’ Rights</w:t>
      </w:r>
      <w:r>
        <w:rPr>
          <w:rFonts w:ascii="Arial" w:cs="Arial" w:eastAsia="Arial" w:hAnsi="Arial"/>
          <w:sz w:val="22"/>
          <w:szCs w:val="22"/>
          <w:color w:val="auto"/>
        </w:rPr>
        <w:t>. A holder of Stock Units shall have no rights other than those of a general creditor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Stock Units represent an unfunded and unsecured obligation of the Company, subject to the terms and conditions of the applicable Stock Unit Award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 CASH-BASED AWARDS</w:t>
      </w:r>
    </w:p>
    <w:p>
      <w:pPr>
        <w:spacing w:after="0" w:line="239" w:lineRule="exact"/>
        <w:rPr>
          <w:sz w:val="20"/>
          <w:szCs w:val="20"/>
          <w:color w:val="auto"/>
        </w:rPr>
      </w:pPr>
    </w:p>
    <w:p>
      <w:pPr>
        <w:ind w:right="120" w:firstLine="749"/>
        <w:spacing w:after="0" w:line="246" w:lineRule="auto"/>
        <w:rPr>
          <w:sz w:val="20"/>
          <w:szCs w:val="20"/>
          <w:color w:val="auto"/>
        </w:rPr>
      </w:pPr>
      <w:r>
        <w:rPr>
          <w:rFonts w:ascii="Arial" w:cs="Arial" w:eastAsia="Arial" w:hAnsi="Arial"/>
          <w:sz w:val="21"/>
          <w:szCs w:val="21"/>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 ADJUSTMENT OF SHARES.</w:t>
      </w:r>
    </w:p>
    <w:p>
      <w:pPr>
        <w:spacing w:after="0" w:line="212" w:lineRule="exact"/>
        <w:rPr>
          <w:sz w:val="20"/>
          <w:szCs w:val="20"/>
          <w:color w:val="auto"/>
        </w:rPr>
      </w:pPr>
    </w:p>
    <w:p>
      <w:pPr>
        <w:ind w:firstLine="757"/>
        <w:spacing w:after="0" w:line="287" w:lineRule="auto"/>
        <w:tabs>
          <w:tab w:leader="none" w:pos="1498"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Adjustment</w:t>
      </w:r>
      <w:r>
        <w:rPr>
          <w:rFonts w:ascii="Arial" w:cs="Arial" w:eastAsia="Arial" w:hAnsi="Arial"/>
          <w:sz w:val="19"/>
          <w:szCs w:val="19"/>
          <w:color w:val="auto"/>
        </w:rPr>
        <w:t>. In the event of a subdivision of the outstanding Stock, a declaration of a dividend payable in</w:t>
      </w:r>
      <w:r>
        <w:rPr>
          <w:rFonts w:ascii="Arial" w:cs="Arial" w:eastAsia="Arial" w:hAnsi="Arial"/>
          <w:sz w:val="19"/>
          <w:szCs w:val="19"/>
          <w:i w:val="1"/>
          <w:iCs w:val="1"/>
          <w:color w:val="auto"/>
        </w:rPr>
        <w:t xml:space="preserve"> </w:t>
      </w:r>
      <w:r>
        <w:rPr>
          <w:rFonts w:ascii="Arial" w:cs="Arial" w:eastAsia="Arial" w:hAnsi="Arial"/>
          <w:sz w:val="19"/>
          <w:szCs w:val="19"/>
          <w:color w:val="auto"/>
        </w:rPr>
        <w:t>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7" w:right="419" w:bottom="1440" w:gutter="0" w:footer="0" w:header="0"/>
        </w:sectPr>
      </w:pPr>
    </w:p>
    <w:bookmarkStart w:id="114" w:name="page115"/>
    <w:bookmarkEnd w:id="114"/>
    <w:p>
      <w:pPr>
        <w:ind w:left="2260" w:hanging="755"/>
        <w:spacing w:after="0"/>
        <w:tabs>
          <w:tab w:leader="none" w:pos="2260"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The number of Shares available for future Awards and the limitations set forth under Section 5;</w:t>
      </w:r>
    </w:p>
    <w:p>
      <w:pPr>
        <w:spacing w:after="0" w:line="217" w:lineRule="exact"/>
        <w:rPr>
          <w:rFonts w:ascii="Arial" w:cs="Arial" w:eastAsia="Arial" w:hAnsi="Arial"/>
          <w:sz w:val="21"/>
          <w:szCs w:val="21"/>
          <w:color w:val="auto"/>
        </w:rPr>
      </w:pPr>
    </w:p>
    <w:p>
      <w:pPr>
        <w:ind w:left="2260" w:hanging="755"/>
        <w:spacing w:after="0"/>
        <w:tabs>
          <w:tab w:leader="none" w:pos="22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number of Shares covered by each outstanding Award; and</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Exercise Price under each outstanding Option and SAR.</w:t>
      </w:r>
    </w:p>
    <w:p>
      <w:pPr>
        <w:spacing w:after="0" w:line="206" w:lineRule="exact"/>
        <w:rPr>
          <w:rFonts w:ascii="Arial" w:cs="Arial" w:eastAsia="Arial" w:hAnsi="Arial"/>
          <w:sz w:val="22"/>
          <w:szCs w:val="22"/>
          <w:color w:val="auto"/>
        </w:rPr>
      </w:pPr>
    </w:p>
    <w:p>
      <w:pPr>
        <w:ind w:right="260" w:firstLine="757"/>
        <w:spacing w:after="0" w:line="250" w:lineRule="auto"/>
        <w:tabs>
          <w:tab w:leader="none" w:pos="1498"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Dissolution or Liquidation</w:t>
      </w:r>
      <w:r>
        <w:rPr>
          <w:rFonts w:ascii="Arial" w:cs="Arial" w:eastAsia="Arial" w:hAnsi="Arial"/>
          <w:sz w:val="22"/>
          <w:szCs w:val="22"/>
          <w:color w:val="auto"/>
        </w:rPr>
        <w:t>. To the extent not previously exercised or settled, Options, SARs and Stock Units</w:t>
      </w:r>
      <w:r>
        <w:rPr>
          <w:rFonts w:ascii="Arial" w:cs="Arial" w:eastAsia="Arial" w:hAnsi="Arial"/>
          <w:sz w:val="22"/>
          <w:szCs w:val="22"/>
          <w:i w:val="1"/>
          <w:iCs w:val="1"/>
          <w:color w:val="auto"/>
        </w:rPr>
        <w:t xml:space="preserve"> </w:t>
      </w:r>
      <w:r>
        <w:rPr>
          <w:rFonts w:ascii="Arial" w:cs="Arial" w:eastAsia="Arial" w:hAnsi="Arial"/>
          <w:sz w:val="22"/>
          <w:szCs w:val="22"/>
          <w:color w:val="auto"/>
        </w:rPr>
        <w:t>shall terminate immediately prior to the dissolution or liquidation of the Company.</w:t>
      </w:r>
    </w:p>
    <w:p>
      <w:pPr>
        <w:spacing w:after="0" w:line="174" w:lineRule="exact"/>
        <w:rPr>
          <w:rFonts w:ascii="Arial" w:cs="Arial" w:eastAsia="Arial" w:hAnsi="Arial"/>
          <w:sz w:val="22"/>
          <w:szCs w:val="22"/>
          <w:color w:val="auto"/>
        </w:rPr>
      </w:pPr>
    </w:p>
    <w:p>
      <w:pPr>
        <w:ind w:right="40" w:firstLine="757"/>
        <w:spacing w:after="0"/>
        <w:tabs>
          <w:tab w:leader="none" w:pos="1498"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Reorganizations</w:t>
      </w:r>
      <w:r>
        <w:rPr>
          <w:rFonts w:ascii="Arial" w:cs="Arial" w:eastAsia="Arial" w:hAnsi="Arial"/>
          <w:sz w:val="22"/>
          <w:szCs w:val="22"/>
          <w:color w:val="auto"/>
        </w:rPr>
        <w:t>. In the event that the Company is a party to a merger or other reorganization, outstanding</w:t>
      </w:r>
      <w:r>
        <w:rPr>
          <w:rFonts w:ascii="Arial" w:cs="Arial" w:eastAsia="Arial" w:hAnsi="Arial"/>
          <w:sz w:val="22"/>
          <w:szCs w:val="22"/>
          <w:i w:val="1"/>
          <w:iCs w:val="1"/>
          <w:color w:val="auto"/>
        </w:rPr>
        <w:t xml:space="preserve"> </w:t>
      </w:r>
      <w:r>
        <w:rPr>
          <w:rFonts w:ascii="Arial" w:cs="Arial" w:eastAsia="Arial" w:hAnsi="Arial"/>
          <w:sz w:val="22"/>
          <w:szCs w:val="22"/>
          <w:color w:val="auto"/>
        </w:rPr>
        <w:t>Awards shall be subject to the agreement of merger or reorganization. Subject to compliance with Section 409A, such agreement shall provide for:</w:t>
      </w:r>
    </w:p>
    <w:p>
      <w:pPr>
        <w:spacing w:after="0" w:line="186" w:lineRule="exact"/>
        <w:rPr>
          <w:rFonts w:ascii="Arial" w:cs="Arial" w:eastAsia="Arial" w:hAnsi="Arial"/>
          <w:sz w:val="22"/>
          <w:szCs w:val="22"/>
          <w:color w:val="auto"/>
        </w:rPr>
      </w:pPr>
    </w:p>
    <w:p>
      <w:pPr>
        <w:ind w:left="2260" w:right="1040" w:hanging="755"/>
        <w:spacing w:after="0" w:line="250" w:lineRule="auto"/>
        <w:tabs>
          <w:tab w:leader="none" w:pos="22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continuation of the outstanding Awards by the Company, if the Company is a surviving corporation;</w:t>
      </w:r>
    </w:p>
    <w:p>
      <w:pPr>
        <w:spacing w:after="0" w:line="174" w:lineRule="exact"/>
        <w:rPr>
          <w:rFonts w:ascii="Arial" w:cs="Arial" w:eastAsia="Arial" w:hAnsi="Arial"/>
          <w:sz w:val="22"/>
          <w:szCs w:val="22"/>
          <w:color w:val="auto"/>
        </w:rPr>
      </w:pPr>
    </w:p>
    <w:p>
      <w:pPr>
        <w:ind w:left="2260" w:hanging="755"/>
        <w:spacing w:after="0"/>
        <w:tabs>
          <w:tab w:leader="none" w:pos="22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assumption of the outstanding Awards by the surviving corporation or its parent or subsidiary;</w:t>
      </w:r>
    </w:p>
    <w:p>
      <w:pPr>
        <w:spacing w:after="0" w:line="240" w:lineRule="exact"/>
        <w:rPr>
          <w:rFonts w:ascii="Arial" w:cs="Arial" w:eastAsia="Arial" w:hAnsi="Arial"/>
          <w:sz w:val="19"/>
          <w:szCs w:val="19"/>
          <w:color w:val="auto"/>
        </w:rPr>
      </w:pPr>
    </w:p>
    <w:p>
      <w:pPr>
        <w:ind w:left="2260" w:right="600" w:hanging="755"/>
        <w:spacing w:after="0" w:line="250" w:lineRule="auto"/>
        <w:tabs>
          <w:tab w:leader="none" w:pos="22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substitution by the surviving corporation or its parent or subsidiary of its own awards for the outstanding Awards;</w:t>
      </w:r>
    </w:p>
    <w:p>
      <w:pPr>
        <w:spacing w:after="0" w:line="174" w:lineRule="exact"/>
        <w:rPr>
          <w:rFonts w:ascii="Arial" w:cs="Arial" w:eastAsia="Arial" w:hAnsi="Arial"/>
          <w:sz w:val="22"/>
          <w:szCs w:val="22"/>
          <w:color w:val="auto"/>
        </w:rPr>
      </w:pPr>
    </w:p>
    <w:p>
      <w:pPr>
        <w:ind w:left="2260" w:right="180" w:hanging="755"/>
        <w:spacing w:after="0" w:line="328" w:lineRule="auto"/>
        <w:tabs>
          <w:tab w:leader="none" w:pos="22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Immediate vesting, exercisability or settlement of outstanding Awards followed by the cancellation of such Awards upon or immediately prior to the effectiveness of such transaction; or</w:t>
      </w:r>
    </w:p>
    <w:p>
      <w:pPr>
        <w:spacing w:after="0" w:line="104" w:lineRule="exact"/>
        <w:rPr>
          <w:rFonts w:ascii="Arial" w:cs="Arial" w:eastAsia="Arial" w:hAnsi="Arial"/>
          <w:sz w:val="19"/>
          <w:szCs w:val="19"/>
          <w:color w:val="auto"/>
        </w:rPr>
      </w:pPr>
    </w:p>
    <w:p>
      <w:pPr>
        <w:ind w:left="2260" w:hanging="755"/>
        <w:spacing w:after="0" w:line="273" w:lineRule="auto"/>
        <w:tabs>
          <w:tab w:leader="none" w:pos="22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w:t>
      </w:r>
    </w:p>
    <w:p>
      <w:pPr>
        <w:spacing w:after="0" w:line="188" w:lineRule="exact"/>
        <w:rPr>
          <w:sz w:val="20"/>
          <w:szCs w:val="20"/>
          <w:color w:val="auto"/>
        </w:rPr>
      </w:pPr>
    </w:p>
    <w:p>
      <w:pPr>
        <w:ind w:right="640"/>
        <w:spacing w:after="0" w:line="250" w:lineRule="auto"/>
        <w:rPr>
          <w:sz w:val="20"/>
          <w:szCs w:val="20"/>
          <w:color w:val="auto"/>
        </w:rPr>
      </w:pPr>
      <w:r>
        <w:rPr>
          <w:rFonts w:ascii="Arial" w:cs="Arial" w:eastAsia="Arial" w:hAnsi="Arial"/>
          <w:sz w:val="22"/>
          <w:szCs w:val="22"/>
          <w:color w:val="auto"/>
        </w:rPr>
        <w:t>The Company will have no obligation to treat all Awards, all Awards held by a Participant, or all Awards of the same type, similarly.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115" w:name="page116"/>
    <w:bookmarkEnd w:id="115"/>
    <w:p>
      <w:pPr>
        <w:ind w:firstLine="757"/>
        <w:spacing w:after="0" w:line="273" w:lineRule="auto"/>
        <w:tabs>
          <w:tab w:leader="none" w:pos="1498" w:val="left"/>
        </w:tabs>
        <w:numPr>
          <w:ilvl w:val="0"/>
          <w:numId w:val="71"/>
        </w:numPr>
        <w:rPr>
          <w:rFonts w:ascii="Arial" w:cs="Arial" w:eastAsia="Arial" w:hAnsi="Arial"/>
          <w:sz w:val="19"/>
          <w:szCs w:val="19"/>
          <w:color w:val="auto"/>
        </w:rPr>
      </w:pPr>
      <w:r>
        <w:rPr>
          <w:rFonts w:ascii="Arial" w:cs="Arial" w:eastAsia="Arial" w:hAnsi="Arial"/>
          <w:sz w:val="19"/>
          <w:szCs w:val="19"/>
          <w:i w:val="1"/>
          <w:iCs w:val="1"/>
          <w:color w:val="auto"/>
        </w:rPr>
        <w:t>Reservation of Rights</w:t>
      </w:r>
      <w:r>
        <w:rPr>
          <w:rFonts w:ascii="Arial" w:cs="Arial" w:eastAsia="Arial" w:hAnsi="Arial"/>
          <w:sz w:val="19"/>
          <w:szCs w:val="19"/>
          <w:color w:val="auto"/>
        </w:rPr>
        <w:t>. Except as provided in this Section 12, a Participant shall have no rights by reason of any</w:t>
      </w:r>
      <w:r>
        <w:rPr>
          <w:rFonts w:ascii="Arial" w:cs="Arial" w:eastAsia="Arial" w:hAnsi="Arial"/>
          <w:sz w:val="19"/>
          <w:szCs w:val="19"/>
          <w:i w:val="1"/>
          <w:iCs w:val="1"/>
          <w:color w:val="auto"/>
        </w:rPr>
        <w:t xml:space="preserve"> </w:t>
      </w:r>
      <w:r>
        <w:rPr>
          <w:rFonts w:ascii="Arial" w:cs="Arial" w:eastAsia="Arial" w:hAnsi="Arial"/>
          <w:sz w:val="19"/>
          <w:szCs w:val="19"/>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of Shares subject to an Award, including a merger or other reorganization, for reasons of administrative convenience, the Company in its sole discretion may refuse to permit the exercise of any Award during a period of up to 30 days prior to the occurrence of such event.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 DEFERRAL OF AWARDS.</w:t>
      </w:r>
    </w:p>
    <w:p>
      <w:pPr>
        <w:spacing w:after="0" w:line="212" w:lineRule="exact"/>
        <w:rPr>
          <w:sz w:val="20"/>
          <w:szCs w:val="20"/>
          <w:color w:val="auto"/>
        </w:rPr>
      </w:pPr>
    </w:p>
    <w:p>
      <w:pPr>
        <w:ind w:right="540" w:firstLine="757"/>
        <w:spacing w:after="0" w:line="250" w:lineRule="auto"/>
        <w:tabs>
          <w:tab w:leader="none" w:pos="1498"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Committee Powers</w:t>
      </w:r>
      <w:r>
        <w:rPr>
          <w:rFonts w:ascii="Arial" w:cs="Arial" w:eastAsia="Arial" w:hAnsi="Arial"/>
          <w:sz w:val="22"/>
          <w:szCs w:val="22"/>
          <w:color w:val="auto"/>
        </w:rPr>
        <w:t>. Subject to compliance with Section 409A, the Committee (in its sole discretion) may</w:t>
      </w:r>
      <w:r>
        <w:rPr>
          <w:rFonts w:ascii="Arial" w:cs="Arial" w:eastAsia="Arial" w:hAnsi="Arial"/>
          <w:sz w:val="22"/>
          <w:szCs w:val="22"/>
          <w:i w:val="1"/>
          <w:iCs w:val="1"/>
          <w:color w:val="auto"/>
        </w:rPr>
        <w:t xml:space="preserve"> </w:t>
      </w:r>
      <w:r>
        <w:rPr>
          <w:rFonts w:ascii="Arial" w:cs="Arial" w:eastAsia="Arial" w:hAnsi="Arial"/>
          <w:sz w:val="22"/>
          <w:szCs w:val="22"/>
          <w:color w:val="auto"/>
        </w:rPr>
        <w:t>permit or require a Participant to:</w:t>
      </w:r>
    </w:p>
    <w:p>
      <w:pPr>
        <w:spacing w:after="0" w:line="174" w:lineRule="exact"/>
        <w:rPr>
          <w:rFonts w:ascii="Arial" w:cs="Arial" w:eastAsia="Arial" w:hAnsi="Arial"/>
          <w:sz w:val="22"/>
          <w:szCs w:val="22"/>
          <w:color w:val="auto"/>
        </w:rPr>
      </w:pPr>
    </w:p>
    <w:p>
      <w:pPr>
        <w:ind w:left="2260" w:right="100" w:hanging="755"/>
        <w:spacing w:after="0"/>
        <w:tabs>
          <w:tab w:leader="none" w:pos="22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186" w:lineRule="exact"/>
        <w:rPr>
          <w:rFonts w:ascii="Arial" w:cs="Arial" w:eastAsia="Arial" w:hAnsi="Arial"/>
          <w:sz w:val="22"/>
          <w:szCs w:val="22"/>
          <w:color w:val="auto"/>
        </w:rPr>
      </w:pPr>
    </w:p>
    <w:p>
      <w:pPr>
        <w:ind w:left="2260" w:right="480" w:hanging="755"/>
        <w:spacing w:after="0" w:line="250" w:lineRule="auto"/>
        <w:tabs>
          <w:tab w:leader="none" w:pos="22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Have Shares that otherwise would be delivered to such Participant as a result of the exercise of an Option or SAR converted into an equal number of Stock Units; or</w:t>
      </w:r>
    </w:p>
    <w:p>
      <w:pPr>
        <w:spacing w:after="0" w:line="174" w:lineRule="exact"/>
        <w:rPr>
          <w:rFonts w:ascii="Arial" w:cs="Arial" w:eastAsia="Arial" w:hAnsi="Arial"/>
          <w:sz w:val="22"/>
          <w:szCs w:val="22"/>
          <w:color w:val="auto"/>
        </w:rPr>
      </w:pPr>
    </w:p>
    <w:p>
      <w:pPr>
        <w:ind w:left="2260" w:right="20" w:hanging="755"/>
        <w:spacing w:after="0" w:line="282" w:lineRule="auto"/>
        <w:tabs>
          <w:tab w:leader="none" w:pos="2260" w:val="left"/>
        </w:tabs>
        <w:numPr>
          <w:ilvl w:val="1"/>
          <w:numId w:val="72"/>
        </w:numPr>
        <w:rPr>
          <w:rFonts w:ascii="Arial" w:cs="Arial" w:eastAsia="Arial" w:hAnsi="Arial"/>
          <w:sz w:val="19"/>
          <w:szCs w:val="19"/>
          <w:color w:val="auto"/>
        </w:rPr>
      </w:pPr>
      <w:r>
        <w:rPr>
          <w:rFonts w:ascii="Arial" w:cs="Arial" w:eastAsia="Arial" w:hAnsi="Arial"/>
          <w:sz w:val="19"/>
          <w:szCs w:val="19"/>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147" w:lineRule="exact"/>
        <w:rPr>
          <w:rFonts w:ascii="Arial" w:cs="Arial" w:eastAsia="Arial" w:hAnsi="Arial"/>
          <w:sz w:val="19"/>
          <w:szCs w:val="19"/>
          <w:color w:val="auto"/>
        </w:rPr>
      </w:pPr>
    </w:p>
    <w:p>
      <w:pPr>
        <w:ind w:right="100" w:firstLine="757"/>
        <w:spacing w:after="0" w:line="277" w:lineRule="auto"/>
        <w:tabs>
          <w:tab w:leader="none" w:pos="1498"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General Rules</w:t>
      </w:r>
      <w:r>
        <w:rPr>
          <w:rFonts w:ascii="Arial" w:cs="Arial" w:eastAsia="Arial" w:hAnsi="Arial"/>
          <w:sz w:val="19"/>
          <w:szCs w:val="19"/>
          <w:color w:val="auto"/>
        </w:rPr>
        <w:t>. A deferred compensation account established under this Section 13 may be credited with</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7" w:right="39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b w:val="1"/>
          <w:bCs w:val="1"/>
          <w:color w:val="auto"/>
        </w:rPr>
        <w:t>SECTION 14. LEGAL AND REGULATORY REQUIREMENTS.</w:t>
      </w:r>
    </w:p>
    <w:p>
      <w:pPr>
        <w:spacing w:after="0" w:line="239" w:lineRule="exact"/>
        <w:rPr>
          <w:sz w:val="20"/>
          <w:szCs w:val="20"/>
          <w:color w:val="auto"/>
        </w:rPr>
      </w:pPr>
    </w:p>
    <w:p>
      <w:pPr>
        <w:ind w:right="20" w:firstLine="749"/>
        <w:spacing w:after="0" w:line="275" w:lineRule="auto"/>
        <w:rPr>
          <w:sz w:val="20"/>
          <w:szCs w:val="20"/>
          <w:color w:val="auto"/>
        </w:rPr>
      </w:pPr>
      <w:r>
        <w:rPr>
          <w:rFonts w:ascii="Arial" w:cs="Arial" w:eastAsia="Arial" w:hAnsi="Arial"/>
          <w:sz w:val="19"/>
          <w:szCs w:val="19"/>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15. TAXES.</w:t>
      </w:r>
    </w:p>
    <w:p>
      <w:pPr>
        <w:spacing w:after="0" w:line="212" w:lineRule="exact"/>
        <w:rPr>
          <w:sz w:val="20"/>
          <w:szCs w:val="20"/>
          <w:color w:val="auto"/>
        </w:rPr>
      </w:pPr>
    </w:p>
    <w:p>
      <w:pPr>
        <w:ind w:firstLine="757"/>
        <w:spacing w:after="0" w:line="238" w:lineRule="auto"/>
        <w:tabs>
          <w:tab w:leader="none" w:pos="1498"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Withholding Taxes</w:t>
      </w:r>
      <w:r>
        <w:rPr>
          <w:rFonts w:ascii="Arial" w:cs="Arial" w:eastAsia="Arial" w:hAnsi="Arial"/>
          <w:sz w:val="22"/>
          <w:szCs w:val="22"/>
          <w:color w:val="auto"/>
        </w:rPr>
        <w:t>. To the extent required by applicable federal, state, local or foreign law, a Participant or his</w:t>
      </w:r>
      <w:r>
        <w:rPr>
          <w:rFonts w:ascii="Arial" w:cs="Arial" w:eastAsia="Arial" w:hAnsi="Arial"/>
          <w:sz w:val="22"/>
          <w:szCs w:val="22"/>
          <w:i w:val="1"/>
          <w:iCs w:val="1"/>
          <w:color w:val="auto"/>
        </w:rPr>
        <w:t xml:space="preserve"> </w:t>
      </w:r>
      <w:r>
        <w:rPr>
          <w:rFonts w:ascii="Arial" w:cs="Arial" w:eastAsia="Arial" w:hAnsi="Arial"/>
          <w:sz w:val="22"/>
          <w:szCs w:val="22"/>
          <w:color w:val="auto"/>
        </w:rPr>
        <w:t>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84" w:lineRule="exact"/>
        <w:rPr>
          <w:rFonts w:ascii="Arial" w:cs="Arial" w:eastAsia="Arial" w:hAnsi="Arial"/>
          <w:sz w:val="22"/>
          <w:szCs w:val="22"/>
          <w:color w:val="auto"/>
        </w:rPr>
      </w:pPr>
    </w:p>
    <w:p>
      <w:pPr>
        <w:ind w:right="60" w:firstLine="757"/>
        <w:spacing w:after="0" w:line="235" w:lineRule="auto"/>
        <w:tabs>
          <w:tab w:leader="none" w:pos="1498"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Share Withholding</w:t>
      </w:r>
      <w:r>
        <w:rPr>
          <w:rFonts w:ascii="Arial" w:cs="Arial" w:eastAsia="Arial" w:hAnsi="Arial"/>
          <w:sz w:val="22"/>
          <w:szCs w:val="22"/>
          <w:color w:val="auto"/>
        </w:rPr>
        <w:t>. The Committee may permit a Participant to satisfy all or part of his or her withholding or</w:t>
      </w:r>
      <w:r>
        <w:rPr>
          <w:rFonts w:ascii="Arial" w:cs="Arial" w:eastAsia="Arial" w:hAnsi="Arial"/>
          <w:sz w:val="22"/>
          <w:szCs w:val="22"/>
          <w:i w:val="1"/>
          <w:iCs w:val="1"/>
          <w:color w:val="auto"/>
        </w:rPr>
        <w:t xml:space="preserve"> </w:t>
      </w:r>
      <w:r>
        <w:rPr>
          <w:rFonts w:ascii="Arial" w:cs="Arial" w:eastAsia="Arial" w:hAnsi="Arial"/>
          <w:sz w:val="22"/>
          <w:szCs w:val="22"/>
          <w:color w:val="auto"/>
        </w:rPr>
        <w:t>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7" w:lineRule="exact"/>
        <w:rPr>
          <w:rFonts w:ascii="Arial" w:cs="Arial" w:eastAsia="Arial" w:hAnsi="Arial"/>
          <w:sz w:val="22"/>
          <w:szCs w:val="22"/>
          <w:color w:val="auto"/>
        </w:rPr>
      </w:pPr>
    </w:p>
    <w:p>
      <w:pPr>
        <w:ind w:firstLine="757"/>
        <w:spacing w:after="0" w:line="275" w:lineRule="auto"/>
        <w:tabs>
          <w:tab w:leader="none" w:pos="1498"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Section 409A</w:t>
      </w:r>
      <w:r>
        <w:rPr>
          <w:rFonts w:ascii="Arial" w:cs="Arial" w:eastAsia="Arial" w:hAnsi="Arial"/>
          <w:sz w:val="19"/>
          <w:szCs w:val="19"/>
          <w:color w:val="auto"/>
        </w:rPr>
        <w:t>. Each Award that provides for “nonqualified deferred compensation” within the meaning of</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 TRANSFERABILITY.</w:t>
      </w:r>
    </w:p>
    <w:p>
      <w:pPr>
        <w:spacing w:after="0" w:line="239" w:lineRule="exact"/>
        <w:rPr>
          <w:sz w:val="20"/>
          <w:szCs w:val="20"/>
          <w:color w:val="auto"/>
        </w:rPr>
      </w:pPr>
    </w:p>
    <w:p>
      <w:pPr>
        <w:ind w:right="80" w:firstLine="749"/>
        <w:spacing w:after="0" w:line="250" w:lineRule="auto"/>
        <w:rPr>
          <w:sz w:val="20"/>
          <w:szCs w:val="20"/>
          <w:color w:val="auto"/>
        </w:rPr>
      </w:pPr>
      <w:r>
        <w:rPr>
          <w:rFonts w:ascii="Arial" w:cs="Arial" w:eastAsia="Arial" w:hAnsi="Arial"/>
          <w:sz w:val="22"/>
          <w:szCs w:val="22"/>
          <w:color w:val="auto"/>
        </w:rPr>
        <w:t>Unless the agreement evidencing an Award (or an amendment thereto authorized by the Committee) expressly provides otherwise, no Award granted under the Plan, nor any interest in</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15" w:right="419" w:bottom="1440" w:gutter="0" w:footer="0" w:header="0"/>
        </w:sectPr>
      </w:pPr>
    </w:p>
    <w:bookmarkStart w:id="117" w:name="page118"/>
    <w:bookmarkEnd w:id="117"/>
    <w:p>
      <w:pPr>
        <w:ind w:right="120"/>
        <w:spacing w:after="0" w:line="238" w:lineRule="auto"/>
        <w:rPr>
          <w:sz w:val="20"/>
          <w:szCs w:val="20"/>
          <w:color w:val="auto"/>
        </w:rPr>
      </w:pPr>
      <w:r>
        <w:rPr>
          <w:rFonts w:ascii="Arial" w:cs="Arial" w:eastAsia="Arial" w:hAnsi="Arial"/>
          <w:sz w:val="22"/>
          <w:szCs w:val="22"/>
          <w:color w:val="auto"/>
        </w:rPr>
        <w:t>such Award, may be sold, assigned, conveyed, gifted, pledged, hypothecated or otherwise transferred in any manner (prior to the vesting and lapse of any and all restrictions applicable to Shares issued under such Award), other than by will or the laws of descent and distribution. Any purported assignment, transfer or encumbrance in violation of this Section 16 shall be void and unenforceable against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17. PERFORMANCE BASED AWARDS.</w:t>
      </w:r>
    </w:p>
    <w:p>
      <w:pPr>
        <w:spacing w:after="0" w:line="239"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The number of Shares or other benefits granted, issued, retainable and/or vested under an Award may be made subject to the attainment of performance goals. The Committee may utilize any performance criteria selected by it in its sole discretion to establish performance goals.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18. NO EMPLOYMENT RIGHTS.</w:t>
      </w:r>
    </w:p>
    <w:p>
      <w:pPr>
        <w:spacing w:after="0" w:line="239" w:lineRule="exact"/>
        <w:rPr>
          <w:sz w:val="20"/>
          <w:szCs w:val="20"/>
          <w:color w:val="auto"/>
        </w:rPr>
      </w:pPr>
    </w:p>
    <w:p>
      <w:pPr>
        <w:ind w:right="620" w:firstLine="749"/>
        <w:spacing w:after="0" w:line="257" w:lineRule="auto"/>
        <w:rPr>
          <w:sz w:val="20"/>
          <w:szCs w:val="20"/>
          <w:color w:val="auto"/>
        </w:rPr>
      </w:pPr>
      <w:r>
        <w:rPr>
          <w:rFonts w:ascii="Arial" w:cs="Arial" w:eastAsia="Arial" w:hAnsi="Arial"/>
          <w:sz w:val="21"/>
          <w:szCs w:val="21"/>
          <w:color w:val="auto"/>
        </w:rPr>
        <w:t>No provision of the Plan, nor any Award granted under the Plan, shall be construed to give any person any right to become, to be treated as, or to remain an Employee or Consultant. The Company and its Subsidiaries reserve the right to terminate any person’s Service at any time and for any reason, with or without notice.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19. DURATION AND AMENDMENTS.</w:t>
      </w:r>
    </w:p>
    <w:p>
      <w:pPr>
        <w:spacing w:after="0" w:line="212" w:lineRule="exact"/>
        <w:rPr>
          <w:sz w:val="20"/>
          <w:szCs w:val="20"/>
          <w:color w:val="auto"/>
        </w:rPr>
      </w:pPr>
    </w:p>
    <w:p>
      <w:pPr>
        <w:ind w:firstLine="757"/>
        <w:spacing w:after="0"/>
        <w:tabs>
          <w:tab w:leader="none" w:pos="1498"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Term of the Plan</w:t>
      </w:r>
      <w:r>
        <w:rPr>
          <w:rFonts w:ascii="Arial" w:cs="Arial" w:eastAsia="Arial" w:hAnsi="Arial"/>
          <w:sz w:val="22"/>
          <w:szCs w:val="22"/>
          <w:color w:val="auto"/>
        </w:rPr>
        <w:t>. The Plan, as set forth herein, shall come into existence on the date of its adoption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provided, however, that no Award may be granted hereunder prior to the Effective Date. The Board of Directors may suspend or terminate the Plan at any time.</w:t>
      </w:r>
    </w:p>
    <w:p>
      <w:pPr>
        <w:spacing w:after="0" w:line="186" w:lineRule="exact"/>
        <w:rPr>
          <w:rFonts w:ascii="Arial" w:cs="Arial" w:eastAsia="Arial" w:hAnsi="Arial"/>
          <w:sz w:val="22"/>
          <w:szCs w:val="22"/>
          <w:color w:val="auto"/>
        </w:rPr>
      </w:pPr>
    </w:p>
    <w:p>
      <w:pPr>
        <w:ind w:right="200" w:firstLine="757"/>
        <w:spacing w:after="0" w:line="287" w:lineRule="auto"/>
        <w:tabs>
          <w:tab w:leader="none" w:pos="1498"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Right to Amend the Plan</w:t>
      </w:r>
      <w:r>
        <w:rPr>
          <w:rFonts w:ascii="Arial" w:cs="Arial" w:eastAsia="Arial" w:hAnsi="Arial"/>
          <w:sz w:val="19"/>
          <w:szCs w:val="19"/>
          <w:color w:val="auto"/>
        </w:rPr>
        <w:t>. The Board of Directors may amend the Plan at any time and from time to time.</w:t>
      </w:r>
      <w:r>
        <w:rPr>
          <w:rFonts w:ascii="Arial" w:cs="Arial" w:eastAsia="Arial" w:hAnsi="Arial"/>
          <w:sz w:val="19"/>
          <w:szCs w:val="19"/>
          <w:i w:val="1"/>
          <w:iCs w:val="1"/>
          <w:color w:val="auto"/>
        </w:rPr>
        <w:t xml:space="preserve"> </w:t>
      </w:r>
      <w:r>
        <w:rPr>
          <w:rFonts w:ascii="Arial" w:cs="Arial" w:eastAsia="Arial" w:hAnsi="Arial"/>
          <w:sz w:val="19"/>
          <w:szCs w:val="19"/>
          <w:color w:val="auto"/>
        </w:rPr>
        <w:t>Rights and obligations under any Award granted before amendment of the Plan shall not be materially impaired by such amendment, except with consent of the Participant. An amendment of the Plan or any Award shall be subject to the approval of the Company’s stockholders only to the extent required by applicable laws, regulations, rules or listing requirements.</w:t>
      </w:r>
    </w:p>
    <w:p>
      <w:pPr>
        <w:spacing w:after="0" w:line="142" w:lineRule="exact"/>
        <w:rPr>
          <w:rFonts w:ascii="Arial" w:cs="Arial" w:eastAsia="Arial" w:hAnsi="Arial"/>
          <w:sz w:val="19"/>
          <w:szCs w:val="19"/>
          <w:color w:val="auto"/>
        </w:rPr>
      </w:pPr>
    </w:p>
    <w:p>
      <w:pPr>
        <w:ind w:right="20" w:firstLine="757"/>
        <w:spacing w:after="0" w:line="250" w:lineRule="auto"/>
        <w:tabs>
          <w:tab w:leader="none" w:pos="1498"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 No Awards shall be granted under the Plan after the termination thereof. The termination</w:t>
      </w:r>
      <w:r>
        <w:rPr>
          <w:rFonts w:ascii="Arial" w:cs="Arial" w:eastAsia="Arial" w:hAnsi="Arial"/>
          <w:sz w:val="22"/>
          <w:szCs w:val="22"/>
          <w:i w:val="1"/>
          <w:iCs w:val="1"/>
          <w:color w:val="auto"/>
        </w:rPr>
        <w:t xml:space="preserve"> </w:t>
      </w:r>
      <w:r>
        <w:rPr>
          <w:rFonts w:ascii="Arial" w:cs="Arial" w:eastAsia="Arial" w:hAnsi="Arial"/>
          <w:sz w:val="22"/>
          <w:szCs w:val="22"/>
          <w:color w:val="auto"/>
        </w:rPr>
        <w:t>of the Plan shall not affect Awards previously granted under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20. AWARDS TO NON-U.S. PARTICIPANTS.</w:t>
      </w:r>
    </w:p>
    <w:p>
      <w:pPr>
        <w:spacing w:after="0" w:line="239" w:lineRule="exact"/>
        <w:rPr>
          <w:sz w:val="20"/>
          <w:szCs w:val="20"/>
          <w:color w:val="auto"/>
        </w:rPr>
      </w:pPr>
    </w:p>
    <w:p>
      <w:pPr>
        <w:ind w:right="160" w:firstLine="749"/>
        <w:spacing w:after="0" w:line="235" w:lineRule="auto"/>
        <w:rPr>
          <w:sz w:val="20"/>
          <w:szCs w:val="20"/>
          <w:color w:val="auto"/>
        </w:rPr>
      </w:pPr>
      <w:r>
        <w:rPr>
          <w:rFonts w:ascii="Arial" w:cs="Arial" w:eastAsia="Arial" w:hAnsi="Arial"/>
          <w:sz w:val="22"/>
          <w:szCs w:val="22"/>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b w:val="1"/>
          <w:bCs w:val="1"/>
          <w:color w:val="auto"/>
        </w:rPr>
        <w:t>SECTION 21. GOVERNING LAW.</w:t>
      </w:r>
    </w:p>
    <w:p>
      <w:pPr>
        <w:spacing w:after="0" w:line="239" w:lineRule="exact"/>
        <w:rPr>
          <w:sz w:val="20"/>
          <w:szCs w:val="20"/>
          <w:color w:val="auto"/>
        </w:rPr>
      </w:pPr>
    </w:p>
    <w:p>
      <w:pPr>
        <w:ind w:right="140" w:firstLine="749"/>
        <w:spacing w:after="0" w:line="250" w:lineRule="auto"/>
        <w:rPr>
          <w:sz w:val="20"/>
          <w:szCs w:val="20"/>
          <w:color w:val="auto"/>
        </w:rPr>
      </w:pPr>
      <w:r>
        <w:rPr>
          <w:rFonts w:ascii="Arial" w:cs="Arial" w:eastAsia="Arial" w:hAnsi="Arial"/>
          <w:sz w:val="22"/>
          <w:szCs w:val="22"/>
          <w:color w:val="auto"/>
        </w:rPr>
        <w:t>The Plan and each Award Agreement shall be governed by the laws of the State of Delaware, without application of the conflicts of law principles thereof.</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22. SUCCESSORS AND ASSIGNS.</w:t>
      </w:r>
    </w:p>
    <w:p>
      <w:pPr>
        <w:spacing w:after="0" w:line="239" w:lineRule="exact"/>
        <w:rPr>
          <w:sz w:val="20"/>
          <w:szCs w:val="20"/>
          <w:color w:val="auto"/>
        </w:rPr>
      </w:pPr>
    </w:p>
    <w:p>
      <w:pPr>
        <w:ind w:right="120" w:firstLine="749"/>
        <w:spacing w:after="0" w:line="250" w:lineRule="auto"/>
        <w:rPr>
          <w:sz w:val="20"/>
          <w:szCs w:val="20"/>
          <w:color w:val="auto"/>
        </w:rPr>
      </w:pPr>
      <w:r>
        <w:rPr>
          <w:rFonts w:ascii="Arial" w:cs="Arial" w:eastAsia="Arial" w:hAnsi="Arial"/>
          <w:sz w:val="22"/>
          <w:szCs w:val="22"/>
          <w:color w:val="auto"/>
        </w:rPr>
        <w:t>The terms of the Plan shall be binding upon and inure to the benefit of the Company and any successor entity, including any successor entity contemplated by Section 12(c).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23. EXECUTION.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To record the adoption of the Plan by the Committee, the Company has caused its authorized officer to execute the same.</w:t>
      </w:r>
    </w:p>
    <w:p>
      <w:pPr>
        <w:spacing w:after="0" w:line="24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19" w:name="page120"/>
    <w:bookmarkEnd w:id="119"/>
    <w:p>
      <w:pPr>
        <w:ind w:left="4600"/>
        <w:spacing w:after="0"/>
        <w:rPr>
          <w:sz w:val="20"/>
          <w:szCs w:val="20"/>
          <w:color w:val="auto"/>
        </w:rPr>
      </w:pPr>
      <w:r>
        <w:rPr>
          <w:rFonts w:ascii="Arial" w:cs="Arial" w:eastAsia="Arial" w:hAnsi="Arial"/>
          <w:sz w:val="22"/>
          <w:szCs w:val="22"/>
          <w:b w:val="1"/>
          <w:bCs w:val="1"/>
          <w:color w:val="auto"/>
        </w:rPr>
        <w:t>SITIME CORPORATION</w:t>
      </w:r>
    </w:p>
    <w:p>
      <w:pPr>
        <w:spacing w:after="0" w:line="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 /s/ Vincent Pangrazio</w:t>
      </w:r>
    </w:p>
    <w:p>
      <w:pPr>
        <w:ind w:left="4600"/>
        <w:spacing w:after="0" w:line="230" w:lineRule="auto"/>
        <w:rPr>
          <w:sz w:val="20"/>
          <w:szCs w:val="20"/>
          <w:color w:val="auto"/>
        </w:rPr>
      </w:pPr>
      <w:r>
        <w:rPr>
          <w:rFonts w:ascii="Arial" w:cs="Arial" w:eastAsia="Arial" w:hAnsi="Arial"/>
          <w:sz w:val="22"/>
          <w:szCs w:val="22"/>
          <w:color w:val="auto"/>
        </w:rPr>
        <w:t>Name : Vincent Pangrazio</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Title: EVP, Chief Legal Officer and Corporate Secretary</w:t>
      </w:r>
    </w:p>
    <w:p>
      <w:pPr>
        <w:spacing w:after="0" w:line="22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SITIME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2022 INDUCEMENT AWARD PLAN</w:t>
      </w:r>
    </w:p>
    <w:p>
      <w:pPr>
        <w:jc w:val="center"/>
        <w:spacing w:after="0"/>
        <w:rPr>
          <w:sz w:val="20"/>
          <w:szCs w:val="20"/>
          <w:color w:val="auto"/>
        </w:rPr>
      </w:pPr>
      <w:r>
        <w:rPr>
          <w:rFonts w:ascii="Arial" w:cs="Arial" w:eastAsia="Arial" w:hAnsi="Arial"/>
          <w:sz w:val="22"/>
          <w:szCs w:val="22"/>
          <w:b w:val="1"/>
          <w:bCs w:val="1"/>
          <w:color w:val="auto"/>
        </w:rPr>
        <w:t>NOTICE OF RESTRICTED STOCK UNIT AWARD</w:t>
      </w:r>
    </w:p>
    <w:p>
      <w:pPr>
        <w:spacing w:after="0" w:line="175" w:lineRule="exact"/>
        <w:rPr>
          <w:sz w:val="20"/>
          <w:szCs w:val="20"/>
          <w:color w:val="auto"/>
        </w:rPr>
      </w:pPr>
    </w:p>
    <w:p>
      <w:pPr>
        <w:ind w:right="420" w:firstLine="749"/>
        <w:spacing w:after="0" w:line="257" w:lineRule="auto"/>
        <w:rPr>
          <w:sz w:val="20"/>
          <w:szCs w:val="20"/>
          <w:color w:val="auto"/>
        </w:rPr>
      </w:pPr>
      <w:r>
        <w:rPr>
          <w:rFonts w:ascii="Arial" w:cs="Arial" w:eastAsia="Arial" w:hAnsi="Arial"/>
          <w:sz w:val="21"/>
          <w:szCs w:val="21"/>
          <w:color w:val="auto"/>
        </w:rPr>
        <w:t>You have been granted an Award of Stock Units (the “</w:t>
      </w:r>
      <w:r>
        <w:rPr>
          <w:rFonts w:ascii="Arial" w:cs="Arial" w:eastAsia="Arial" w:hAnsi="Arial"/>
          <w:sz w:val="21"/>
          <w:szCs w:val="21"/>
          <w:i w:val="1"/>
          <w:iCs w:val="1"/>
          <w:color w:val="auto"/>
        </w:rPr>
        <w:t>RSUs</w:t>
      </w:r>
      <w:r>
        <w:rPr>
          <w:rFonts w:ascii="Arial" w:cs="Arial" w:eastAsia="Arial" w:hAnsi="Arial"/>
          <w:sz w:val="21"/>
          <w:szCs w:val="21"/>
          <w:color w:val="auto"/>
        </w:rPr>
        <w:t>”) representing shares of common stock (“</w:t>
      </w:r>
      <w:r>
        <w:rPr>
          <w:rFonts w:ascii="Arial" w:cs="Arial" w:eastAsia="Arial" w:hAnsi="Arial"/>
          <w:sz w:val="21"/>
          <w:szCs w:val="21"/>
          <w:i w:val="1"/>
          <w:iCs w:val="1"/>
          <w:color w:val="auto"/>
        </w:rPr>
        <w:t>Shares</w:t>
      </w:r>
      <w:r>
        <w:rPr>
          <w:rFonts w:ascii="Arial" w:cs="Arial" w:eastAsia="Arial" w:hAnsi="Arial"/>
          <w:sz w:val="21"/>
          <w:szCs w:val="21"/>
          <w:color w:val="auto"/>
        </w:rPr>
        <w:t>”) of SiTime Corporation (the “</w:t>
      </w:r>
      <w:r>
        <w:rPr>
          <w:rFonts w:ascii="Arial" w:cs="Arial" w:eastAsia="Arial" w:hAnsi="Arial"/>
          <w:sz w:val="21"/>
          <w:szCs w:val="21"/>
          <w:i w:val="1"/>
          <w:iCs w:val="1"/>
          <w:color w:val="auto"/>
        </w:rPr>
        <w:t>Company</w:t>
      </w:r>
      <w:r>
        <w:rPr>
          <w:rFonts w:ascii="Arial" w:cs="Arial" w:eastAsia="Arial" w:hAnsi="Arial"/>
          <w:sz w:val="21"/>
          <w:szCs w:val="21"/>
          <w:color w:val="auto"/>
        </w:rPr>
        <w:t>”) under the SiTime Corporation 2022 Inducement Award Plan, as may be amended from time to time (the “</w:t>
      </w:r>
      <w:r>
        <w:rPr>
          <w:rFonts w:ascii="Arial" w:cs="Arial" w:eastAsia="Arial" w:hAnsi="Arial"/>
          <w:sz w:val="21"/>
          <w:szCs w:val="21"/>
          <w:i w:val="1"/>
          <w:iCs w:val="1"/>
          <w:color w:val="auto"/>
        </w:rPr>
        <w:t>Plan</w:t>
      </w:r>
      <w:r>
        <w:rPr>
          <w:rFonts w:ascii="Arial" w:cs="Arial" w:eastAsia="Arial" w:hAnsi="Arial"/>
          <w:sz w:val="21"/>
          <w:szCs w:val="21"/>
          <w:color w:val="auto"/>
        </w:rPr>
        <w:t>”), as detailed in this Notice of Restricted Stock Unit Award (“</w:t>
      </w:r>
      <w:r>
        <w:rPr>
          <w:rFonts w:ascii="Arial" w:cs="Arial" w:eastAsia="Arial" w:hAnsi="Arial"/>
          <w:sz w:val="21"/>
          <w:szCs w:val="21"/>
          <w:i w:val="1"/>
          <w:iCs w:val="1"/>
          <w:color w:val="auto"/>
        </w:rPr>
        <w:t>Notice</w:t>
      </w:r>
      <w:r>
        <w:rPr>
          <w:rFonts w:ascii="Arial" w:cs="Arial" w:eastAsia="Arial" w:hAnsi="Arial"/>
          <w:sz w:val="21"/>
          <w:szCs w:val="2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 of Recipient: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Grant Date: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Total Number of Shares</w:t>
      </w:r>
    </w:p>
    <w:p>
      <w:pPr>
        <w:spacing w:after="0" w:line="238" w:lineRule="auto"/>
        <w:rPr>
          <w:sz w:val="20"/>
          <w:szCs w:val="20"/>
          <w:color w:val="auto"/>
        </w:rPr>
      </w:pPr>
      <w:r>
        <w:rPr>
          <w:rFonts w:ascii="Arial" w:cs="Arial" w:eastAsia="Arial" w:hAnsi="Arial"/>
          <w:sz w:val="22"/>
          <w:szCs w:val="22"/>
          <w:i w:val="1"/>
          <w:iCs w:val="1"/>
          <w:color w:val="auto"/>
        </w:rPr>
        <w:t>Subject to RSUs:</w:t>
      </w:r>
    </w:p>
    <w:p>
      <w:pPr>
        <w:spacing w:after="0"/>
        <w:rPr>
          <w:sz w:val="20"/>
          <w:szCs w:val="20"/>
          <w:color w:val="auto"/>
        </w:rPr>
      </w:pPr>
      <w:r>
        <w:rPr>
          <w:rFonts w:ascii="Arial" w:cs="Arial" w:eastAsia="Arial" w:hAnsi="Arial"/>
          <w:sz w:val="22"/>
          <w:szCs w:val="22"/>
          <w:i w:val="1"/>
          <w:iCs w:val="1"/>
          <w:color w:val="auto"/>
        </w:rPr>
        <w:t>Vesting Commencement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Vesting Schedule:</w:t>
      </w:r>
    </w:p>
    <w:p>
      <w:pPr>
        <w:spacing w:after="0" w:line="200" w:lineRule="exact"/>
        <w:rPr>
          <w:sz w:val="20"/>
          <w:szCs w:val="20"/>
          <w:color w:val="auto"/>
        </w:rPr>
      </w:pPr>
    </w:p>
    <w:p>
      <w:pPr>
        <w:ind w:right="200" w:firstLine="749"/>
        <w:spacing w:after="0" w:line="239" w:lineRule="auto"/>
        <w:rPr>
          <w:sz w:val="20"/>
          <w:szCs w:val="20"/>
          <w:color w:val="auto"/>
        </w:rPr>
      </w:pPr>
      <w:r>
        <w:rPr>
          <w:rFonts w:ascii="Arial" w:cs="Arial" w:eastAsia="Arial" w:hAnsi="Arial"/>
          <w:sz w:val="22"/>
          <w:szCs w:val="22"/>
          <w:b w:val="1"/>
          <w:bCs w:val="1"/>
          <w:color w:val="auto"/>
        </w:rPr>
        <w:t>By your written signature below (or your electronic acceptance) and the signature of the Company’s representative below, you and the Company agree that the RSUs are granted under and governed by the term and conditions of the Plan, this Notice, and the attached Restricted Stock Unit Agreement, including any Appendices thereto (collectively, the “</w:t>
      </w:r>
      <w:r>
        <w:rPr>
          <w:rFonts w:ascii="Arial" w:cs="Arial" w:eastAsia="Arial" w:hAnsi="Arial"/>
          <w:sz w:val="22"/>
          <w:szCs w:val="22"/>
          <w:b w:val="1"/>
          <w:bCs w:val="1"/>
          <w:i w:val="1"/>
          <w:iCs w:val="1"/>
          <w:color w:val="auto"/>
        </w:rPr>
        <w:t>Agreement</w:t>
      </w:r>
      <w:r>
        <w:rPr>
          <w:rFonts w:ascii="Arial" w:cs="Arial" w:eastAsia="Arial" w:hAnsi="Arial"/>
          <w:sz w:val="22"/>
          <w:szCs w:val="22"/>
          <w:b w:val="1"/>
          <w:bCs w:val="1"/>
          <w:color w:val="auto"/>
        </w:rPr>
        <w:t>”).</w:t>
      </w:r>
    </w:p>
    <w:p>
      <w:pPr>
        <w:spacing w:after="0" w:line="180" w:lineRule="exact"/>
        <w:rPr>
          <w:sz w:val="20"/>
          <w:szCs w:val="20"/>
          <w:color w:val="auto"/>
        </w:rPr>
      </w:pPr>
    </w:p>
    <w:p>
      <w:pPr>
        <w:ind w:firstLine="749"/>
        <w:spacing w:after="0" w:line="276" w:lineRule="auto"/>
        <w:rPr>
          <w:sz w:val="20"/>
          <w:szCs w:val="20"/>
          <w:color w:val="auto"/>
        </w:rPr>
      </w:pPr>
      <w:r>
        <w:rPr>
          <w:rFonts w:ascii="Arial" w:cs="Arial" w:eastAsia="Arial" w:hAnsi="Arial"/>
          <w:sz w:val="19"/>
          <w:szCs w:val="19"/>
          <w:b w:val="1"/>
          <w:bCs w:val="1"/>
          <w:color w:val="auto"/>
        </w:rPr>
        <w:t>By your written signature below (or your electronic acceptance), you further agree that the Company may deliver by e-mail all documents relating to the Plan or this Award (including without limitation, prospectuses required by the U.S.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80"/>
        </w:trPr>
        <w:tc>
          <w:tcPr>
            <w:tcW w:w="4940" w:type="dxa"/>
            <w:vAlign w:val="bottom"/>
          </w:tcPr>
          <w:p>
            <w:pPr>
              <w:ind w:left="20"/>
              <w:spacing w:after="0"/>
              <w:rPr>
                <w:sz w:val="20"/>
                <w:szCs w:val="20"/>
                <w:color w:val="auto"/>
              </w:rPr>
            </w:pPr>
            <w:r>
              <w:rPr>
                <w:rFonts w:ascii="Arial" w:cs="Arial" w:eastAsia="Arial" w:hAnsi="Arial"/>
                <w:sz w:val="22"/>
                <w:szCs w:val="22"/>
                <w:b w:val="1"/>
                <w:bCs w:val="1"/>
                <w:color w:val="auto"/>
              </w:rPr>
              <w:t>RECIPIENT</w:t>
            </w:r>
          </w:p>
        </w:tc>
        <w:tc>
          <w:tcPr>
            <w:tcW w:w="6300" w:type="dxa"/>
            <w:vAlign w:val="bottom"/>
            <w:gridSpan w:val="2"/>
          </w:tcPr>
          <w:p>
            <w:pPr>
              <w:ind w:left="480"/>
              <w:spacing w:after="0"/>
              <w:rPr>
                <w:sz w:val="20"/>
                <w:szCs w:val="20"/>
                <w:color w:val="auto"/>
              </w:rPr>
            </w:pPr>
            <w:r>
              <w:rPr>
                <w:rFonts w:ascii="Arial" w:cs="Arial" w:eastAsia="Arial" w:hAnsi="Arial"/>
                <w:sz w:val="22"/>
                <w:szCs w:val="22"/>
                <w:b w:val="1"/>
                <w:bCs w:val="1"/>
                <w:color w:val="auto"/>
              </w:rPr>
              <w:t>SITIME CORPORATION</w:t>
            </w:r>
          </w:p>
        </w:tc>
      </w:tr>
      <w:tr>
        <w:trPr>
          <w:trHeight w:val="499"/>
        </w:trPr>
        <w:tc>
          <w:tcPr>
            <w:tcW w:w="4940" w:type="dxa"/>
            <w:vAlign w:val="bottom"/>
          </w:tcPr>
          <w:p>
            <w:pPr>
              <w:spacing w:after="0"/>
              <w:rPr>
                <w:sz w:val="24"/>
                <w:szCs w:val="24"/>
                <w:color w:val="auto"/>
              </w:rPr>
            </w:pPr>
          </w:p>
        </w:tc>
        <w:tc>
          <w:tcPr>
            <w:tcW w:w="6300" w:type="dxa"/>
            <w:vAlign w:val="bottom"/>
            <w:gridSpan w:val="2"/>
          </w:tcPr>
          <w:p>
            <w:pPr>
              <w:ind w:left="480"/>
              <w:spacing w:after="0"/>
              <w:rPr>
                <w:sz w:val="20"/>
                <w:szCs w:val="20"/>
                <w:color w:val="auto"/>
              </w:rPr>
            </w:pPr>
            <w:r>
              <w:rPr>
                <w:rFonts w:ascii="Arial" w:cs="Arial" w:eastAsia="Arial" w:hAnsi="Arial"/>
                <w:sz w:val="22"/>
                <w:szCs w:val="22"/>
                <w:color w:val="auto"/>
              </w:rPr>
              <w:t>By:</w:t>
            </w:r>
          </w:p>
        </w:tc>
      </w:tr>
      <w:tr>
        <w:trPr>
          <w:trHeight w:val="540"/>
        </w:trPr>
        <w:tc>
          <w:tcPr>
            <w:tcW w:w="4940" w:type="dxa"/>
            <w:vAlign w:val="bottom"/>
          </w:tcPr>
          <w:p>
            <w:pPr>
              <w:ind w:left="20"/>
              <w:spacing w:after="0"/>
              <w:rPr>
                <w:sz w:val="20"/>
                <w:szCs w:val="20"/>
                <w:color w:val="auto"/>
              </w:rPr>
            </w:pPr>
            <w:r>
              <w:rPr>
                <w:rFonts w:ascii="Arial" w:cs="Arial" w:eastAsia="Arial" w:hAnsi="Arial"/>
                <w:sz w:val="22"/>
                <w:szCs w:val="22"/>
                <w:color w:val="auto"/>
              </w:rPr>
              <w:t>Participant’s Signature</w:t>
            </w:r>
          </w:p>
        </w:tc>
        <w:tc>
          <w:tcPr>
            <w:tcW w:w="6300" w:type="dxa"/>
            <w:vAlign w:val="bottom"/>
            <w:gridSpan w:val="2"/>
          </w:tcPr>
          <w:p>
            <w:pPr>
              <w:ind w:left="480"/>
              <w:spacing w:after="0"/>
              <w:rPr>
                <w:sz w:val="20"/>
                <w:szCs w:val="20"/>
                <w:color w:val="auto"/>
              </w:rPr>
            </w:pPr>
            <w:r>
              <w:rPr>
                <w:rFonts w:ascii="Arial" w:cs="Arial" w:eastAsia="Arial" w:hAnsi="Arial"/>
                <w:sz w:val="22"/>
                <w:szCs w:val="22"/>
                <w:color w:val="auto"/>
              </w:rPr>
              <w:t>Name:</w:t>
            </w:r>
          </w:p>
        </w:tc>
      </w:tr>
      <w:tr>
        <w:trPr>
          <w:trHeight w:val="435"/>
        </w:trPr>
        <w:tc>
          <w:tcPr>
            <w:tcW w:w="4940" w:type="dxa"/>
            <w:vAlign w:val="bottom"/>
          </w:tcPr>
          <w:p>
            <w:pPr>
              <w:spacing w:after="0"/>
              <w:rPr>
                <w:sz w:val="24"/>
                <w:szCs w:val="24"/>
                <w:color w:val="auto"/>
              </w:rPr>
            </w:pPr>
          </w:p>
        </w:tc>
        <w:tc>
          <w:tcPr>
            <w:tcW w:w="6300" w:type="dxa"/>
            <w:vAlign w:val="bottom"/>
            <w:gridSpan w:val="2"/>
          </w:tcPr>
          <w:p>
            <w:pPr>
              <w:ind w:left="480"/>
              <w:spacing w:after="0"/>
              <w:rPr>
                <w:sz w:val="20"/>
                <w:szCs w:val="20"/>
                <w:color w:val="auto"/>
              </w:rPr>
            </w:pPr>
            <w:r>
              <w:rPr>
                <w:rFonts w:ascii="Arial" w:cs="Arial" w:eastAsia="Arial" w:hAnsi="Arial"/>
                <w:sz w:val="22"/>
                <w:szCs w:val="22"/>
                <w:color w:val="auto"/>
              </w:rPr>
              <w:t>Title:</w:t>
            </w:r>
          </w:p>
        </w:tc>
      </w:tr>
      <w:tr>
        <w:trPr>
          <w:trHeight w:val="268"/>
        </w:trPr>
        <w:tc>
          <w:tcPr>
            <w:tcW w:w="49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Participant’s Printed Name</w:t>
            </w:r>
          </w:p>
        </w:tc>
        <w:tc>
          <w:tcPr>
            <w:tcW w:w="1260" w:type="dxa"/>
            <w:vAlign w:val="bottom"/>
          </w:tcPr>
          <w:p>
            <w:pPr>
              <w:spacing w:after="0"/>
              <w:rPr>
                <w:sz w:val="23"/>
                <w:szCs w:val="23"/>
                <w:color w:val="auto"/>
              </w:rPr>
            </w:pPr>
          </w:p>
        </w:tc>
        <w:tc>
          <w:tcPr>
            <w:tcW w:w="5040" w:type="dxa"/>
            <w:vAlign w:val="bottom"/>
            <w:tcBorders>
              <w:top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31375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Signed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2" w:name="page123"/>
    <w:bookmarkEnd w:id="122"/>
    <w:p>
      <w:pPr>
        <w:jc w:val="center"/>
        <w:ind w:right="-79"/>
        <w:spacing w:after="0"/>
        <w:rPr>
          <w:sz w:val="20"/>
          <w:szCs w:val="20"/>
          <w:color w:val="auto"/>
        </w:rPr>
      </w:pPr>
      <w:r>
        <w:rPr>
          <w:rFonts w:ascii="Arial" w:cs="Arial" w:eastAsia="Arial" w:hAnsi="Arial"/>
          <w:sz w:val="22"/>
          <w:szCs w:val="22"/>
          <w:b w:val="1"/>
          <w:bCs w:val="1"/>
          <w:color w:val="auto"/>
        </w:rPr>
        <w:t>SITIME CORPORATION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2022 INDUCEMENT AWARD PLAN</w:t>
      </w:r>
    </w:p>
    <w:p>
      <w:pPr>
        <w:jc w:val="center"/>
        <w:ind w:right="-79"/>
        <w:spacing w:after="0"/>
        <w:rPr>
          <w:sz w:val="20"/>
          <w:szCs w:val="20"/>
          <w:color w:val="auto"/>
        </w:rPr>
      </w:pPr>
      <w:r>
        <w:rPr>
          <w:rFonts w:ascii="Arial" w:cs="Arial" w:eastAsia="Arial" w:hAnsi="Arial"/>
          <w:sz w:val="22"/>
          <w:szCs w:val="22"/>
          <w:b w:val="1"/>
          <w:bCs w:val="1"/>
          <w:color w:val="auto"/>
        </w:rPr>
        <w:t>RESTRICTED STOCK UNIT AGREEMENT</w:t>
      </w:r>
    </w:p>
    <w:p>
      <w:pPr>
        <w:sectPr>
          <w:pgSz w:w="11900" w:h="16838" w:orient="portrait"/>
          <w:cols w:equalWidth="0" w:num="1">
            <w:col w:w="11160"/>
          </w:cols>
          <w:pgMar w:left="320" w:top="315" w:right="419" w:bottom="1440" w:gutter="0" w:footer="0" w:header="0"/>
        </w:sectPr>
      </w:pPr>
    </w:p>
    <w:p>
      <w:pPr>
        <w:spacing w:after="0" w:line="196" w:lineRule="exact"/>
        <w:rPr>
          <w:sz w:val="20"/>
          <w:szCs w:val="20"/>
          <w:color w:val="auto"/>
        </w:rPr>
      </w:pPr>
    </w:p>
    <w:p>
      <w:pPr>
        <w:ind w:left="20" w:right="500"/>
        <w:spacing w:after="0" w:line="253" w:lineRule="auto"/>
        <w:rPr>
          <w:sz w:val="20"/>
          <w:szCs w:val="20"/>
          <w:color w:val="auto"/>
        </w:rPr>
      </w:pPr>
      <w:r>
        <w:rPr>
          <w:rFonts w:ascii="Arial" w:cs="Arial" w:eastAsia="Arial" w:hAnsi="Arial"/>
          <w:sz w:val="21"/>
          <w:szCs w:val="21"/>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The RSUs are granted pursuant and subject in all respects to the applicable provisions of the Notice of Restricted Stock Unit Award (the “</w:t>
      </w:r>
      <w:r>
        <w:rPr>
          <w:rFonts w:ascii="Arial" w:cs="Arial" w:eastAsia="Arial" w:hAnsi="Arial"/>
          <w:sz w:val="19"/>
          <w:szCs w:val="19"/>
          <w:i w:val="1"/>
          <w:iCs w:val="1"/>
          <w:color w:val="auto"/>
        </w:rPr>
        <w:t>Notice</w:t>
      </w:r>
      <w:r>
        <w:rPr>
          <w:rFonts w:ascii="Arial" w:cs="Arial" w:eastAsia="Arial" w:hAnsi="Arial"/>
          <w:sz w:val="19"/>
          <w:szCs w:val="19"/>
          <w:color w:val="auto"/>
        </w:rPr>
        <w:t>”), this Restricted Stock Unit Agreement, including the Appendices attached hereto, (collectively, the “</w:t>
      </w:r>
      <w:r>
        <w:rPr>
          <w:rFonts w:ascii="Arial" w:cs="Arial" w:eastAsia="Arial" w:hAnsi="Arial"/>
          <w:sz w:val="19"/>
          <w:szCs w:val="19"/>
          <w:i w:val="1"/>
          <w:iCs w:val="1"/>
          <w:color w:val="auto"/>
        </w:rPr>
        <w:t>Agreement</w:t>
      </w:r>
      <w:r>
        <w:rPr>
          <w:rFonts w:ascii="Arial" w:cs="Arial" w:eastAsia="Arial" w:hAnsi="Arial"/>
          <w:sz w:val="19"/>
          <w:szCs w:val="19"/>
          <w:color w:val="auto"/>
        </w:rPr>
        <w:t>”), and the Plan, which is incorporated herein by reference. Capitalized terms not defined in this Agreement will have the meanings ascribed to them in the Plan.</w:t>
      </w:r>
    </w:p>
    <w:p>
      <w:pPr>
        <w:spacing w:after="0" w:line="200" w:lineRule="exact"/>
        <w:rPr>
          <w:sz w:val="20"/>
          <w:szCs w:val="20"/>
          <w:color w:val="auto"/>
        </w:rPr>
      </w:pPr>
    </w:p>
    <w:p>
      <w:pPr>
        <w:sectPr>
          <w:pgSz w:w="11900" w:h="16838" w:orient="portrait"/>
          <w:cols w:equalWidth="0" w:num="2">
            <w:col w:w="2360" w:space="720"/>
            <w:col w:w="8080"/>
          </w:cols>
          <w:pgMar w:left="320" w:top="31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80" w:right="20"/>
        <w:spacing w:after="0" w:line="223" w:lineRule="auto"/>
        <w:rPr>
          <w:sz w:val="20"/>
          <w:szCs w:val="20"/>
          <w:color w:val="auto"/>
        </w:rPr>
      </w:pPr>
      <w:r>
        <w:rPr>
          <w:rFonts w:ascii="Arial" w:cs="Arial" w:eastAsia="Arial" w:hAnsi="Arial"/>
          <w:sz w:val="22"/>
          <w:szCs w:val="22"/>
          <w:color w:val="auto"/>
        </w:rPr>
        <w:t>The attached Notice, this Agreement, and the Plan constitute the entire understanding between you and the Company regarding this Award. Any prior agreements, commitments or negotiations concerning this Award are superseded.</w:t>
      </w:r>
    </w:p>
    <w:p>
      <w:pPr>
        <w:sectPr>
          <w:pgSz w:w="11900" w:h="16838" w:orient="portrait"/>
          <w:cols w:equalWidth="0" w:num="1">
            <w:col w:w="11160"/>
          </w:cols>
          <w:pgMar w:left="320" w:top="315" w:right="41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Payment for RSUs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No cash payment is required for the RSUs you receive.</w:t>
      </w:r>
    </w:p>
    <w:p>
      <w:pPr>
        <w:spacing w:after="0" w:line="200" w:lineRule="exact"/>
        <w:rPr>
          <w:sz w:val="20"/>
          <w:szCs w:val="20"/>
          <w:color w:val="auto"/>
        </w:rPr>
      </w:pPr>
    </w:p>
    <w:p>
      <w:pPr>
        <w:sectPr>
          <w:pgSz w:w="11900" w:h="16838" w:orient="portrait"/>
          <w:cols w:equalWidth="0" w:num="2">
            <w:col w:w="2360" w:space="720"/>
            <w:col w:w="8080"/>
          </w:cols>
          <w:pgMar w:left="320" w:top="315" w:right="41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Vesting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The RSUs will vest as shown in the Notice. No additional RSUs vest after your Service has terminated for any reason.</w:t>
      </w:r>
    </w:p>
    <w:p>
      <w:pPr>
        <w:spacing w:after="0" w:line="166" w:lineRule="exact"/>
        <w:rPr>
          <w:sz w:val="20"/>
          <w:szCs w:val="20"/>
          <w:color w:val="auto"/>
        </w:rPr>
      </w:pPr>
    </w:p>
    <w:p>
      <w:pPr>
        <w:sectPr>
          <w:pgSz w:w="11900" w:h="16838" w:orient="portrait"/>
          <w:cols w:equalWidth="0" w:num="2">
            <w:col w:w="2360" w:space="720"/>
            <w:col w:w="8080"/>
          </w:cols>
          <w:pgMar w:left="320" w:top="315" w:right="41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Forfeiture</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Arial" w:cs="Arial" w:eastAsia="Arial" w:hAnsi="Arial"/>
          <w:sz w:val="19"/>
          <w:szCs w:val="19"/>
          <w:color w:val="auto"/>
        </w:rPr>
        <w:t>If your Service terminates for any reason, then any unvested RSUs will be forfeited as of the termination date. You receive no payment for RSUs that are forfeited. For purposes of this Award, the termination date will be the date on which you cease to provide active Service to Company or any Subsidiary or Affiliate (regardless of the reason for such termination and whether or not later found to be invalid or in breach of employment laws in the jurisdiction where you are providing Service or the terms of your service agreement, if any). Any right to vest in the RSUs will terminate as of such date and will not be extended by any notice period or any period of “garden leave” or similar period mandated under the laws in the jurisdiction where you are providing Service or the terms of your service agreement, if any; the Committee shall have the exclusive discretion to determine when you are no longer actively providing services for purposes of your RSUs (including whether you may still be considered to be providing services while on a leave of absence).</w:t>
      </w:r>
    </w:p>
    <w:p>
      <w:pPr>
        <w:spacing w:after="0" w:line="200" w:lineRule="exact"/>
        <w:rPr>
          <w:sz w:val="20"/>
          <w:szCs w:val="20"/>
          <w:color w:val="auto"/>
        </w:rPr>
      </w:pPr>
    </w:p>
    <w:p>
      <w:pPr>
        <w:sectPr>
          <w:pgSz w:w="11900" w:h="16838" w:orient="portrait"/>
          <w:cols w:equalWidth="0" w:num="2">
            <w:col w:w="2360" w:space="720"/>
            <w:col w:w="8080"/>
          </w:cols>
          <w:pgMar w:left="320" w:top="31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15" w:right="419" w:bottom="1440" w:gutter="0" w:footer="0" w:header="0"/>
          <w:type w:val="continuous"/>
        </w:sectPr>
      </w:pPr>
    </w:p>
    <w:bookmarkStart w:id="123" w:name="page124"/>
    <w:bookmarkEnd w:id="123"/>
    <w:p>
      <w:pPr>
        <w:ind w:left="20"/>
        <w:spacing w:after="0"/>
        <w:rPr>
          <w:sz w:val="20"/>
          <w:szCs w:val="20"/>
          <w:color w:val="auto"/>
        </w:rPr>
      </w:pPr>
      <w:r>
        <w:rPr>
          <w:rFonts w:ascii="Arial" w:cs="Arial" w:eastAsia="Arial" w:hAnsi="Arial"/>
          <w:sz w:val="18"/>
          <w:szCs w:val="18"/>
          <w:b w:val="1"/>
          <w:bCs w:val="1"/>
          <w:color w:val="auto"/>
        </w:rPr>
        <w:t>Leaves of Absence</w:t>
      </w:r>
    </w:p>
    <w:p>
      <w:pPr>
        <w:spacing w:after="0" w:line="20" w:lineRule="exact"/>
        <w:rPr>
          <w:sz w:val="20"/>
          <w:szCs w:val="20"/>
          <w:color w:val="auto"/>
        </w:rPr>
      </w:pPr>
      <w:r>
        <w:rPr>
          <w:sz w:val="20"/>
          <w:szCs w:val="20"/>
          <w:color w:val="auto"/>
        </w:rPr>
        <w:br w:type="column"/>
      </w:r>
    </w:p>
    <w:p>
      <w:pPr>
        <w:ind w:right="40"/>
        <w:spacing w:after="0" w:line="214" w:lineRule="auto"/>
        <w:rPr>
          <w:sz w:val="20"/>
          <w:szCs w:val="20"/>
          <w:color w:val="auto"/>
        </w:rPr>
      </w:pPr>
      <w:r>
        <w:rPr>
          <w:rFonts w:ascii="Arial" w:cs="Arial" w:eastAsia="Arial" w:hAnsi="Arial"/>
          <w:sz w:val="22"/>
          <w:szCs w:val="22"/>
          <w:color w:val="auto"/>
        </w:rPr>
        <w:t xml:space="preserve">For purposes of this Award, your Service does not terminate when you go on a military leave, a sick leave or another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leave of absence, if the leave of absence was approved by the Company or your Employer (as defined below), if different, in writing and if continued crediting of Service is required by the terms of the leave or by applicable law. However, your Service will terminate when the approved leave ends, unless you immediately return to active work.</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80" w:right="100"/>
        <w:spacing w:after="0" w:line="250" w:lineRule="auto"/>
        <w:rPr>
          <w:sz w:val="20"/>
          <w:szCs w:val="20"/>
          <w:color w:val="auto"/>
        </w:rPr>
      </w:pPr>
      <w:r>
        <w:rPr>
          <w:rFonts w:ascii="Arial" w:cs="Arial" w:eastAsia="Arial" w:hAnsi="Arial"/>
          <w:sz w:val="19"/>
          <w:szCs w:val="19"/>
          <w:color w:val="auto"/>
        </w:rPr>
        <w:t>If you go on a leave of absence, then the vesting schedule specified in the Notice may be adjusted in accordance with the Company’s leave of absence policy or the terms of your leave. If you commence working on a part-time basis, then the vesting schedule specified in the Notice may be adjusted in accordance with the Company’s part- time work policy or the terms of an agreement between you and the Company pertaining to your part-time schedule</w:t>
      </w:r>
      <w:r>
        <w:rPr>
          <w:rFonts w:ascii="Arial" w:cs="Arial" w:eastAsia="Arial" w:hAnsi="Arial"/>
          <w:sz w:val="25"/>
          <w:szCs w:val="25"/>
          <w:color w:val="auto"/>
          <w:vertAlign w:val="superscript"/>
        </w:rPr>
        <w:t>1</w:t>
      </w:r>
      <w:r>
        <w:rPr>
          <w:rFonts w:ascii="Arial" w:cs="Arial" w:eastAsia="Arial" w:hAnsi="Arial"/>
          <w:sz w:val="19"/>
          <w:szCs w:val="19"/>
          <w:color w:val="auto"/>
        </w:rPr>
        <w:t>.</w:t>
      </w:r>
    </w:p>
    <w:p>
      <w:pPr>
        <w:sectPr>
          <w:pgSz w:w="11900" w:h="16838" w:orient="portrait"/>
          <w:cols w:equalWidth="0" w:num="1">
            <w:col w:w="11220"/>
          </w:cols>
          <w:pgMar w:left="320" w:top="3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Nature of 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spacing w:after="0" w:line="234" w:lineRule="auto"/>
        <w:rPr>
          <w:sz w:val="20"/>
          <w:szCs w:val="20"/>
          <w:color w:val="auto"/>
        </w:rPr>
      </w:pPr>
      <w:r>
        <w:rPr>
          <w:rFonts w:ascii="Arial" w:cs="Arial" w:eastAsia="Arial" w:hAnsi="Arial"/>
          <w:sz w:val="21"/>
          <w:szCs w:val="21"/>
          <w:color w:val="auto"/>
        </w:rPr>
        <w:t>Your RSUs are mere bookkeeping entries. They represent only the Company’s unfunded and unsecured promise to issue Shares on a future date. As a holder of RSUs, you have no rights other than the rights of a general creditor of the Company.</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20" w:right="500"/>
        <w:spacing w:after="0" w:line="235" w:lineRule="auto"/>
        <w:rPr>
          <w:sz w:val="20"/>
          <w:szCs w:val="20"/>
          <w:color w:val="auto"/>
        </w:rPr>
      </w:pPr>
      <w:r>
        <w:rPr>
          <w:rFonts w:ascii="Arial" w:cs="Arial" w:eastAsia="Arial" w:hAnsi="Arial"/>
          <w:sz w:val="22"/>
          <w:szCs w:val="22"/>
          <w:b w:val="1"/>
          <w:bCs w:val="1"/>
          <w:color w:val="auto"/>
        </w:rPr>
        <w:t>No Voting Rights or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right="200"/>
        <w:spacing w:after="0" w:line="257" w:lineRule="auto"/>
        <w:rPr>
          <w:sz w:val="20"/>
          <w:szCs w:val="20"/>
          <w:color w:val="auto"/>
        </w:rPr>
      </w:pPr>
      <w:r>
        <w:rPr>
          <w:rFonts w:ascii="Arial" w:cs="Arial" w:eastAsia="Arial" w:hAnsi="Arial"/>
          <w:sz w:val="19"/>
          <w:szCs w:val="19"/>
          <w:color w:val="auto"/>
        </w:rPr>
        <w:t>Your RSUs carry neither voting rights nor rights to dividends. You, or your estate or heirs, have no rights as a stockholder of the Company unless and until your RSUs vest and are settled by issuing Shares. No adjustments will be made for dividends or other rights if the applicable record date occurs before your Shares are issued, except as described in the Plan.</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RSUs</w:t>
      </w:r>
    </w:p>
    <w:p>
      <w:pPr>
        <w:ind w:left="20"/>
        <w:spacing w:after="0"/>
        <w:rPr>
          <w:sz w:val="20"/>
          <w:szCs w:val="20"/>
          <w:color w:val="auto"/>
        </w:rPr>
      </w:pPr>
      <w:r>
        <w:rPr>
          <w:rFonts w:ascii="Arial" w:cs="Arial" w:eastAsia="Arial" w:hAnsi="Arial"/>
          <w:sz w:val="19"/>
          <w:szCs w:val="19"/>
          <w:b w:val="1"/>
          <w:bCs w:val="1"/>
          <w:color w:val="auto"/>
        </w:rPr>
        <w:t>Nontransferable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You may not sell, transfer, assign, pledge or otherwise dispose of any RSUs. For instance, you may not use your RSUs as security for a loan. If you attempt to do any of these things, your RSUs will immediately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431800</wp:posOffset>
            </wp:positionV>
            <wp:extent cx="34632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hanging="99"/>
        <w:spacing w:after="0"/>
        <w:tabs>
          <w:tab w:leader="none" w:pos="120"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SiTime will want to ensure it complies with applicable laws outside the U.S. regarding LOAs and part-time employees.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124" w:name="page125"/>
    <w:bookmarkEnd w:id="124"/>
    <w:p>
      <w:pPr>
        <w:ind w:left="20"/>
        <w:spacing w:after="0"/>
        <w:rPr>
          <w:sz w:val="20"/>
          <w:szCs w:val="20"/>
          <w:color w:val="auto"/>
        </w:rPr>
      </w:pPr>
      <w:r>
        <w:rPr>
          <w:rFonts w:ascii="Arial" w:cs="Arial" w:eastAsia="Arial" w:hAnsi="Arial"/>
          <w:sz w:val="19"/>
          <w:szCs w:val="19"/>
          <w:b w:val="1"/>
          <w:bCs w:val="1"/>
          <w:color w:val="auto"/>
        </w:rPr>
        <w:t>Settlement of RSUs</w:t>
      </w:r>
    </w:p>
    <w:p>
      <w:pPr>
        <w:spacing w:after="0" w:line="20" w:lineRule="exact"/>
        <w:rPr>
          <w:sz w:val="20"/>
          <w:szCs w:val="20"/>
          <w:color w:val="auto"/>
        </w:rPr>
      </w:pPr>
      <w:r>
        <w:rPr>
          <w:sz w:val="20"/>
          <w:szCs w:val="20"/>
          <w:color w:val="auto"/>
        </w:rPr>
        <w:br w:type="column"/>
      </w:r>
    </w:p>
    <w:p>
      <w:pPr>
        <w:ind w:right="160"/>
        <w:spacing w:after="0" w:line="218" w:lineRule="auto"/>
        <w:rPr>
          <w:sz w:val="20"/>
          <w:szCs w:val="20"/>
          <w:color w:val="auto"/>
        </w:rPr>
      </w:pPr>
      <w:r>
        <w:rPr>
          <w:rFonts w:ascii="Arial" w:cs="Arial" w:eastAsia="Arial" w:hAnsi="Arial"/>
          <w:sz w:val="22"/>
          <w:szCs w:val="22"/>
          <w:color w:val="auto"/>
        </w:rPr>
        <w:t>Each of your RSUs will be settled when it vests; provided, however, that if the Committee requires you to pay withholding taxes through a sale of Shares, settlement of each RSU may be deferred to the first permissible trading day for the Shares, if later than the applicable vesting date.</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sectPr>
      </w:pPr>
    </w:p>
    <w:p>
      <w:pPr>
        <w:spacing w:after="0" w:line="271" w:lineRule="exact"/>
        <w:rPr>
          <w:sz w:val="20"/>
          <w:szCs w:val="20"/>
          <w:color w:val="auto"/>
        </w:rPr>
      </w:pPr>
    </w:p>
    <w:p>
      <w:pPr>
        <w:ind w:left="3080" w:right="20"/>
        <w:spacing w:after="0" w:line="247" w:lineRule="auto"/>
        <w:rPr>
          <w:sz w:val="20"/>
          <w:szCs w:val="20"/>
          <w:color w:val="auto"/>
        </w:rPr>
      </w:pPr>
      <w:r>
        <w:rPr>
          <w:rFonts w:ascii="Arial" w:cs="Arial" w:eastAsia="Arial" w:hAnsi="Arial"/>
          <w:sz w:val="21"/>
          <w:szCs w:val="21"/>
          <w:color w:val="auto"/>
        </w:rPr>
        <w:t>Under no circumstances may your RSUs be settled later than two and one-half (2-1/2) months following the calendar year in which the applicable vesting date occurs.</w:t>
      </w:r>
    </w:p>
    <w:p>
      <w:pPr>
        <w:spacing w:after="0" w:line="340" w:lineRule="exact"/>
        <w:rPr>
          <w:sz w:val="20"/>
          <w:szCs w:val="20"/>
          <w:color w:val="auto"/>
        </w:rPr>
      </w:pPr>
    </w:p>
    <w:p>
      <w:pPr>
        <w:ind w:left="3080"/>
        <w:spacing w:after="0" w:line="244" w:lineRule="auto"/>
        <w:rPr>
          <w:sz w:val="20"/>
          <w:szCs w:val="20"/>
          <w:color w:val="auto"/>
        </w:rPr>
      </w:pPr>
      <w:r>
        <w:rPr>
          <w:rFonts w:ascii="Arial" w:cs="Arial" w:eastAsia="Arial" w:hAnsi="Arial"/>
          <w:sz w:val="19"/>
          <w:szCs w:val="19"/>
          <w:color w:val="auto"/>
        </w:rPr>
        <w:t>For purposes of this Agreement, “permissible trading day” means a day that satisfies all of the following requirements: (1) the exchange on which the Shares are traded is open for trading on that day; (2) you are permitted to sell Shares on that day without incurring liability under Section 16(b) of the Exchange Act; (3) either (a) you are not in possession of material non-public information that would make it illegal for you to sell Shares on that day under Rule 10b-5 under the Exchange Act or (b) Rule 10b5-1 under the Exchange Act would apply to the sale; (4) you are permitted to sell Shares on that day under such written insider trading policy as may have been adopted by the Company; and (5) you are not prohibited from selling Shares on that day by a written agreement between you and the Company or a third party.</w:t>
      </w:r>
    </w:p>
    <w:p>
      <w:pPr>
        <w:sectPr>
          <w:pgSz w:w="11900" w:h="16838" w:orient="portrait"/>
          <w:cols w:equalWidth="0" w:num="1">
            <w:col w:w="11220"/>
          </w:cols>
          <w:pgMar w:left="320" w:top="3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80" w:right="340"/>
        <w:spacing w:after="0" w:line="249" w:lineRule="auto"/>
        <w:rPr>
          <w:sz w:val="20"/>
          <w:szCs w:val="20"/>
          <w:color w:val="auto"/>
        </w:rPr>
      </w:pPr>
      <w:r>
        <w:rPr>
          <w:rFonts w:ascii="Arial" w:cs="Arial" w:eastAsia="Arial" w:hAnsi="Arial"/>
          <w:sz w:val="19"/>
          <w:szCs w:val="19"/>
          <w:color w:val="auto"/>
        </w:rPr>
        <w:t>At the time of settlement, you will receive one Share for each vested RSU; provided, however, that no fractional Shares will be issued or delivered pursuant to the Plan or this Agreement, and the Committee will determine whether cash will be paid in lieu of any fractional Share or whether such fractional Share and any rights thereto will be canceled, terminated or otherwise eliminated. In addition, the Shares are issued to you subject to the condition that the issuance of the Shares not violate any law or regulation.</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125" w:name="page126"/>
    <w:bookmarkEnd w:id="125"/>
    <w:p>
      <w:pPr>
        <w:ind w:left="20" w:right="200"/>
        <w:spacing w:after="0" w:line="305" w:lineRule="auto"/>
        <w:rPr>
          <w:sz w:val="20"/>
          <w:szCs w:val="20"/>
          <w:color w:val="auto"/>
        </w:rPr>
      </w:pPr>
      <w:r>
        <w:rPr>
          <w:rFonts w:ascii="Arial" w:cs="Arial" w:eastAsia="Arial" w:hAnsi="Arial"/>
          <w:sz w:val="19"/>
          <w:szCs w:val="19"/>
          <w:b w:val="1"/>
          <w:bCs w:val="1"/>
          <w:color w:val="auto"/>
        </w:rPr>
        <w:t>Withholding Taxes and Stock Withholding</w:t>
      </w:r>
    </w:p>
    <w:p>
      <w:pPr>
        <w:spacing w:after="0" w:line="20" w:lineRule="exact"/>
        <w:rPr>
          <w:sz w:val="20"/>
          <w:szCs w:val="20"/>
          <w:color w:val="auto"/>
        </w:rPr>
      </w:pPr>
      <w:r>
        <w:rPr>
          <w:sz w:val="20"/>
          <w:szCs w:val="20"/>
          <w:color w:val="auto"/>
        </w:rPr>
        <w:br w:type="column"/>
      </w:r>
    </w:p>
    <w:p>
      <w:pPr>
        <w:ind w:right="20"/>
        <w:spacing w:after="0" w:line="220" w:lineRule="auto"/>
        <w:rPr>
          <w:sz w:val="20"/>
          <w:szCs w:val="20"/>
          <w:color w:val="auto"/>
        </w:rPr>
      </w:pPr>
      <w:r>
        <w:rPr>
          <w:rFonts w:ascii="Arial" w:cs="Arial" w:eastAsia="Arial" w:hAnsi="Arial"/>
          <w:sz w:val="21"/>
          <w:szCs w:val="21"/>
          <w:color w:val="auto"/>
        </w:rPr>
        <w:t>Regardless of any action the Company and/or the Subsidiary or Affiliate employing you (“</w:t>
      </w:r>
      <w:r>
        <w:rPr>
          <w:rFonts w:ascii="Arial" w:cs="Arial" w:eastAsia="Arial" w:hAnsi="Arial"/>
          <w:sz w:val="21"/>
          <w:szCs w:val="21"/>
          <w:i w:val="1"/>
          <w:iCs w:val="1"/>
          <w:color w:val="auto"/>
        </w:rPr>
        <w:t>Employer</w:t>
      </w:r>
      <w:r>
        <w:rPr>
          <w:rFonts w:ascii="Arial" w:cs="Arial" w:eastAsia="Arial" w:hAnsi="Arial"/>
          <w:sz w:val="21"/>
          <w:szCs w:val="21"/>
          <w:color w:val="auto"/>
        </w:rPr>
        <w:t>”) takes with respect to any or all income tax, social insurance, payroll tax, payment on account or other tax-related withholding (“</w:t>
      </w:r>
      <w:r>
        <w:rPr>
          <w:rFonts w:ascii="Arial" w:cs="Arial" w:eastAsia="Arial" w:hAnsi="Arial"/>
          <w:sz w:val="21"/>
          <w:szCs w:val="21"/>
          <w:i w:val="1"/>
          <w:iCs w:val="1"/>
          <w:color w:val="auto"/>
        </w:rPr>
        <w:t>Tax-Related Items</w:t>
      </w:r>
      <w:r>
        <w:rPr>
          <w:rFonts w:ascii="Arial" w:cs="Arial" w:eastAsia="Arial" w:hAnsi="Arial"/>
          <w:sz w:val="21"/>
          <w:szCs w:val="21"/>
          <w:color w:val="auto"/>
        </w:rPr>
        <w:t>”),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this Award, including the award, vesting or settlement of the RSUs, the subsequent sale of Shares acquired pursuant to settlement and the receipt of any dividends; and (2) do not commit to structure the terms of the award or any aspect of the RSUs to reduce or eliminate your liability for Tax- Related Items.</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80"/>
        <w:spacing w:after="0" w:line="214" w:lineRule="auto"/>
        <w:rPr>
          <w:sz w:val="20"/>
          <w:szCs w:val="20"/>
          <w:color w:val="auto"/>
        </w:rPr>
      </w:pPr>
      <w:r>
        <w:rPr>
          <w:rFonts w:ascii="Arial" w:cs="Arial" w:eastAsia="Arial" w:hAnsi="Arial"/>
          <w:sz w:val="22"/>
          <w:szCs w:val="22"/>
          <w:color w:val="auto"/>
        </w:rPr>
        <w:t>Prior to the settlement of the RSUs, you shall pay or make adequate arrangements satisfactory to the Company and/or the Employer to satisfy all withholding and payment on account obligations of the Company and/or your Employer. In this regard, you authorize the Company and/or your Employer to withhold all applicable Tax- Related Items legally payable by you from your wages or other cash compensation paid to you by the Company and/or your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80" w:right="20"/>
        <w:spacing w:after="0" w:line="226" w:lineRule="auto"/>
        <w:rPr>
          <w:sz w:val="20"/>
          <w:szCs w:val="20"/>
          <w:color w:val="auto"/>
        </w:rPr>
      </w:pPr>
      <w:r>
        <w:rPr>
          <w:rFonts w:ascii="Arial" w:cs="Arial" w:eastAsia="Arial" w:hAnsi="Arial"/>
          <w:sz w:val="21"/>
          <w:szCs w:val="21"/>
          <w:color w:val="auto"/>
        </w:rPr>
        <w:t>Unless an alternative arrangement satisfactory to the Committee has been provided prior to the vesting date, the default method for paying withholding taxes is withholding Shares that otherwise would be issued to you when the RSUs are settled, provided that the Company only withholds Shares having a Fair Market Value equal to the amount necessary to satisfy the maximum legally required tax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80" w:right="40"/>
        <w:spacing w:after="0" w:line="218" w:lineRule="auto"/>
        <w:rPr>
          <w:sz w:val="20"/>
          <w:szCs w:val="20"/>
          <w:color w:val="auto"/>
        </w:rPr>
      </w:pPr>
      <w:r>
        <w:rPr>
          <w:rFonts w:ascii="Arial" w:cs="Arial" w:eastAsia="Arial" w:hAnsi="Arial"/>
          <w:sz w:val="22"/>
          <w:szCs w:val="22"/>
          <w:color w:val="auto"/>
        </w:rPr>
        <w:t>The Committee may also require the withholding of taxes from the proceeds of the sale of the Shares, either through a voluntary sale or through a mandatory sale arranged by the Company (on your behalf pursuant to this authorization), or any other arrangement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126" w:name="page127"/>
    <w:bookmarkEnd w:id="126"/>
    <w:p>
      <w:pPr>
        <w:ind w:left="3080"/>
        <w:spacing w:after="0" w:line="244" w:lineRule="auto"/>
        <w:rPr>
          <w:sz w:val="20"/>
          <w:szCs w:val="20"/>
          <w:color w:val="auto"/>
        </w:rPr>
      </w:pPr>
      <w:r>
        <w:rPr>
          <w:rFonts w:ascii="Arial" w:cs="Arial" w:eastAsia="Arial" w:hAnsi="Arial"/>
          <w:sz w:val="19"/>
          <w:szCs w:val="19"/>
          <w:color w:val="auto"/>
        </w:rPr>
        <w:t>The Fair Market Value of the Shares, determined as of the effective date when taxes otherwise would have been withheld in cash, will be applied as a credit against the withholding taxes. Finally, you will pay to the Company or your Employer any amount of Tax- 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 and your rights to the Shares will be forfeited if you do not comply with such obligations on or before the date that is two and one-half (2-1/2) months following the calendar year in which the applicable vesting date for the RSUs occurs.</w:t>
      </w:r>
    </w:p>
    <w:p>
      <w:pPr>
        <w:sectPr>
          <w:pgSz w:w="11900" w:h="16838" w:orient="portrait"/>
          <w:cols w:equalWidth="0" w:num="1">
            <w:col w:w="11220"/>
          </w:cols>
          <w:pgMar w:left="320" w:top="307" w:right="359" w:bottom="1440" w:gutter="0" w:footer="0" w:header="0"/>
        </w:sectPr>
      </w:pP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260"/>
        <w:spacing w:after="0" w:line="218" w:lineRule="auto"/>
        <w:rPr>
          <w:sz w:val="20"/>
          <w:szCs w:val="20"/>
          <w:color w:val="auto"/>
        </w:rPr>
      </w:pPr>
      <w:r>
        <w:rPr>
          <w:rFonts w:ascii="Arial" w:cs="Arial" w:eastAsia="Arial" w:hAnsi="Arial"/>
          <w:sz w:val="22"/>
          <w:szCs w:val="22"/>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200" w:lineRule="exact"/>
        <w:rPr>
          <w:sz w:val="20"/>
          <w:szCs w:val="20"/>
          <w:color w:val="auto"/>
        </w:rPr>
      </w:pPr>
    </w:p>
    <w:p>
      <w:pPr>
        <w:sectPr>
          <w:pgSz w:w="11900" w:h="16838" w:orient="portrait"/>
          <w:cols w:equalWidth="0" w:num="2">
            <w:col w:w="2360" w:space="720"/>
            <w:col w:w="8140"/>
          </w:cols>
          <w:pgMar w:left="320" w:top="307" w:right="35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No Retention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both"/>
        <w:ind w:right="140"/>
        <w:spacing w:after="0" w:line="218" w:lineRule="auto"/>
        <w:rPr>
          <w:sz w:val="20"/>
          <w:szCs w:val="20"/>
          <w:color w:val="auto"/>
        </w:rPr>
      </w:pPr>
      <w:r>
        <w:rPr>
          <w:rFonts w:ascii="Arial" w:cs="Arial" w:eastAsia="Arial" w:hAnsi="Arial"/>
          <w:sz w:val="22"/>
          <w:szCs w:val="22"/>
          <w:color w:val="auto"/>
        </w:rPr>
        <w:t>Neither this Award nor this Agreement gives you the right to be employed or retained by the Company or any Subsidiary or Affiliate of the Company in any capacity. The Company and its Subsidiaries and Affiliates reserve the right to terminate your Service at any time, with or without cause.</w:t>
      </w:r>
    </w:p>
    <w:p>
      <w:pPr>
        <w:spacing w:after="0" w:line="200" w:lineRule="exact"/>
        <w:rPr>
          <w:sz w:val="20"/>
          <w:szCs w:val="20"/>
          <w:color w:val="auto"/>
        </w:rPr>
      </w:pPr>
    </w:p>
    <w:p>
      <w:pPr>
        <w:sectPr>
          <w:pgSz w:w="11900" w:h="16838" w:orient="portrait"/>
          <w:cols w:equalWidth="0" w:num="2">
            <w:col w:w="2360" w:space="720"/>
            <w:col w:w="8140"/>
          </w:cols>
          <w:pgMar w:left="320" w:top="307" w:right="359" w:bottom="1440" w:gutter="0" w:footer="0" w:header="0"/>
          <w:type w:val="continuous"/>
        </w:sect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Adjustments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right="180"/>
        <w:spacing w:after="0" w:line="216" w:lineRule="auto"/>
        <w:rPr>
          <w:sz w:val="20"/>
          <w:szCs w:val="20"/>
          <w:color w:val="auto"/>
        </w:rPr>
      </w:pPr>
      <w:r>
        <w:rPr>
          <w:rFonts w:ascii="Arial" w:cs="Arial" w:eastAsia="Arial" w:hAnsi="Arial"/>
          <w:sz w:val="22"/>
          <w:szCs w:val="22"/>
          <w:color w:val="auto"/>
        </w:rPr>
        <w:t>The number of RSUs covered by this Award will be subject to adjustment in the event of a stock split, a stock dividend or a similar change in Shares, and in other circumstances, as set forth in the Plan. The forfeiture provisions and restrictions described above will apply to all new, substitute or additional restricted stock units or securities to which you are entitled by reason of this Award.</w:t>
      </w:r>
    </w:p>
    <w:p>
      <w:pPr>
        <w:spacing w:after="0" w:line="200" w:lineRule="exact"/>
        <w:rPr>
          <w:sz w:val="20"/>
          <w:szCs w:val="20"/>
          <w:color w:val="auto"/>
        </w:rPr>
      </w:pPr>
    </w:p>
    <w:p>
      <w:pPr>
        <w:sectPr>
          <w:pgSz w:w="11900" w:h="16838" w:orient="portrait"/>
          <w:cols w:equalWidth="0" w:num="2">
            <w:col w:w="2360" w:space="720"/>
            <w:col w:w="8140"/>
          </w:cols>
          <w:pgMar w:left="320" w:top="30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both"/>
        <w:ind w:right="240"/>
        <w:spacing w:after="0" w:line="268" w:lineRule="auto"/>
        <w:rPr>
          <w:sz w:val="20"/>
          <w:szCs w:val="20"/>
          <w:color w:val="auto"/>
        </w:rPr>
      </w:pPr>
      <w:r>
        <w:rPr>
          <w:rFonts w:ascii="Arial" w:cs="Arial" w:eastAsia="Arial" w:hAnsi="Arial"/>
          <w:sz w:val="19"/>
          <w:szCs w:val="19"/>
          <w:color w:val="auto"/>
        </w:rPr>
        <w:t>Except as otherwise provided in the Plan or this Agreement, every term of this Agreement will be binding upon and inure to the benefit of the parties hereto and their respective heirs, legatees, legal representatives, successors, transferees and assigns.</w:t>
      </w:r>
    </w:p>
    <w:p>
      <w:pPr>
        <w:spacing w:after="0" w:line="200" w:lineRule="exact"/>
        <w:rPr>
          <w:sz w:val="20"/>
          <w:szCs w:val="20"/>
          <w:color w:val="auto"/>
        </w:rPr>
      </w:pPr>
    </w:p>
    <w:p>
      <w:pPr>
        <w:sectPr>
          <w:pgSz w:w="11900" w:h="16838" w:orient="portrait"/>
          <w:cols w:equalWidth="0" w:num="2">
            <w:col w:w="2360" w:space="720"/>
            <w:col w:w="8140"/>
          </w:cols>
          <w:pgMar w:left="320" w:top="30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7" w:right="359" w:bottom="1440" w:gutter="0" w:footer="0" w:header="0"/>
          <w:type w:val="continuous"/>
        </w:sectPr>
      </w:pPr>
    </w:p>
    <w:bookmarkStart w:id="127" w:name="page128"/>
    <w:bookmarkEnd w:id="127"/>
    <w:p>
      <w:pPr>
        <w:ind w:left="20"/>
        <w:spacing w:after="0"/>
        <w:rPr>
          <w:sz w:val="20"/>
          <w:szCs w:val="20"/>
          <w:color w:val="auto"/>
        </w:rPr>
      </w:pPr>
      <w:r>
        <w:rPr>
          <w:rFonts w:ascii="Arial" w:cs="Arial" w:eastAsia="Arial" w:hAnsi="Arial"/>
          <w:sz w:val="18"/>
          <w:szCs w:val="18"/>
          <w:b w:val="1"/>
          <w:bCs w:val="1"/>
          <w:color w:val="auto"/>
        </w:rPr>
        <w:t>Notice</w:t>
      </w:r>
    </w:p>
    <w:p>
      <w:pPr>
        <w:spacing w:after="0" w:line="20" w:lineRule="exact"/>
        <w:rPr>
          <w:sz w:val="20"/>
          <w:szCs w:val="20"/>
          <w:color w:val="auto"/>
        </w:rPr>
      </w:pPr>
      <w:r>
        <w:rPr>
          <w:sz w:val="20"/>
          <w:szCs w:val="20"/>
          <w:color w:val="auto"/>
        </w:rPr>
        <w:br w:type="column"/>
      </w:r>
    </w:p>
    <w:p>
      <w:pPr>
        <w:ind w:right="160"/>
        <w:spacing w:after="0" w:line="252" w:lineRule="auto"/>
        <w:rPr>
          <w:sz w:val="20"/>
          <w:szCs w:val="20"/>
          <w:color w:val="auto"/>
        </w:rPr>
      </w:pPr>
      <w:r>
        <w:rPr>
          <w:rFonts w:ascii="Arial" w:cs="Arial" w:eastAsia="Arial" w:hAnsi="Arial"/>
          <w:sz w:val="19"/>
          <w:szCs w:val="19"/>
          <w:color w:val="auto"/>
        </w:rPr>
        <w:t>Any notice required or permitted under this Agreement will be given in writing and will be deemed effectively given upon the earliest of personal delivery,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Section 409A of the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16" w:lineRule="auto"/>
        <w:rPr>
          <w:sz w:val="20"/>
          <w:szCs w:val="20"/>
          <w:color w:val="auto"/>
        </w:rPr>
      </w:pPr>
      <w:r>
        <w:rPr>
          <w:rFonts w:ascii="Arial" w:cs="Arial" w:eastAsia="Arial" w:hAnsi="Arial"/>
          <w:sz w:val="22"/>
          <w:szCs w:val="22"/>
          <w:color w:val="auto"/>
        </w:rPr>
        <w:t>To the extent this Agreement is subject to, and not exempt from, Section 409A of the Code, this Agreement is intended to comply with Section 409A, and its provisions will be interpreted in a manner consistent with such intent. You acknowledge and agree that changes may be made to this Agreement to avoid adverse tax consequences to you under Section 409A.</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480"/>
        <w:spacing w:after="0" w:line="305" w:lineRule="auto"/>
        <w:rPr>
          <w:sz w:val="20"/>
          <w:szCs w:val="20"/>
          <w:color w:val="auto"/>
        </w:rPr>
      </w:pPr>
      <w:r>
        <w:rPr>
          <w:rFonts w:ascii="Arial" w:cs="Arial" w:eastAsia="Arial" w:hAnsi="Arial"/>
          <w:sz w:val="19"/>
          <w:szCs w:val="19"/>
          <w:b w:val="1"/>
          <w:bCs w:val="1"/>
          <w:color w:val="auto"/>
        </w:rPr>
        <w:t>Applicable Law and Choice of 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229" w:lineRule="auto"/>
        <w:rPr>
          <w:sz w:val="20"/>
          <w:szCs w:val="20"/>
          <w:color w:val="auto"/>
        </w:rPr>
      </w:pPr>
      <w:r>
        <w:rPr>
          <w:rFonts w:ascii="Arial" w:cs="Arial" w:eastAsia="Arial" w:hAnsi="Arial"/>
          <w:sz w:val="21"/>
          <w:szCs w:val="21"/>
          <w:color w:val="auto"/>
        </w:rPr>
        <w:t>This Agreement will be interpreted and enforced under the laws of the State of Delaware as to matters within the scope thereof, and as to all other matters, the internal laws of the State of California, without regard to the laws of any other jurisdiction that might be applied because of the conflicts of laws principles of any state.</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left="3080" w:right="40"/>
        <w:spacing w:after="0" w:line="224" w:lineRule="auto"/>
        <w:rPr>
          <w:sz w:val="20"/>
          <w:szCs w:val="20"/>
          <w:color w:val="auto"/>
        </w:rPr>
      </w:pPr>
      <w:r>
        <w:rPr>
          <w:rFonts w:ascii="Arial" w:cs="Arial" w:eastAsia="Arial" w:hAnsi="Arial"/>
          <w:sz w:val="21"/>
          <w:szCs w:val="21"/>
          <w:color w:val="auto"/>
        </w:rPr>
        <w:t>For purposes of litigating any dispute that arises directly or indirectly from the relationship of the parties evidenced by this Award or this Agreement, the parties hereby submit to and consent to the exclusive jurisdiction of the State of California and agree that such litigation will be conducted only in the courts of Santa Clara County, California, or the federal courts for the United States for the Northern District of California, and no other courts, where this grant is made and/or to be performed.</w:t>
      </w:r>
    </w:p>
    <w:p>
      <w:pPr>
        <w:sectPr>
          <w:pgSz w:w="11900" w:h="16838" w:orient="portrait"/>
          <w:cols w:equalWidth="0" w:num="1">
            <w:col w:w="11220"/>
          </w:cols>
          <w:pgMar w:left="320" w:top="3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Severability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80"/>
        <w:spacing w:after="0" w:line="234" w:lineRule="auto"/>
        <w:rPr>
          <w:sz w:val="20"/>
          <w:szCs w:val="20"/>
          <w:color w:val="auto"/>
        </w:rPr>
      </w:pPr>
      <w:r>
        <w:rPr>
          <w:rFonts w:ascii="Arial" w:cs="Arial" w:eastAsia="Arial" w:hAnsi="Arial"/>
          <w:sz w:val="21"/>
          <w:szCs w:val="21"/>
          <w:color w:val="auto"/>
        </w:rPr>
        <w:t>The provisions of this Agreement are severable and if any one or more provisions is determined to be illegal or otherwise unenforceable, in whole or in part, the remaining provisions shall nevertheless be binding and enforceable.</w:t>
      </w:r>
    </w:p>
    <w:p>
      <w:pPr>
        <w:spacing w:after="0" w:line="200" w:lineRule="exact"/>
        <w:rPr>
          <w:sz w:val="20"/>
          <w:szCs w:val="20"/>
          <w:color w:val="auto"/>
        </w:rPr>
      </w:pPr>
    </w:p>
    <w:p>
      <w:pPr>
        <w:sectPr>
          <w:pgSz w:w="11900" w:h="16838" w:orient="portrait"/>
          <w:cols w:equalWidth="0" w:num="2">
            <w:col w:w="2360" w:space="720"/>
            <w:col w:w="8140"/>
          </w:cols>
          <w:pgMar w:left="320" w:top="3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128" w:name="page129"/>
    <w:bookmarkEnd w:id="128"/>
    <w:p>
      <w:pPr>
        <w:ind w:left="20"/>
        <w:spacing w:after="0"/>
        <w:rPr>
          <w:sz w:val="20"/>
          <w:szCs w:val="20"/>
          <w:color w:val="auto"/>
        </w:rPr>
      </w:pPr>
      <w:r>
        <w:rPr>
          <w:rFonts w:ascii="Arial" w:cs="Arial" w:eastAsia="Arial" w:hAnsi="Arial"/>
          <w:sz w:val="18"/>
          <w:szCs w:val="18"/>
          <w:b w:val="1"/>
          <w:bCs w:val="1"/>
          <w:color w:val="auto"/>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Notwithstanding any provisions in this Agreement, the Award shall be subject to the data</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privacy information and consent in Appendix A if you reside outside the United States. In</w:t>
      </w:r>
    </w:p>
    <w:p>
      <w:pPr>
        <w:spacing w:after="0" w:line="237" w:lineRule="auto"/>
        <w:rPr>
          <w:sz w:val="20"/>
          <w:szCs w:val="20"/>
          <w:color w:val="auto"/>
        </w:rPr>
      </w:pPr>
      <w:r>
        <w:rPr>
          <w:rFonts w:ascii="Arial" w:cs="Arial" w:eastAsia="Arial" w:hAnsi="Arial"/>
          <w:sz w:val="19"/>
          <w:szCs w:val="19"/>
          <w:color w:val="auto"/>
        </w:rPr>
        <w:t>addition, the Award shall be subject to any special terms and conditions for your country set</w:t>
      </w:r>
    </w:p>
    <w:p>
      <w:pPr>
        <w:spacing w:after="0" w:line="237" w:lineRule="auto"/>
        <w:rPr>
          <w:sz w:val="20"/>
          <w:szCs w:val="20"/>
          <w:color w:val="auto"/>
        </w:rPr>
      </w:pPr>
      <w:r>
        <w:rPr>
          <w:rFonts w:ascii="Arial" w:cs="Arial" w:eastAsia="Arial" w:hAnsi="Arial"/>
          <w:sz w:val="19"/>
          <w:szCs w:val="19"/>
          <w:color w:val="auto"/>
        </w:rPr>
        <w:t>forth in Appendix B. Moreover, if you relocate to one of the countries included in Appendix</w:t>
      </w:r>
    </w:p>
    <w:p>
      <w:pPr>
        <w:spacing w:after="0" w:line="215" w:lineRule="auto"/>
        <w:rPr>
          <w:sz w:val="20"/>
          <w:szCs w:val="20"/>
          <w:color w:val="auto"/>
        </w:rPr>
      </w:pPr>
      <w:r>
        <w:rPr>
          <w:rFonts w:ascii="Arial" w:cs="Arial" w:eastAsia="Arial" w:hAnsi="Arial"/>
          <w:sz w:val="21"/>
          <w:szCs w:val="21"/>
          <w:color w:val="auto"/>
        </w:rPr>
        <w:t>B, the special terms and conditions for such country will apply to you, to the extent the</w:t>
      </w:r>
    </w:p>
    <w:p>
      <w:pPr>
        <w:spacing w:after="0" w:line="237" w:lineRule="auto"/>
        <w:rPr>
          <w:sz w:val="20"/>
          <w:szCs w:val="20"/>
          <w:color w:val="auto"/>
        </w:rPr>
      </w:pPr>
      <w:r>
        <w:rPr>
          <w:rFonts w:ascii="Arial" w:cs="Arial" w:eastAsia="Arial" w:hAnsi="Arial"/>
          <w:sz w:val="19"/>
          <w:szCs w:val="19"/>
          <w:color w:val="auto"/>
        </w:rPr>
        <w:t>Company determines that the application of such terms and conditions is necessary or</w:t>
      </w:r>
    </w:p>
    <w:p>
      <w:pPr>
        <w:spacing w:after="0" w:line="205" w:lineRule="auto"/>
        <w:rPr>
          <w:sz w:val="20"/>
          <w:szCs w:val="20"/>
          <w:color w:val="auto"/>
        </w:rPr>
      </w:pPr>
      <w:r>
        <w:rPr>
          <w:rFonts w:ascii="Arial" w:cs="Arial" w:eastAsia="Arial" w:hAnsi="Arial"/>
          <w:sz w:val="22"/>
          <w:szCs w:val="22"/>
          <w:color w:val="auto"/>
        </w:rPr>
        <w:t>advisable for legal or administrative reasons.</w:t>
      </w:r>
    </w:p>
    <w:p>
      <w:pPr>
        <w:spacing w:after="0"/>
        <w:rPr>
          <w:sz w:val="20"/>
          <w:szCs w:val="20"/>
          <w:color w:val="auto"/>
        </w:rPr>
      </w:pPr>
      <w:r>
        <w:rPr>
          <w:rFonts w:ascii="Arial" w:cs="Arial" w:eastAsia="Arial" w:hAnsi="Arial"/>
          <w:sz w:val="22"/>
          <w:szCs w:val="22"/>
          <w:color w:val="auto"/>
        </w:rPr>
        <w:t>Appendices A and B constitute part of this Agreement.</w:t>
      </w:r>
    </w:p>
    <w:p>
      <w:pPr>
        <w:spacing w:after="0" w:line="200" w:lineRule="exact"/>
        <w:rPr>
          <w:sz w:val="20"/>
          <w:szCs w:val="20"/>
          <w:color w:val="auto"/>
        </w:rPr>
      </w:pPr>
    </w:p>
    <w:p>
      <w:pPr>
        <w:sectPr>
          <w:pgSz w:w="11900" w:h="16838" w:orient="portrait"/>
          <w:cols w:equalWidth="0" w:num="2">
            <w:col w:w="2360" w:space="720"/>
            <w:col w:w="8080"/>
          </w:cols>
          <w:pgMar w:left="320" w:top="30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Waiver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You acknowledge that a waiver by the Company of breach of any provision of this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Agreement shall not operate or be construed as a waiver of any other provision of this</w:t>
      </w:r>
    </w:p>
    <w:p>
      <w:pPr>
        <w:spacing w:after="0"/>
        <w:rPr>
          <w:sz w:val="20"/>
          <w:szCs w:val="20"/>
          <w:color w:val="auto"/>
        </w:rPr>
      </w:pPr>
      <w:r>
        <w:rPr>
          <w:rFonts w:ascii="Arial" w:cs="Arial" w:eastAsia="Arial" w:hAnsi="Arial"/>
          <w:sz w:val="22"/>
          <w:szCs w:val="22"/>
          <w:color w:val="auto"/>
        </w:rPr>
        <w:t>Agreement, or of any subsequent breach by you or any other participant.</w:t>
      </w:r>
    </w:p>
    <w:p>
      <w:pPr>
        <w:spacing w:after="0" w:line="200" w:lineRule="exact"/>
        <w:rPr>
          <w:sz w:val="20"/>
          <w:szCs w:val="20"/>
          <w:color w:val="auto"/>
        </w:rPr>
      </w:pPr>
    </w:p>
    <w:p>
      <w:pPr>
        <w:sectPr>
          <w:pgSz w:w="11900" w:h="16838" w:orient="portrait"/>
          <w:cols w:equalWidth="0" w:num="2">
            <w:col w:w="2360" w:space="720"/>
            <w:col w:w="8080"/>
          </w:cols>
          <w:pgMar w:left="320" w:top="301" w:right="41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20" w:right="360"/>
        <w:spacing w:after="0" w:line="235" w:lineRule="auto"/>
        <w:rPr>
          <w:sz w:val="20"/>
          <w:szCs w:val="20"/>
          <w:color w:val="auto"/>
        </w:rPr>
      </w:pPr>
      <w:r>
        <w:rPr>
          <w:rFonts w:ascii="Arial" w:cs="Arial" w:eastAsia="Arial" w:hAnsi="Arial"/>
          <w:sz w:val="22"/>
          <w:szCs w:val="22"/>
          <w:b w:val="1"/>
          <w:bCs w:val="1"/>
          <w:color w:val="auto"/>
        </w:rPr>
        <w:t>No Advice Regarding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right="40"/>
        <w:spacing w:after="0" w:line="21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your participation in the Plan, or your acquisition or sale of the Shares underlying the RSUs. You should consult with your own personal tax, legal and financial advisors regarding your participation in the Plan before taking any action related to the Plan.</w:t>
      </w:r>
    </w:p>
    <w:p>
      <w:pPr>
        <w:spacing w:after="0" w:line="200" w:lineRule="exact"/>
        <w:rPr>
          <w:sz w:val="20"/>
          <w:szCs w:val="20"/>
          <w:color w:val="auto"/>
        </w:rPr>
      </w:pPr>
    </w:p>
    <w:p>
      <w:pPr>
        <w:sectPr>
          <w:pgSz w:w="11900" w:h="16838" w:orient="portrait"/>
          <w:cols w:equalWidth="0" w:num="2">
            <w:col w:w="2360" w:space="720"/>
            <w:col w:w="8080"/>
          </w:cols>
          <w:pgMar w:left="320" w:top="30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500"/>
        <w:spacing w:after="0" w:line="305" w:lineRule="auto"/>
        <w:rPr>
          <w:sz w:val="20"/>
          <w:szCs w:val="20"/>
          <w:color w:val="auto"/>
        </w:rPr>
      </w:pPr>
      <w:r>
        <w:rPr>
          <w:rFonts w:ascii="Arial" w:cs="Arial" w:eastAsia="Arial" w:hAnsi="Arial"/>
          <w:sz w:val="19"/>
          <w:szCs w:val="19"/>
          <w:b w:val="1"/>
          <w:bCs w:val="1"/>
          <w:color w:val="auto"/>
        </w:rPr>
        <w:t>Imposition of Other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right="220"/>
        <w:spacing w:after="0" w:line="216" w:lineRule="auto"/>
        <w:rPr>
          <w:sz w:val="20"/>
          <w:szCs w:val="20"/>
          <w:color w:val="auto"/>
        </w:rPr>
      </w:pPr>
      <w:r>
        <w:rPr>
          <w:rFonts w:ascii="Arial" w:cs="Arial" w:eastAsia="Arial" w:hAnsi="Arial"/>
          <w:sz w:val="22"/>
          <w:szCs w:val="22"/>
          <w:color w:val="auto"/>
        </w:rPr>
        <w:t>The Company reserves the right to impose other requirements on your participation in the Plan, on the RSUs and on any Shares acquired upon vesting of the RSUs,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ectPr>
          <w:pgSz w:w="11900" w:h="16838" w:orient="portrait"/>
          <w:cols w:equalWidth="0" w:num="2">
            <w:col w:w="2360" w:space="720"/>
            <w:col w:w="8080"/>
          </w:cols>
          <w:pgMar w:left="320" w:top="30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160"/>
        <w:spacing w:after="0" w:line="235" w:lineRule="auto"/>
        <w:rPr>
          <w:sz w:val="20"/>
          <w:szCs w:val="20"/>
          <w:color w:val="auto"/>
        </w:rPr>
      </w:pPr>
      <w:r>
        <w:rPr>
          <w:rFonts w:ascii="Arial" w:cs="Arial" w:eastAsia="Arial" w:hAnsi="Arial"/>
          <w:sz w:val="22"/>
          <w:szCs w:val="22"/>
          <w:b w:val="1"/>
          <w:bCs w:val="1"/>
          <w:color w:val="auto"/>
        </w:rPr>
        <w:t>Electronic Delivery and Acceptance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right="100"/>
        <w:spacing w:after="0" w:line="216" w:lineRule="auto"/>
        <w:rPr>
          <w:sz w:val="20"/>
          <w:szCs w:val="20"/>
          <w:color w:val="auto"/>
        </w:rPr>
      </w:pPr>
      <w:r>
        <w:rPr>
          <w:rFonts w:ascii="Arial" w:cs="Arial" w:eastAsia="Arial" w:hAnsi="Arial"/>
          <w:sz w:val="22"/>
          <w:szCs w:val="22"/>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ectPr>
          <w:pgSz w:w="11900" w:h="16838" w:orient="portrait"/>
          <w:cols w:equalWidth="0" w:num="2">
            <w:col w:w="2360" w:space="720"/>
            <w:col w:w="8080"/>
          </w:cols>
          <w:pgMar w:left="320" w:top="30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40"/>
        <w:spacing w:after="0" w:line="256" w:lineRule="auto"/>
        <w:rPr>
          <w:sz w:val="20"/>
          <w:szCs w:val="20"/>
          <w:color w:val="auto"/>
        </w:rPr>
      </w:pPr>
      <w:r>
        <w:rPr>
          <w:rFonts w:ascii="Arial" w:cs="Arial" w:eastAsia="Arial" w:hAnsi="Arial"/>
          <w:sz w:val="22"/>
          <w:szCs w:val="22"/>
          <w:b w:val="1"/>
          <w:bCs w:val="1"/>
          <w:color w:val="auto"/>
        </w:rPr>
        <w:t>BY SIGNING THE ATTACHED NOTICE YOU AGREE TO ALL OF THE TERMS AND CONDITIONS DESCRIBED IN THIS AGREEMENT, INCLUDING THE APPENDICES, AND IN THE PLAN.</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2022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gridSpan w:val="3"/>
          </w:tcPr>
          <w:p>
            <w:pPr>
              <w:ind w:left="60"/>
              <w:spacing w:after="0"/>
              <w:rPr>
                <w:sz w:val="20"/>
                <w:szCs w:val="20"/>
                <w:color w:val="auto"/>
              </w:rPr>
            </w:pPr>
            <w:r>
              <w:rPr>
                <w:rFonts w:ascii="Arial" w:cs="Arial" w:eastAsia="Arial" w:hAnsi="Arial"/>
                <w:sz w:val="18"/>
                <w:szCs w:val="18"/>
                <w:b w:val="1"/>
                <w:bCs w:val="1"/>
                <w:color w:val="auto"/>
              </w:rPr>
              <w:t>Subsidiaries of SiTime Corporation</w:t>
            </w:r>
          </w:p>
        </w:tc>
        <w:tc>
          <w:tcPr>
            <w:tcW w:w="1800" w:type="dxa"/>
            <w:vAlign w:val="bottom"/>
          </w:tcPr>
          <w:p>
            <w:pPr>
              <w:spacing w:after="0"/>
              <w:rPr>
                <w:sz w:val="20"/>
                <w:szCs w:val="20"/>
                <w:color w:val="auto"/>
              </w:rPr>
            </w:pPr>
          </w:p>
        </w:tc>
      </w:tr>
      <w:tr>
        <w:trPr>
          <w:trHeight w:val="803"/>
        </w:trPr>
        <w:tc>
          <w:tcPr>
            <w:tcW w:w="1820" w:type="dxa"/>
            <w:vAlign w:val="bottom"/>
          </w:tcPr>
          <w:p>
            <w:pPr>
              <w:spacing w:after="0"/>
              <w:rPr>
                <w:sz w:val="24"/>
                <w:szCs w:val="24"/>
                <w:color w:val="auto"/>
              </w:rPr>
            </w:pPr>
          </w:p>
        </w:tc>
        <w:tc>
          <w:tcPr>
            <w:tcW w:w="238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95"/>
              </w:rPr>
              <w:t>Subsidiary</w:t>
            </w:r>
          </w:p>
        </w:tc>
        <w:tc>
          <w:tcPr>
            <w:tcW w:w="1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Jurisdiction</w:t>
            </w:r>
          </w:p>
        </w:tc>
        <w:tc>
          <w:tcPr>
            <w:tcW w:w="1800" w:type="dxa"/>
            <w:vAlign w:val="bottom"/>
          </w:tcPr>
          <w:p>
            <w:pPr>
              <w:spacing w:after="0"/>
              <w:rPr>
                <w:sz w:val="24"/>
                <w:szCs w:val="24"/>
                <w:color w:val="auto"/>
              </w:rPr>
            </w:pPr>
          </w:p>
        </w:tc>
      </w:tr>
      <w:tr>
        <w:trPr>
          <w:trHeight w:val="230"/>
        </w:trPr>
        <w:tc>
          <w:tcPr>
            <w:tcW w:w="18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SiTime Ukraine, LLC</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1800" w:type="dxa"/>
            <w:vAlign w:val="bottom"/>
          </w:tcPr>
          <w:p>
            <w:pPr>
              <w:spacing w:after="0"/>
              <w:rPr>
                <w:sz w:val="20"/>
                <w:szCs w:val="20"/>
                <w:color w:val="auto"/>
              </w:rPr>
            </w:pPr>
          </w:p>
        </w:tc>
      </w:tr>
      <w:tr>
        <w:trPr>
          <w:trHeight w:val="364"/>
        </w:trPr>
        <w:tc>
          <w:tcPr>
            <w:tcW w:w="182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SiTime Netherlands, B.V.</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800" w:type="dxa"/>
            <w:vAlign w:val="bottom"/>
          </w:tcPr>
          <w:p>
            <w:pPr>
              <w:spacing w:after="0"/>
              <w:rPr>
                <w:sz w:val="24"/>
                <w:szCs w:val="24"/>
                <w:color w:val="auto"/>
              </w:rPr>
            </w:pPr>
          </w:p>
        </w:tc>
      </w:tr>
      <w:tr>
        <w:trPr>
          <w:trHeight w:val="324"/>
        </w:trPr>
        <w:tc>
          <w:tcPr>
            <w:tcW w:w="182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SiTime Japan GK</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800" w:type="dxa"/>
            <w:vAlign w:val="bottom"/>
          </w:tcPr>
          <w:p>
            <w:pPr>
              <w:spacing w:after="0"/>
              <w:rPr>
                <w:sz w:val="24"/>
                <w:szCs w:val="24"/>
                <w:color w:val="auto"/>
              </w:rPr>
            </w:pPr>
          </w:p>
        </w:tc>
      </w:tr>
      <w:tr>
        <w:trPr>
          <w:trHeight w:val="202"/>
        </w:trPr>
        <w:tc>
          <w:tcPr>
            <w:tcW w:w="182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SiTime France</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Pr>
          <w:p>
            <w:pPr>
              <w:jc w:val="center"/>
              <w:spacing w:after="0" w:line="201" w:lineRule="exact"/>
              <w:rPr>
                <w:sz w:val="20"/>
                <w:szCs w:val="20"/>
                <w:color w:val="auto"/>
              </w:rPr>
            </w:pPr>
            <w:r>
              <w:rPr>
                <w:rFonts w:ascii="Arial" w:cs="Arial" w:eastAsia="Arial" w:hAnsi="Arial"/>
                <w:sz w:val="18"/>
                <w:szCs w:val="18"/>
                <w:color w:val="auto"/>
                <w:w w:val="89"/>
              </w:rPr>
              <w:t>France</w:t>
            </w:r>
          </w:p>
        </w:tc>
        <w:tc>
          <w:tcPr>
            <w:tcW w:w="180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380" w:type="dxa"/>
            <w:vAlign w:val="bottom"/>
          </w:tcPr>
          <w:p>
            <w:pPr>
              <w:spacing w:after="0" w:line="202" w:lineRule="exact"/>
              <w:rPr>
                <w:sz w:val="20"/>
                <w:szCs w:val="20"/>
                <w:color w:val="auto"/>
              </w:rPr>
            </w:pPr>
            <w:r>
              <w:rPr>
                <w:rFonts w:ascii="Arial" w:cs="Arial" w:eastAsia="Arial" w:hAnsi="Arial"/>
                <w:sz w:val="18"/>
                <w:szCs w:val="18"/>
                <w:color w:val="auto"/>
              </w:rPr>
              <w:t>SiTime Malaysia SDN. BHD.</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Pr>
          <w:p>
            <w:pPr>
              <w:jc w:val="center"/>
              <w:spacing w:after="0" w:line="202" w:lineRule="exact"/>
              <w:rPr>
                <w:sz w:val="20"/>
                <w:szCs w:val="20"/>
                <w:color w:val="auto"/>
              </w:rPr>
            </w:pPr>
            <w:r>
              <w:rPr>
                <w:rFonts w:ascii="Arial" w:cs="Arial" w:eastAsia="Arial" w:hAnsi="Arial"/>
                <w:sz w:val="18"/>
                <w:szCs w:val="18"/>
                <w:color w:val="auto"/>
                <w:w w:val="92"/>
              </w:rPr>
              <w:t>Malaysia</w:t>
            </w:r>
          </w:p>
        </w:tc>
        <w:tc>
          <w:tcPr>
            <w:tcW w:w="1800" w:type="dxa"/>
            <w:vAlign w:val="bottom"/>
          </w:tcPr>
          <w:p>
            <w:pPr>
              <w:spacing w:after="0"/>
              <w:rPr>
                <w:sz w:val="17"/>
                <w:szCs w:val="17"/>
                <w:color w:val="auto"/>
              </w:rPr>
            </w:pPr>
          </w:p>
        </w:tc>
      </w:tr>
      <w:tr>
        <w:trPr>
          <w:trHeight w:val="230"/>
        </w:trPr>
        <w:tc>
          <w:tcPr>
            <w:tcW w:w="18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SiTime Taiwan Limited</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Taiwan</w:t>
            </w:r>
          </w:p>
        </w:tc>
        <w:tc>
          <w:tcPr>
            <w:tcW w:w="1800" w:type="dxa"/>
            <w:vAlign w:val="bottom"/>
          </w:tcPr>
          <w:p>
            <w:pPr>
              <w:spacing w:after="0"/>
              <w:rPr>
                <w:sz w:val="20"/>
                <w:szCs w:val="20"/>
                <w:color w:val="auto"/>
              </w:rPr>
            </w:pPr>
          </w:p>
        </w:tc>
      </w:tr>
      <w:tr>
        <w:trPr>
          <w:trHeight w:val="506"/>
        </w:trPr>
        <w:tc>
          <w:tcPr>
            <w:tcW w:w="18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S-3ASR (No. 333-253139) and Forms S-8 (No. 333-235255, 333-236847, 333-253140, and 333-262490) of SiTime Corporation of our reports dated February 25, 2022, relating to the consolidated financial statements and financial statement schedule, and the effectiveness of SiTime Corporation’s internal control over financial reporting, which appear in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Rajesh Vashist, certify that:</w:t>
      </w:r>
    </w:p>
    <w:p>
      <w:pPr>
        <w:spacing w:after="0" w:line="104"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SiTime Corporation;</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ind w:left="20"/>
              <w:spacing w:after="0"/>
              <w:rPr>
                <w:sz w:val="20"/>
                <w:szCs w:val="20"/>
                <w:color w:val="auto"/>
              </w:rPr>
            </w:pPr>
            <w:r>
              <w:rPr>
                <w:rFonts w:ascii="Arial" w:cs="Arial" w:eastAsia="Arial" w:hAnsi="Arial"/>
                <w:sz w:val="18"/>
                <w:szCs w:val="18"/>
                <w:color w:val="auto"/>
              </w:rPr>
              <w:t>Date: February 25, 2022</w:t>
            </w:r>
          </w:p>
        </w:tc>
        <w:tc>
          <w:tcPr>
            <w:tcW w:w="248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Rajesh Vashist</w:t>
            </w:r>
          </w:p>
        </w:tc>
      </w:tr>
      <w:tr>
        <w:trPr>
          <w:trHeight w:val="151"/>
        </w:trPr>
        <w:tc>
          <w:tcPr>
            <w:tcW w:w="37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0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2"/>
              </w:rPr>
              <w:t>Rajesh Vashist</w:t>
            </w: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506"/>
        </w:trPr>
        <w:tc>
          <w:tcPr>
            <w:tcW w:w="37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104"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SiTime Corporation;</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ind w:left="20"/>
              <w:spacing w:after="0"/>
              <w:rPr>
                <w:sz w:val="20"/>
                <w:szCs w:val="20"/>
                <w:color w:val="auto"/>
              </w:rPr>
            </w:pPr>
            <w:r>
              <w:rPr>
                <w:rFonts w:ascii="Arial" w:cs="Arial" w:eastAsia="Arial" w:hAnsi="Arial"/>
                <w:sz w:val="18"/>
                <w:szCs w:val="18"/>
                <w:color w:val="auto"/>
              </w:rPr>
              <w:t>Date: February 25, 2022</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D. Chadwick</w:t>
            </w:r>
          </w:p>
        </w:tc>
      </w:tr>
      <w:tr>
        <w:trPr>
          <w:trHeight w:val="151"/>
        </w:trPr>
        <w:tc>
          <w:tcPr>
            <w:tcW w:w="3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0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Arthur D. Chadwick</w:t>
            </w:r>
          </w:p>
        </w:tc>
      </w:tr>
      <w:tr>
        <w:trPr>
          <w:trHeight w:val="234"/>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Chief Financial Officer</w:t>
            </w:r>
          </w:p>
        </w:tc>
      </w:tr>
      <w:tr>
        <w:trPr>
          <w:trHeight w:val="506"/>
        </w:trPr>
        <w:tc>
          <w:tcPr>
            <w:tcW w:w="37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of SiTime Corporation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20"/>
              <w:spacing w:after="0"/>
              <w:rPr>
                <w:sz w:val="20"/>
                <w:szCs w:val="20"/>
                <w:color w:val="auto"/>
              </w:rPr>
            </w:pPr>
            <w:r>
              <w:rPr>
                <w:rFonts w:ascii="Arial" w:cs="Arial" w:eastAsia="Arial" w:hAnsi="Arial"/>
                <w:sz w:val="18"/>
                <w:szCs w:val="18"/>
                <w:color w:val="auto"/>
              </w:rPr>
              <w:t>Date: February 25, 2022</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Rajesh Vashist</w:t>
            </w:r>
          </w:p>
        </w:tc>
      </w:tr>
      <w:tr>
        <w:trPr>
          <w:trHeight w:val="151"/>
        </w:trPr>
        <w:tc>
          <w:tcPr>
            <w:tcW w:w="36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2"/>
              </w:rPr>
              <w:t>Rajesh Vashist</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506"/>
        </w:trPr>
        <w:tc>
          <w:tcPr>
            <w:tcW w:w="3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Quarterly Report of SiTime Corporation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20"/>
              <w:spacing w:after="0"/>
              <w:rPr>
                <w:sz w:val="20"/>
                <w:szCs w:val="20"/>
                <w:color w:val="auto"/>
              </w:rPr>
            </w:pPr>
            <w:r>
              <w:rPr>
                <w:rFonts w:ascii="Arial" w:cs="Arial" w:eastAsia="Arial" w:hAnsi="Arial"/>
                <w:sz w:val="18"/>
                <w:szCs w:val="18"/>
                <w:color w:val="auto"/>
              </w:rPr>
              <w:t>Date: February 25, 2022</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D. Chadwick</w:t>
            </w:r>
          </w:p>
        </w:tc>
      </w:tr>
      <w:tr>
        <w:trPr>
          <w:trHeight w:val="151"/>
        </w:trPr>
        <w:tc>
          <w:tcPr>
            <w:tcW w:w="36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Arthur D. Chadwick</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Chief Financial Officer</w:t>
            </w:r>
          </w:p>
        </w:tc>
      </w:tr>
      <w:tr>
        <w:trPr>
          <w:trHeight w:val="506"/>
        </w:trPr>
        <w:tc>
          <w:tcPr>
            <w:tcW w:w="3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lvl w:ilvl="1">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2"/>
    </w:lvl>
  </w:abstractNum>
  <w:abstractNum w:abstractNumId="25">
    <w:nsid w:val="12E685FB"/>
    <w:multiLevelType w:val="hybridMultilevel"/>
    <w:lvl w:ilvl="0">
      <w:lvlJc w:val="left"/>
      <w:lvlText w:val="%1."/>
      <w:numFmt w:val="decimal"/>
      <w:start w:val="6"/>
    </w:lvl>
  </w:abstractNum>
  <w:abstractNum w:abstractNumId="26">
    <w:nsid w:val="70C6A529"/>
    <w:multiLevelType w:val="hybridMultilevel"/>
    <w:lvl w:ilvl="0">
      <w:lvlJc w:val="left"/>
      <w:lvlText w:val="%1."/>
      <w:numFmt w:val="decimal"/>
      <w:start w:val="2"/>
    </w:lvl>
  </w:abstractNum>
  <w:abstractNum w:abstractNumId="27">
    <w:nsid w:val="520EEDD1"/>
    <w:multiLevelType w:val="hybridMultilevel"/>
    <w:lvl w:ilvl="0">
      <w:lvlJc w:val="left"/>
      <w:lvlText w:val="%1."/>
      <w:numFmt w:val="decimal"/>
      <w:start w:val="3"/>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2"/>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2"/>
    </w:lvl>
  </w:abstractNum>
  <w:abstractNum w:abstractNumId="34">
    <w:nsid w:val="1CF10FD8"/>
    <w:multiLevelType w:val="hybridMultilevel"/>
    <w:lvl w:ilvl="0">
      <w:lvlJc w:val="left"/>
      <w:lvlText w:val="%1."/>
      <w:numFmt w:val="decimal"/>
      <w:start w:val="3"/>
    </w:lvl>
  </w:abstractNum>
  <w:abstractNum w:abstractNumId="35">
    <w:nsid w:val="180115BE"/>
    <w:multiLevelType w:val="hybridMultilevel"/>
    <w:lvl w:ilvl="0">
      <w:lvlJc w:val="left"/>
      <w:lvlText w:val="%1."/>
      <w:numFmt w:val="decimal"/>
      <w:start w:val="4"/>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lowerLetter"/>
      <w:start w:val="2"/>
    </w:lvl>
  </w:abstractNum>
  <w:abstractNum w:abstractNumId="38">
    <w:nsid w:val="354FE9F9"/>
    <w:multiLevelType w:val="hybridMultilevel"/>
    <w:lvl w:ilvl="0">
      <w:lvlJc w:val="left"/>
      <w:lvlText w:val="%1."/>
      <w:numFmt w:val="lowerLetter"/>
      <w:start w:val="3"/>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1."/>
      <w:numFmt w:val="lowerLetter"/>
      <w:start w:val="4"/>
    </w:lvl>
  </w:abstractNum>
  <w:abstractNum w:abstractNumId="42">
    <w:nsid w:val="10233C99"/>
    <w:multiLevelType w:val="hybridMultilevel"/>
    <w:lvl w:ilvl="0">
      <w:lvlJc w:val="left"/>
      <w:lvlText w:val="%1."/>
      <w:numFmt w:val="lowerLetter"/>
      <w:start w:val="5"/>
    </w:lvl>
  </w:abstractNum>
  <w:abstractNum w:abstractNumId="43">
    <w:nsid w:val="3F6AB60F"/>
    <w:multiLevelType w:val="hybridMultilevel"/>
    <w:lvl w:ilvl="0">
      <w:lvlJc w:val="left"/>
      <w:lvlText w:val="%1."/>
      <w:numFmt w:val="lowerLetter"/>
      <w:start w:val="6"/>
    </w:lvl>
  </w:abstractNum>
  <w:abstractNum w:abstractNumId="44">
    <w:nsid w:val="61574095"/>
    <w:multiLevelType w:val="hybridMultilevel"/>
    <w:lvl w:ilvl="0">
      <w:lvlJc w:val="left"/>
      <w:lvlText w:val="%1."/>
      <w:numFmt w:val="decimal"/>
      <w:start w:val="5"/>
    </w:lvl>
  </w:abstractNum>
  <w:abstractNum w:abstractNumId="45">
    <w:nsid w:val="7E0C57B1"/>
    <w:multiLevelType w:val="hybridMultilevel"/>
    <w:lvl w:ilvl="0">
      <w:lvlJc w:val="left"/>
      <w:lvlText w:val="%1."/>
      <w:numFmt w:val="decimal"/>
      <w:start w:val="6"/>
    </w:lvl>
  </w:abstractNum>
  <w:abstractNum w:abstractNumId="46">
    <w:nsid w:val="77AE35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
    <w:nsid w:val="579BE4F1"/>
    <w:multiLevelType w:val="hybridMultilevel"/>
    <w:lvl w:ilvl="0">
      <w:lvlJc w:val="left"/>
      <w:lvlText w:val="(%1)"/>
      <w:numFmt w:val="lowerRoman"/>
      <w:start w:val="2"/>
    </w:lvl>
  </w:abstractNum>
  <w:abstractNum w:abstractNumId="48">
    <w:nsid w:val="310C50B3"/>
    <w:multiLevelType w:val="hybridMultilevel"/>
    <w:lvl w:ilvl="0">
      <w:lvlJc w:val="left"/>
      <w:lvlText w:val="(%1)"/>
      <w:numFmt w:val="lowerLetter"/>
      <w:start w:val="7"/>
    </w:lvl>
  </w:abstractNum>
  <w:abstractNum w:abstractNumId="49">
    <w:nsid w:val="5FF87E05"/>
    <w:multiLevelType w:val="hybridMultilevel"/>
    <w:lvl w:ilvl="0">
      <w:lvlJc w:val="left"/>
      <w:lvlText w:val="(%1)"/>
      <w:numFmt w:val="lowerRoman"/>
      <w:start w:val="1"/>
    </w:lvl>
  </w:abstractNum>
  <w:abstractNum w:abstractNumId="50">
    <w:nsid w:val="2F305DEF"/>
    <w:multiLevelType w:val="hybridMultilevel"/>
    <w:lvl w:ilvl="0">
      <w:lvlJc w:val="left"/>
      <w:lvlText w:val="(%1)"/>
      <w:numFmt w:val="lowerRoman"/>
      <w:start w:val="2"/>
    </w:lvl>
  </w:abstractNum>
  <w:abstractNum w:abstractNumId="51">
    <w:nsid w:val="25A70BF7"/>
    <w:multiLevelType w:val="hybridMultilevel"/>
    <w:lvl w:ilvl="0">
      <w:lvlJc w:val="left"/>
      <w:lvlText w:val="(%1)"/>
      <w:numFmt w:val="lowerLetter"/>
      <w:start w:val="16"/>
    </w:lvl>
  </w:abstractNum>
  <w:abstractNum w:abstractNumId="52">
    <w:nsid w:val="1DBABF00"/>
    <w:multiLevelType w:val="hybridMultilevel"/>
    <w:lvl w:ilvl="0">
      <w:lvlJc w:val="left"/>
      <w:lvlText w:val="(%1)"/>
      <w:numFmt w:val="lowerLetter"/>
      <w:start w:val="17"/>
    </w:lvl>
  </w:abstractNum>
  <w:abstractNum w:abstractNumId="53">
    <w:nsid w:val="4AD084E9"/>
    <w:multiLevelType w:val="hybridMultilevel"/>
    <w:lvl w:ilvl="0">
      <w:lvlJc w:val="left"/>
      <w:lvlText w:val="(%1)"/>
      <w:numFmt w:val="lowerLetter"/>
      <w:start w:val="27"/>
    </w:lvl>
  </w:abstractNum>
  <w:abstractNum w:abstractNumId="54">
    <w:nsid w:val="1F48EAA1"/>
    <w:multiLevelType w:val="hybridMultilevel"/>
    <w:lvl w:ilvl="0">
      <w:lvlJc w:val="left"/>
      <w:lvlText w:val="(%1)"/>
      <w:numFmt w:val="lowerLetter"/>
      <w:start w:val="1"/>
    </w:lvl>
    <w:lvl w:ilvl="1">
      <w:lvlJc w:val="left"/>
      <w:lvlText w:val="(%2)"/>
      <w:numFmt w:val="lowerRoman"/>
      <w:start w:val="1"/>
    </w:lvl>
  </w:abstractNum>
  <w:abstractNum w:abstractNumId="55">
    <w:nsid w:val="1381823A"/>
    <w:multiLevelType w:val="hybridMultilevel"/>
    <w:lvl w:ilvl="0">
      <w:lvlJc w:val="left"/>
      <w:lvlText w:val="(%1)"/>
      <w:numFmt w:val="lowerRoman"/>
      <w:start w:val="3"/>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lowerLetter"/>
      <w:start w:val="2"/>
    </w:lvl>
  </w:abstractNum>
  <w:abstractNum w:abstractNumId="60">
    <w:nsid w:val="5F5E7FD0"/>
    <w:multiLevelType w:val="hybridMultilevel"/>
    <w:lvl w:ilvl="0">
      <w:lvlJc w:val="left"/>
      <w:lvlText w:val="(%1)"/>
      <w:numFmt w:val="lowerLetter"/>
      <w:start w:val="7"/>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lowerLetter"/>
      <w:start w:val="3"/>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8"/>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6"/>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start w:val="1"/>
    </w:lvl>
    <w:lvl w:ilvl="1">
      <w:lvlJc w:val="left"/>
      <w:lvlText w:val="(%2)"/>
      <w:numFmt w:val="lowerRoman"/>
      <w:start w:val="1"/>
    </w:lvl>
  </w:abstractNum>
  <w:abstractNum w:abstractNumId="69">
    <w:nsid w:val="540A471C"/>
    <w:multiLevelType w:val="hybridMultilevel"/>
    <w:lvl w:ilvl="0">
      <w:lvlJc w:val="left"/>
      <w:lvlText w:val="(%1)"/>
      <w:numFmt w:val="lowerLetter"/>
      <w:start w:val="2"/>
    </w:lvl>
    <w:lvl w:ilvl="1">
      <w:lvlJc w:val="left"/>
      <w:lvlText w:val="(%2)"/>
      <w:numFmt w:val="lowerRoman"/>
      <w:start w:val="1"/>
    </w:lvl>
  </w:abstractNum>
  <w:abstractNum w:abstractNumId="70">
    <w:nsid w:val="7BD3EE7B"/>
    <w:multiLevelType w:val="hybridMultilevel"/>
    <w:lvl w:ilvl="0">
      <w:lvlJc w:val="left"/>
      <w:lvlText w:val="(%1)"/>
      <w:numFmt w:val="lowerLetter"/>
      <w:start w:val="4"/>
    </w:lvl>
  </w:abstractNum>
  <w:abstractNum w:abstractNumId="71">
    <w:nsid w:val="51D9C564"/>
    <w:multiLevelType w:val="hybridMultilevel"/>
    <w:lvl w:ilvl="0">
      <w:lvlJc w:val="left"/>
      <w:lvlText w:val="(%1)"/>
      <w:numFmt w:val="lowerLetter"/>
      <w:start w:val="1"/>
    </w:lvl>
    <w:lvl w:ilvl="1">
      <w:lvlJc w:val="left"/>
      <w:lvlText w:val="(%2)"/>
      <w:numFmt w:val="lowerRoman"/>
      <w:start w:val="1"/>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bullet"/>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285" Type="http://schemas.openxmlformats.org/officeDocument/2006/relationships/hyperlink" Target="https://www.sec.gov/Archives/edgar/data/1451809/000119312519301287/d630610dex31.htm" TargetMode="External"/><Relationship Id="rId288" Type="http://schemas.openxmlformats.org/officeDocument/2006/relationships/hyperlink" Target="https://www.sec.gov/Archives/edgar/data/1451809/000119312520164650/d920552dex32.htm" TargetMode="External"/><Relationship Id="rId291" Type="http://schemas.openxmlformats.org/officeDocument/2006/relationships/hyperlink" Target="https://www.sec.gov/Archives/edgar/data/0001451809/000119312519272678/d701682dex41.htm" TargetMode="External"/><Relationship Id="rId294" Type="http://schemas.openxmlformats.org/officeDocument/2006/relationships/hyperlink" Target="https://www.sec.gov/Archives/edgar/data/1451809/000156459021005867/sitm-ex42_644.htm" TargetMode="External"/><Relationship Id="rId298" Type="http://schemas.openxmlformats.org/officeDocument/2006/relationships/hyperlink" Target="https://www.sec.gov/Archives/edgar/data/1451809/000156459021005867/sitm-ex101_291.htm" TargetMode="External"/><Relationship Id="rId302" Type="http://schemas.openxmlformats.org/officeDocument/2006/relationships/hyperlink" Target="https://www.sec.gov/Archives/edgar/data/1451809/000119312519287290/d701682dex102.htm" TargetMode="External"/><Relationship Id="rId308" Type="http://schemas.openxmlformats.org/officeDocument/2006/relationships/hyperlink" Target="https://www.sec.gov/Archives/edgar/data/0001451809/000119312519272678/d701682dex103.htm" TargetMode="External"/><Relationship Id="rId312" Type="http://schemas.openxmlformats.org/officeDocument/2006/relationships/hyperlink" Target="https://www.sec.gov/Archives/edgar/data/0001451809/000119312519272678/d701682dex104.htm" TargetMode="External"/><Relationship Id="rId316" Type="http://schemas.openxmlformats.org/officeDocument/2006/relationships/hyperlink" Target="https://www.sec.gov/Archives/edgar/data/0001451809/000119312519272678/d701682dex105.htm" TargetMode="External"/><Relationship Id="rId320" Type="http://schemas.openxmlformats.org/officeDocument/2006/relationships/hyperlink" Target="https://www.sec.gov/Archives/edgar/data/1451809/000119312519272678/d701682dex106.htm" TargetMode="External"/><Relationship Id="rId324" Type="http://schemas.openxmlformats.org/officeDocument/2006/relationships/hyperlink" Target="https://www.sec.gov/Archives/edgar/data/0001451809/000119312519272678/d701682dex107.htm" TargetMode="External"/><Relationship Id="rId329" Type="http://schemas.openxmlformats.org/officeDocument/2006/relationships/hyperlink" Target="https://www.sec.gov/Archives/edgar/data/1451809/000119312519272678/d701682dex108.htm" TargetMode="External"/><Relationship Id="rId330" Type="http://schemas.openxmlformats.org/officeDocument/2006/relationships/hyperlink" Target="https://www.sec.gov/Archives/edgar/data/1451809/000119312519287290/d701682dex109.htm" TargetMode="External"/><Relationship Id="rId331" Type="http://schemas.openxmlformats.org/officeDocument/2006/relationships/hyperlink" Target="https://www.sec.gov/Archives/edgar/data/0001451809/000119312519272678/d701682dex1016.htm" TargetMode="External"/><Relationship Id="rId332" Type="http://schemas.openxmlformats.org/officeDocument/2006/relationships/hyperlink" Target="https://www.sec.gov/Archives/edgar/data/1451809/000119312519272678/d701682dex1017.htm" TargetMode="External"/><Relationship Id="rId333" Type="http://schemas.openxmlformats.org/officeDocument/2006/relationships/hyperlink" Target="https://www.sec.gov/Archives/edgar/data/0001451809/000119312519272678/d701682dex1018.htm" TargetMode="External"/><Relationship Id="rId334" Type="http://schemas.openxmlformats.org/officeDocument/2006/relationships/hyperlink" Target="https://www.sec.gov/Archives/edgar/data/1451809/000119312519272678/d701682dex1019.htm" TargetMode="External"/><Relationship Id="rId335" Type="http://schemas.openxmlformats.org/officeDocument/2006/relationships/hyperlink" Target="https://www.sec.gov/Archives/edgar/data/0001451809/000119312519272678/d701682dex1020.htm" TargetMode="External"/><Relationship Id="rId336" Type="http://schemas.openxmlformats.org/officeDocument/2006/relationships/hyperlink" Target="https://www.sec.gov/Archives/edgar/data/1451809/000156459020022872/sitm-ex102_82.htm" TargetMode="External"/><Relationship Id="rId337" Type="http://schemas.openxmlformats.org/officeDocument/2006/relationships/hyperlink" Target="https://www.sec.gov/Archives/edgar/data/1451809/000119312520164650/d920552dex101.htm" TargetMode="External"/><Relationship Id="rId338" Type="http://schemas.openxmlformats.org/officeDocument/2006/relationships/hyperlink" Target="https://www.sec.gov/Archives/edgar/data/1451809/000156459020037732/sitm-ex102_208.htm" TargetMode="External"/><Relationship Id="rId339" Type="http://schemas.openxmlformats.org/officeDocument/2006/relationships/hyperlink" Target="https://www.sec.gov/Archives/edgar/data/1451809/000156459020037732/sitm-ex103_91.htm" TargetMode="External"/><Relationship Id="rId342" Type="http://schemas.openxmlformats.org/officeDocument/2006/relationships/hyperlink" Target="https://www.sec.gov/Archives/edgar/data/1451809/000156459021005867/sitm-ex1022_292.htm" TargetMode="External"/><Relationship Id="rId343" Type="http://schemas.openxmlformats.org/officeDocument/2006/relationships/hyperlink" Target="https://www.sec.gov/Archives/edgar/data/1451809/000156459021005867/sitm-ex1023_324.htm" TargetMode="External"/><Relationship Id="rId344" Type="http://schemas.openxmlformats.org/officeDocument/2006/relationships/hyperlink" Target="https://www.sec.gov/Archives/edgar/data/0001451809/000156459021017612/sitm-ex101_6.htm" TargetMode="External"/><Relationship Id="rId345" Type="http://schemas.openxmlformats.org/officeDocument/2006/relationships/hyperlink" Target="https://www.sec.gov/Archives/edgar/data/1451809/000156459021041560/sitm-ex102_97.htm" TargetMode="External"/><Relationship Id="rId346" Type="http://schemas.openxmlformats.org/officeDocument/2006/relationships/hyperlink" Target="https://www.sec.gov/Archives/edgar/data/0001451809/000095017021003060/sit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2022-02-25T15:12:41Z</dcterms:created>
  <dcterms:modified xsi:type="dcterms:W3CDTF">2022-02-25T15:12:41Z</dcterms:modified>
</cp:coreProperties>
</file>