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Commission File Number: 001-39135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SiTime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tbl>
      <w:tblPr>
        <w:tblW w:w="3674" w:type="dxa"/>
        <w:jc w:val="left"/>
        <w:tblInd w:w="0" w:type="dxa"/>
        <w:tblLayout w:type="fixed"/>
        <w:tblCellMar>
          <w:top w:w="28" w:type="dxa"/>
          <w:left w:w="28" w:type="dxa"/>
          <w:bottom w:w="28" w:type="dxa"/>
          <w:right w:w="28" w:type="dxa"/>
        </w:tblCellMar>
      </w:tblPr>
      <w:tblGrid>
        <w:gridCol w:w="878"/>
        <w:gridCol w:w="771"/>
        <w:gridCol w:w="781"/>
        <w:gridCol w:w="363"/>
        <w:gridCol w:w="363"/>
        <w:gridCol w:w="518"/>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02-0713868</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5451 Patrick Henry Drive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Santa Clara, CA</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95054</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(408) 328-4400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707" w:type="dxa"/>
        <w:jc w:val="left"/>
        <w:tblInd w:w="0" w:type="dxa"/>
        <w:tblLayout w:type="fixed"/>
        <w:tblCellMar>
          <w:top w:w="28" w:type="dxa"/>
          <w:left w:w="28" w:type="dxa"/>
          <w:bottom w:w="28" w:type="dxa"/>
          <w:right w:w="28" w:type="dxa"/>
        </w:tblCellMar>
      </w:tblPr>
      <w:tblGrid>
        <w:gridCol w:w="1188"/>
        <w:gridCol w:w="1041"/>
        <w:gridCol w:w="1056"/>
        <w:gridCol w:w="109"/>
        <w:gridCol w:w="109"/>
        <w:gridCol w:w="109"/>
        <w:gridCol w:w="484"/>
        <w:gridCol w:w="484"/>
        <w:gridCol w:w="486"/>
        <w:gridCol w:w="109"/>
        <w:gridCol w:w="109"/>
        <w:gridCol w:w="109"/>
        <w:gridCol w:w="970"/>
        <w:gridCol w:w="970"/>
        <w:gridCol w:w="1374"/>
      </w:tblGrid>
      <w:tr>
        <w:trPr/>
        <w:tc>
          <w:tcPr>
            <w:tcW w:w="118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80" w:after="283"/>
        <w:ind w:left="0" w:right="0" w:firstLine="153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153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153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78"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153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80" w:after="283"/>
        <w:ind w:left="0" w:right="0" w:firstLine="1530"/>
        <w:jc w:val="left"/>
        <w:rPr/>
      </w:pPr>
      <w:r>
        <w:rPr>
          <w:rFonts w:ascii="Times New Roman;serif" w:hAnsi="Times New Roman;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TextBody"/>
        <w:bidi w:val="0"/>
        <w:spacing w:lineRule="auto" w:line="288" w:before="200" w:after="283"/>
        <w:ind w:left="0" w:right="0" w:firstLine="1530"/>
        <w:jc w:val="left"/>
        <w:rPr>
          <w:rFonts w:ascii="Times New Roman;serif" w:hAnsi="Times New Roman;serif"/>
          <w:b w:val="false"/>
          <w:color w:val="000000"/>
          <w:sz w:val="18"/>
        </w:rPr>
      </w:pPr>
      <w:r>
        <w:rPr>
          <w:rFonts w:ascii="Times New Roman;serif" w:hAnsi="Times New Roman;serif"/>
          <w:b w:val="false"/>
          <w:color w:val="000000"/>
          <w:sz w:val="18"/>
        </w:rPr>
        <w:t>As of August 1, 2026, the registrant had 30,071,036 shares of common stock, $0.0001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52" w:type="dxa"/>
        <w:jc w:val="left"/>
        <w:tblInd w:w="0" w:type="dxa"/>
        <w:tblLayout w:type="fixed"/>
        <w:tblCellMar>
          <w:top w:w="28" w:type="dxa"/>
          <w:left w:w="28" w:type="dxa"/>
          <w:bottom w:w="28" w:type="dxa"/>
          <w:right w:w="28" w:type="dxa"/>
        </w:tblCellMar>
      </w:tblPr>
      <w:tblGrid>
        <w:gridCol w:w="353"/>
        <w:gridCol w:w="309"/>
        <w:gridCol w:w="314"/>
        <w:gridCol w:w="2453"/>
        <w:gridCol w:w="2453"/>
        <w:gridCol w:w="2459"/>
        <w:gridCol w:w="149"/>
        <w:gridCol w:w="149"/>
        <w:gridCol w:w="213"/>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0">
              <w:r>
                <w:rPr>
                  <w:rStyle w:val="InternetLink"/>
                  <w:rFonts w:ascii="Times New Roman;serif" w:hAnsi="Times New Roman;serif"/>
                  <w:b w:val="false"/>
                  <w:color w:val="0000FF"/>
                  <w:sz w:val="20"/>
                  <w:u w:val="single"/>
                </w:rPr>
                <w:t xml:space="preserve">Risk Factor Summary </w:t>
              </w:r>
            </w:hyperlink>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right"/>
              <w:rPr/>
            </w:pPr>
            <w:hyperlink w:anchor="i2cce5bfd5c994a59950cd794d886299d_10">
              <w:r>
                <w:rPr>
                  <w:rStyle w:val="InternetLink"/>
                  <w:rFonts w:ascii="Times New Roman;serif" w:hAnsi="Times New Roman;serif"/>
                  <w:b w:val="false"/>
                  <w:strike w:val="false"/>
                  <w:dstrike w:val="false"/>
                  <w:color w:val="000000"/>
                  <w:sz w:val="20"/>
                  <w:u w:val="none"/>
                  <w:effect w:val="none"/>
                </w:rPr>
                <w:t>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3">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3">
              <w:r>
                <w:rPr>
                  <w:rStyle w:val="InternetLink"/>
                  <w:rFonts w:ascii="Times New Roman;serif" w:hAnsi="Times New Roman;serif"/>
                  <w:b w:val="false"/>
                  <w:color w:val="0000FF"/>
                  <w:sz w:val="20"/>
                  <w:u w:val="single"/>
                </w:rPr>
                <w:t>FINANCIAL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ce5bfd5c994a59950cd794d886299d_13">
              <w:r>
                <w:rPr>
                  <w:rStyle w:val="InternetLink"/>
                  <w:rFonts w:ascii="Times New Roman;serif" w:hAnsi="Times New Roman;serif"/>
                  <w:b w:val="false"/>
                  <w:strike w:val="false"/>
                  <w:dstrike w:val="false"/>
                  <w:color w:val="000000"/>
                  <w:sz w:val="20"/>
                  <w:u w:val="none"/>
                  <w:effect w:val="none"/>
                </w:rPr>
                <w:t>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6">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ce5bfd5c994a59950cd794d886299d_16">
              <w:r>
                <w:rPr>
                  <w:rStyle w:val="InternetLink"/>
                  <w:rFonts w:ascii="Times New Roman;serif" w:hAnsi="Times New Roman;serif"/>
                  <w:b w:val="false"/>
                  <w:strike w:val="false"/>
                  <w:dstrike w:val="false"/>
                  <w:color w:val="000000"/>
                  <w:sz w:val="20"/>
                  <w:u w:val="none"/>
                  <w:effect w:val="non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9">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ce5bfd5c994a59950cd794d886299d_19">
              <w:r>
                <w:rPr>
                  <w:rStyle w:val="InternetLink"/>
                  <w:rFonts w:ascii="Times New Roman;serif" w:hAnsi="Times New Roman;serif"/>
                  <w:b w:val="false"/>
                  <w:strike w:val="false"/>
                  <w:dstrike w:val="false"/>
                  <w:color w:val="000000"/>
                  <w:sz w:val="20"/>
                  <w:u w:val="none"/>
                  <w:effect w:val="non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22">
              <w:r>
                <w:rPr>
                  <w:rStyle w:val="InternetLink"/>
                  <w:rFonts w:ascii="Times New Roman;serif" w:hAnsi="Times New Roman;serif"/>
                  <w:b w:val="false"/>
                  <w:color w:val="0000FF"/>
                  <w:sz w:val="20"/>
                  <w:u w:val="single"/>
                </w:rPr>
                <w:t>Condensed Consolidated Statements of Operations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ce5bfd5c994a59950cd794d886299d_22">
              <w:r>
                <w:rPr>
                  <w:rStyle w:val="InternetLink"/>
                  <w:rFonts w:ascii="Times New Roman;serif" w:hAnsi="Times New Roman;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25">
              <w:r>
                <w:rPr>
                  <w:rStyle w:val="InternetLink"/>
                  <w:rFonts w:ascii="Times New Roman;serif" w:hAnsi="Times New Roman;serif"/>
                  <w:b w:val="false"/>
                  <w:color w:val="0000FF"/>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ce5bfd5c994a59950cd794d886299d_25">
              <w:r>
                <w:rPr>
                  <w:rStyle w:val="InternetLink"/>
                  <w:rFonts w:ascii="Times New Roman;serif" w:hAnsi="Times New Roman;serif"/>
                  <w:b w:val="false"/>
                  <w:strike w:val="false"/>
                  <w:dstrike w:val="false"/>
                  <w:color w:val="000000"/>
                  <w:sz w:val="20"/>
                  <w:u w:val="none"/>
                  <w:effect w:val="non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28">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ce5bfd5c994a59950cd794d886299d_28">
              <w:r>
                <w:rPr>
                  <w:rStyle w:val="InternetLink"/>
                  <w:rFonts w:ascii="Times New Roman;serif" w:hAnsi="Times New Roman;serif"/>
                  <w:b w:val="false"/>
                  <w:strike w:val="false"/>
                  <w:dstrike w:val="false"/>
                  <w:color w:val="000000"/>
                  <w:sz w:val="20"/>
                  <w:u w:val="none"/>
                  <w:effect w:val="non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31">
              <w:r>
                <w:rPr>
                  <w:rStyle w:val="InternetLink"/>
                  <w:rFonts w:ascii="Times New Roman;serif" w:hAnsi="Times New Roman;serif"/>
                  <w:b w:val="false"/>
                  <w:color w:val="0000FF"/>
                  <w:sz w:val="20"/>
                  <w:u w:val="single"/>
                </w:rPr>
                <w:t>Notes to Unaudited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ce5bfd5c994a59950cd794d886299d_31">
              <w:r>
                <w:rPr>
                  <w:rStyle w:val="InternetLink"/>
                  <w:rFonts w:ascii="Times New Roman;serif" w:hAnsi="Times New Roman;serif"/>
                  <w:b w:val="false"/>
                  <w:strike w:val="false"/>
                  <w:dstrike w:val="false"/>
                  <w:color w:val="000000"/>
                  <w:sz w:val="20"/>
                  <w:u w:val="none"/>
                  <w:effect w:val="none"/>
                </w:rPr>
                <w:t>10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67">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6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ce5bfd5c994a59950cd794d886299d_67">
              <w:r>
                <w:rPr>
                  <w:rStyle w:val="InternetLink"/>
                  <w:rFonts w:ascii="Times New Roman;serif" w:hAnsi="Times New Roman;serif"/>
                  <w:b w:val="false"/>
                  <w:strike w:val="false"/>
                  <w:dstrike w:val="false"/>
                  <w:color w:val="000000"/>
                  <w:sz w:val="20"/>
                  <w:u w:val="none"/>
                  <w:effect w:val="none"/>
                </w:rPr>
                <w:t>22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00">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00">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ce5bfd5c994a59950cd794d886299d_100">
              <w:r>
                <w:rPr>
                  <w:rStyle w:val="InternetLink"/>
                  <w:rFonts w:ascii="Times New Roman;serif" w:hAnsi="Times New Roman;serif"/>
                  <w:b w:val="false"/>
                  <w:strike w:val="false"/>
                  <w:dstrike w:val="false"/>
                  <w:color w:val="000000"/>
                  <w:sz w:val="20"/>
                  <w:u w:val="none"/>
                  <w:effect w:val="none"/>
                </w:rPr>
                <w:t>30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03">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03">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ce5bfd5c994a59950cd794d886299d_103">
              <w:r>
                <w:rPr>
                  <w:rStyle w:val="InternetLink"/>
                  <w:rFonts w:ascii="Times New Roman;serif" w:hAnsi="Times New Roman;serif"/>
                  <w:b w:val="false"/>
                  <w:strike w:val="false"/>
                  <w:dstrike w:val="false"/>
                  <w:color w:val="000000"/>
                  <w:sz w:val="20"/>
                  <w:u w:val="none"/>
                  <w:effect w:val="none"/>
                </w:rPr>
                <w:t>30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06">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06">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0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09">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ce5bfd5c994a59950cd794d886299d_109">
              <w:r>
                <w:rPr>
                  <w:rStyle w:val="InternetLink"/>
                  <w:rFonts w:ascii="Times New Roman;serif" w:hAnsi="Times New Roman;serif"/>
                  <w:b w:val="false"/>
                  <w:strike w:val="false"/>
                  <w:dstrike w:val="false"/>
                  <w:color w:val="000000"/>
                  <w:sz w:val="20"/>
                  <w:u w:val="none"/>
                  <w:effect w:val="none"/>
                </w:rPr>
                <w:t>32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12">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12">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ce5bfd5c994a59950cd794d886299d_112">
              <w:r>
                <w:rPr>
                  <w:rStyle w:val="InternetLink"/>
                  <w:rFonts w:ascii="Times New Roman;serif" w:hAnsi="Times New Roman;serif"/>
                  <w:b w:val="false"/>
                  <w:strike w:val="false"/>
                  <w:dstrike w:val="false"/>
                  <w:color w:val="000000"/>
                  <w:sz w:val="20"/>
                  <w:u w:val="none"/>
                  <w:effect w:val="none"/>
                </w:rPr>
                <w:t>32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15">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ce5bfd5c994a59950cd794d886299d_115">
              <w:r>
                <w:rPr>
                  <w:rStyle w:val="InternetLink"/>
                  <w:rFonts w:ascii="Times New Roman;serif" w:hAnsi="Times New Roman;serif"/>
                  <w:b w:val="false"/>
                  <w:strike w:val="false"/>
                  <w:dstrike w:val="false"/>
                  <w:color w:val="000000"/>
                  <w:sz w:val="20"/>
                  <w:u w:val="none"/>
                  <w:effect w:val="none"/>
                </w:rPr>
                <w:t>50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21">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21">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ce5bfd5c994a59950cd794d886299d_121">
              <w:r>
                <w:rPr>
                  <w:rStyle w:val="InternetLink"/>
                  <w:rFonts w:ascii="Times New Roman;serif" w:hAnsi="Times New Roman;serif"/>
                  <w:b w:val="false"/>
                  <w:strike w:val="false"/>
                  <w:dstrike w:val="false"/>
                  <w:color w:val="000000"/>
                  <w:sz w:val="20"/>
                  <w:u w:val="none"/>
                  <w:effect w:val="none"/>
                </w:rPr>
                <w:t>59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ce5bfd5c994a59950cd794d886299d_124">
              <w:r>
                <w:rPr>
                  <w:rStyle w:val="InternetLink"/>
                  <w:rFonts w:ascii="Times New Roman;serif" w:hAnsi="Times New Roman;serif"/>
                  <w:b w:val="false"/>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ce5bfd5c994a59950cd794d886299d_124">
              <w:r>
                <w:rPr>
                  <w:rStyle w:val="InternetLink"/>
                  <w:rFonts w:ascii="Times New Roman;serif" w:hAnsi="Times New Roman;serif"/>
                  <w:b w:val="false"/>
                  <w:strike w:val="false"/>
                  <w:dstrike w:val="false"/>
                  <w:color w:val="000000"/>
                  <w:sz w:val="20"/>
                  <w:u w:val="none"/>
                  <w:effect w:val="none"/>
                </w:rPr>
                <w:t>62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as more fully described in Part II, Item 1A "Risk Factors” below. You should read these risks before you invest in our common stock. We may be unable, for many reasons, including those that are beyond our control, to implement or execute our business strategy. In particular, risks associated with our business include, among others:</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Global macroeconomic conditions have harmed and may continue to harm our business;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are subject to the cyclical nature of the semiconductor industry, which can result in over- or under-supply of required electronic components from time to time;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revenue and operating results may fluctuate from period to period due to, among other factors, macroeconomic conditions, cyclical fluctuations in the semiconductor market, customer demand, product life cycles, fluctuations in inventories held by our distributors or end customers, the gain or loss of significant customers, the availability of capacity in our supply chain, research and development costs, the impact of any pandemic, epidemic, or outbreak of disease, on our business as well as our suppliers and customers, and product warranty claims. This in turn could cause our stock price to decline;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International trade policies, including tariffs, sanctions and trade barriers, may adversely affect our business, financial condition, result of operations and prospects;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significant portion of our operations is located outside of the United States, which subjects us to additional risks, including increased complexity and costs of managing international operations and geopolitical instability;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target customer and product markets may not grow or develop as we currently expect, and if we fail to penetrate new markets and scale successfully within those markets, our revenue and financial condition would be harmed;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If we are not able to successfully introduce and ship in volume new products in a timely manner, our business and revenue will suffer;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Pandemics, epidemics, or other outbreaks of disease have had and may in the future have an adverse impact upon our business, results of operations, and financial condition, as well as the businesses of our suppliers and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gross margins may fluctuate due to a variety of factors, which could negatively impact our results of operations and our financial condition;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revenue in previous periods may not be indicative of future performance and our revenue may fluctuate over time;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provide a lifetime warranty on our products and may be subject to warranty or product liability claims, which could harm our reputation, result in unexpected expenses, and cause us to lose market share;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Defects in our products could harm our relationships with our customers and damage our reputation;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If we fail to compete effectively, we may lose or fail to gain market share, which could negatively impact our operating results and our business;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have in the past and may in the future make business investments that could hurt our ability to grow our business, develop new products or sell our products;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have in the past and may in the future make acquisitions that could disrupt our business, cause dilution to our stockholders, reduce our financial resources, and harm our business;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may not be able to accurately predict our future capital needs, and we may not be able to obtain additional financing to fund our operations or acceptable terms, or at all;</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leverage could adversely affect our financial condition, our ability to raise additional capital to fund our operations, our ability to operate our business, our ability to react to changes in the economy or our industry, divert our cash flow from operations for any debt payments and prevent us from meeting our debt obligations;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capped call transactions may affect the value of the Notes and our common stock, and subject us to counterparty risk;</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credit agreement currently imposes and any other debt we incur may impose significant operating and financial restrictions on us and our subsidiaries, which may prevent us from capitalizing on business opportunities;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Failure to comply with the laws associated with our activities outside of the United States could subject us to penalties and other adverse consequences;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are subject to government regulation, including import, export and economic sanctions laws and regulations that may expose us to liability and increase our costs;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New or future changes to U.S. and non-U.S. tax laws, or tax regulatory authorities disagreeing with our positions and conclusions regarding certain tax positions, could materially adversely affect us;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Breaches, cyberattacks, or other disruptions to our information technology systems owned or maintained by us or third parties could disrupt our operations, compromise confidentiality of private customer data or our intellectual property, and adversely affect our business, reputation, operations, and financial results;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may be impacted by risks associated with the concentration of ownership of a significant portion of our stock, and our other shareholders’ ability to influence matters requiring stockholder approval will be limited, which could impact our business and operating results;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Substantial future sales of our common stock could cause the market price of our common stock to decline;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Anti-takeover provisions in our charter documents and under Delaware law could make an acquisition of us more difficult, limit attempts by our stockholders to replace or remove our current management and limit the market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SiTime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14"/>
        <w:gridCol w:w="2239"/>
        <w:gridCol w:w="2182"/>
        <w:gridCol w:w="211"/>
        <w:gridCol w:w="976"/>
        <w:gridCol w:w="109"/>
        <w:gridCol w:w="109"/>
        <w:gridCol w:w="109"/>
        <w:gridCol w:w="109"/>
        <w:gridCol w:w="227"/>
        <w:gridCol w:w="1051"/>
        <w:gridCol w:w="169"/>
      </w:tblGrid>
      <w:tr>
        <w:trPr/>
        <w:tc>
          <w:tcPr>
            <w:tcW w:w="2714"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1,921,141 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16,759 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in held-to-maturity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791,648 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45,040 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14,275 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2,133,865 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949,279 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105,114 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147,366 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87,098 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2,505,523 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1,294,699 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21,327 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109,736 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84,005 </w:t>
            </w:r>
          </w:p>
        </w:tc>
        <w:tc>
          <w:tcPr>
            <w:tcW w:w="16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54,512 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1,480,471 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138,517 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2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58"/>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- 200,000 shares authorized; 26,512 and 26,299 shares issued and outstanding at June 30, 2026 and December 31, 2025</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1,381,083 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(211,965)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(224,904)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1,025,052 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1,156,182 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2,505,523 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1,294,699 </w:t>
            </w:r>
          </w:p>
        </w:tc>
        <w:tc>
          <w:tcPr>
            <w:tcW w:w="16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SiTime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05"/>
        <w:gridCol w:w="1374"/>
        <w:gridCol w:w="1373"/>
        <w:gridCol w:w="211"/>
        <w:gridCol w:w="826"/>
        <w:gridCol w:w="109"/>
        <w:gridCol w:w="109"/>
        <w:gridCol w:w="109"/>
        <w:gridCol w:w="109"/>
        <w:gridCol w:w="211"/>
        <w:gridCol w:w="768"/>
        <w:gridCol w:w="109"/>
        <w:gridCol w:w="109"/>
        <w:gridCol w:w="109"/>
        <w:gridCol w:w="109"/>
        <w:gridCol w:w="211"/>
        <w:gridCol w:w="826"/>
        <w:gridCol w:w="109"/>
        <w:gridCol w:w="109"/>
        <w:gridCol w:w="109"/>
        <w:gridCol w:w="109"/>
        <w:gridCol w:w="211"/>
        <w:gridCol w:w="826"/>
        <w:gridCol w:w="155"/>
      </w:tblGrid>
      <w:tr>
        <w:trPr/>
        <w:tc>
          <w:tcPr>
            <w:tcW w:w="190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157,432 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69,494 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270,999 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129,808 </w:t>
            </w:r>
          </w:p>
        </w:tc>
        <w:tc>
          <w:tcPr>
            <w:tcW w:w="15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99,142 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166,097 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66,387 </w:t>
            </w:r>
          </w:p>
        </w:tc>
        <w:tc>
          <w:tcPr>
            <w:tcW w:w="15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60,589 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170,220 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119,108 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(24,611)</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(4,123)</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(52,721)</w:t>
            </w:r>
          </w:p>
        </w:tc>
        <w:tc>
          <w:tcPr>
            <w:tcW w:w="15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18,196 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(20,144)</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(43,954)</w:t>
            </w:r>
          </w:p>
        </w:tc>
        <w:tc>
          <w:tcPr>
            <w:tcW w:w="15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(20,179)</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(44,056)</w:t>
            </w:r>
          </w:p>
        </w:tc>
        <w:tc>
          <w:tcPr>
            <w:tcW w:w="15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 and comprehensive income (loss)</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(44,056)</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basic</w:t>
            </w:r>
          </w:p>
        </w:tc>
        <w:tc>
          <w:tcPr>
            <w:tcW w:w="2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5"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basic net income (loss) per share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23,790 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diluted net income (loss) per share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SiTime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pPr>
      <w:r>
        <w:rPr>
          <w:rFonts w:ascii="Times New Roman;serif" w:hAnsi="Times New Roman;serif"/>
          <w:b/>
          <w:color w:val="000000"/>
          <w:sz w:val="20"/>
        </w:rPr>
        <w:t>(In thousands</w:t>
      </w:r>
      <w:r>
        <w:rPr>
          <w:rFonts w:ascii="Times New Roman;serif" w:hAnsi="Times New Roman;serif"/>
          <w:b w:val="false"/>
          <w:color w:val="000000"/>
          <w:sz w:val="20"/>
        </w:rPr>
        <w:t>)</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567"/>
        <w:gridCol w:w="1074"/>
        <w:gridCol w:w="1076"/>
        <w:gridCol w:w="224"/>
        <w:gridCol w:w="224"/>
        <w:gridCol w:w="228"/>
        <w:gridCol w:w="109"/>
        <w:gridCol w:w="109"/>
        <w:gridCol w:w="109"/>
        <w:gridCol w:w="253"/>
        <w:gridCol w:w="307"/>
        <w:gridCol w:w="131"/>
        <w:gridCol w:w="109"/>
        <w:gridCol w:w="109"/>
        <w:gridCol w:w="109"/>
        <w:gridCol w:w="211"/>
        <w:gridCol w:w="976"/>
        <w:gridCol w:w="109"/>
        <w:gridCol w:w="109"/>
        <w:gridCol w:w="109"/>
        <w:gridCol w:w="109"/>
        <w:gridCol w:w="211"/>
        <w:gridCol w:w="854"/>
        <w:gridCol w:w="109"/>
        <w:gridCol w:w="109"/>
        <w:gridCol w:w="109"/>
        <w:gridCol w:w="109"/>
        <w:gridCol w:w="211"/>
        <w:gridCol w:w="976"/>
        <w:gridCol w:w="156"/>
      </w:tblGrid>
      <w:tr>
        <w:trPr/>
        <w:tc>
          <w:tcPr>
            <w:tcW w:w="156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 xml:space="preserve">Equity </w:t>
            </w:r>
          </w:p>
        </w:tc>
      </w:tr>
      <w:tr>
        <w:trPr/>
        <w:tc>
          <w:tcPr>
            <w:tcW w:w="3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March 31, 2026</w:t>
            </w:r>
          </w:p>
        </w:tc>
        <w:tc>
          <w:tcPr>
            <w:tcW w:w="67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26,397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1,389,096 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(230,121)</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1,158,978 </w:t>
            </w:r>
          </w:p>
        </w:tc>
        <w:tc>
          <w:tcPr>
            <w:tcW w:w="15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18,156 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1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 options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upon vesting of restricted stock units, net of tax withholdings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(59,484)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(59,484)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1,237,014 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1,025,052 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23,722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898,390 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(205,878)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692,514 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(20,179)</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follow-on public offering net of underwriting discounts and commissions and other offering costs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At-The-Market offering net of underwriting discounts and commissions and other offering costs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29,695 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upon vesting of restricted stock units, net of tax withholdings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67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1,326,735 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(226,057)</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1,100,681 </w:t>
            </w:r>
          </w:p>
        </w:tc>
        <w:tc>
          <w:tcPr>
            <w:tcW w:w="15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26,299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1,381,083 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(224,904)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1,156,182 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12,939 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1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 options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upon vesting of restricted stock units, net of tax withholdings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(87,315)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(87,315)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1,237,014 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1,025,052 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23,598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881,718 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(182,001)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699,719 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(44,056)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(44,056)</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follow-on public offering net of underwriting discounts and commissions and other offering costs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At-The-Market offering net of underwriting discounts and commissions and other offering costs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29,695 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upon vesting of restricted stock units, net of tax withholdings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676"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1,326,735 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(226,057)</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1,100,681 </w:t>
            </w:r>
          </w:p>
        </w:tc>
        <w:tc>
          <w:tcPr>
            <w:tcW w:w="15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SiTime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pPr>
      <w:r>
        <w:rPr>
          <w:rFonts w:ascii="Times New Roman;serif" w:hAnsi="Times New Roman;serif"/>
          <w:b/>
          <w:color w:val="000000"/>
          <w:sz w:val="20"/>
        </w:rPr>
        <w:t>(In thousands</w:t>
      </w:r>
      <w:r>
        <w:rPr>
          <w:rFonts w:ascii="Times New Roman;serif" w:hAnsi="Times New Roman;serif"/>
          <w:b w:val="false"/>
          <w:color w:val="000000"/>
          <w:sz w:val="20"/>
        </w:rPr>
        <w:t>)</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tbl>
      <w:tblPr>
        <w:tblW w:w="9953" w:type="dxa"/>
        <w:jc w:val="left"/>
        <w:tblInd w:w="0" w:type="dxa"/>
        <w:tblLayout w:type="fixed"/>
        <w:tblCellMar>
          <w:top w:w="28" w:type="dxa"/>
          <w:left w:w="28" w:type="dxa"/>
          <w:bottom w:w="28" w:type="dxa"/>
          <w:right w:w="28" w:type="dxa"/>
        </w:tblCellMar>
      </w:tblPr>
      <w:tblGrid>
        <w:gridCol w:w="2581"/>
        <w:gridCol w:w="2271"/>
        <w:gridCol w:w="2287"/>
        <w:gridCol w:w="211"/>
        <w:gridCol w:w="976"/>
        <w:gridCol w:w="109"/>
        <w:gridCol w:w="109"/>
        <w:gridCol w:w="109"/>
        <w:gridCol w:w="109"/>
        <w:gridCol w:w="211"/>
        <w:gridCol w:w="826"/>
        <w:gridCol w:w="154"/>
      </w:tblGrid>
      <w:tr>
        <w:trPr/>
        <w:tc>
          <w:tcPr>
            <w:tcW w:w="2581"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23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51,372 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interest on held to maturity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sales-based earnout liability</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acquisition consideration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write-down</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related transaction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(24,995)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8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70,958 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30,376 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securities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(133,579)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(635,817)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maturity of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(25,765)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(34,545)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18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737,413 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(247,364)</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convertible senior notes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1,350,000 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capped call transactions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debt financing costs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(37,554)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offering costs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paid on behalf of employees for net share settlement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 towards earnouts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acquisition consideration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8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1,096,011 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383,404 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1,904,382 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166,416 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1,921,141 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172,522 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recorded for property, plant and equipment,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Unpaid offering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Unpaid financing costs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acquired under operating leases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SiTime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Note 1.</w:t>
      </w:r>
      <w:r>
        <w:rPr>
          <w:color w:val="000000"/>
        </w:rPr>
        <w:t xml:space="preserve"> </w:t>
      </w:r>
      <w:r>
        <w:rPr>
          <w:rFonts w:ascii="Times New Roman;serif" w:hAnsi="Times New Roman;serif"/>
          <w:b/>
          <w:color w:val="000000"/>
          <w:sz w:val="20"/>
        </w:rPr>
        <w:t>The Company and Basis of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SiTime Corporation (the “Company” or "SiTime") was incorporated in the State of Delaware in December 2003. The Company is a leading provider of Precision timing ("Precision Timing") solutions to the global electronics industry, providing the timing functionality that is needed for electronics to operate reliably and accurately. The Company's products have been designed to address a wide range of applications across a broad array of end markets. The Company operates a fabless business model and leverages its global network of distributors to address the broad set of end markets that it serves.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interim condensed consolidated financial statements have been prepared in conformity with United States ("U.S.") generally accepted accounting principles ("GAAP") for interim financial information and the instructions to Form 10-Q and Article 10 of Regulation S-X, and should be read in conjunction with the Company's audited consolidated financial statements and related notes thereto filed with the U.S. Securities and Exchange Commission ("SEC") on Form 10-K for the fiscal year ended December 31, 2025. The interim financial statements are unaudited, but reflect all adjustments which are, in the opinion of management, of a normal, recurring nature necessary to provide a fair statement of results for the interim periods presented. The results of operations for the interim periods shown in this report are not necessarily indicative of the results that may be expected for the fiscal year ending December 31, 2026, for any future year, or for any other future interim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the financial statements and accompanying notes. The significant areas requiring the use of management estimates and assumptions include revenue recognition, fair value of earnout liabilities, estimate of write-downs for excess and obsolete inventories, and sales reserves. Actual results could differ from those estimates.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wholly-owned subsidiaries. All intercompany transactions and balances have been eliminated in consolidation.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disclosed in the Company’s audited consolidated financial statements and related notes thereto included in the Annual Report on Form 10-K for the year ended December 31, 2025. There have been no changes to these accounting policies through June 30, 2026.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 not yet adopted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Disaggregation of Income Statement Expenses (Subtopic 220-40).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This ASU will likely result in the required additional disclosures being included in our consolidated financial statements, once adopted. We are currently evaluating the provisions of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2. Acquisitions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 of certain assets ("Timing business") from Renesas Electronics America Inc. ("Renesas")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February 4, 2026, the Company entered into an asset purchase agreement (the “Asset Purchase Agreement”) with Renesas, pursuant to which the Company agreed to acquire, subject to the terms and conditions set forth in the Asset Purchase Agreement, all of Renesas' right, title and interest in, to and under certain assets related to the timing business of Renesas Electronics Corporation.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1, 2026, the Company completed the acquisition (the “Acquisition”) in accordance with the Asset Purchase Agreement, for an aggregate purchase price of approximately $1,500.0 million paid in cash and 3,558,691 shares of the Company’s common stock. The Company has performed a preliminary evaluation of the acquired set of activities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assets and concluded that the Acquisition constitutes a business within the scope of ASC 805, Business Combinations. Accordingly, the transaction will be accounted for as a business combination using the acquisition method of accounting.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in the process of evaluating the fair values of the assets acquired and liabilities assumed and has not completed the initial accounting for the Acquisition. Accordingly, the Company is unable to provide certain disclosures required by ASC 805, including the preliminary allocation of purchase consideration, the amount of goodwill expected to be recognized, and the amounts attributable to identifiable intangible assets. The Company will include the required disclosures in future filings once the valuation procedures and related analyses have been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3. Long-term Debt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2031 Convertible senior notes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May 2026, the Company issued $1,350.0 million aggregate principal amount of 0% Convertible Senior Notes due 2031 (the “Notes”), which included the full exercise of the initial purchasers’ option to purchase an additional $150.0 million principal amount of the Notes. The Notes are general unsecured obligations of the Company and will mature on June 15, 2031, unless earlier converted, redeemed or repurchased. The Notes do not bear regular cash interest. The total net proceeds from the issuance of the Notes, after deducting initial purchasers’ discounts and commissions and debt issuance costs, were approximately $1,316.8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Each $1,000 principal amount of the Notes is initially convertible into 0.9611 shares of the Company's common stock, which is equivalent to an initial conversion price of approximately $1,040.47 per share of common stock, subject to adjustment upon the occurrence of specified events. The initial conversion price represents a premium of approximately 50% to the $693.66 per share closing price of the Company’s common stock on May 19, 2026. The Notes are convertible at the option of the holders at any time prior to the close of business on the business day immediately preceding March 15, 2031, only under the following conditions:</w:t>
      </w:r>
    </w:p>
    <w:p>
      <w:pPr>
        <w:pStyle w:val="TextBody"/>
        <w:bidi w:val="0"/>
        <w:spacing w:lineRule="auto" w:line="288" w:before="120" w:after="283"/>
        <w:ind w:left="0" w:right="0" w:hanging="360"/>
        <w:jc w:val="left"/>
        <w:rPr/>
      </w:pPr>
      <w:r>
        <w:rPr>
          <w:rFonts w:ascii="Times New Roman;serif" w:hAnsi="Times New Roman;serif"/>
          <w:b w:val="false"/>
          <w:color w:val="000000"/>
          <w:sz w:val="20"/>
        </w:rPr>
        <w:t>(1)at any time during the 30 consecutive trading day period beginning on, and including, the 21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trading day of any calendar quarter commencing after the calendar quarter ending on September 30, 2026, if the last reported sale price of the Company's common stock exceeds 130% of the conversion price for each of at least 5 trading days (whether or not consecutive) during the first 20 consecutive trading days of such calendar quarter;</w:t>
      </w:r>
    </w:p>
    <w:p>
      <w:pPr>
        <w:pStyle w:val="TextBody"/>
        <w:bidi w:val="0"/>
        <w:spacing w:lineRule="auto" w:line="288" w:before="120" w:after="283"/>
        <w:ind w:left="0" w:right="0" w:hanging="360"/>
        <w:jc w:val="left"/>
        <w:rPr/>
      </w:pPr>
      <w:r>
        <w:rPr>
          <w:rFonts w:ascii="Times New Roman;serif" w:hAnsi="Times New Roman;serif"/>
          <w:b w:val="false"/>
          <w:color w:val="000000"/>
          <w:sz w:val="20"/>
        </w:rPr>
        <w:t>(2)during the 5 business day period after any 10 consecutive trading day period (the “Measurement Period”) in which the trading price per $1,000 principal amount of the Notes for each trading day of such Measurement Period was less than</w:t>
      </w:r>
      <w:r>
        <w:rPr>
          <w:color w:val="FF0000"/>
        </w:rPr>
        <w:t xml:space="preserve"> </w:t>
      </w:r>
      <w:r>
        <w:rPr>
          <w:rFonts w:ascii="Times New Roman;serif" w:hAnsi="Times New Roman;serif"/>
          <w:b w:val="false"/>
          <w:color w:val="000000"/>
          <w:sz w:val="20"/>
        </w:rPr>
        <w:t>98% of the product of the last reported sale price of the Company's common stock and the conversion rate on each such trading day;</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(3)if the Company calls any Notes for redemption, at any time prior to the close of business on the second scheduled trading day immediately preceding the redemption date; or</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(4)upon the occurrence of specified distributions or corporate events.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or after March 15, 2031 until the close of business on the second scheduled trading day immediately preceding the maturity date, holders may convert all or any portion of their Notes at their option at any time, regardless of the foregoing conditions. Upon conversion, the Company will pay or deliver, as the case may be, cash, shares of the Company's common stock, or a combination of cash and shares of the Company's common stock, at the Company's election.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may redeem for cash all or any portion of the Notes (subject to the partial redemption limitation as set forth in the indenture), at its option, on a redemption date on or after June 20, 2029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any accrued and unpaid special interest, if any, to, but excluding, the redemption date. In addition, the Company may also redeem for cash all, but not less than all, of the Notes at any time if the principal amount of the Notes outstanding at such time is less than 25% of the aggregate principal amount of the Notes initially issued under the indenture at a redemption price equal to 100% of the principal amount of the Notes to be redeemed, plus accrued and unpaid special interest, if any, to, but excluding, the relevant redemption date.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the Company undergoes a fundamental change which may include, but not limited to, events such as liquidation of the Company, sale/lease/transfer of all assets of the Company and other events as defined in the indenture, subject to certain conditions, holders of the Notes may require the Company to repurchase for cash all or any portion of their notes at a repurchase price equal to 100% of the principal amount of the Notes to be repurchased, plus accrued and unpaid special interest to, but excluding, the fundamental change repurchase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the initial conversion price of the Notes since issuance. During the three months ended June 30, 2026, none of the conditions described above allowing holders of the Notes to convert the Notes were met and were hence not convertible during this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Notes are accounted for as a single liability and were classified as long-term liabilities in the Company’s Consolidated Balance Sheets as of June 30, 2026. The issuance cost related to the Notes is amortized into interest expense over the term of the Notes at an effective interest rate of 0.49%. As of June 30, 2026, the estimated fair value of the Notes was $1,499.6 million. The fair value was determined based on quoted price of the Notes in an inactive market on the last trading day of the reporting period and have been classified as Level 2 in the fair value hierarchy.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net carrying amount of the Notes was as follows:</w:t>
      </w:r>
    </w:p>
    <w:tbl>
      <w:tblPr>
        <w:tblW w:w="5522" w:type="dxa"/>
        <w:jc w:val="left"/>
        <w:tblInd w:w="0" w:type="dxa"/>
        <w:tblLayout w:type="fixed"/>
        <w:tblCellMar>
          <w:top w:w="28" w:type="dxa"/>
          <w:left w:w="28" w:type="dxa"/>
          <w:bottom w:w="28" w:type="dxa"/>
          <w:right w:w="28" w:type="dxa"/>
        </w:tblCellMar>
      </w:tblPr>
      <w:tblGrid>
        <w:gridCol w:w="853"/>
        <w:gridCol w:w="748"/>
        <w:gridCol w:w="754"/>
        <w:gridCol w:w="211"/>
        <w:gridCol w:w="976"/>
        <w:gridCol w:w="109"/>
        <w:gridCol w:w="109"/>
        <w:gridCol w:w="109"/>
        <w:gridCol w:w="109"/>
        <w:gridCol w:w="422"/>
        <w:gridCol w:w="812"/>
        <w:gridCol w:w="310"/>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1,317,556 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Notes was $0.7 million for the three and six months ended June 30, 2026, consisting of amortization of debt issuance costs. The Notes do not bear contractual interest.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issuance of the Notes, the Company entered into privately negotiated capped call transactions (the “Capped Call”) with the underwriters or their affiliates and certain other financial institutions. The Capped Call is expected generally to reduce the potential dilution to the Company’s common stock upon any conversion of the Notes and/or offset any cash payments the Company is required to make in excess of the principal amount of converted Notes, as the case may be, with such reduction and/or offset subject to a cap based on the cap price. The cap price of the Capped Call is initially $1,734.15 per share, and is subject to certain adjustments under the terms of the Capped Call. The Capped Call covers approximately 1.3 million shares of the Company’s common stock, subject to adjustments under the terms of the Capped Call. The Capped Call meets the conditions under the related accounting criteria for equity classification, and is recorded in Additional paid-in capital. The Capped Call will not be remeasured as long as it continues to meet the conditions for equity classification.</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June 30, 2026, the Company entered into a Credit Agreement with Wells Fargo Bank, National Association as administrative agent and the lenders party thereto (the "Credit Agreement"), which provides a $200.0 million revolving credit facility. As of June 30, 2026, unamortized deferred financing costs of $0.4 million associated with the revolving credit facility were recorded in Other current assets and $1.6 million were recorded in Other assets. The costs are amortized on a straight-line basis, which approximates the effective interest method, over the contractual term of the revolving credit facility of five years. No amounts were outstanding under the revolving credit facility as of June 30,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bear interest at variable rates based on SOFR or an alternate base rate, plus an applicable margin. The Company is also required to pay a commitment fee on the unused portion of the revolving credit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customary affirmative and negative covenants, including restrictions on liens, investments, indebtedness, fundamental changes, restricted payments, affiliate transactions and certain other matters. In addition, the Credit Agreement contains financial covenants requiring the Company to maintain a maximum Total Net Leverage Ratio of 4.50:1.00 for the fiscal quarter ending September 30, 2026, 4.00:1.00 for the fiscal quarters ending December 31, 2026 and March 31, 2027, and 3.50:1.00 for the fiscal quarter ending June 30, 2027 and each fiscal quarter thereafter, as well as a minimum Interest Coverage Ratio of 3.00:1.00. The Total Net Leverage Ratio covenant is subject to a 0.50:1.00 increase for four fiscal quarters following a material acquisition, as defined in the Credit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was in compliance with all applicable covenants under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4. Fair Value Measurements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Cash equivalents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highly liquid money market funds of $1.3 million and $0.4 million, respectively, were valued using Level 1 of the fair value hierarchy, quoted prices in active markets for identical assets, and are included in cash equivalents.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Short-term investments in held-to-maturity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purchased Treasury Bills with maturities ranging from 3 to 12 months, which the Company intended to hold until maturity and classified as held-to-maturity securities. The held-to-maturity securities were recorded at amortized cost of $791.6 million including gross accrued interest of $7.8 million. As of December 31, 2025, the fair value and gross unrealized gain on the held-to-maturity securities was $792.1 million and $0.5 million,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treasury bills were valued using Level 1 of the fair value hierarchy, quoted prices in active markets for identical assets, and were included in short-term investments. The carrying value of our investments is reviewed quarterly for changes in circumstances or the occurrence of events that suggests an investment may not be fully recoverable.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did not hold any short-term investments.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Sales-based earnout liability</w:t>
      </w:r>
    </w:p>
    <w:p>
      <w:pPr>
        <w:pStyle w:val="TextBody"/>
        <w:bidi w:val="0"/>
        <w:spacing w:lineRule="auto" w:line="288" w:before="120" w:after="283"/>
        <w:jc w:val="left"/>
        <w:rPr/>
      </w:pPr>
      <w:r>
        <w:rPr>
          <w:rFonts w:ascii="Times New Roman;serif" w:hAnsi="Times New Roman;serif"/>
          <w:b w:val="false"/>
          <w:color w:val="000000"/>
          <w:sz w:val="20"/>
        </w:rPr>
        <w:t>Sales-based earnout is paid based on various multiples of future revenue to be generated through December 31, 2028 from acquired intellectual property. The estimated fair value of the sales-based earnout liability is determined using a Monte Carlo simulation model using significant unobservable fair value inputs and is therefore classified as a Level 3 measurement.</w:t>
      </w:r>
      <w:r>
        <w:rPr>
          <w:color w:val="000000"/>
        </w:rPr>
        <w:t xml:space="preserve"> </w:t>
      </w:r>
      <w:r>
        <w:rPr>
          <w:rFonts w:ascii="Times New Roman;serif" w:hAnsi="Times New Roman;serif"/>
          <w:b w:val="false"/>
          <w:color w:val="000000"/>
          <w:sz w:val="20"/>
        </w:rPr>
        <w:t xml:space="preserve">The assumptions used in the calculation are based on the revenue projections over the term of the contingent earn-out period, expected volatility, and discount rate. The estimates of fair value are uncertain and changes in any of the estimated inputs used will result in significant adjustments to the fair value. As of June 30, 2026, the Company used a volatility rate of 28%, risk free rate ranging from 3.7% to 4.1%, and an expected term ranging from 0.13 years to 2.38 years.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changes in the fair value of the Company’s Level 3 financial liabilities:</w:t>
      </w:r>
    </w:p>
    <w:tbl>
      <w:tblPr>
        <w:tblW w:w="7401" w:type="dxa"/>
        <w:jc w:val="left"/>
        <w:tblInd w:w="0" w:type="dxa"/>
        <w:tblLayout w:type="fixed"/>
        <w:tblCellMar>
          <w:top w:w="28" w:type="dxa"/>
          <w:left w:w="28" w:type="dxa"/>
          <w:bottom w:w="28" w:type="dxa"/>
          <w:right w:w="28" w:type="dxa"/>
        </w:tblCellMar>
      </w:tblPr>
      <w:tblGrid>
        <w:gridCol w:w="2282"/>
        <w:gridCol w:w="2013"/>
        <w:gridCol w:w="2020"/>
        <w:gridCol w:w="211"/>
        <w:gridCol w:w="721"/>
        <w:gridCol w:w="154"/>
      </w:tblGrid>
      <w:tr>
        <w:trPr/>
        <w:tc>
          <w:tcPr>
            <w:tcW w:w="2282"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 as of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during the year recorded to acquisition 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during the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 as of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81,353 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and Level 3 categories during any of the periods presented.</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5. Balance Sheet Components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Accounts Receivable,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consisted of the following: </w:t>
      </w:r>
    </w:p>
    <w:tbl>
      <w:tblPr>
        <w:tblW w:w="5509" w:type="dxa"/>
        <w:jc w:val="left"/>
        <w:tblInd w:w="0" w:type="dxa"/>
        <w:tblLayout w:type="fixed"/>
        <w:tblCellMar>
          <w:top w:w="28" w:type="dxa"/>
          <w:left w:w="28" w:type="dxa"/>
          <w:bottom w:w="28" w:type="dxa"/>
          <w:right w:w="28" w:type="dxa"/>
        </w:tblCellMar>
      </w:tblPr>
      <w:tblGrid>
        <w:gridCol w:w="830"/>
        <w:gridCol w:w="730"/>
        <w:gridCol w:w="735"/>
        <w:gridCol w:w="228"/>
        <w:gridCol w:w="779"/>
        <w:gridCol w:w="117"/>
        <w:gridCol w:w="109"/>
        <w:gridCol w:w="109"/>
        <w:gridCol w:w="109"/>
        <w:gridCol w:w="304"/>
        <w:gridCol w:w="1039"/>
        <w:gridCol w:w="157"/>
        <w:gridCol w:w="109"/>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c>
          <w:tcPr>
            <w:tcW w:w="263" w:type="dxa"/>
            <w:gridSpan w:val="2"/>
            <w:tcBorders/>
          </w:tcPr>
          <w:p>
            <w:pPr>
              <w:pStyle w:val="TableContents"/>
              <w:bidi w:val="0"/>
              <w:spacing w:before="0" w:after="283"/>
              <w:jc w:val="left"/>
              <w:rPr>
                <w:sz w:val="4"/>
                <w:szCs w:val="4"/>
              </w:rPr>
            </w:pPr>
            <w:r>
              <w:rPr>
                <w:sz w:val="4"/>
                <w:szCs w:val="4"/>
              </w:rPr>
            </w:r>
          </w:p>
        </w:tc>
      </w:tr>
      <w:tr>
        <w:trPr/>
        <w:tc>
          <w:tcPr>
            <w:tcW w:w="22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gross</w:t>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88,756 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45,090 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2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88,706 </w:t>
            </w:r>
          </w:p>
        </w:tc>
        <w:tc>
          <w:tcPr>
            <w:tcW w:w="11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45,040 </w:t>
            </w:r>
          </w:p>
        </w:tc>
        <w:tc>
          <w:tcPr>
            <w:tcW w:w="15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Inventories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Inventories consisted of the following:</w:t>
      </w:r>
    </w:p>
    <w:tbl>
      <w:tblPr>
        <w:tblW w:w="4533" w:type="dxa"/>
        <w:jc w:val="left"/>
        <w:tblInd w:w="0" w:type="dxa"/>
        <w:tblLayout w:type="fixed"/>
        <w:tblCellMar>
          <w:top w:w="28" w:type="dxa"/>
          <w:left w:w="28" w:type="dxa"/>
          <w:bottom w:w="28" w:type="dxa"/>
          <w:right w:w="28" w:type="dxa"/>
        </w:tblCellMar>
      </w:tblPr>
      <w:tblGrid>
        <w:gridCol w:w="549"/>
        <w:gridCol w:w="481"/>
        <w:gridCol w:w="485"/>
        <w:gridCol w:w="211"/>
        <w:gridCol w:w="826"/>
        <w:gridCol w:w="109"/>
        <w:gridCol w:w="109"/>
        <w:gridCol w:w="109"/>
        <w:gridCol w:w="109"/>
        <w:gridCol w:w="300"/>
        <w:gridCol w:w="1026"/>
        <w:gridCol w:w="219"/>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13,572 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47,485 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20,500 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81,557 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tbl>
      <w:tblPr>
        <w:tblW w:w="6925" w:type="dxa"/>
        <w:jc w:val="left"/>
        <w:tblInd w:w="0" w:type="dxa"/>
        <w:tblLayout w:type="fixed"/>
        <w:tblCellMar>
          <w:top w:w="28" w:type="dxa"/>
          <w:left w:w="28" w:type="dxa"/>
          <w:bottom w:w="28" w:type="dxa"/>
          <w:right w:w="28" w:type="dxa"/>
        </w:tblCellMar>
      </w:tblPr>
      <w:tblGrid>
        <w:gridCol w:w="1424"/>
        <w:gridCol w:w="1248"/>
        <w:gridCol w:w="1257"/>
        <w:gridCol w:w="228"/>
        <w:gridCol w:w="779"/>
        <w:gridCol w:w="117"/>
        <w:gridCol w:w="109"/>
        <w:gridCol w:w="109"/>
        <w:gridCol w:w="109"/>
        <w:gridCol w:w="300"/>
        <w:gridCol w:w="1026"/>
        <w:gridCol w:w="219"/>
      </w:tblGrid>
      <w:tr>
        <w:trPr/>
        <w:tc>
          <w:tcPr>
            <w:tcW w:w="14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8,580 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6,761 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2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20,114 </w:t>
            </w:r>
          </w:p>
        </w:tc>
        <w:tc>
          <w:tcPr>
            <w:tcW w:w="11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14,275 </w:t>
            </w:r>
          </w:p>
        </w:tc>
        <w:tc>
          <w:tcPr>
            <w:tcW w:w="21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Property and Equipment,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5942" w:type="dxa"/>
        <w:jc w:val="left"/>
        <w:tblInd w:w="0" w:type="dxa"/>
        <w:tblLayout w:type="fixed"/>
        <w:tblCellMar>
          <w:top w:w="28" w:type="dxa"/>
          <w:left w:w="28" w:type="dxa"/>
          <w:bottom w:w="28" w:type="dxa"/>
          <w:right w:w="28" w:type="dxa"/>
        </w:tblCellMar>
      </w:tblPr>
      <w:tblGrid>
        <w:gridCol w:w="1059"/>
        <w:gridCol w:w="932"/>
        <w:gridCol w:w="934"/>
        <w:gridCol w:w="211"/>
        <w:gridCol w:w="826"/>
        <w:gridCol w:w="109"/>
        <w:gridCol w:w="109"/>
        <w:gridCol w:w="109"/>
        <w:gridCol w:w="109"/>
        <w:gridCol w:w="273"/>
        <w:gridCol w:w="1072"/>
        <w:gridCol w:w="199"/>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 and manufacturing equipment</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158,909 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8,303 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188,177 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(96,467)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(83,063)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105,114 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and equipment was $7.0 million and $5.9 million for the three months ended June 30, 2026 and 2025, respectively, and $13.4 million and $11.0 million for the six months ended June 30, 2026 and 2025, respectively.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Intangible Assets,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consisted of the following:</w:t>
      </w:r>
    </w:p>
    <w:tbl>
      <w:tblPr>
        <w:tblW w:w="10205" w:type="dxa"/>
        <w:jc w:val="left"/>
        <w:tblInd w:w="0" w:type="dxa"/>
        <w:tblLayout w:type="fixed"/>
        <w:tblCellMar>
          <w:top w:w="28" w:type="dxa"/>
          <w:left w:w="28" w:type="dxa"/>
          <w:bottom w:w="28" w:type="dxa"/>
          <w:right w:w="28" w:type="dxa"/>
        </w:tblCellMar>
      </w:tblPr>
      <w:tblGrid>
        <w:gridCol w:w="485"/>
        <w:gridCol w:w="425"/>
        <w:gridCol w:w="427"/>
        <w:gridCol w:w="211"/>
        <w:gridCol w:w="826"/>
        <w:gridCol w:w="109"/>
        <w:gridCol w:w="109"/>
        <w:gridCol w:w="109"/>
        <w:gridCol w:w="109"/>
        <w:gridCol w:w="251"/>
        <w:gridCol w:w="920"/>
        <w:gridCol w:w="129"/>
        <w:gridCol w:w="109"/>
        <w:gridCol w:w="109"/>
        <w:gridCol w:w="109"/>
        <w:gridCol w:w="211"/>
        <w:gridCol w:w="826"/>
        <w:gridCol w:w="109"/>
        <w:gridCol w:w="109"/>
        <w:gridCol w:w="109"/>
        <w:gridCol w:w="109"/>
        <w:gridCol w:w="211"/>
        <w:gridCol w:w="826"/>
        <w:gridCol w:w="109"/>
        <w:gridCol w:w="109"/>
        <w:gridCol w:w="109"/>
        <w:gridCol w:w="109"/>
        <w:gridCol w:w="251"/>
        <w:gridCol w:w="920"/>
        <w:gridCol w:w="129"/>
        <w:gridCol w:w="109"/>
        <w:gridCol w:w="109"/>
        <w:gridCol w:w="109"/>
        <w:gridCol w:w="211"/>
        <w:gridCol w:w="826"/>
        <w:gridCol w:w="158"/>
      </w:tblGrid>
      <w:tr>
        <w:trPr/>
        <w:tc>
          <w:tcPr>
            <w:tcW w:w="48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Assets</w:t>
            </w:r>
          </w:p>
        </w:tc>
      </w:tr>
      <w:tr>
        <w:trPr/>
        <w:tc>
          <w:tcPr>
            <w:tcW w:w="133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(35,286)</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(24,534)</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141,666 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based royalty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(40,175)</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(28,188)</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147,366 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for intangible assets was $6.0 million and $3.9 million for the three months ended June 30, 2026 and 2025, respectively, and $12.0 million and $7.8 million for the six months ended June 30, 2026 and 2025,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estimated aggregate future amortization expense for intangible assets subject to amortization as of June 30, 2026 is summarized as below:</w:t>
      </w:r>
    </w:p>
    <w:tbl>
      <w:tblPr>
        <w:tblW w:w="2736" w:type="dxa"/>
        <w:jc w:val="left"/>
        <w:tblInd w:w="0" w:type="dxa"/>
        <w:tblLayout w:type="fixed"/>
        <w:tblCellMar>
          <w:top w:w="28" w:type="dxa"/>
          <w:left w:w="28" w:type="dxa"/>
          <w:bottom w:w="28" w:type="dxa"/>
          <w:right w:w="28" w:type="dxa"/>
        </w:tblCellMar>
      </w:tblPr>
      <w:tblGrid>
        <w:gridCol w:w="560"/>
        <w:gridCol w:w="491"/>
        <w:gridCol w:w="494"/>
        <w:gridCol w:w="211"/>
        <w:gridCol w:w="82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19,816 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beyond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136,023 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Other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assets consisted of the following:</w:t>
      </w:r>
    </w:p>
    <w:tbl>
      <w:tblPr>
        <w:tblW w:w="4614" w:type="dxa"/>
        <w:jc w:val="left"/>
        <w:tblInd w:w="0" w:type="dxa"/>
        <w:tblLayout w:type="fixed"/>
        <w:tblCellMar>
          <w:top w:w="28" w:type="dxa"/>
          <w:left w:w="28" w:type="dxa"/>
          <w:bottom w:w="28" w:type="dxa"/>
          <w:right w:w="28" w:type="dxa"/>
        </w:tblCellMar>
      </w:tblPr>
      <w:tblGrid>
        <w:gridCol w:w="587"/>
        <w:gridCol w:w="515"/>
        <w:gridCol w:w="517"/>
        <w:gridCol w:w="228"/>
        <w:gridCol w:w="779"/>
        <w:gridCol w:w="117"/>
        <w:gridCol w:w="109"/>
        <w:gridCol w:w="109"/>
        <w:gridCol w:w="109"/>
        <w:gridCol w:w="332"/>
        <w:gridCol w:w="970"/>
        <w:gridCol w:w="242"/>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24,291 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holds a non-marketable equity investment in a privately held company. This investment is accounted for under ASC 321, Investments - Equity Securities, and is carried at cost, adjusted for observable price changes and impairments. The carrying value of such investment was $20.0 million as of June 30, 2026. During the period, the Company recognized no impairment or observable price adjustment to this investment.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Accrued Expenses and Other Current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tbl>
      <w:tblPr>
        <w:tblW w:w="7256" w:type="dxa"/>
        <w:jc w:val="left"/>
        <w:tblInd w:w="0" w:type="dxa"/>
        <w:tblLayout w:type="fixed"/>
        <w:tblCellMar>
          <w:top w:w="28" w:type="dxa"/>
          <w:left w:w="28" w:type="dxa"/>
          <w:bottom w:w="28" w:type="dxa"/>
          <w:right w:w="28" w:type="dxa"/>
        </w:tblCellMar>
      </w:tblPr>
      <w:tblGrid>
        <w:gridCol w:w="1541"/>
        <w:gridCol w:w="1354"/>
        <w:gridCol w:w="1365"/>
        <w:gridCol w:w="228"/>
        <w:gridCol w:w="779"/>
        <w:gridCol w:w="117"/>
        <w:gridCol w:w="109"/>
        <w:gridCol w:w="109"/>
        <w:gridCol w:w="109"/>
        <w:gridCol w:w="300"/>
        <w:gridCol w:w="1026"/>
        <w:gridCol w:w="219"/>
      </w:tblGrid>
      <w:tr>
        <w:trPr/>
        <w:tc>
          <w:tcPr>
            <w:tcW w:w="1541"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benefits</w:t>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18,850 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14,007 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reserves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Sales-based earnout liability, current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32,908 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35,007 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lease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21,797 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80,841 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62,678 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76" w:before="160" w:after="283"/>
        <w:jc w:val="left"/>
        <w:rPr>
          <w:rFonts w:ascii="Times New Roman;serif" w:hAnsi="Times New Roman;serif"/>
          <w:b/>
          <w:color w:val="000000"/>
          <w:sz w:val="20"/>
        </w:rPr>
      </w:pPr>
      <w:r>
        <w:rPr>
          <w:rFonts w:ascii="Times New Roman;serif" w:hAnsi="Times New Roman;serif"/>
          <w:b/>
          <w:color w:val="000000"/>
          <w:sz w:val="20"/>
        </w:rPr>
        <w:t>Other Non-current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consisted of the following:</w:t>
      </w:r>
    </w:p>
    <w:tbl>
      <w:tblPr>
        <w:tblW w:w="6461" w:type="dxa"/>
        <w:jc w:val="left"/>
        <w:tblInd w:w="0" w:type="dxa"/>
        <w:tblLayout w:type="fixed"/>
        <w:tblCellMar>
          <w:top w:w="28" w:type="dxa"/>
          <w:left w:w="28" w:type="dxa"/>
          <w:bottom w:w="28" w:type="dxa"/>
          <w:right w:w="28" w:type="dxa"/>
        </w:tblCellMar>
      </w:tblPr>
      <w:tblGrid>
        <w:gridCol w:w="1255"/>
        <w:gridCol w:w="1102"/>
        <w:gridCol w:w="1108"/>
        <w:gridCol w:w="228"/>
        <w:gridCol w:w="779"/>
        <w:gridCol w:w="117"/>
        <w:gridCol w:w="109"/>
        <w:gridCol w:w="109"/>
        <w:gridCol w:w="109"/>
        <w:gridCol w:w="300"/>
        <w:gridCol w:w="1026"/>
        <w:gridCol w:w="219"/>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Sales-based earnout liability, non-current</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53,346 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lease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liabilities</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53,179 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54,512 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Note 6.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space in California, Michigan, Malaysia, Japan, Taiwan, the Netherlands, Finland, Ukraine, and India, all under non-cancellable operating leases with various expiration dates through May 2036.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remaining lease terms vary from a few months to ten years. For certain of its leases the Company has options to extend the lease term for periods varying from one to ten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an operating lease arrangement that has not yet commenced as of June 30, 2026. This lease primarily relates to office facilities in California. As the commencement date has not occurred, the related right</w:t>
        <w:noBreakHyphen/>
        <w:t>of</w:t>
        <w:noBreakHyphen/>
        <w:t xml:space="preserve">use assets and lease liabilities have not been recognized in the condensed consolidated balance sheets as of June 30, 2026. The undiscounted future minimum lease payments under this lease are approximately $83.2 million.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operating lease-related assets and liabilities recorded on the condensed consolidated balance sheets as of June 30, 2026 and December 31, 2025:</w:t>
      </w:r>
    </w:p>
    <w:tbl>
      <w:tblPr>
        <w:tblW w:w="9086" w:type="dxa"/>
        <w:jc w:val="left"/>
        <w:tblInd w:w="0" w:type="dxa"/>
        <w:tblLayout w:type="fixed"/>
        <w:tblCellMar>
          <w:top w:w="28" w:type="dxa"/>
          <w:left w:w="28" w:type="dxa"/>
          <w:bottom w:w="28" w:type="dxa"/>
          <w:right w:w="28" w:type="dxa"/>
        </w:tblCellMar>
      </w:tblPr>
      <w:tblGrid>
        <w:gridCol w:w="2203"/>
        <w:gridCol w:w="1938"/>
        <w:gridCol w:w="1949"/>
        <w:gridCol w:w="216"/>
        <w:gridCol w:w="631"/>
        <w:gridCol w:w="277"/>
        <w:gridCol w:w="109"/>
        <w:gridCol w:w="109"/>
        <w:gridCol w:w="109"/>
        <w:gridCol w:w="285"/>
        <w:gridCol w:w="833"/>
        <w:gridCol w:w="427"/>
      </w:tblGrid>
      <w:tr>
        <w:trPr/>
        <w:tc>
          <w:tcPr>
            <w:tcW w:w="220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60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9,859 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included in accrued expenses and other current liabilities</w:t>
            </w:r>
          </w:p>
        </w:tc>
        <w:tc>
          <w:tcPr>
            <w:tcW w:w="8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included in other non-current liabilities</w:t>
            </w:r>
          </w:p>
        </w:tc>
        <w:tc>
          <w:tcPr>
            <w:tcW w:w="8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4,686 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9,056 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124"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certain information related to the lease costs for operating leases for the three and six months ended June 30, 2026 and 2025:</w:t>
      </w:r>
    </w:p>
    <w:tbl>
      <w:tblPr>
        <w:tblW w:w="6569" w:type="dxa"/>
        <w:jc w:val="left"/>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operating lease liabilities was $1.5 million and $0.9 million for the three months ended June 30, 2026 and 2025, respectively, and $2.3 million and $1.7 million for the six months ended June 30, 2026 and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Operating Lease Cash Flows</w:t>
      </w:r>
    </w:p>
    <w:p>
      <w:pPr>
        <w:pStyle w:val="TextBody"/>
        <w:bidi w:val="0"/>
        <w:spacing w:lineRule="auto" w:line="288" w:before="120" w:after="283"/>
        <w:jc w:val="left"/>
        <w:rPr/>
      </w:pPr>
      <w:r>
        <w:rPr>
          <w:rFonts w:ascii="Times New Roman;serif" w:hAnsi="Times New Roman;serif"/>
          <w:b w:val="false"/>
          <w:color w:val="000000"/>
          <w:sz w:val="20"/>
        </w:rPr>
        <w:t>The table below reconciles the undiscounted cash flows for each of the first five years and total of the remaining years to the operating lease liabilities recorded on the condensed consolidated balance sheet as of June 30, 2026:</w:t>
      </w:r>
      <w:r>
        <w:rPr>
          <w:color w:val="000000"/>
        </w:rPr>
        <w:t xml:space="preserve"> </w:t>
      </w:r>
    </w:p>
    <w:tbl>
      <w:tblPr>
        <w:tblW w:w="5593" w:type="dxa"/>
        <w:jc w:val="left"/>
        <w:tblInd w:w="0" w:type="dxa"/>
        <w:tblLayout w:type="fixed"/>
        <w:tblCellMar>
          <w:top w:w="28" w:type="dxa"/>
          <w:left w:w="28" w:type="dxa"/>
          <w:bottom w:w="28" w:type="dxa"/>
          <w:right w:w="28" w:type="dxa"/>
        </w:tblCellMar>
      </w:tblPr>
      <w:tblGrid>
        <w:gridCol w:w="1585"/>
        <w:gridCol w:w="1392"/>
        <w:gridCol w:w="1402"/>
        <w:gridCol w:w="261"/>
        <w:gridCol w:w="763"/>
        <w:gridCol w:w="190"/>
      </w:tblGrid>
      <w:tr>
        <w:trPr/>
        <w:tc>
          <w:tcPr>
            <w:tcW w:w="158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6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2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2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beyond</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102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11,345 </w:t>
            </w:r>
          </w:p>
        </w:tc>
        <w:tc>
          <w:tcPr>
            <w:tcW w:w="19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of lease payments representing interest</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minimum lease payments</w:t>
            </w:r>
          </w:p>
        </w:tc>
        <w:tc>
          <w:tcPr>
            <w:tcW w:w="102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9,056 </w:t>
            </w:r>
          </w:p>
        </w:tc>
        <w:tc>
          <w:tcPr>
            <w:tcW w:w="19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obligations under leases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26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4,686 </w:t>
            </w:r>
          </w:p>
        </w:tc>
        <w:tc>
          <w:tcPr>
            <w:tcW w:w="19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7. Stockholders’ Equity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At-The-Market offering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February 27, 2024, the Company entered into a Sales Agreement ("Sales Agreement"), with Stifel, Nicolaus &amp; Company, Incorporated ("Stifel"), under which the Company may offer and sell from time to time at its sole discretion, up to an aggregate of 1,200,000 shares of its common stock, par value $0.0001 per share, through Stifel acting as its sales agent.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did not sell any shares of its common stock through Stifel under the Sales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sold 150,000 shares of its common stock through Stifel under the Sales Agreement at a weighted average price of $203.94 per share resulting in net proceeds to the Company of $29.7 million, after deducting underwriting discounts and commissions of $0.6 million and offering costs of $0.3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Follow-on public offering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June 27, 2025, the Company completed a follow-on public offering, in which it issued and sold 2,012,500 shares of its common stock, resulting in net proceeds to the Company of $387.3 million after deducting underwriting discounts and commissions of $14.1 million and deferred offering costs of $1.1 million.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RSU, performance based restricted stock units ("PRSU"), and multi-year performance restricted stock units ("MYPSU") activity for the three and six months ended June 30, 2026:</w:t>
      </w:r>
    </w:p>
    <w:tbl>
      <w:tblPr>
        <w:tblW w:w="9761" w:type="dxa"/>
        <w:jc w:val="left"/>
        <w:tblInd w:w="0" w:type="dxa"/>
        <w:tblLayout w:type="fixed"/>
        <w:tblCellMar>
          <w:top w:w="28" w:type="dxa"/>
          <w:left w:w="28" w:type="dxa"/>
          <w:bottom w:w="28" w:type="dxa"/>
          <w:right w:w="28" w:type="dxa"/>
        </w:tblCellMar>
      </w:tblPr>
      <w:tblGrid>
        <w:gridCol w:w="998"/>
        <w:gridCol w:w="879"/>
        <w:gridCol w:w="882"/>
        <w:gridCol w:w="297"/>
        <w:gridCol w:w="297"/>
        <w:gridCol w:w="305"/>
        <w:gridCol w:w="109"/>
        <w:gridCol w:w="109"/>
        <w:gridCol w:w="109"/>
        <w:gridCol w:w="213"/>
        <w:gridCol w:w="622"/>
        <w:gridCol w:w="110"/>
        <w:gridCol w:w="109"/>
        <w:gridCol w:w="109"/>
        <w:gridCol w:w="109"/>
        <w:gridCol w:w="263"/>
        <w:gridCol w:w="263"/>
        <w:gridCol w:w="268"/>
        <w:gridCol w:w="109"/>
        <w:gridCol w:w="109"/>
        <w:gridCol w:w="109"/>
        <w:gridCol w:w="213"/>
        <w:gridCol w:w="622"/>
        <w:gridCol w:w="110"/>
        <w:gridCol w:w="109"/>
        <w:gridCol w:w="109"/>
        <w:gridCol w:w="109"/>
        <w:gridCol w:w="263"/>
        <w:gridCol w:w="263"/>
        <w:gridCol w:w="268"/>
        <w:gridCol w:w="109"/>
        <w:gridCol w:w="109"/>
        <w:gridCol w:w="109"/>
        <w:gridCol w:w="238"/>
        <w:gridCol w:w="578"/>
        <w:gridCol w:w="174"/>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RSU</w:t>
              <w:br/>
              <w:t>Number</w:t>
              <w:br/>
              <w:t>of</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Grant Date</w:t>
              <w:br/>
              <w:t>Fair</w:t>
              <w:br/>
              <w:t>Value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PRSU</w:t>
              <w:br/>
              <w:t>Number</w:t>
              <w:br/>
              <w:t>of</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Grant Date</w:t>
              <w:br/>
              <w:t>Fair</w:t>
              <w:br/>
              <w:t>Value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MYPSU</w:t>
              <w:b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Grant Date</w:t>
              <w:br/>
              <w:t>Fair</w:t>
              <w:br/>
              <w:t>Value</w:t>
              <w:br/>
              <w:t>per share</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Unvested at December 31, 2025</w:t>
            </w:r>
          </w:p>
        </w:tc>
        <w:tc>
          <w:tcPr>
            <w:tcW w:w="8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682,991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312,519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285,880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(113,680)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(53,090)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Unvested at March 31, 2026</w:t>
            </w:r>
          </w:p>
        </w:tc>
        <w:tc>
          <w:tcPr>
            <w:tcW w:w="89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760,260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409,154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285,880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9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(129,792)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(71,470)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Unvested at June 30, 2026</w:t>
            </w:r>
          </w:p>
        </w:tc>
        <w:tc>
          <w:tcPr>
            <w:tcW w:w="899"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673,530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409,154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214,410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number and value of the shares withheld for employee taxes:</w:t>
      </w:r>
    </w:p>
    <w:tbl>
      <w:tblPr>
        <w:tblW w:w="7469" w:type="dxa"/>
        <w:jc w:val="left"/>
        <w:tblInd w:w="0" w:type="dxa"/>
        <w:tblLayout w:type="fixed"/>
        <w:tblCellMar>
          <w:top w:w="28" w:type="dxa"/>
          <w:left w:w="28" w:type="dxa"/>
          <w:bottom w:w="28" w:type="dxa"/>
          <w:right w:w="28" w:type="dxa"/>
        </w:tblCellMar>
      </w:tblPr>
      <w:tblGrid>
        <w:gridCol w:w="824"/>
        <w:gridCol w:w="726"/>
        <w:gridCol w:w="72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share data)</w:t>
            </w:r>
          </w:p>
        </w:tc>
      </w:tr>
      <w:tr>
        <w:trPr/>
        <w:tc>
          <w:tcPr>
            <w:tcW w:w="22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141,880 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 withheld for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February 2026, the Compensation Committee of the Company approved PRSUs for the fiscal year 2026 with performance goals based on the achievement of relative total stockholder return with a three year performance period (the "2026 TSR PRSU Goals"). The grant-date fair value of each PRSU was determined using Monte Carlo simulation model. The assumptions used in the Monte Carlo simulation for the awards included expected volatility of 70.5%, risk free rate of 3.5%, no expected dividend yield and expected term of 2.9 years. The Company recognizes the expense related to the 2026 TSR PRSU Goals on a graded-vesting method over the requisite performance period. These grants are included in the PRSU awards granted in the table above.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detail of stock-based compensation expense amounts included in the condensed consolidated statement of operations for each of the periods presented:</w:t>
      </w:r>
    </w:p>
    <w:tbl>
      <w:tblPr>
        <w:tblW w:w="10205" w:type="dxa"/>
        <w:jc w:val="left"/>
        <w:tblInd w:w="0" w:type="dxa"/>
        <w:tblLayout w:type="fixed"/>
        <w:tblCellMar>
          <w:top w:w="28" w:type="dxa"/>
          <w:left w:w="28" w:type="dxa"/>
          <w:bottom w:w="28" w:type="dxa"/>
          <w:right w:w="28" w:type="dxa"/>
        </w:tblCellMar>
      </w:tblPr>
      <w:tblGrid>
        <w:gridCol w:w="1905"/>
        <w:gridCol w:w="1554"/>
        <w:gridCol w:w="155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90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Equity based awards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48,021 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Liability based awards - to be settled in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 equity and liability based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51,372 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recorded to additional paid-in capital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based awards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based awards - settled in equity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capitalized to 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recorded to additional paid-in capital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55,278 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unrecognized compensation costs and related weighted average period of recognition as of June 30, 2026:</w:t>
      </w:r>
    </w:p>
    <w:tbl>
      <w:tblPr>
        <w:tblW w:w="9669" w:type="dxa"/>
        <w:jc w:val="left"/>
        <w:tblInd w:w="0" w:type="dxa"/>
        <w:tblLayout w:type="fixed"/>
        <w:tblCellMar>
          <w:top w:w="28" w:type="dxa"/>
          <w:left w:w="28" w:type="dxa"/>
          <w:bottom w:w="28" w:type="dxa"/>
          <w:right w:w="28" w:type="dxa"/>
        </w:tblCellMar>
      </w:tblPr>
      <w:tblGrid>
        <w:gridCol w:w="712"/>
        <w:gridCol w:w="621"/>
        <w:gridCol w:w="631"/>
        <w:gridCol w:w="790"/>
        <w:gridCol w:w="2307"/>
        <w:gridCol w:w="412"/>
        <w:gridCol w:w="109"/>
        <w:gridCol w:w="109"/>
        <w:gridCol w:w="109"/>
        <w:gridCol w:w="1133"/>
        <w:gridCol w:w="1133"/>
        <w:gridCol w:w="1603"/>
      </w:tblGrid>
      <w:tr>
        <w:trPr/>
        <w:tc>
          <w:tcPr>
            <w:tcW w:w="7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Unrecognized Compensation Costs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Period of Recognition (in years)</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79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4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9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PRSUs</w:t>
            </w:r>
          </w:p>
        </w:tc>
        <w:tc>
          <w:tcPr>
            <w:tcW w:w="79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Liability-based awards</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quarterly provision for income taxes is based on applying the estimated annual effective tax rate to the year to date pre-tax income, plus any discrete items. The Company updates its estimate of its annual effective tax rate at the end of each quarterly period. The estimate takes into account annual forecasted income before income taxes, the geographic mix of income before income taxes and any significant permanent tax items.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provision for income taxes and the effective tax rates for the three and six months ended June 30, 2026 and 2025:</w:t>
      </w:r>
    </w:p>
    <w:tbl>
      <w:tblPr>
        <w:tblW w:w="8973" w:type="dxa"/>
        <w:jc w:val="left"/>
        <w:tblInd w:w="0" w:type="dxa"/>
        <w:tblLayout w:type="fixed"/>
        <w:tblCellMar>
          <w:top w:w="28" w:type="dxa"/>
          <w:left w:w="28" w:type="dxa"/>
          <w:bottom w:w="28" w:type="dxa"/>
          <w:right w:w="28" w:type="dxa"/>
        </w:tblCellMar>
      </w:tblPr>
      <w:tblGrid>
        <w:gridCol w:w="1037"/>
        <w:gridCol w:w="910"/>
        <w:gridCol w:w="918"/>
        <w:gridCol w:w="211"/>
        <w:gridCol w:w="721"/>
        <w:gridCol w:w="331"/>
        <w:gridCol w:w="109"/>
        <w:gridCol w:w="109"/>
        <w:gridCol w:w="109"/>
        <w:gridCol w:w="211"/>
        <w:gridCol w:w="796"/>
        <w:gridCol w:w="271"/>
        <w:gridCol w:w="109"/>
        <w:gridCol w:w="109"/>
        <w:gridCol w:w="109"/>
        <w:gridCol w:w="211"/>
        <w:gridCol w:w="721"/>
        <w:gridCol w:w="331"/>
        <w:gridCol w:w="109"/>
        <w:gridCol w:w="109"/>
        <w:gridCol w:w="109"/>
        <w:gridCol w:w="211"/>
        <w:gridCol w:w="796"/>
        <w:gridCol w:w="316"/>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28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18,196 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12,992 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(43,954)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3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3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income before income taxes and taxable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 results. Based on management’s assessment of the realizability of deferred tax assets, the Company continues to maintain a full valuation allowance on its deferred tax assets as of June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income tax provision was immaterial for both the three and six months ended June 30, 2026 and 2025. The provision for income taxes is primarily related to the foreign subsidiaries’ local country obligations. The U.S. effective tax rate is less than 1% and is due to minimum state tax. There is no federal provision for income taxes as the Company has sufficient carryforward of net operating losses to offset any operating income earned since inception and has projected an operating loss in the current year.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$2.5 million of total unrecognized tax benefits. If the Company is able to eventually recognize these uncertain tax positions, none of the unrecognized benefits would reduce the Company’s effective tax rate due to the full valuation allowance on the Company’s deferred tax assets.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policy is to record interest and penalties related to unrecognized tax benefits as income tax expense. For the three and six months ended June 30, 2026 and 2025, the Company recorded immaterial amounts related to the accrual of interest and penalties.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 9. Segment, Geographic and Customer Information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in one reportable segment related to the design, development, and sale of Precision Timing solutions to the global electronics industry.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accounting policies of the Company’s single segment and key performance measures used by the Chief Executive Officer, who is the Chief Operating Decision Maker, to assess the performance of the Company are the same as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described within Note 1 and Note 11 of the Annual Report on Form 10-K for the year ended December 31, 2025, filed with the SEC on February 11,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provides information about the Company’s revenue, significant segment expenses and other segment expenses.</w:t>
      </w:r>
    </w:p>
    <w:tbl>
      <w:tblPr>
        <w:tblW w:w="8249" w:type="dxa"/>
        <w:jc w:val="left"/>
        <w:tblInd w:w="0" w:type="dxa"/>
        <w:tblLayout w:type="fixed"/>
        <w:tblCellMar>
          <w:top w:w="28" w:type="dxa"/>
          <w:left w:w="28" w:type="dxa"/>
          <w:bottom w:w="28" w:type="dxa"/>
          <w:right w:w="28" w:type="dxa"/>
        </w:tblCellMar>
      </w:tblPr>
      <w:tblGrid>
        <w:gridCol w:w="987"/>
        <w:gridCol w:w="869"/>
        <w:gridCol w:w="813"/>
        <w:gridCol w:w="211"/>
        <w:gridCol w:w="826"/>
        <w:gridCol w:w="109"/>
        <w:gridCol w:w="109"/>
        <w:gridCol w:w="109"/>
        <w:gridCol w:w="109"/>
        <w:gridCol w:w="211"/>
        <w:gridCol w:w="796"/>
        <w:gridCol w:w="109"/>
        <w:gridCol w:w="109"/>
        <w:gridCol w:w="109"/>
        <w:gridCol w:w="109"/>
        <w:gridCol w:w="211"/>
        <w:gridCol w:w="826"/>
        <w:gridCol w:w="109"/>
        <w:gridCol w:w="109"/>
        <w:gridCol w:w="109"/>
        <w:gridCol w:w="109"/>
        <w:gridCol w:w="211"/>
        <w:gridCol w:w="826"/>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manufacturing overheads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(44,056)</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(a)</w:t>
      </w:r>
      <w:r>
        <w:rPr>
          <w:rFonts w:ascii="Times New Roman;serif" w:hAnsi="Times New Roman;serif"/>
          <w:b w:val="false"/>
          <w:color w:val="000000"/>
          <w:sz w:val="20"/>
        </w:rPr>
        <w:t>Other segment items include research and development expenses and selling, general and administrative expenses, primarily in the nature of nonmanufacturing expenses including salaries and stock-based compensation for employees, consulting expenses, depreciation and amortization expenses, interest expense, certain other expenses, and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10. Commitments and Contingencies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 We did not have any amounts accrued towards these matters as of June 30, 2026.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Indemnification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and specified environmental matters.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Purchase Commitments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purchases components from a variety of suppliers and uses several contract manufacturers to provide manufacturing services for its products. During the normal course of business, in order to manage manufacturing lead times and to help ensure adequate component supply, the Company enters into agreements with the Company’s contract manufacturers and suppliers that allow them to procure inventory based upon criteria as defined by the Company. In addition, the Company has a multi-year agreement to purchase minimum quantities of micro-electro-mechanical systems ("MEMS") wafers and is responsible for research and development, tooling, and samples cost under the agreement. A portion of the Company’s reported purchase commitments arising from these agreements consists of firm, non-cancelable purchase commitments. In certain instances, these agreements allow the Company the option to cancel, reschedule,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adjust the Company’s requirements based on its business needs prior to when production starts. However, in situations where the Company is unable to cancel, reschedule, or adjust the purchase commitment due to changing customer demand, excess inventories could result in material inventory provisions. Total future non-cancelable purchase commitments as of June 30, 2026 were as follows:</w:t>
      </w:r>
    </w:p>
    <w:tbl>
      <w:tblPr>
        <w:tblW w:w="2850" w:type="dxa"/>
        <w:jc w:val="center"/>
        <w:tblInd w:w="0" w:type="dxa"/>
        <w:tblLayout w:type="fixed"/>
        <w:tblCellMar>
          <w:top w:w="28" w:type="dxa"/>
          <w:left w:w="28" w:type="dxa"/>
          <w:bottom w:w="28" w:type="dxa"/>
          <w:right w:w="28" w:type="dxa"/>
        </w:tblCellMar>
      </w:tblPr>
      <w:tblGrid>
        <w:gridCol w:w="608"/>
        <w:gridCol w:w="534"/>
        <w:gridCol w:w="538"/>
        <w:gridCol w:w="227"/>
        <w:gridCol w:w="777"/>
        <w:gridCol w:w="166"/>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38,993 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11. Net Income (Loss)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net loss per share attributable to common stockholders of the Company:</w:t>
      </w:r>
    </w:p>
    <w:tbl>
      <w:tblPr>
        <w:tblW w:w="10205" w:type="dxa"/>
        <w:jc w:val="left"/>
        <w:tblInd w:w="0" w:type="dxa"/>
        <w:tblLayout w:type="fixed"/>
        <w:tblCellMar>
          <w:top w:w="28" w:type="dxa"/>
          <w:left w:w="28" w:type="dxa"/>
          <w:bottom w:w="28" w:type="dxa"/>
          <w:right w:w="28" w:type="dxa"/>
        </w:tblCellMar>
      </w:tblPr>
      <w:tblGrid>
        <w:gridCol w:w="1863"/>
        <w:gridCol w:w="1516"/>
        <w:gridCol w:w="1520"/>
        <w:gridCol w:w="211"/>
        <w:gridCol w:w="721"/>
        <w:gridCol w:w="109"/>
        <w:gridCol w:w="109"/>
        <w:gridCol w:w="109"/>
        <w:gridCol w:w="109"/>
        <w:gridCol w:w="211"/>
        <w:gridCol w:w="777"/>
        <w:gridCol w:w="109"/>
        <w:gridCol w:w="109"/>
        <w:gridCol w:w="109"/>
        <w:gridCol w:w="109"/>
        <w:gridCol w:w="211"/>
        <w:gridCol w:w="721"/>
        <w:gridCol w:w="109"/>
        <w:gridCol w:w="109"/>
        <w:gridCol w:w="109"/>
        <w:gridCol w:w="109"/>
        <w:gridCol w:w="211"/>
        <w:gridCol w:w="777"/>
        <w:gridCol w:w="158"/>
      </w:tblGrid>
      <w:tr>
        <w:trPr/>
        <w:tc>
          <w:tcPr>
            <w:tcW w:w="1863"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8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(44,056)</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to compute basic net income (loss) per share</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23,790 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employee equity incentive plans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to compute diluted net income (loss) per share</w:t>
            </w:r>
          </w:p>
        </w:tc>
        <w:tc>
          <w:tcPr>
            <w:tcW w:w="9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23,790 </w:t>
            </w:r>
          </w:p>
        </w:tc>
        <w:tc>
          <w:tcPr>
            <w:tcW w:w="15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 per share, basic</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 per share, diluted</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Potential dilutive securities include dilutive common shares from share-based awards attributable to the restricted stock unit awards calculated using the treasury stock method. Under the treasury stock method, potential common shares outstanding are not included in the computation of diluted net income per share if their effect is anti-dilutive.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three months ended June 30, 2026 and 2025, the Company had 1,029 and 403,246 potential shares from restricted stock units that are anti-dilutive, respectively. During the six months ended June 30, 2026 and 2025, the Company had 13,826 and 455,502 potential shares from restricted stock units that are anti-dilutive,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calculates diluted earnings per share for its convertible senior notes using the if-converted method. For the three and six months ended June 30, 2026, the shares issuable upon conversion of the convertible senior notes were excluded from diluted earnings per share because the effect of including such shares would have been anti-dilutive. The related capped call transactions were also excluded from diluted earnings per share because they are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discussion should be read in conjunction with the Condensed Consolidated Financial Statements and the related notes that appear elsewhere in this document.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Quarterly Report on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We may, in some cases, use words such as “anticipate,” “believe,” “could,” “estimate,” “expect,” “intend,” “may,” “objective,”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report include, but are not limited to, statements about: </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plans to focus on oscillators, clock ICs, resonators and timing synchronization solutions and to aggressively expand our presence in these markets;</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expectations regarding our ability to address market and customer demands and to timely develop new or enhanced solutions to meet those demands;</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anticipated trends, challenges and growth in our business and the markets in which we operate, including pricing expectations;</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expectations regarding our revenue, average selling prices, gross margin, and expenses;</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expectations regarding the effects of macroeconomic events in 2026;</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expectations regarding dependence on a limited number of customers and end customers;</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customer relationships and our ability to retain and expand our customer relationships and to achieve design wins;</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expectations regarding the success, cost, and timing of new products;</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the size and growth potential of the markets for our solutions, and our ability to serve and expand our presence in those markets;</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plans to expand sales and marketing efforts through increased collaboration with our distributors and contracted sales representatives, and our plans to grow direct online sales through our self-service online store;</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expectations to identify new customers and deliver differentiated Precision Timing solutions to them through digital marketing strategies;</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goal to become the leading provider of Precision Timing solutions for advanced and challenging applications;</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positioning of being designed into current systems as well as future products;</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belief that our advanced packaging designs can enable the smallest footprints in the industry;</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expectations regarding competition in our existing and future markets;</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expectations of the success of our acquisitions and how we integrate and generate revenue;</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the impact a pandemic, epidemic, or other outbreak of disease may in the future have on our business, results of operations and financial condition, as well as the businesses of our suppliers and customers;</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expectations regarding regulatory developments in the United States and foreign countries;</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expectations regarding the performance of, and our relationships with, our third-party suppliers and manufacturers;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expectations regarding our and our customers’ ability to respond successfully to technological or industry developments;</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expectations regarding our ability to attract and retain key personnel;</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expectations regarding intellectual property and related litigation;</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our belief as to the sufficiency of our existing cash and cash equivalents and short-term investments funds to meet our cash needs for at least the next 12 months and our future capital requirements over the longer term;</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the adequacy and availability of our leased facilities; and</w:t>
      </w:r>
    </w:p>
    <w:p>
      <w:pPr>
        <w:pStyle w:val="TextBody"/>
        <w:bidi w:val="0"/>
        <w:spacing w:lineRule="auto" w:line="288" w:before="120" w:after="283"/>
        <w:ind w:left="0" w:right="0" w:hanging="990"/>
        <w:jc w:val="left"/>
        <w:rPr/>
      </w:pPr>
      <w:r>
        <w:rPr>
          <w:color w:val="000000"/>
        </w:rPr>
        <w:t>•</w:t>
      </w:r>
      <w:r>
        <w:rPr>
          <w:rFonts w:ascii="Times New Roman;serif" w:hAnsi="Times New Roman;serif"/>
          <w:b w:val="false"/>
          <w:color w:val="000000"/>
          <w:sz w:val="20"/>
        </w:rPr>
        <w:t>the accuracy of our estimates regarding capital requirements and needs for additional financing.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reflect our management’s beliefs and views with respect to future events and are based on estimates and assumptions as of the date of this report and are subject to risks and uncertainties. We discuss many of these risks in greater detail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left"/>
        <w:rPr/>
      </w:pPr>
      <w:r>
        <w:rPr>
          <w:rFonts w:ascii="Times New Roman;serif" w:hAnsi="Times New Roman;serif"/>
          <w:b w:val="false"/>
          <w:color w:val="000000"/>
          <w:sz w:val="20"/>
        </w:rPr>
        <w:t>The ability to accurately measure and reference time has been essential to humankind’s greatest inventions and technological advances. Timing technology has continued to evolve over centuries, underpinning broader technological evolution and is the heartbeat of digital electronic systems. Timing ensures that the system runs smoothly and reliably by providing and distributing clock signals to various critical components such as central processing units, communication and interface ICs, and radio frequency components. As electronics evolve to deliver higher performance, connectivity, and intelligence, even in increasingly challenging environments, while also being more complex and size-constrained, we believe they will require more sophisticated semiconductor-based timing solutions that cannot be developed in legacy quartz crystal-based technologies.</w:t>
      </w:r>
      <w:r>
        <w:rPr>
          <w:color w:val="000000"/>
        </w:rPr>
        <w:t xml:space="preserve"> </w:t>
      </w:r>
      <w:r>
        <w:rPr>
          <w:rFonts w:ascii="Times New Roman;serif" w:hAnsi="Times New Roman;serif"/>
          <w:b w:val="false"/>
          <w:color w:val="000000"/>
          <w:sz w:val="20"/>
        </w:rPr>
        <w:t>Precision timing, a category that SiTime created ("Precision Timing") fills this need with the performance, resilience, reliability, power, size, and cost that is required by these applications.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a leading provider of Precision Timing solutions to the global electronics industry. Our Precision Timing products are the heartbeat of our customers’ electronic systems, providing the timing functionality that is needed for electronics to operate reliably and accurately. We provide Precision Timing solutions that are differentiated by high performance, high resilience, and high reliability, along with programmability, small size, and low power consumption. Our products have been designed into over 400 applications across our target markets, including artificial intelligence ("AI") systems, datacenter, communications, and enterprise, automotive, industrial, aerospace, defense, mobile, Internet of Things ("IoT"), and consumer. Our current solutions include various types of oscillators, as well as clock integrated circuits ("ICs"), resonators, and synchronization software.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the total timing market is approximately $11 billion in size and growing. Since our founding, we have focused on the high-end portion of the market, i.e. Precision Timing. Historically, our revenue has been substantially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derived from sale of oscillator systems across our target end markets. In the past, we have benefitted from the strong growth in AI datacenter deployments.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all-silicon solutions are based on four fundamental areas of technical expertise: micro-electro-mechanical systems (“MEMS”), analog mixed-signal design, advanced system-level integration, and software. This expertise, along with the knowledge of our customers' systems, gives our products a significant edge as we address customers’ complex timing problems. In this aspect, we believe we are different than quartz-based oscillator and resonator providers, who typically have expertise in designing and manufacturing resonator components, but usually outsource the analog circuit design and packaging. We also have a deep understanding of the mechanical, electrical, and thermal properties of materials, which is a key requirement for developing our proprietary MEMS processes. To maximize MEMS first-silicon success, we have also developed our own MEMS simulation tools. We are also different in that our MEMS resonators are made using semiconductor technology which has significant benefits in features, performance, manufacturing, and cost, while the quartz resonator and oscillator suppliers use quartz crystal material.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Compared to traditional clock IC suppliers, we are different in that we design the resonator in-house and can integrate it into the clock IC package. Our analog/mixed-signal die are developed using industry-standard processes and deliver high levels of performance using programmable phase-locked loops, temperature sensors, regulators, data converters, drivers and other building blocks. Unlike most clock IC vendors, we do not rely on quartz vendors to provide the quartz resonator clock reference that is required for their clock ICs to function. Our expertise creates supply chain advantages for us and most importantly, enables us to design and build complete timing systems that result in performance advantages, providing a complete solution to the customer.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Today’s newer applications are driving the need for faster connectivity and lower latency, even when the electronics is subject to non-ideal conditions. Our Precision Timing solutions are designed to be resilient to such harsh environmental stressors which provides a benefit to our customers. For example, AI Infrastructure equipment is becoming more dense, and is subject to rapid temperature changes within the system, but still needs to deliver maximum performance and reliability. In the communications market, a 5G small cell radio mounted on a pole next to a road or rail line is subject to the vibration of passing heavy trucks or trains. These conditions make our Precision Timing solutions a natural choice in such applications. Our solutions are also utilized in automotive electronics, including advanced driver assistance systems for self-driving cars, which require increased timing accuracy. For the industrial market, our products offer programmability and high reliability for the diverse operating conditions of industrial equipment, including high temperatures, mechanical shock, and vibration. For the aerospace and defense market, our solutions provide high reliability and lower acceleration sensitivity for end products that operate in rugged conditions. For the mobile, IoT and consumer market, our timing solutions offer high performance at optimal power consumption and size, as our customers fit more functionality into smaller devices.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all of these markets, the trend for increased data transfer at higher speeds and demand for lower latency continues to grow. This requires higher levels of performance in timing and synchronization. Additionally, as electronics continue to proliferate in all industries and areas of our daily life, digital devices are increasingly subjected to less controlled environments, making resiliency to environmental stressors ever more important. These industry trends place higher demands on timing components, increasing the importance of resilient and reliable Precision Timing.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SiTime is now a key provider of all differentiated products in timing - oscillators, clocks, and resonators combined with synchronization software and deep engineering expertise in Precision Timing solutions.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sell our products primarily through distributors, who in turn sell to our end customers. We also sell products directly to some of our end customers.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 their needs by working directly with our sales personnel or distributors or by shopping on our online store, SiTimeDirect™.</w:t>
      </w:r>
    </w:p>
    <w:p>
      <w:pPr>
        <w:pStyle w:val="TextBody"/>
        <w:bidi w:val="0"/>
        <w:spacing w:lineRule="auto" w:line="288" w:before="120" w:after="283"/>
        <w:jc w:val="left"/>
        <w:rPr/>
      </w:pPr>
      <w:r>
        <w:rPr>
          <w:rFonts w:ascii="Times New Roman;serif" w:hAnsi="Times New Roman;serif"/>
          <w:b w:val="false"/>
          <w:color w:val="000000"/>
          <w:sz w:val="20"/>
        </w:rPr>
        <w:t>We operate a fabless business model, where we outsource manufacturing to semiconductor industry suppliers, which allows us to focus on, and excel in, the design, marketing, and sales of our products. A fabless infrastructure gives us production flexibility and the ability to scale capacity up and down to meet demand. While this model allows us to operate with lower capital expenditure investment than other semiconductor companies that own fabrication plants ("fabs"), we may be required to make such investments from time to time primarily to strengthen our supply chain and optimize our costs. These investments could put downward pressure on our gross margins if demand for our products does not materialize as expected. Further, this model could also subject us to supply constraints, when demand for our products is higher than anticipated, resulting in increased costs and impacting our gross margins. Our programmable architecture also plays a key role in ensuring optimal production flexibility.</w:t>
      </w:r>
      <w:r>
        <w:rPr>
          <w:color w:val="000000"/>
        </w:rPr>
        <w:t xml:space="preserve"> </w:t>
      </w:r>
      <w:r>
        <w:rPr>
          <w:rFonts w:ascii="Times New Roman;serif" w:hAnsi="Times New Roman;serif"/>
          <w:b w:val="false"/>
          <w:color w:val="000000"/>
          <w:sz w:val="20"/>
        </w:rPr>
        <w:t>In contrast to products offered by traditional timing device suppliers, our products are batch produced and then custom programmed to customer needs, allowing us to offer shorter lead times and the ability to meet custom requirements more easily.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May 2026, the Company issued $1,350.0 million aggregate principal amount of 0% Convertible Senior Notes due 2031. The proceeds were used to fund a portion of the cash consideration of $1,500.0 million paid in connection with the acquisition of the Timing business from Renesas, which was completed on July 1, 2026. Additionally, the Company issued 3,558,691 shares of the Company’s common stock towards this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derive revenue primarily from sales of Precision Timing solutions to distributors. We also sell products directly to some of our end customers.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 During 2026, demand for our products was positively impacted by increased investment in AI and datacenter related applications. The extent and duration of this demand remain uncertain, and there can be no assurance that AI and datacenter related market growth or customer spending will continue at current levels in future periods.</w:t>
      </w:r>
    </w:p>
    <w:tbl>
      <w:tblPr>
        <w:tblW w:w="10490" w:type="dxa"/>
        <w:jc w:val="left"/>
        <w:tblInd w:w="0" w:type="dxa"/>
        <w:tblLayout w:type="fixed"/>
        <w:tblCellMar>
          <w:top w:w="28" w:type="dxa"/>
          <w:left w:w="28" w:type="dxa"/>
          <w:bottom w:w="28" w:type="dxa"/>
          <w:right w:w="28" w:type="dxa"/>
        </w:tblCellMar>
      </w:tblPr>
      <w:tblGrid>
        <w:gridCol w:w="266"/>
        <w:gridCol w:w="234"/>
        <w:gridCol w:w="236"/>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210"/>
        <w:gridCol w:w="211"/>
        <w:gridCol w:w="256"/>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10"/>
        <w:gridCol w:w="211"/>
        <w:gridCol w:w="30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w:t>
            </w:r>
          </w:p>
        </w:tc>
      </w:tr>
      <w:tr>
        <w:trPr/>
        <w:tc>
          <w:tcPr>
            <w:tcW w:w="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157,432 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270,999 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129,808 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141,191 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 increased by $87.9 million, or 127%, for the three months ended June 30, 2026 compared to the same period in the prior year primarily driven by demand for our products in the AI and datacenter applications. Revenue increased by $141.2 million, or 109%, for the six months ended June 30, 2026 compared to the same period in the prior year. The increase in both periods was primarily related to an increase in average selling prices of our products due to an increase in sales volume as well as a change in mix of the products we shipped.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top three customers by revenue, which are distributors, together accounted for approximately 66% of our revenue for the three months ended June 30, 2026 and 2025, and 66% and 64% of our revenues for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Cost of Revenue, Gross Profit, and Gross Margin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revenue consists of wafers acquired from third-party foundries, assembly, packaging, and test cost of our products paid to third-party contract manufacturers, amortization of acquired intangibles and personnel and other costs associated with our manufacturing operations. Cost of revenue also includes depreciation of production equipment, inventory write-downs, shipping and handling costs, and allocation of overhead and facility costs. We also include credits for rebates received from third-party contract manufacturers in cost of revenue.</w:t>
      </w:r>
    </w:p>
    <w:tbl>
      <w:tblPr>
        <w:tblW w:w="10718" w:type="dxa"/>
        <w:jc w:val="left"/>
        <w:tblInd w:w="0" w:type="dxa"/>
        <w:tblLayout w:type="fixed"/>
        <w:tblCellMar>
          <w:top w:w="28" w:type="dxa"/>
          <w:left w:w="28" w:type="dxa"/>
          <w:bottom w:w="28" w:type="dxa"/>
          <w:right w:w="28" w:type="dxa"/>
        </w:tblCellMar>
      </w:tblPr>
      <w:tblGrid>
        <w:gridCol w:w="266"/>
        <w:gridCol w:w="234"/>
        <w:gridCol w:w="236"/>
        <w:gridCol w:w="196"/>
        <w:gridCol w:w="646"/>
        <w:gridCol w:w="256"/>
        <w:gridCol w:w="109"/>
        <w:gridCol w:w="109"/>
        <w:gridCol w:w="109"/>
        <w:gridCol w:w="196"/>
        <w:gridCol w:w="646"/>
        <w:gridCol w:w="256"/>
        <w:gridCol w:w="109"/>
        <w:gridCol w:w="109"/>
        <w:gridCol w:w="109"/>
        <w:gridCol w:w="196"/>
        <w:gridCol w:w="646"/>
        <w:gridCol w:w="109"/>
        <w:gridCol w:w="109"/>
        <w:gridCol w:w="109"/>
        <w:gridCol w:w="109"/>
        <w:gridCol w:w="188"/>
        <w:gridCol w:w="188"/>
        <w:gridCol w:w="256"/>
        <w:gridCol w:w="109"/>
        <w:gridCol w:w="109"/>
        <w:gridCol w:w="109"/>
        <w:gridCol w:w="196"/>
        <w:gridCol w:w="736"/>
        <w:gridCol w:w="256"/>
        <w:gridCol w:w="109"/>
        <w:gridCol w:w="109"/>
        <w:gridCol w:w="109"/>
        <w:gridCol w:w="196"/>
        <w:gridCol w:w="646"/>
        <w:gridCol w:w="256"/>
        <w:gridCol w:w="109"/>
        <w:gridCol w:w="109"/>
        <w:gridCol w:w="109"/>
        <w:gridCol w:w="196"/>
        <w:gridCol w:w="646"/>
        <w:gridCol w:w="109"/>
        <w:gridCol w:w="109"/>
        <w:gridCol w:w="109"/>
        <w:gridCol w:w="109"/>
        <w:gridCol w:w="188"/>
        <w:gridCol w:w="188"/>
        <w:gridCol w:w="30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w:t>
            </w:r>
          </w:p>
        </w:tc>
      </w:tr>
      <w:tr>
        <w:trPr/>
        <w:tc>
          <w:tcPr>
            <w:tcW w:w="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58,290 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33,442 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104,902 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63,421 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99,142 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166,097 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profit increased by $63.1 million in the three months ended June 30, 2026 compared to the same period in the prior year. Gross profit increased $66.1 million mainly from higher revenue which was partially offset by higher amortization from acquired intangibles of $2.2 million, and higher other manufacturing and overhead costs of $0.8 million, consisting of depreciation and amortization, and charges associated with inventory write-downs. Gross profit increased at a higher rate than revenue, reflecting a favorable change in product mix and the resulting improvement in gross margin.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profit increased by $99.7 million in the six months ended June 30, 2026 compared to the same period in the prior year. Gross profit increased $111.6 million mainly from higher revenue which was partially offset by higher other manufacturing and overhead costs of $7.8 million, and higher amortization from acquired intangibles of $4.3 million. Gross profit increased at a higher rate than revenue, reflecting a favorable change in product mix and the resulting improvement in gross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margin was higher by 11.1% in the three months ended June 30, 2026 compared to the same period in the prior year. The gross margins increased by 9.5% due to impact of leverage from higher revenue, and 1.6% due to a change in the mix of products shipped.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margin was higher by 10.2% in the six months ended June 30, 2026 compared to the same period in the prior year. The gross margins increased by 7.9% due to impact of leverage from higher revenue, and 2.2% due to a change in the mix of products shipped.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margin may fluctuate from time to time due to a variety of factors. For additional discussion please see Part II, Item 1A "Risk Factors" of this report, especially the risk factor titled “Our gross margins may fluctuate due to a variety of factors, which could negatively impact our results of operations and our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research and development, selling, general and administrative expenses, and acquisition related costs.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 </w:t>
      </w:r>
    </w:p>
    <w:tbl>
      <w:tblPr>
        <w:tblW w:w="10595" w:type="dxa"/>
        <w:jc w:val="left"/>
        <w:tblInd w:w="0" w:type="dxa"/>
        <w:tblLayout w:type="fixed"/>
        <w:tblCellMar>
          <w:top w:w="28" w:type="dxa"/>
          <w:left w:w="28" w:type="dxa"/>
          <w:bottom w:w="28" w:type="dxa"/>
          <w:right w:w="28" w:type="dxa"/>
        </w:tblCellMar>
      </w:tblPr>
      <w:tblGrid>
        <w:gridCol w:w="584"/>
        <w:gridCol w:w="263"/>
        <w:gridCol w:w="264"/>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88"/>
        <w:gridCol w:w="188"/>
        <w:gridCol w:w="25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88"/>
        <w:gridCol w:w="188"/>
        <w:gridCol w:w="301"/>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except percentage)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except percentage) </w:t>
            </w:r>
          </w:p>
        </w:tc>
      </w:tr>
      <w:tr>
        <w:trPr/>
        <w:tc>
          <w:tcPr>
            <w:tcW w:w="111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85,237 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90,927 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60,663 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30,264 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170,220 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119,108 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51,112 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efforts are focused on the design and development of Precision Timing solutions. Our research and development expense consists primarily of personnel costs, pre-production engineering mask costs, software license expenses, design tools and prototype-related expenses, facility costs, supplies, professional and consulting fees, and allocated overhead costs, which may be offset by non-recurring engineering contra-expenses recorded in certain periods. There is no assurance that we will have non-recurring engineering contra-expense from period to period.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expenses to fluctuate as a percentage of revenue from period to period depending on the timing of these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by $5.6 million, or 18%, for the three months ended June 30, 2026, compared to the same period in the prior year, primarily due to an increase in higher other personnel costs of $3.9 million, higher engineering spend towards ongoing new product development of $1.7 million, and higher depreciation and amortization expense of $0.6 million due to investment in capital assets, partially offset by lower stock-based compensation expense of $0.5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by $8.3 million, or 14%, for the six months ended June 30, 2026, compared to the same period in the prior year, primarily due to an increase in headcount resulting higher other personnel costs of $6.2 million, and higher engineering spend towards ongoing new product development of $1.5 million.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Sales, General and Administrative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general and administrative expense consists of personnel costs, professional and consulting fees, accounting and audit fees, legal costs, field application engineering support, travel costs, advertising expenses, and allocated overhead costs. We expect sales, general and administrative expenses to continue to increase in absolute dollars as we increase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personnel and grow our operations, although it may fluctuate as a percentage of revenue from period to period depending on the timing of these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by $18.1 million, or 64%, for the three months ended June 30, 2026, compared to the same period in the prior year, primarily due to higher other personnel costs of $6.6 million, higher stock-based compensation expense of $5.3 million due to an increase in headcount, higher sales commissions payouts from higher sales of $4.5 million, and higher consulting and legal fees of $0.6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by $30.2 million, or 55%, for the six months ended June 30, 2026, compared to the same period in the prior year, primarily due to an increase in headcount resulting in higher stock-based compensation expense of $10.7 million, higher other personnel costs of $9.5 million, higher sales commissions payouts from higher sales of $6.7 million, and higher consulting fees of $1.2 million.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Acquisition related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 related costs include legal, regulatory, consulting, and other costs incurred towards the acquisition of Renesas' timing business, and also include changes in the fair value of the sales-based earnout liability related to our prior acquisition.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 increased by $6.6 million, or 355%, for the three months ended June 30, 2026, primarily due to one-time costs of $6.5 million incurred towards the acquisition of Renesas' timing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 increased by $12.7 million, or 370%, for the six months ended June 30, 2026 compared to the same period in the prior year, primarily due to one-time costs of $15.5 million incurred towards the acquisition of Renesas' timing business, partially offset by lower accretion of acquisition consideration payable and earnouts by $1.1 million and $1.7 million respectively due to lower remaining amount payable.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expect to incur incremental costs in 2026 and beyond for the Acquisition which closed on July 1, 2026, as well as arising from changes in the fair value of the sales-based earnout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income consists primarily of interest income on short term investments.</w:t>
      </w:r>
    </w:p>
    <w:tbl>
      <w:tblPr>
        <w:tblW w:w="10205" w:type="dxa"/>
        <w:jc w:val="left"/>
        <w:tblInd w:w="0" w:type="dxa"/>
        <w:tblLayout w:type="fixed"/>
        <w:tblCellMar>
          <w:top w:w="28" w:type="dxa"/>
          <w:left w:w="28" w:type="dxa"/>
          <w:bottom w:w="28" w:type="dxa"/>
          <w:right w:w="28" w:type="dxa"/>
        </w:tblCellMar>
      </w:tblPr>
      <w:tblGrid>
        <w:gridCol w:w="424"/>
        <w:gridCol w:w="371"/>
        <w:gridCol w:w="375"/>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88"/>
        <w:gridCol w:w="188"/>
        <w:gridCol w:w="256"/>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88"/>
        <w:gridCol w:w="188"/>
        <w:gridCol w:w="302"/>
      </w:tblGrid>
      <w:tr>
        <w:trPr/>
        <w:tc>
          <w:tcPr>
            <w:tcW w:w="42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w:t>
            </w:r>
          </w:p>
        </w:tc>
      </w:tr>
      <w:tr>
        <w:trPr/>
        <w:tc>
          <w:tcPr>
            <w:tcW w:w="11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8,282 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30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increased by $8.3 million or 194% for the three months ended June 30, 2026, compared to the same period in the prior year due to an increase in average investment balance during the period, through funds raised in the convertible note offering in May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increased by $11.3 million or 132% for the six months ended June 30, 2026, compared to the same period in the prior year due to an increase in the average investment balance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consists primarily of amortization of financing costs incurred.</w:t>
      </w:r>
    </w:p>
    <w:tbl>
      <w:tblPr>
        <w:tblW w:w="10054" w:type="dxa"/>
        <w:jc w:val="left"/>
        <w:tblInd w:w="0" w:type="dxa"/>
        <w:tblLayout w:type="fixed"/>
        <w:tblCellMar>
          <w:top w:w="28" w:type="dxa"/>
          <w:left w:w="28" w:type="dxa"/>
          <w:bottom w:w="28" w:type="dxa"/>
          <w:right w:w="28" w:type="dxa"/>
        </w:tblCellMar>
      </w:tblPr>
      <w:tblGrid>
        <w:gridCol w:w="467"/>
        <w:gridCol w:w="410"/>
        <w:gridCol w:w="413"/>
        <w:gridCol w:w="196"/>
        <w:gridCol w:w="631"/>
        <w:gridCol w:w="109"/>
        <w:gridCol w:w="109"/>
        <w:gridCol w:w="109"/>
        <w:gridCol w:w="109"/>
        <w:gridCol w:w="196"/>
        <w:gridCol w:w="406"/>
        <w:gridCol w:w="109"/>
        <w:gridCol w:w="109"/>
        <w:gridCol w:w="109"/>
        <w:gridCol w:w="109"/>
        <w:gridCol w:w="196"/>
        <w:gridCol w:w="631"/>
        <w:gridCol w:w="109"/>
        <w:gridCol w:w="109"/>
        <w:gridCol w:w="109"/>
        <w:gridCol w:w="109"/>
        <w:gridCol w:w="188"/>
        <w:gridCol w:w="188"/>
        <w:gridCol w:w="256"/>
        <w:gridCol w:w="109"/>
        <w:gridCol w:w="109"/>
        <w:gridCol w:w="109"/>
        <w:gridCol w:w="196"/>
        <w:gridCol w:w="631"/>
        <w:gridCol w:w="109"/>
        <w:gridCol w:w="109"/>
        <w:gridCol w:w="109"/>
        <w:gridCol w:w="109"/>
        <w:gridCol w:w="196"/>
        <w:gridCol w:w="406"/>
        <w:gridCol w:w="109"/>
        <w:gridCol w:w="109"/>
        <w:gridCol w:w="109"/>
        <w:gridCol w:w="109"/>
        <w:gridCol w:w="196"/>
        <w:gridCol w:w="631"/>
        <w:gridCol w:w="109"/>
        <w:gridCol w:w="109"/>
        <w:gridCol w:w="109"/>
        <w:gridCol w:w="109"/>
        <w:gridCol w:w="188"/>
        <w:gridCol w:w="188"/>
        <w:gridCol w:w="301"/>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w:t>
            </w:r>
          </w:p>
        </w:tc>
      </w:tr>
      <w:tr>
        <w:trPr/>
        <w:tc>
          <w:tcPr>
            <w:tcW w:w="12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increased by $2.2 million for the three and six months ended June 30, 2026, compared to the same period in the prior year primarily due to the financing costs incurred towards the bridge loan facility established for the Acquisition as well as financing costs related to the issuance of the Company's convertible senior notes. The bridge loan facility closed upon the issuance of the convertible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Other (Expense) Income,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 consists primarily of foreign exchange gains and losses.</w:t>
      </w:r>
    </w:p>
    <w:tbl>
      <w:tblPr>
        <w:tblW w:w="10205" w:type="dxa"/>
        <w:jc w:val="left"/>
        <w:tblInd w:w="0" w:type="dxa"/>
        <w:tblLayout w:type="fixed"/>
        <w:tblCellMar>
          <w:top w:w="28" w:type="dxa"/>
          <w:left w:w="28" w:type="dxa"/>
          <w:bottom w:w="28" w:type="dxa"/>
          <w:right w:w="28" w:type="dxa"/>
        </w:tblCellMar>
      </w:tblPr>
      <w:tblGrid>
        <w:gridCol w:w="652"/>
        <w:gridCol w:w="572"/>
        <w:gridCol w:w="574"/>
        <w:gridCol w:w="196"/>
        <w:gridCol w:w="481"/>
        <w:gridCol w:w="109"/>
        <w:gridCol w:w="109"/>
        <w:gridCol w:w="109"/>
        <w:gridCol w:w="109"/>
        <w:gridCol w:w="196"/>
        <w:gridCol w:w="421"/>
        <w:gridCol w:w="109"/>
        <w:gridCol w:w="109"/>
        <w:gridCol w:w="109"/>
        <w:gridCol w:w="109"/>
        <w:gridCol w:w="196"/>
        <w:gridCol w:w="481"/>
        <w:gridCol w:w="109"/>
        <w:gridCol w:w="109"/>
        <w:gridCol w:w="109"/>
        <w:gridCol w:w="109"/>
        <w:gridCol w:w="218"/>
        <w:gridCol w:w="218"/>
        <w:gridCol w:w="301"/>
        <w:gridCol w:w="109"/>
        <w:gridCol w:w="109"/>
        <w:gridCol w:w="109"/>
        <w:gridCol w:w="196"/>
        <w:gridCol w:w="481"/>
        <w:gridCol w:w="109"/>
        <w:gridCol w:w="109"/>
        <w:gridCol w:w="109"/>
        <w:gridCol w:w="109"/>
        <w:gridCol w:w="196"/>
        <w:gridCol w:w="421"/>
        <w:gridCol w:w="109"/>
        <w:gridCol w:w="109"/>
        <w:gridCol w:w="109"/>
        <w:gridCol w:w="109"/>
        <w:gridCol w:w="196"/>
        <w:gridCol w:w="481"/>
        <w:gridCol w:w="109"/>
        <w:gridCol w:w="109"/>
        <w:gridCol w:w="109"/>
        <w:gridCol w:w="109"/>
        <w:gridCol w:w="218"/>
        <w:gridCol w:w="218"/>
        <w:gridCol w:w="349"/>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w:t>
            </w:r>
          </w:p>
        </w:tc>
      </w:tr>
      <w:tr>
        <w:trPr/>
        <w:tc>
          <w:tcPr>
            <w:tcW w:w="179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w:t>
            </w:r>
          </w:p>
        </w:tc>
        <w:tc>
          <w:tcPr>
            <w:tcW w:w="34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 decreased by $0.5 million for the three months ended June 30, 2026, compared to the same period in the prior year primarily due to net unrealized losses on foreign exchange rates from activities in our foreign subsidiaries resulting from exchange rate fluctuations.</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 decreased by $0.7 million for the six months ended June 30, 2026, compared to the same periods in the prior year primarily due to net unrealized losses on foreign exchange rates from activities in our foreign subsidiaries resulting from exchange rate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net operating loss ("NOL") carryforwards, and tax credits related primarily to research and development. We expect to maintain this full valuation allowance until realization of the deferred tax assets becomes more likely than not. </w:t>
      </w:r>
    </w:p>
    <w:tbl>
      <w:tblPr>
        <w:tblW w:w="9243" w:type="dxa"/>
        <w:jc w:val="left"/>
        <w:tblInd w:w="0" w:type="dxa"/>
        <w:tblLayout w:type="fixed"/>
        <w:tblCellMar>
          <w:top w:w="28" w:type="dxa"/>
          <w:left w:w="28" w:type="dxa"/>
          <w:bottom w:w="28" w:type="dxa"/>
          <w:right w:w="28" w:type="dxa"/>
        </w:tblCellMar>
      </w:tblPr>
      <w:tblGrid>
        <w:gridCol w:w="548"/>
        <w:gridCol w:w="482"/>
        <w:gridCol w:w="484"/>
        <w:gridCol w:w="196"/>
        <w:gridCol w:w="406"/>
        <w:gridCol w:w="109"/>
        <w:gridCol w:w="109"/>
        <w:gridCol w:w="109"/>
        <w:gridCol w:w="109"/>
        <w:gridCol w:w="196"/>
        <w:gridCol w:w="406"/>
        <w:gridCol w:w="109"/>
        <w:gridCol w:w="109"/>
        <w:gridCol w:w="109"/>
        <w:gridCol w:w="109"/>
        <w:gridCol w:w="196"/>
        <w:gridCol w:w="316"/>
        <w:gridCol w:w="109"/>
        <w:gridCol w:w="109"/>
        <w:gridCol w:w="109"/>
        <w:gridCol w:w="109"/>
        <w:gridCol w:w="143"/>
        <w:gridCol w:w="143"/>
        <w:gridCol w:w="256"/>
        <w:gridCol w:w="109"/>
        <w:gridCol w:w="109"/>
        <w:gridCol w:w="109"/>
        <w:gridCol w:w="196"/>
        <w:gridCol w:w="406"/>
        <w:gridCol w:w="109"/>
        <w:gridCol w:w="109"/>
        <w:gridCol w:w="109"/>
        <w:gridCol w:w="109"/>
        <w:gridCol w:w="196"/>
        <w:gridCol w:w="496"/>
        <w:gridCol w:w="109"/>
        <w:gridCol w:w="109"/>
        <w:gridCol w:w="109"/>
        <w:gridCol w:w="109"/>
        <w:gridCol w:w="196"/>
        <w:gridCol w:w="331"/>
        <w:gridCol w:w="109"/>
        <w:gridCol w:w="109"/>
        <w:gridCol w:w="109"/>
        <w:gridCol w:w="109"/>
        <w:gridCol w:w="173"/>
        <w:gridCol w:w="173"/>
        <w:gridCol w:w="36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w:t>
            </w:r>
          </w:p>
        </w:tc>
      </w:tr>
      <w:tr>
        <w:trPr/>
        <w:tc>
          <w:tcPr>
            <w:tcW w:w="15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6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we had cash and cash equivalents of $1,921.1 million and $16.8 million, respectively. From the available cash and cash equivalents as of June 30, 2026, we made a payment of approximately $1,500 million on July 1, 2026, for the Acquisition. Additionally, as of December 31, 2025, we also held $791.6 million of short-term investments in held-to-maturity securities that consisted of treasury bills. Our principal use of cash is to fund our operations, to support growth through capital investments, and to acquire complementary businesses, products, services or technologies in the future.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February 2024, we entered into a Sales Agreement with Stifel, under which we may offer and sell from time to time at our sole discretion, up to an aggregate of 1,200,000 shares of our common stock, par value $0.0001 per share, through Stifel as our sales agent. We used the net proceeds from the shares of common stock offered and sold to replenish funds expended to satisfy anticipated tax withholding and remittance obligations related to the net settlement upon vesting of restricted stock unit awards (“RSU”) granted to employees under the equity incentive plans. During the three and six months ended June 30, 2026, we did not sell any shares of its common stock through Stifel under the Sales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May 2026, the Company issued $1,350.0 million aggregate principal amount of 0% Convertible Senior Notes due 2031, which was used to fund a portion of the consideration for the acquisition of the Timing business from Renesas. Also, on June 30, 2026, the Company established a $200.0 million revolving credit facility which was undrawn as of June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purchase obligations primarily include non-cancelable purchase commitments from agreements with our contract manufacturers as well as a multi-year purchase agreement with commitment to purchase minimum quantities of MEMS wafers and research and development, tooling and sample cost under the agreement, and design and simulation licenses.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information about our contractual obligations refer to "Note 6 - Leases" and "Note 10 - Commitments and Contingencies" of the Notes to Condensed Consolidated Financial Statements for the period ended June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expect to continue our investing activities to support growth, primarily through the purchase of property and equipment, intellectual property licenses, and capitalized software, to support research and development, sales and marketing, product support, and administrative staff.</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existing cash and cash equivalents and our short-term investments will be sufficient to meet our cash needs for at least the next 12 months, including our cash commitments for the acquisition of the Timing business from Renesas. Over the longer term, our future capital requirements will depend on many factors, including our growth rate, the timing and extent of our sales and marketing and research and development expenditures, costs to acquire or invest in complementary businesses and technologies, payment obligations associated with our completed acquisitions based on achievement of certain milestones, and the continuing market acceptance of our solutions.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 below summarizes our cash flows for the periods indicated:</w:t>
      </w:r>
    </w:p>
    <w:tbl>
      <w:tblPr>
        <w:tblW w:w="6279" w:type="dxa"/>
        <w:jc w:val="left"/>
        <w:tblInd w:w="0" w:type="dxa"/>
        <w:tblLayout w:type="fixed"/>
        <w:tblCellMar>
          <w:top w:w="28" w:type="dxa"/>
          <w:left w:w="28" w:type="dxa"/>
          <w:bottom w:w="28" w:type="dxa"/>
          <w:right w:w="28" w:type="dxa"/>
        </w:tblCellMar>
      </w:tblPr>
      <w:tblGrid>
        <w:gridCol w:w="1254"/>
        <w:gridCol w:w="1104"/>
        <w:gridCol w:w="1107"/>
        <w:gridCol w:w="211"/>
        <w:gridCol w:w="976"/>
        <w:gridCol w:w="109"/>
        <w:gridCol w:w="109"/>
        <w:gridCol w:w="109"/>
        <w:gridCol w:w="109"/>
        <w:gridCol w:w="211"/>
        <w:gridCol w:w="82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1,096,011 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383,404 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1,904,382 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166,416 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net cash provided by operating activities of $71.0 million was primarily due to a net income of $12.9 million and non-cash expenses of $100.5 million, offset by a change in operating assets and liabilities of $42.5 million. Non-cash expenses were mainly related to stock-based compensation expense, depreciation and amortization, amortization of financing costs, change in fair value of sales based earnout liability, inventory write-down and net change in unrealized interest on held to maturity investments. The changes in operating assets and liabilities resulted in cash generated primarily due to an increase in accounts payable and accrued expenses primarily due to timing of accrued payroll and related benefit payments, partially offset by an increase in our accounts receivables due to timing of shipments, an increase in inventories as we built our inventory levels, and an increase in prepaid expenses and other assets due to timing of payment to vendors.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investing activities consist primarily of purchase and maturities of short-term investments as well as capital expenditures for property and equipment purchases. Our short-term investments were primarily in treasury bills to earn interest. Our capital expenditures for property and equipment have primarily been for general business purposes, including machinery and equipment, leasehold improvements, acquired software, computer equipment used internally, and production masks to manufacture our products.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six months ended June 30, 2026, net cash provided by investing activities was $737.4 million. We generated proceeds of $897.4 million from maturities of the short-term investments in held-to-maturity securities. These proceeds were offset by payments of $133.6 million to purchase short-term investments in held-to-maturity securities and $26.4 million to purchase manufacturing equipment and intangibles to support the general business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financing activities primarily consisted of proceeds received from issuance of convertible notes, partially offset by payment of related financing costs, payments for capped call transactions, payments of withholding taxes on RSUs, and payment of earnouts. During the six months ended June 30, 2026, we did not sell any shares of our common stock through Stifel under the Sales Agreement. We collected proceeds of $1,350.0 million from the issuance of convertible notes, which was partially offset by payment of related financing costs of $37.6 million, payment for capped call transactions of $121.5 million, payment of tax withholdings on behalf of employees for net share settlement of $87.3 million, and earnouts of $7.6 million related to the Aura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have been prepared in accordance with GAAP. The preparation of these financial statements and accompanying disclosures requires us to make estimates and assumptions that affect the reported amounts of assets, liabilities, revenues and expenses, and related disclosures of contingent assets and liabilities in the consolidated financial statements and the accompanying notes. The Securities and Exchange Commission (the "SEC"), has defined a company’s critical accounting estimates as estimates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estimates to be as follows: (1) revenue recognition (2) business combinations, and (3) inventory.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 estimates in Management’s Discussion and Analysis of Financial Condition and Results of Operations, in our Annual Report on Form 10-K for the year ended December 31, 2025, filed with the SEC on February 11,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5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Substantially all of our revenue is denominated in U.S. dollars. Our expenses are generally denominated in the currencies in which our operations are located, which is primarily in the United States and, to a lesser extent, in Finland, France, Germany, India, Japan, Korea, Malaysia, the Netherlands, Singapore, Taiwan,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had cash and cash equivalents of $1,921.1 million and $16.8 million as of June 30, 2026 and December 31, 2025, respectively, consisting of bank deposits, money market funds and treasury bills. We also had short-term investments in held-to-maturity securities of $791.6 million consisting of treasury bills as of December 31, 2025. Such interest-earning instruments carry a degree of interest rate risk. During the six months ended June 30, 2026, we have generated $19.9 million in interest income through our investment balance.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do not enter into investments for trading or speculative purposes and have not used any derivative financial instruments to manage our interest rate risk exposure. As of June 30, 2026, a hypothetical 10% increase or decrease in market interest rates would change the fair value and related interest income on our interest-earning instruments by an increase or decrease of approximately $0.7 million 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as such term is defined in Rules 13a-15(e)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SiTime have been detected.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Based on their evaluation as of the end of the period covered by this Quarterly Report on Form 10-Q, our Chief Executive Officer and Chief Financial Officer have concluded that, as of such date, our disclosure controls and procedures were effective.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included in Note 9 of the Notes to Condensed Consolidated Financial Statements in Part I, Item 1 of this Quarterly Report on Form 10-Q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Business and Our Industry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Global macroeconomic conditions have harmed and may continue to harm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 global company and therefore our business, results of operations, and financial condition are impacted by global macroeconomic conditions. Macroeconomic events such as inflation, recession, equity market volatility, geopolitical tensions, war, declines in income or asset values, decreased spending, changes to fuel and other energy costs, public health crises, supply chain disruptions, ongoing changes to U.S. trade policies, uncertainty related thereto and responses by foreign governments to such policies, and global banking concerns have caused economic volatility, which has and may continue to harm our business, financial condition, and results of operations, and may cause an extended downturn in the worldwide economy, which would further harm our business, financial condition and results of operations. Tariffs and escalations of trade tensions may result in long-term impact to global trade. In addition, geopolitical conflicts, such as the current conflict in the Middle East and the war in Ukraine, may disrupt trade routes and supply chains. Economic volatility and adverse economic conditions have affected and may continue to affect the demand for our products and our customers’ products. Reduced demand for our customers’ products may lead to a buildup of inventory at many of our customers, including distributors, and their affiliates, partners, and contract manufacturers, which may adversely affect demand for our products. Reduced demand for our products could result in significant decreases in our sales and margins, and could materially harm our results of operations. The future effects of macroeconomic events on our business, financial condition, and results of operations, including inventory levels at our customers and their affiliates, partners, and contract manufacturers as well as demand for our products, are uncertain and difficult to predict.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deterioration in credit markets as a result of macroeconomic events could also limit our ability to obtain external financing to fund our operations and capital expenditures. We may experience losses on our holdings of cash and investments due to failures of financial institutions and other parties. Further, adverse economic conditions may also result in a higher rate of losses on our accounts receivable due to credit defaults. As a result, global macroeconomic conditions may have a material adverse effect on our business, results of operations, and financial condition.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are subject to the cyclical nature of the semiconductor industry, which can result in over- or under-supply of required electronic components from time to time.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semiconductor industry is highly cyclical and is characterized by constant and rapid technological change, rapid product obsolescence, price erosion, evolving standards, short product life cycles, and wide fluctuations in product supply and demand, such as the current supply constraints related to the memory hardware and to wafer capacity. From time to time, these factors, together with changes in macroeconomic conditions, can cause significant upturns and downturns in the semiconductor industry, and in our business. For example, if our customers are unable to procure necessary memory hardware, they may be unable to manufacture or ship their systems in a timely manner, which could reduce demand for our products and adversely affect our revenue and operating results. Downturns in the semiconductor industry have been characterized by diminished product demand, production overcapacity, high inventory levels for us and our customers, and erosion of average selling prices. In the past we have experienced, and we may in the future experience, customer inventory adjustments that may adversely affect our results of operations. Any downturns in the semiconductor industry could harm our business, financial condition, and results of operations. Any significant upturn in the semiconductor industry could result in increased competition for access to third-party foundry and assembly capacity. To support our current growth plans,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we have derived a significant portion of our revenue from a limited number of customers. We sell our products primarily through distributors, who in turn sell to our end customers. We also sell directly to our end customers. Our top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three distributors by revenue together accounted for approximately 66% of our revenue for the three months ended June 30, 2026 and 2025, and approximately 66% and 64% of our revenues for the six months ended June 30, 2026 and 2025, respectively. Based on our shipment information, we believe that revenue attributable to our ten largest end customers accounted for 70% and 64% of our revenue for the three months ended June 30, 2026 and 2025, respectively, and 68% and 64% of our revenue for the six months ended June 30, 2026 and 2025, respectively. We anticipate revenue attributable to this customer will fluctuate from period to period. Although we sell our products to this customer through distributors on a purchase order basis, including, but not limited to, Pernas Electronics Co., Ltd., Arrow Electronics, Inc., and Quantek Technology Corporation,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Precision Timing solutions.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believe our operating results for the foreseeable future will continue to depend to a significant extent on sales attributable to a limited number of customers and end customers. If we are unable to expand or further diversify our customer base, it could harm our business, financial condition,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our end customers were to choose to work with other manufacturers or our relationships with our end customers are disrupted for any reason, it could have a significant negative impact on our business. Any reduction in sales attributable to our larger customers and end customers, including our largest end customer, would have a significant and disproportionate impact on our business, financial condition, and results of operations. Geopolitical tensions are leading to an increasing trend of customers seeking domestically produced products or reducing the dependence upon or use of products from certain countries, which could limit our ability to make sales to these customers.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Further,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sell our products primarily through distributors, usually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Precision Timing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forecasts provided by customers, end customers, or their affiliates or contract manufacturers may change or may later prove to have been inaccurate which could make demand for our products difficult for us to predict and could expose us to the risks of inventory shortages or excess inventory and materially harm our results of operations. As we do not intend to acquire inventory to pre-build custom products, we may not be able to fulfill increased demand in the short term. Any of the foregoing events could materially and adversely affect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revenue and operating results may fluctuate from period to period, which could cause our stock price to fluctuate.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changes. Factors relating to our business that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contribute to fluctuations in our operating results include the following factors, as well as other factors described elsewhere in this report:</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macroeconomic conditions;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cyclical fluctuations in the semiconductor market;</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customer demand and product life cycles;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receipt, reduction, or cancellation of, or changes in the forecasts or timing of, orders by customers;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fluctuations in the levels of inventories held by our distributors or end customers;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gain or loss of significant customers;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changes in our pricing, product cost, and product mix;</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supply chain disruptions, delays, shortages, and capacity limitations;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market acceptance of our products and our customers’ products;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develop, introduce, and market new products and technologies on a timely basis;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timing and extent of product development costs;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new product announcements and introductions by us or our competitors;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research and development costs and related new product expenditures and our ability to achieve cost reductions in a timely or predictable manner;</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seasonality and fluctuations in sales by product manufacturers that incorporate our Precision Timing solutions into their products;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end-market demand into which we have limited insight, including cyclicality, seasonality, and the competitive landscape;</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socioeconomic or political conditions in the countries where we operate or where our products are sold or used;</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 xml:space="preserve">the impact of any pandemic, epidemic, or outbreak of disease, on our business, suppliers, and customers; </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fluctuations in our manufacturing yields;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significant warranty claims, including those not covered by our suppliers;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production disruptions or delays due to failure of information technology infrastructure or enterprise resource planning systems;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new accounting pronouncements or changes in existing accounting standards; and</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loss of one or more of our executive officers or other key employees.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depend on third parties for our wafer fabrication, assembly, packaging, and testing operations, which exposes us to certain risks that may harm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an outsourced manufacturing business model. As a result, we rely on third parties primarily located outside the U.S. for all of our manufacturing operations, including wafer fabrication, assembly, packaging, and testing. Adverse relations between the U.S. and any country supplying our materials could impact timely availability of our inventory.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which are procured or subcontracted by our third-party suppliers for manufacturing of our products are procured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subcontracted on a single or sole-source basis. Except for our agreement with Robert Bosch LLC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Many of our products are manufactured by using older semiconductor manufacturing process technologies. The semiconductor industry is characterized by rapid technological change, with many foundries transitioning their production capacity to smaller, more advanced process nodes. The phasing out of production lines for older nodes may create supply chain vulnerability due to potential obsolescence and limited sourcing options.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The initial term of this supply agreement is through February 2027 and renews automatically. We currently rely primarily on Bosch and Teledyne Digital Imaging Inc. ("Teledyne") for our MEMS fabrication, and primarily on TSMC and United Microelectronics Corporation ("UMC") for our analog circuits fabrication, and any disruption in the supply of wafers or any increases in the wafer or materials prices could adversely affect our gross margins and our ability to meet customer demands in a timely manner, or at all, and lead to reduced revenue. In the past, we have been impacted by a number of industry-wide supply constraints affecting the supply of analog circuits manufactured by certain foundries, including TSMC, and affecting outsourced semiconductor assembly and test providers (“OSATs”), which limited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ensure continued wafer supply, we may be required to establish alternative wafer supply sources, which could require significant expenditures and limit our negotiating leverage. Only a few foundry vendors have the capability to manufacture our most advanced solutions, in particular with respect to our MEMS technology. If we engage alternative supply sources, we may incur additional costs and encounter difficulties and/or delays in qualifying the supply sources. For example, we previously had a license agreement with Bosch under which Bosch granted us a license to use certain patents. Under this agreement, we were required to pay a royalty fee to Bosch if we engaged third parties to manufacture, or if we decided to manufacture ourselves, certain generations of our MEMS wafers. In addition, shipments could be significantly delayed while these sources are qualified for volume production. If we are unable to maintain our relationship with Bosch, TSMC, UMC, or Teledyne, our ability to produce high-quality products could suffer, which in turn could harm our business, financial condition,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currently primarily rely on Advanced Semiconductor Engineering, Inc. (“ASE”), Carsem (M) Sdn. Bhd ("Carsem"). and United Test and Assembly Center Ltd. (“UTAC”) for assembly and testing, as well as Daishinku Corp. (“Daishinku”), UTAC, Hana Semiconductor (Ayutthaya) Co., Ltd, and ASE for ceramic packaging for some of our products. We enter into capacity agreements with certain of our OSATs from time to time, which may adversely impact our gross margins and results of operations if we do not purchase required minimum quantities.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of our manufacturing, packaging, assembly, and testing facilities are located outside of the United States, including Malaysia, Taiwan, Thailand, and Singapore,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longer to accomplish.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 which could damage our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relationships. Although we maintain business disruption insurance, this insurance may not be adequate to cover any losses we may experience as a result of such difficulties.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International trade policies, including tariffs, sanctions and trade barriers may adversely affect our business, financial condition, results of operations and prospects.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Substantial new tariffs and other restrictive trade policies, as well as related legal challenges, have created a dynamic and unpredictable trade landscape, which may adversely impact our business. Laws and regulations regarding tariffs and trade policies are continuously and rapidly evolving, and the scope and interpretation of the laws and regulations that are or may be applicable to us are often uncertain and may be conflicting. As a result, these laws and regulations may be interpreted and applied in a manner inconsistent with our practices or policies and we could face fines, lawsuits, regulatory investigations, and other claims and penalties, and we could be required to fundamentally change our practices, which could adversely affect our business and operating results. Complying with such laws and regulations may be time-consuming and require additional resources, and could therefore adversely affect our business and results of operations.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Notwithstanding legal challenges, current or future tariffs or other restrictive trade measures may significantly raise the costs of raw materials, components or finished goods, which may adversely impact both our product offerings and our operational expenses. Such cost increases may reduce our margins and require us to increase prices, which could harm our competitive position, reduce customer demand and damage customer relationships. Our manufacturers, suppliers and distribution channels are also affected by the current trade environment, and we may experience supply chain disruptions as a result of increased costs and uncertainty, as well as risks to the long-term viability of key vendors, which may impact our ability to meet customer demand or manage inventory efficiently. Tariff and other trade-related cost pressures and supply chain disruptions may lead to reputational harm if we are unable to deliver products or services on expected timelines or if any price increases are poorly received by customers or business partners. In addition, many of our customers operate businesses that may be impacted by trade policies, which may result in decreased demand for our products or extended sales cycles as customers assess the impact of evolving trade policies on their operations and face increased costs or decreased revenue due to tariffs and trade restrictions.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Trade disputes, trade restrictions, tariffs and other geopolitical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products, delay purchases, limit expansion opportunities with customers, limit our access to capital, or otherwise negatively impact our business and operations. Ongoing tariff, trade restrictions and macroeconomic uncertainty has and may continue to contribute to volatility in the price of our common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complexity of announced or future tariffs may also increase the risk that we or our customers or suppliers may be subject to civil or criminal enforcement actions in the U.S. or foreign jurisdictions related to compliance with trade regulations. In addition, retaliatory trade policies or anti-U.S. sentiment in certain regions whether driven by trade tensions, political disagreements, or regulatory concerns may make customers, governments, and investors more hesitant to engage with, purchase from or invest in U.S. firms. This may lead to increased preference for local competitors, changes to government procurement policies, heightened regulatory scrutiny, decreased intellectual property protections, delays in regulatory approvals or other retaliatory regulatory non-tariff policies, which may result in heightened international legal and operational risks and difficulties in attracting and retaining non-U.S. customers, suppliers, employees, partners and investors.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Ongoing uncertainty regarding trade policies may also further complicate our short- and long-term strategic planning, and that of our partners and customers, including decisions regarding hiring, product strategy, capital investment, supply chain design and geographic expansion.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elsewhere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 significant portion of our operations is located outside of the United States, which subjects us to additional risks, including increased complexity and costs of managing international operations and geopolitical instability.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outsource the fabrication and assembly of all of our products to third parties that are primarily located in Germany and Asia. In addition, we conduct research and development activities in locations including the United States, Japan, the Netherlands, Taiwan, Ukraine, Finland, India, Canada, and China. We also conduct marketing and administrative functions in the United States, Japan, the Netherlands, China, Taiwan, Malaysia, Ukraine, and India. Members of our sales force are located in various locations outside of the United States. Certain of the critical functions for our business are performed in locations outside of the United States. In addition, approximately 95% and 93% of our revenue for the three months ended June 30, 2026 and 2025, respectively, and 94% and 93% of our revenue for the six months ended June 30, 2026 and 2025, respectively,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complexity and costs of managing international operations, including manufacturing, assembly, and testing of our products and associated costs;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geopolitical and military conflicts, including the effects of political and military conflict in Russia, Ukraine, and the Middle East;</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economic instability, including the effects of rising inflation and increased interest rates;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limited protection for, and vulnerability to theft of, our intellectual property rights, including our trade secrets;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compliance with local laws and regulations and unanticipated changes in local laws and regulations, including tax laws and regulations;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trade and foreign exchange restrictions and higher tariffs, including the ongoing trade tensions between the U.S. and China that has resulted in higher tariffs on certain semiconductor products and increased trade restrictions;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timing and availability of import and export licenses and other governmental approvals, permits, and licenses, including export classification requirements;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foreign currency fluctuations and exchange losses relating to our international operating activities;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restrictions imposed by the U.S. government or foreign governments on our ability to do business with certain companies or in certain countries as a result of international political conflicts and the complexity of complying with those restrictions;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transportation delays and other consequences of limited local infrastructure, and disruptions, such as large scale outages or interruptions of service from utilities or telecommunications providers;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difficulties in staffing international operations;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changes in immigration policies which may impact our ability to hire personnel;</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local business and cultural factors that differ from our normal standards and practices;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differing employment practices and labor relations;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requirements in foreign countries which may impact availability of personnel, such as mandatory military service in countries such as Ukraine, Taiwan, and Finland;</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heightened risk of terrorist acts;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regional health issues and the impact of public health epidemics on employees and the global economy; and</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 xml:space="preserve">power outages and natural disasters;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and UMC in Taiwan for the fabrication of our analog circuits and have engineering personnel in Taiwan and sales force personnel in China. If political tensions between China and Taiwan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were to increase further, it could disrupt our business and adversely affect our financial condition and results of operations. In addition, given the ongoing political and military conflict in Russia and Ukraine, if the relationship between Russia and the United States worsens further, or we are restricted or precluded from continuing our operations in Ukraine, it could disrupt our business, our costs could increase, and our product development efforts, business, financial condition, and results of operations could be significantly harmed.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sell our Precision Timing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may deteriorate.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we fail to anticipate or respond to technological shifts or market demands, or to develop new or enhanced products or technologies in response to the same in a timely manner,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manner, and our designs do not gain acceptance, we will lose market share and our competitive position.</w:t>
      </w:r>
    </w:p>
    <w:p>
      <w:pPr>
        <w:pStyle w:val="TextBody"/>
        <w:bidi w:val="0"/>
        <w:spacing w:lineRule="auto" w:line="288" w:before="120" w:after="283"/>
        <w:jc w:val="left"/>
        <w:rPr/>
      </w:pPr>
      <w:r>
        <w:rPr>
          <w:rFonts w:ascii="Times New Roman;serif" w:hAnsi="Times New Roman;serif"/>
          <w:b w:val="false"/>
          <w:color w:val="000000"/>
          <w:sz w:val="20"/>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Times New Roman;serif" w:hAnsi="Times New Roman;serif"/>
          <w:b/>
          <w:i/>
          <w:color w:val="000000"/>
          <w:sz w:val="20"/>
        </w:rPr>
        <w: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experience difficulties demonstrating the value to customers of newer solutions if they believe existing solutions are adequate to meet end customer expectations. If we are unable to sell new generations of our product, our business would be harmed.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develop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commercially successful products under such arrangements in a timely manner as a result of any of these and other challenges could have a material adverse effect on our business, results of operations, and financial condition.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success of our products is dependent on our customers’ ability to develop products that achieve market acceptance, and our customers’ failure to do so could negatively affect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success of our Precision Timing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target customer and product markets may not grow or develop as we currently expect, and if we fail to penetrate new markets and scale successfully within those markets, our revenue and financial condition would be harmed.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target markets include the communications, datacenter, and enterprise, automotive, industrial, aerospace, defense, and mobile, IoT, and consumer markets. Substantially all of our revenue to date has been attributable to sales of MEMS oscillators. We have expanded our products to include clock IC and timing synchronization solutions. Any deterioration in our target customer or product markets or reduction in capital spending to support these markets could lead to a reduction in demand for our products, which would adversely affect our revenue and results of operations. Further, if our target customer markets do not grow or develop in ways that we currently expect, demand for our technology may not materialize as expected, which would also negatively impact our business, financial condition,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future revenue growth, if any, will depend in part on our ability to expand within our existing markets and our ability to enter into new markets. Each of our end markets presents distinct and substantial challenges and risks and, in many cases, requires us to develop new customized solutions to address the particular requirements of that market. Meeting the technical requirements and securing future design wins in any of these new markets will require a substantial investment of our time and resources. We cannot assure you that we will secure future design wins from these or other new markets, or that we will achieve meaningful revenue from sales in these markets. If new markets do not develop as we currently anticipate or if we are unable to penetrate them and scale in them successfully, our revenue could decline.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Fluctuations in exchange rates between and among the currencies of the countries in which we do business could adversely affect our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sales have been historically denominated in U.S. dollars, even when sold to customers located outside of the U.S. An increase in the value of the U.S. dollar relative to the currencies of the countries in which our customers operate could increase the real cost to our customers of our products and impair the ability of our customers to cost-effectively purchase or integrate our solutions into their product offerings, which may materially affect the demand for our solutions and cause these customers to reduce their orders, or may increase pressure on us to lower our product prices, which in each case would adversely affect our revenue and business.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we increase operations in other currencies in the future, we may experience foreign exchange gains or losses due to the volatility of other currencies compared to the U.S. dollar. Certain of our employees are located primarily in Canada, Finland, India, Japan, Malaysia, the Netherlands, Taiwan, and Ukraine.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average selling prices of our individual products have fluctuated historically over time and may do so in the future, which could harm our revenue and gross margins.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Although on average selling prices of our products have increased over time as we introduce higher end products, the average selling prices of our individual products generally decrease over time.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are not able to successfully introduce and ship in volume new products in a timely manner, our business and revenue will suffer.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consistently introduce new products that ship in volume, or if our transition to these new products does not successfully occur prior to any decrease in revenue from our prior products, our revenue will likely decline significantly and rapidly.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Pandemics, epidemics, or other outbreaks of disease have had and may in the future have an adverse impact upon our business,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future pandemic, epidemic, health crisis, or other outbreak of disease, may negatively and materially impact our business, results of operations, and financial condition, due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global economic recession or depression that could significantly reduce demand and/or prices for our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reduced productivity in our product development, operations, marketing, sales, and other activities;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government mandates, guidance, or recommendations regarding shutdown, closures, or other restrictions;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disruptions to our supply chain;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higher rate of losses on our accounts receivable due to credit defaults;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volatility in our stock price.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potential impact that a future pandemic, epidemic, health crisis, or other outbreak of disease, could have on our business, results of operations, and financial condition, and on the other risk factors described in this “Risk Factors” section, remain unclear and difficult to predict.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gross margins may fluctuate due to a variety of factors, which could negatively impact our results of operations and our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gross margins may fluctuate due to a number of factors, including customer and product mix, market acceptance of our new products, timing and seasonality of the end-market demand, yield, wafer pricing, packaging, and testing costs, competitive pricing dynamics, and geographic and market pricing strategies.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do not operate our own manufacturing, assembly, or testing facilities, we may not be able to reduce our costs as rapidly as companies that operate their own facilities, and our costs may even increase, which could further reduce our gross margins. In the past, we have experienced increases in our manufacturing costs due to industry wide increases in costs. We rely primarily on obtaining yield improvements and volume-based cost reductions to drive cost reductions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revenue in previous periods may not be indicative of future performance and our revenue may fluctuate over time.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revenue has fluctuated over time. Our revenue was $157.4 million and $69.5 million for the three months ended June 30, 2026 and 2025, respectively, and $271.0 million and $129.8 million for the six months ended June 30, 2026 and 2025, respectively. You should not rely on our revenue for any previous quarterly or annual periods as any indication of our revenue for future fiscal periods. As we grow our business, our revenue may fluctuate in future periods due to a number of reasons, which may include macroeconomic conditions, slowing demand for our products, increasing competition, a decrease in the growth of our overall market or market saturation, or our failure to capitalize on growth opportunities.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are unable to manage our growth effectively, we may not be able to execute our business plan and our operating results could suffer.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Precision Timing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Prior to purchasing our Precision Timing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provide a lifetime warranty on our products and may be subject to warranty or product liability claims, which could result in unexpected expenses and loss of market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a limited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defend those claims, replace our solutions, refund payments, or pay damage awards. This risk is exacerbated by the lifetime warranty of our products, which exposes us to warranty claims for the entire product lifecycle.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Precision Timing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Defects in our products or failures to meet product specifications could harm our relationships with our customers and damage our reputation.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fail to accurately anticipate and respond to rapid technological change in the industries in which we operate, our ability to attract and retain customers could be impaired and our competitive position could be harmed.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operate in industries characterized by rapidly changing and evolving technologies such as AI, as well as technological obsolescence. The introduction of new products by our competitors, the delay or cancellation of any of our customers’ product offerings for which our Precision Timing solutions are designed, the market acceptance of products based on new or alternative technologies, or the emergence of new industry standards could render our existing or future products uncompetitive, obsolete, and otherwise unmarketable. Our failure to anticipate or develop new or enhanced products or technologies in a timely manner in response to changing market demand, whether due to technological shifts or otherwise, could result in the loss of customers and decreased revenue and have an adverse effect on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our products do not conform to, or are not compatible with, existing or emerging industry standards, demand for our existing solutions may decrease, which in turn would harm our business and operating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design certain of our products to conform to current industry standards. Some industry standards may not be widely adopted or implemented uniformly and competing standards may emerge that may be preferred by our distributors or our end customers.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ability to compete in the future will depend on our ability to identify and ensure compliance with evolving industry standards in our target markets, as well as in the timing semiconductor industry. The emergence of new industry standards could render our products incompatible with products developed by third-party suppliers or make it difficult for our products to meet the requirements of certain original equipment manufacturers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be unable to make the substantial investments that are required to remain competitive in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fail to compete effectively, we may lose or fail to gain market share, which could negatively impact our operating results and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global semiconductor market in general, and the timing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In addition, companies that we compete with may implement AI strategies for products and services. As a result, they may be more successful in their AI strategy and develop superior products and services with the aid of AI. Our competitors range from large, international companies offering a wide range of timing products to smaller companies, including start-ups, specializing in narrow market verticals. Companies that we primarily compete with include, but are not limited to, Abracon LLC, Daishinku Corp., Diodes Incorporated, Kyocera Corporation, Microchip Technology Inc., Murata Manufacturing Co., Ltd., Nihon Dempa Kogyo Co., Ltd., Rakon Limited, Seiko Epson Corporation, Skyworks Solutions, Inc., Texas Instruments Incorporated, and TXC Corporation.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Our ability to compete successfully will depend on a number of factors, including:</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define, design, and regularly introduce new products that anticipate the functionality and integration needs of our customers’ next-generation products and applications;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build strong and long-lasting relationships with our customers and other industry participants;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capitalize on, and prevent losses due to, vertical integration by significant customers;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solutions’ performance and cost-effectiveness relative to those of competing products;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achieve design wins;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effectiveness and success of our customers’ products utilizing our solutions within their competitive end markets;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research and development capabilities to provide innovative solutions and maintain our product roadmap;</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strength of our sales and marketing efforts, including those of our distributors, and our brand awareness and reputation;</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secure capacity with our foundry and assembly partners to manufacture and assemble our products;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deliver products in volume on a timely basis at competitive prices;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withstand or respond to significant price competition;</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build and expand international operations in a cost-effective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obtain, maintain, protect, and enforce our intellectual property rights, including obtaining intellectual property rights from third-parties that may be necessary to meet the evolving demands of the market;</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defend potential patent infringement claims arising from third-parties;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promote and support our customers’ incorporation of our solutions into their products; and</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retain high-level talent, including our management team and engineers.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depend on our executive officers and other key employees, and the loss of one or more of these employees or an inability to attract or retain highly skilled employees could adversely affect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success depends largely upon the continued services of our executive officers and other highly skilled key employees, including in engineering, product development, operations, sales, and marketing.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including due to adverse business conditions, could have an adverse effect on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execute our growth plan, we must attract and retain highly qualified personnel. Competition for these personnel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company culture has contributed to our success and if we cannot maintain this culture, our business could be harmed.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believe that our company culture, which promotes innovation, open communication, and teamwork, has been critical to our success. We face a number of challenges that may affect our ability to sustain our corporate culture, including:</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potential failure to identify, attract, reward, and retain people in leadership positions in our organization who share and further our culture, values, and mission;</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increasing size and geographic diversity of our workforce;</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successful integration of employees who join the Company through hiring, acquisitions, or other business expansion initiatives, and the risk that differences in organizational culture, work practices, expectations, or employee engagement may reduce collaboration, distract management, increase turnover, and adversely affect productivity and execution;</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competitive pressures to move in directions that may divert us from our mission, vision, and values;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continued challenges of a rapidly-evolving industry; and</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increasing need to develop expertise in new areas of business that affect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we are not able to maintain our culture, our business, financial condition, and results of operations could be adversely affected.</w:t>
      </w:r>
    </w:p>
    <w:p>
      <w:pPr>
        <w:pStyle w:val="TextBody"/>
        <w:bidi w:val="0"/>
        <w:spacing w:lineRule="auto" w:line="288" w:before="120" w:after="283"/>
        <w:jc w:val="left"/>
        <w:rPr/>
      </w:pPr>
      <w:r>
        <w:rPr>
          <w:rFonts w:ascii="Times New Roman;serif" w:hAnsi="Times New Roman;serif"/>
          <w:b/>
          <w:i/>
          <w:color w:val="000000"/>
          <w:sz w:val="20"/>
        </w:rPr>
        <w:t>Our acquisition of certain assets and an exclusive license to certain intellectual property of Aura involves a number of risks</w:t>
      </w:r>
      <w:r>
        <w:rPr>
          <w:rFonts w:ascii="Times New Roman;serif" w:hAnsi="Times New Roman;serif"/>
          <w:b w:val="false"/>
          <w:color w:val="000000"/>
          <w:sz w:val="2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December 1, 2023, we closed the acquisition of certain assets and an exclusive license to certain intellectual property of Aura. The payment obligations in connection with the acquisition have and will continue to reduce our liquidity, and may limit our flexibility in responding to other business opportunities, as well as increase our vulnerability to adverse economic and industry conditions.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entered into the transaction with Aura with the expectation that the transaction would result in various benefits to us, including the expansion of our product portfolio, and growth of our business. To realize the anticipated benefits of the acquisition, the products of Aura must be successfully completed, delivered to us, and then integrated. Product completion can be complex and time consuming, and Aura may not be able to deliver the products on time or deliver products that meet the agreed specified criteria. Further, we may face significant challenges in integrating the technologies and products. If the products are not successfully completed and integrated, the anticipated benefits of the transactions may not be realized fully or may take longer to realize than expected. The acquisition may not further our business strategy as we expect and we may experience unanticipated costs or liabilities associated with the acquisition, which could adversely affect our business or operating results and potentially cause impairment to assets that we recorded as a part of the acquisition including intangible assets and goodwill. In addition, if we are unable to integrate and retain personnel that joined us as part of the transaction with Aura, we may not be able to fully capitalize on the benefits. Any of the above could decrease the benefits we expect to receive from the agreement with Aura and adversely affect our financial condition and operating results.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have in the past and may in the future make business investments and may not be able to realize the potential benefits of business investments, which could hurt our ability to grow our business, develop new products or sell our products.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invested and may continue to invest in private companies to further our strategic objectives and to support certain key business initiatives. These companies can include early-stage companies still defining their strategic direction. Our investments in private companies could create volatility and fluctuations in our results. Many of the securities in which we invest are non-marketable and illiquid at the time of our initial investment, and we may not be able to achieve a return. To the extent any of the companies in which we invest is not successful, we could recognize an impairment and/or lose all or part of our investment.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have in the past and may in the future make acquisitions that could disrupt our business, cause dilution to our stockholders, reduce our financial resources, and harm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in the past, and may in the future, seek to acquire other businesses, products, or technologies, and such acquisitions may involve a number of risks. </w:t>
      </w:r>
    </w:p>
    <w:p>
      <w:pPr>
        <w:pStyle w:val="TextBody"/>
        <w:bidi w:val="0"/>
        <w:spacing w:lineRule="auto" w:line="288" w:before="120" w:after="283"/>
        <w:jc w:val="left"/>
        <w:rPr/>
      </w:pPr>
      <w:r>
        <w:rPr>
          <w:rFonts w:ascii="Times New Roman;serif" w:hAnsi="Times New Roman;serif"/>
          <w:b w:val="false"/>
          <w:color w:val="000000"/>
          <w:sz w:val="20"/>
        </w:rPr>
        <w:t>For example, on July 1, 2026, we completed the acquisition of certain assets related to the timing business of Renesas ("the Renesas Acquisition"). The Renesas Acquisition subjects us to a number of additional risks that may adversely affect our business, financial condition, and results of operations, including the following: the operating performance after the completion of the Renesas Acquisition may vary significantly from actual results; the attention of management may be diverted to the integration of the acquired assets rather than to current operations or the pursuit of other opportunities that could be beneficial to the Company; and the integration process may require significant time and resources, and we may not be able to manage the process successfully. While management currently anticipates that the Renesas Acquisition will be accretive to our net economic earnings per share beginning in fiscal year 2026, this expectation is based on preliminary estimates that may materially change. We may encounter additional acquisition and integration-related costs, fail to realize all of the anticipated benefits of the Renesas Acquisition we may not be able to manage the process successfully, or be subject to other factors that affect preliminary estimates. Management is in the early stages of assessing the magnitude of these costs and additional unanticipated costs may be incurred.</w:t>
      </w:r>
      <w:r>
        <w:rPr>
          <w:color w:val="000000"/>
        </w:rPr>
        <w:t xml:space="preserve"> </w:t>
      </w:r>
      <w:r>
        <w:rPr>
          <w:rFonts w:ascii="Times New Roman;serif" w:hAnsi="Times New Roman;serif"/>
          <w:b w:val="false"/>
          <w:color w:val="000000"/>
          <w:sz w:val="20"/>
        </w:rPr>
        <w:t xml:space="preserve">Although we expect that the Renesas Acquisition to result in various benefits, including synergies, cost savings and other financial and operational benefits, there can be no assurance regarding when or the extent to which we will be able to realize these benefits. Achieving the anticipated benefits is subject to a number of uncertainties, including whether the acquired business can be operated in the manner we intend. Events outside of our control, including but not limited to regulatory changes or developments, could also adversely affect our ability to realize the anticipated benefits from the Renesas Acquisition. Thus, the integration of the Renesas Acquisition may be unpredictable, subject to delays or changed circumstances, and we can give no assurance that the acquired business will perform in accordance with our expectations or that our expectations with respect to Renesas Acquisition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materialize. In addition, our anticipated costs to achieve the integration of the Acquired Business may differ significantly from our current estimates.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on December 1, 2023, we closed the acquisition of certain assets and an exclusive license to certain intellectual property of Aura. The payment obligations in connection with the acquisition have and will continue to reduce our liquidity, and may limit our flexibility in responding to other business opportunities, as well as increase our vulnerability to adverse economic and industry conditions. If the products are not successfully completed and integrated, the anticipated benefits of the transactions may not be realized fully or may take longer to realize than expected. The acquisition may not further our business strategy as we expect and we may experience unanticipated costs or liabilities associated with the acquisition, which could adversely affect our business or operating results and potentially cause impairment to assets that we recorded as a part of the acquisition including intangible assets and goodwill.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ability to make such acquisitions and successfully integrate personnel, technologies, or operations of these acquired businesses is unproven. If we complete acquisitions, we may not achieve the combined revenue, cost synergies, or other benefits from the acquisition that we anticipate, strengthen our competitive position, or achieve our other strategic goals in a timely manner, or at all, and these acquisitions may be viewed negatively by our customers, financial markets, or investors. For example, following the closing of the Renesas Acquisition, we are relying on Renesas to supply products and support customer deliveries pursuant to a transitional services arrangement. If Renesas is unable to satisfactorily perform, we could be exposed to operational risk, which would negatively impact our ability to meet customer demand, and harm our operating results. In addition, any acquisitions we make may create difficulties in integrating personnel, technologies, and operations from the acquired businesses and in retaining and motivating key personnel. For example, if we fail to successfully integrate Renesas employees into our corporate culture, or fail to integrate the products, features, and technologies associated with the Renesas Acquisition in a timely fashion, our business and reputation could be significantly harmed. We may encounter challenges with incorporating the acquired products, features, and technologies while maintaining quality and security standards, or we may fail to identify security vulnerabilities in acquired technology, assets, or data, prior to integration with our technology and systems. Acquisitions may disrupt our ongoing operations, divert management from their primary responsibilities, cause us to forgo other potential transactions or internal projects,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 Further, acquisitions may result in charges such as acquisition-related expenses, write-offs, restructuring charges, or future impairment of goodwill, as well as contingent liabilities, adverse tax consequences, additional share-based compensation expense, and other charges that could adversely affect our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transactions, or parts of any such transactions, may fail to be completed due to factors such as: failure to obtain regulatory or other required approvals, disputes or litigation, or difficulties obtaining financing for the transaction. Even if we fail to complete an acquisition, we may have incurred significant expenses in connection with such transaction and the failure to complete a pending acquisition may result in negative publicity and a negative perception of us among the investment community.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foregoing reasons, pursuit of an acquisition of other businesses, products, or technologies could adversely impact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the foundries with which we contract do not achieve satisfactory yields or quality, our reputation and customer relationships could be harmed.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Raw material and engineered material availability and price fluctuations have in the past and may in the future increase the cost of our products, impact our ability to meet customer commitments, and may adversely affect our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limited or delayed availability,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rely on our relationships with industry and technology leaders to enhance our product offerings and our inability to continue to develop or maintain such relationships in the future would harm our ability to remain competitive.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develop many of our Precision Timing solutions for applications in systems that are driven by industry and technology leaders in the communications and computing markets. We work with distributors,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Precision Timing solutions could become less desirable to our customers, our sales could suffer and our competitive position could be harmed.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ability to receive timely payments from, or the deterioration of the financial conditions of, our distributors or our end customers could adversely affect our operating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Based on our review of our customers annually and as of June 30, 2026, substantially all of which are large distributors, OEMs, and system manufacturers, we had $0.1 million in allowance for credit losses as of June 30, 2026 and December 31, 2025. However, if our credit losses were to exceed our current or future allowance for credit losses, our business, financial condition, and results of operations would be adversely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not be able to accurately predict our future capital needs, and we may not be able to obtain additional financing to fund our operations on acceptable terms, or at all.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historically funded our operations through equity financings and sales of our products. We cannot be certain if our operations will continue to generate sufficient cash to fully fund our ongoing operations or the growth of our business. If our ongoing operations, growth and any other investments to support our business cannot be funded by our operations, we may be required to engage in equity or debt financings to secure additional funds. For example, in May 2026, in connection with the Renesas Acquisition, we issued $1,350.0 million aggregate principal amount of 0% Convertible Senior Notes due 2031. Any required or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debt holders would have rights senior to holders of common stock to make claims on our assets and the terms of those financing arrangements may include negative covenants or other restrictions on our business that could restrict our operations, including our ability to pay dividends on our common stock, and would also require us to incur additional interest expense. Because our decision to issue securities in the future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 Our inability to obtain adequate financing on terms satisfactory to us, when we require it, could significantly limit our ability to continue to support our business growth, respond to business challenges, expand our operations or otherwise capitalize on our business opportunities due to lack of sufficient capital. Even if we are able to raise such capital, we cannot assure you that it will enable us to achieve better operating results or grow our business.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leverage could adversely affect our financial condition, our ability to raise additional capital to fund our operations, our ability to operate our business, our ability to react to changes in the economy or our industry, divert our cash flow from operations for any debt payments and prevent us from meeting our debt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we issued $1,350.0 million aggregate principal amount of 0% Convertible Senior Notes due 2031 (the “Notes”). In addition, on June 30, 2026, we entered into a Credit Agreement with Wells Fargo Bank, National Association as administrative agent and the lenders party thereto (the “Credit Agreement”), which provides a $200.0 million revolving credit facility. No amounts were outstanding under the revolving credit facility as of June 30, 2026. We may enter into other financing arrangements from time to time.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may not be able to refinance our existing indebtedness because of our amount of debt, debt incurrence restrictions under our debt agreements or adverse conditions in credit markets generally. Our inability to generate sufficient cash flow to satisfy our debt obligations, or to refinance our indebtedness on commercially reasonable terms or at all, would result in an adverse effect on our financial condition and results of operations. Although our Credit Agreement contains restrictions on the incurrence of additional indebtedness and entering into certain types of other transactions, these restrictions are subject to a number of qualifications and exceptions. Additional indebtedness incurred in compliance with these restrictions could be substantial. These restrictions also do not prevent us from incurring certain obligations, such as trade payables.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capped call transactions entered into in connection with the issuance of the Notes may affect the value of the Notes and our common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issuance of the Notes, we entered into capped call transactions (the “Capped Call Transactions”) with the underwriters or their affiliates and certain other financial institutions. The Capped Call Transactions cover, subject to customary adjustments, the number of shares of our common stock initially underlying the Notes. The Capped Call Transactions are expected generally to reduce the potential dilution to our common stock upon any conversion of Notes and/or offset any cash payments we are required to make in excess of the principal amount of converted Notes, as the case may be, with such reduction and/or offset subject to a cap.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establishing their initial hedges of the Capped Call Transactions, the Capped Call counterparties or their respective affiliates likely entered into various derivative transactions with respect to our common stock and/or purchased shares of our common stock concurrently with or shortly after the pricing of the Notes, including with, or from, as the case may be, certain investors in the Notes. In addition, the Capped Call counterparties or their respective affiliates may modify their hedge positions by entering into or unwinding various derivatives with respect to our common stock and/or purchasing or selling our common stock or other securities of ours in secondary market transactions following the issuance of the Notes and prior to the maturity of the Notes (and are likely to do so during the 40 trading day period beginning on the 41st scheduled trading day prior to the maturity date of the Notes, or, to the extent we exercise the relevant election under the Capped Call Transactions, following any repurchase, redemption, or conversion of the Notes). The potential effect, if any, of these transactions and activities on the market price of our common stock or the Notes will depend in part on market conditions and cannot be ascertained at this time. Any of these activities could adversely affect the value of our common stock and the value of the Notes.</w:t>
      </w:r>
    </w:p>
    <w:p>
      <w:pPr>
        <w:pStyle w:val="TextBody"/>
        <w:bidi w:val="0"/>
        <w:spacing w:lineRule="auto" w:line="288" w:before="120" w:after="283"/>
        <w:jc w:val="left"/>
        <w:rPr/>
      </w:pPr>
      <w:r>
        <w:rPr>
          <w:rFonts w:ascii="Times New Roman;serif" w:hAnsi="Times New Roman;serif"/>
          <w:b/>
          <w:i/>
          <w:color w:val="000000"/>
          <w:sz w:val="20"/>
        </w:rPr>
        <w:t>We are subject to counterparty risk with respect to the Capped Call Transactions.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Capped Call counterparties are financial institutions, and we will be subject to the risk that any or all of them might default under the Capped Call Transactions. Our exposure to the credit risk of the Capped Call counterparties will not be secured by any collateral. Global economic conditions have from time to time resulted in the actual or perceived failure or financial difficulties of many financial institutions and could adversely affect the option counterparties’ performance under the Capped Call Transactions. If a Capped Call counterparty becomes subject to insolvency proceedings, we will become an unsecured creditor in those proceedings with a claim equal to our exposure at that time under the Capped Call Transactions with such Capped Call counterparty. Our exposure will depend on many factors but, generally, an increase in our exposure will be correlated to an increase in the market price and in the volatility of our common stock.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upon a default by a Capped Call counterparty, we may suffer more dilution than we currently anticipate with respect to our common stock. We can provide no assurances as to the financial stability or viability of the option counterparties.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the terms of the Capped Call Transactions may be subject to adjustment, modification or, in some cases, renegotiation in the event of certain corporate and other transactions. The Capped Call Transactions may not operate as we intend in the event that we are required to adjust the terms of such instruments as a result of transactions in the future or in the event of other unanticipated developments that may adversely affect the functioning of the Capped Call Transactions.</w:t>
      </w:r>
    </w:p>
    <w:p>
      <w:pPr>
        <w:pStyle w:val="TextBody"/>
        <w:bidi w:val="0"/>
        <w:spacing w:lineRule="auto" w:line="288" w:before="120" w:after="283"/>
        <w:jc w:val="left"/>
        <w:rPr/>
      </w:pPr>
      <w:r>
        <w:rPr>
          <w:rFonts w:ascii="Times New Roman;serif" w:hAnsi="Times New Roman;serif"/>
          <w:b/>
          <w:i/>
          <w:color w:val="000000"/>
          <w:sz w:val="20"/>
        </w:rPr>
        <w:t>Our Credit Agreement currently imposes and any other debt we incur may impose significant operating and financial restrictions on us and our subsidiaries, which may prevent us from capitalizing on business opportunities.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that governs our revolving credit facility imposes significant operating and financial restrictions on us. These restrictions limit the ability of our subsidiaries, and effectively limit our ability to, among other things: incur or guarantee additional debt or issue disqualified equity interests; pay dividends and make other distributions on, or redeem or repurchase, capital stock; make certain investments; incur certain liens; enter into transactions with affiliates; merge or consolidate; and enter into agreements that restrict the ability of restricted subsidiaries to make certain dividends, distributions, payments or transfers. Any other indebtedness we incur could impact our business and financial condition in one or more of the following ways: requiring a substantial portion of cash flow from operations to be dedicated to the payment of principal and interest on our indebtedness; exposing us to increased interest expense; making it more difficult for us to satisfy our obligations with respect to our indebtedness; restricting us from making strategic acquisitions; limiting our ability to obtain additional financing for working capital, capital expenditures, product development, satisfaction of debt service requirements, acquisitions and general corporate or other purposes; increasing our vulnerability to adverse economic, industry or competitive developments; and limiting our flexibility in planning for, or reacting to, changes in our business or market conditions and placing us at a competitive disadvantage compared to our competitors who may be better positioned to take advantage of opportunities that our leverage prevents us from exploiting. As a result of any of the existing restrictions described above or any other restrictions arising from our indebtedness, we could be limited as to how we conduct our business and we may be unable to raise additional debt or equity financings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 Our failure to comply with any of the existing restrictions described above or any other restrictions associated with the terms of any future indebtedness from time to time could result in an event of default, which, if not cured or waived, could result in us being required to repay these borrowings before their due date. If we are forced to refinance these borrowings on less favorable terms or are unable to refinance these borrowings, our results of operations and financial condition could be adversely affected.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Failure to comply with the laws associated with our activities outside of the United States could subject us to penalties and other adverse consequences.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would have an adverse effect on our reputation,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are subject to government regulation, including import, export and economic sanctions laws and regulations that may expose us to liability and increase our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These laws and regulations are continuously and rapidly evolving, and the scope and interpretation of the laws and regulations that are or may be applicable to us are often uncertain and may be conflicting.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internal control over financial reporting may not prevent or detect misstatements because of its inherent limitations, including the possibility of human error, failure or interruption of information technology systems, the circumvention or overriding of controls, or fraud.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results of operations could be harmed, and we could fail to meet our financial reporting obligations.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Changes in environmental laws or regulations, as well as sustainability initiatives, could impose substantial costs and may adversely affect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or manufacturing standards could be impacted by new or revised environmental rules and regulations or other social initiatives. For example, a significant portion of our revenue comes from international sales. Environmental laws or regulations in those countries or in the countries of our end customers may increase our cost of doing business and adversely affect our business and results of operations.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Many customers, regulators, investors, employees, and other stakeholders are focusing on sustainability matters. While we have certain sustainability initiatives, there is no assurance that customers, regulators, investors, and employees will determine that these programs are sufficient. Any actual or perceived shortcomings with respect to our sustainability initiatives and reporting can impact our ability to retain certain customers or increase our customer base, reelect our board of directors, attract and retain certain types of investors, or hire and retain employees. Collecting, measuring, and reporting sustainability information and metrics can be costly, difficult and time consuming, is subject to evolving reporting standards, and can present numerous operational, reputational, financial, legal, and other risks, any of which could adversely affect our business as well as on our reputation and stock price.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New or future changes to U.S. and non-U.S. tax laws could materially adversely affect 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fail to comply with government contracting regulations, we could suffer a loss of revenue or other penalties.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criminal penalties, or be debarred or suspended from obtaining future contracts for a specified period of time, which could have an adverse effect on our business.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Tax regulatory authorities may disagree with our positions and conclusions regarding certain tax positions resulting in unanticipated costs or non-realization of expected benefits.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tax authority may disagree with tax positions that we have taken. For example,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Catastrophic events may disrupt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including with respect to climate change, such as fire, power loss, telecommunications failure, cyber-attack, war, terrorist attack, political, social, or economic unrest, pandemic, epidemic, health crisis,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State, federal, and foreign laws and regulations and other legal obligations related to privacy, data protection, and data security could adversely affect 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a variety of laws and regulations worldwide related to privacy, data protection, and data security, such as the European Union’s General Data Protection Regulation or California’s Consumer Privacy Act of 2018 and Privacy Rights Act of 2020. These laws and regulations are continuously and rapidly evolving, and the scope and interpretation of the laws and regulations that are or may be applicable to us are often uncertain and may be conflicting. As a result, these laws and regulations may be interpreted and applied in a manner inconsistent with our practices or policies and we could face fines, lawsuits, regulatory investigations, and other claims and penalties, and we could be required to fundamentally change our practices, which could adversely affect our business and operating results. Complying with such laws and regulations may be time-consuming and require additional resources, and could therefore adversely affect our business and results of operations. Any failure or perceived failure by us or our third-party service providers to comply with our privacy, data protection, or data security policies, or legal or contractual obligations, even if unfounded, may result in governmental enforcement actions, litigation, liability, or negative publicity, and could adversely affect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Security breaches, cyberattacks, and other disruptions to information technology systems owned or maintained by us or third parties, such as vendors or suppliers, could disrupt our operations, compromise the confidentiality of private customer data or our intellectual property, and adversely affect our business, reputation, operations, and financial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our information technology systems, and those of our vendors, suppliers, and customers, including hardware, software, cloud services, infrastructure, networks, and systems, for the effective operation of our business and for secure maintenance and storage of confidential data relating to our business. We also utilize AI tools for process automation and other efficiencies. The use of AI may increase vulnerability to cybersecurity risks, including through unauthorized use or misuse of AI tools or the introduction of malicious code incorporated into AI generated code. AI may also be used for certain cybersecurity attacks. Additionally, in the ordinary course of business we collect and store sensitive data, including intellectual property and proprietary business information as well as personal information of our customers and employees, in data centers and on information technology systems, including systems that may be controlled or maintained by third parties. The secure operation of these information technology systems, and the processing and maintenance of the information processed by these systems, is critical to our business operations. While we and others have implemented various controls and defenses, cybersecurity attacks and threats have continued to become more prevalent and sophisticated. These threats are constantly evolving, making it increasingly difficult to successfully defend against or implement adequate preventive measures. Geopolitical tensions or conflicts have in the past led to, and may in the future lead to, increased risk of cybersecurity attacks. Notwithstanding defensive measures, experienced programmers, hackers, state actors, or others may be able to penetrate our security controls, or those of our vendors, suppliers, or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pPr>
      <w:r>
        <w:rPr>
          <w:rFonts w:ascii="Times New Roman;serif" w:hAnsi="Times New Roman;serif"/>
          <w:b w:val="false"/>
          <w:color w:val="000000"/>
          <w:sz w:val="20"/>
        </w:rPr>
        <w:t>through attacks such as, but not limited to, phishing or other forms of social engineering, impersonating authorized users, ransomware, spyware, viruses, worms and other malicious software programs, software supply chain attacks, exploitation of compromised commercial software, bugs and other security weaknesses</w:t>
      </w:r>
      <w:r>
        <w:rPr>
          <w:color w:val="000000"/>
        </w:rPr>
        <w:t xml:space="preserve"> </w:t>
      </w:r>
      <w:r>
        <w:rPr>
          <w:rFonts w:ascii="Times New Roman;serif" w:hAnsi="Times New Roman;serif"/>
          <w:b w:val="false"/>
          <w:color w:val="000000"/>
          <w:sz w:val="20"/>
        </w:rPr>
        <w:t>and vulnerabilities, and covert introduction of malware to computers and networks. Any attack on the information technology systems of us or one of our vendors, suppliers, or customers may be difficult to detect, designed to remain dormant until a triggering event, or may continue undetected for an extended period of time. In addition, our information technology systems and those of our vendors, suppliers, and customers may be vulnerable to damage, disruptions, or shutdowns due to errors, negligence or malfeasance by employees, contractors, or others who have access to these systems.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Security breaches, cyberattacks, and other disruptions to our information technology systems or those of our vendors, suppliers, or customers could compromise the confidentiality, operational integrity, and accessibility of our information technology systems, or those of our vendors, suppliers, or customers, which could result in the compromise, unauthorized publication, or loss of proprietary data, intellectual property, or personal information, as well as interruptions or delays in our business operations, loss of existing or future customers, and damage to our reputation, which could adversely affect our business, reputation, and financial results. In addition, such events could result in violations of privacy or other laws, increase the risk of litigation or regulatory investigation, or cause us to incur direct losses if attackers initiate wire transfers or access our bank or investment accounts. We expect ongoing and increasing costs related to investments in technology, controls, processes, and practices; however these investments may not be sufficient to shield us from significant losses or liability in the event of security breaches, cyberattacks, or other disruptions to our information technology systems.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business may be impacted by information technology system failures or network disruptions, and lack of redundancy.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In addition, our information technology systems may not support new business models and applications, including with respect to AI, and significant investments may be required in order to upgrade such systems. Our systems are not fully redundant and depending on the severity of the damage or interruption, our disaster recovery plans may be inadequate or ineffective. These events could also damage our reputation, and result in increased costs or loss of sales.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not be able to utilize a significant portion of our net operating loss carryforwards and research and development tax credit carryforwards.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U.S. federal, state and foreign NOL carryforwards of approximately $344.3 million, $85.1 million and $0.2 million, respectively, and U.S. federal and state research and development tax credit carryforwards of approximately $3.9 million and $3.6 million, respectively. The U.S. federal, state, and the foreign NOL carryforwards begin to expire in 2028. The U.S. federal research and development tax credit carryforwards began to expire in 2025 and the state research and development tax credit carryforwards carry forward indefinitely. These NOL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may be limited. We completed a Section 382 analysis and determined an ownership change last occurred in 2014 and concluded that it had no impact on U.S. federal and California NOLs or on U.S. federal research and development credits. Our initial public offering in November 2019 and our follow-on offering on June 27, 2025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updated the Section 382 analysis through December 31, 2025, and concluded there have not been any additional ownership changes as defined under Section 382 since the June 16, 2020 follow-on offering. We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would harm our future business, financial condition, and results of operations by effectively increasing our future tax obligations. In addition, under the Tax Act, federal NOLs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incurred in 2018 and in future years may be carried forward indefinitely but generally may not be carried back and the deductibility of such NOLs is limited to 80% of taxable income. Under the Coronavirus Aid, Relief, and Economic Security Act, which was signed into law in 2020, an NOL from a tax year beginning in 2018, 2019 or 2020 can be carried back five years and would not be subject to the 80%-of-income limitation if they are exhausted during the five-year carryback period or during 2018, 2019 or 2020. We will not carry back any NOLs as they did not have taxable income in prior years.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failure to adequately protect our intellectual property rights could impair our ability to compete effectively or defend ourselves from litigation, which could harm our business, financial condition,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June 30, 2026, we had 140 issued U.S. patents, expiring generally between 2026 and 2043, and 48 pending U.S. patent applications (including 11 provisional applications). We also had 6 foreign issued patents expiring in 2036 and 13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may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also have a license to certain patents from Bosch relating to the design and manufacture of MEMS-based timing applications. The patent rights obtained under the license agreement expire between 2026 and 2029, and the license agreement expires upon expiration of the last patent licensed under the agreement. We do not believe there will be any significant impact upon expiration of these patents.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also rely on contractual protections with our customers, suppliers, distributors, employees, and consultants, and we implement security measures designed to protect our trade secrets and know-how. However, we cannot assure you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cease the manufacture, use or sale of the applicable products, processes, or technology;</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pay substantial damages for infringement by us or our customers;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expend significant resources to develop non-infringing products, processes, or technology, which may not be successful;</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license technology from the third-party claiming infringement, which license may not be available on commercially reasonable terms, or at all;</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cross-license our technology to a competitor to resolve an infringement claim, which could weaken our ability to compete with that competitor;</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lose the opportunity to license our technology to others or to collect royalty payments based upon successful protection and assertion of our intellectual property rights against others; or</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pay substantial damages to our customers or end users to discontinue their use of or to replace infringing technology sold to them with non-infringing technology, if available.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Any of the foregoing results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Any potential dispute involving patents or other intellectual property could affect our customers, which could trigger our indemnification obligations to them and result in substantial expense to 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Concentration of Ownership in Our Common Stock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As long as a limited number of stockholders hold a significant amount of our stock, our other stockholders’ ability to influence matters requiring stockholder approval will be limited.</w:t>
      </w:r>
    </w:p>
    <w:p>
      <w:pPr>
        <w:pStyle w:val="TextBody"/>
        <w:bidi w:val="0"/>
        <w:spacing w:lineRule="auto" w:line="288" w:before="120" w:after="283"/>
        <w:jc w:val="left"/>
        <w:rPr/>
      </w:pPr>
      <w:r>
        <w:rPr>
          <w:rFonts w:ascii="Times New Roman;serif" w:hAnsi="Times New Roman;serif"/>
          <w:b w:val="false"/>
          <w:color w:val="000000"/>
          <w:sz w:val="20"/>
        </w:rPr>
        <w:t>Based on the latest filings with the SEC, holders of 5% or more of our common stock and their affiliates, beneficially owned approximately 40.3% of the outstanding shares of our common stock, based on the number of shares outstanding as of June 30, 2026.</w:t>
      </w:r>
      <w:r>
        <w:rPr>
          <w:color w:val="000000"/>
        </w:rPr>
        <w:t xml:space="preserve"> </w:t>
      </w:r>
      <w:r>
        <w:rPr>
          <w:rFonts w:ascii="Times New Roman;serif" w:hAnsi="Times New Roman;serif"/>
          <w:b w:val="false"/>
          <w:color w:val="000000"/>
          <w:sz w:val="20"/>
        </w:rPr>
        <w:t>As a result, this group of stockholders has the ability to significantly influence us through this ownership position.</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example, as long as this group of stockholders continue to hold a significant or the largest ownership position in our outstanding common stock, they may have the ability to affect the outcome of any stockholder vote during this period. As a result, they will have the ability to exert significant influence over many matters affecting us, either through a board representative or as a stockholder, including:</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determinations with respect to our business plans and policies, including the appointment and removal of our officers;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any determinations with respect to mergers and other business combinations;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acquisition or disposition of assets;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financing activities;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payment of dividends on our common stock; and</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number of shares available for issuance under our stock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Significant ownership position of these stockholders may discourage transactions involving a change of control of us, including transactions in which other holders of our common stock might otherwise receive a premium for their shares over the then current market price. In addition, as a result of this significant influence, persons who we would like to invite to join our board of directors may decline to do so.</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Substantial future sales of our common stock could cause the market price of our common stock to decline.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common stock could decline as a result of substantial sales of our common stock, particularly sales by our directors, executive officers, and significant stockholders, including MegaChips and Renesas, or the perception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market that a large number of stockholders intend to sell their shares. The sale or potential sale of a substantial number of shares of our common stock by MegaChips or Renesas, or the perception that such sales could occur, could adversely affect the market price of our common stock.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Anti-takeover provisions in our charter documents and under Delaware law could make an acquisition of us more difficult, limit attempts by our stockholders to replace or remove our current management and limit the market price of our common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Provisions in our certificate of incorporation and bylaws may have the effect of delaying or preventing a change of control or changes in our management. Our amended and restated certificate of incorporation and bylaws include provisions that:</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authorize our board of directors to issue, without further action by the stockholders, shares of undesignated preferred stock with terms, rights, and preferences determined by our board of directors that may be senior to our common stock;</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require that any action to be taken by our stockholders be effected at a duly called annual or special meeting and not by written consent;</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specify that special meetings of our stockholders can be called only by our board of directors, the Chairman of our board of directors, or our Chief Executive Officer;</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establish that our board of directors is divided into three classes, with each class serving three-year staggered terms;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prohibit cumulative voting in the election of directors;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provide that our directors may be removed only for cause;</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provide that vacancies on our board of directors may be filled by a majority of directors then in office, even if less than a quorum; and</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require the approval of our board of directors or the holders of at least 66 2/3% of our outstanding shares of capital stock to amend our bylaws and certain provisions of our certificate of incorporation.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pStyle w:val="TextBody"/>
        <w:bidi w:val="0"/>
        <w:spacing w:lineRule="auto" w:line="288" w:before="120" w:after="283"/>
        <w:ind w:left="0" w:right="0" w:firstLine="86"/>
        <w:jc w:val="left"/>
        <w:rPr>
          <w:rFonts w:ascii="Times New Roman;serif" w:hAnsi="Times New Roman;serif"/>
          <w:b/>
          <w:i/>
          <w:color w:val="000000"/>
          <w:sz w:val="20"/>
        </w:rPr>
      </w:pPr>
      <w:r>
        <w:rPr>
          <w:rFonts w:ascii="Times New Roman;serif" w:hAnsi="Times New Roman;serif"/>
          <w:b/>
          <w:i/>
          <w:color w:val="000000"/>
          <w:sz w:val="20"/>
        </w:rPr>
        <w:t>Our stock price may be volatile and may decline, resulting in a loss of some or all of our stockholders' investment.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trading price and volume of our common stock is likely to be volatile and could fluctuate significantly in response to numerous factors, many of which are beyond our control, including:</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macroeconomic conditions;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actual or anticipated fluctuations in our results of operations due to, among other things, changes in customer demand, product life cycles, pricing, ordering patterns, and unforeseen operating costs;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financial projections we may provide to the public, any changes in these projections, or our failure to meet these projections;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failure of securities analysts to initiate or maintain coverage of us, changes in financial estimates or ratings by any securities analysts who follow us, or our failure to meet these estimates or the expectations of investors;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announcements by our significant customers of changes to their product offerings, business plans, or strategies;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announcements by us or our competitors of significant technical innovations, acquisitions, strategic partnerships, joint ventures, or capital commitments;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the semiconductor industry;</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timing and seasonality of the end-market demand;</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cyclical fluctuations in the semiconductor market;</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price and volume fluctuations in the overall stock market from time to time, including as a result of trends in the economy as a whole;</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actual or anticipated developments in our business or our competitors’ businesses or the competitive landscape generally;</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any major change in our management;</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lawsuits threatened or filed against us; and</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other events or factors, including those resulting from geopolitical activities, war, incidents of terrorism, natural disasters, pandemics, or responses to these events.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Trading Arrangements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 following officers and directors (as defined in Rule 16a-1(f) under the Exchange Act) of the Company adopted or terminated a "Rule 10b5-1 trading arrangement" (as defined in Item 408(a) of Regulation S-K of the Exchange Act) set forth in the table below, each of which is intended to satisfy the affirmative defense conditions of Rule 10b5-1(c):</w:t>
      </w:r>
    </w:p>
    <w:p>
      <w:pPr>
        <w:pStyle w:val="TextBody"/>
        <w:bidi w:val="0"/>
        <w:spacing w:before="120" w:after="283"/>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29"/>
        <w:gridCol w:w="338"/>
        <w:gridCol w:w="324"/>
        <w:gridCol w:w="786"/>
        <w:gridCol w:w="786"/>
        <w:gridCol w:w="794"/>
        <w:gridCol w:w="369"/>
        <w:gridCol w:w="369"/>
        <w:gridCol w:w="373"/>
        <w:gridCol w:w="501"/>
        <w:gridCol w:w="501"/>
        <w:gridCol w:w="502"/>
        <w:gridCol w:w="239"/>
        <w:gridCol w:w="239"/>
        <w:gridCol w:w="241"/>
        <w:gridCol w:w="402"/>
        <w:gridCol w:w="402"/>
        <w:gridCol w:w="403"/>
        <w:gridCol w:w="645"/>
        <w:gridCol w:w="559"/>
        <w:gridCol w:w="803"/>
      </w:tblGrid>
      <w:tr>
        <w:trPr/>
        <w:tc>
          <w:tcPr>
            <w:tcW w:w="62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2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Action</w:t>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Adoption/Termination Date</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Rule 10b5-1</w:t>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Expiration Date </w:t>
            </w:r>
            <w:r>
              <w:rPr>
                <w:rFonts w:ascii="Times New Roman;serif" w:hAnsi="Times New Roman;serif"/>
                <w:b/>
                <w:color w:val="000000"/>
                <w:sz w:val="13"/>
              </w:rPr>
              <w:t>(1)</w:t>
            </w:r>
          </w:p>
        </w:tc>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Maximum aggregate number of securities to be sold</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Lionel Bonnot</w:t>
            </w:r>
          </w:p>
        </w:tc>
        <w:tc>
          <w:tcPr>
            <w:tcW w:w="2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Worldwide Sales and Business Development</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w:t>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21, 2026</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16,816 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Katherine Schuelke</w:t>
            </w:r>
          </w:p>
        </w:tc>
        <w:tc>
          <w:tcPr>
            <w:tcW w:w="2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w:t>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12, 2026</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Piyush Sevalia</w:t>
            </w:r>
          </w:p>
        </w:tc>
        <w:tc>
          <w:tcPr>
            <w:tcW w:w="2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Marketing</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w:t>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5, 2026</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21, 2026</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15,066 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Samsheer Ahmad</w:t>
            </w:r>
          </w:p>
        </w:tc>
        <w:tc>
          <w:tcPr>
            <w:tcW w:w="2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 and Chief Accounting Officer</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Adoption</w:t>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9, 2026</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2027</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Fariborz Assaderaghi</w:t>
            </w:r>
          </w:p>
        </w:tc>
        <w:tc>
          <w:tcPr>
            <w:tcW w:w="2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Engineering and Operations</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Adoption</w:t>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14, 2026</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2027</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Vincent Pangrazio</w:t>
            </w:r>
          </w:p>
        </w:tc>
        <w:tc>
          <w:tcPr>
            <w:tcW w:w="2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Legal Officer and Corporate Secretary</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Adoption</w:t>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11, 2026</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31, 2027</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5,596 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Raman Chitkara</w:t>
            </w:r>
          </w:p>
        </w:tc>
        <w:tc>
          <w:tcPr>
            <w:tcW w:w="2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Adoption</w:t>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15, 2026</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2027</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Elizabeth Howe</w:t>
            </w:r>
          </w:p>
        </w:tc>
        <w:tc>
          <w:tcPr>
            <w:tcW w:w="2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Adoption</w:t>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15, 2026</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2027</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Each officer's or director's trading arrangement terminates on the earliest of: (i) date stated above (ii) the first date on which all trades set forth in the trading arrangement have been executed, or (iii) such date the trading arrangement is otherwise terminated according to its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documents listed below are filed (or furnished, as noted) as exhibits to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85"/>
        <w:gridCol w:w="252"/>
        <w:gridCol w:w="253"/>
        <w:gridCol w:w="109"/>
        <w:gridCol w:w="109"/>
        <w:gridCol w:w="109"/>
        <w:gridCol w:w="2734"/>
        <w:gridCol w:w="2611"/>
        <w:gridCol w:w="3743"/>
      </w:tblGrid>
      <w:tr>
        <w:trPr/>
        <w:tc>
          <w:tcPr>
            <w:tcW w:w="28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743" w:type="dxa"/>
            <w:tcBorders/>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Asset Purchase Agreement, dated as of February 4, 2026, by and between SiTime Corporation (the “Company”) and Renesas Electronics America Inc. (incorporated by reference to Exhibit 2.1 to the Company’s Current Report on Form 8-K filed February 4, 2026).</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Restated Certificate of Incorporation of SiTime Corporation (the “Company”) (incorporated by reference to Exhibit 3.1 to the Company’s Current Report on Form 8-K filed November 26, 2019).</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Amended and Restated Bylaws of the Company (incorporated by reference to Exhibit 3.2 to the Company’s Current Report on Form 8-K filed June 29, 2021).</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Form of Common Stock Certificate of the Company (incorporated by reference to Exhibit 4.1 to the Company’s Registration Statement on Form S-1 (File No. 333-234305)).</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Description of Securities Registered Pursuant to Section 12 of the Securities Exchange Act of 1934 (incorporated by reference to the Company’s Annual Report on Form 10-K filed February 16, 2021).</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Base Indenture, dated May 22, 2026, by and between SiTime Corporation and U.S. Bank Trust Company, National Association, as Trustee (incorporated by reference to Exhibit 4.1 to the Company’s Current Report on Form 8-K filed May 22, 2026).</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Supplemental Indenture, dated May 22, 2026, by and between the Company and U.S. Bank Trust Company, National Association, as Trustee (including the form of 0% Convertible Senior Note due 2031) (incorporated by reference to Exhibit 4.2 to the Company’s Current Report on Form 8-K filed May 22, 2026).</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80"/>
                  <w:sz w:val="20"/>
                  <w:u w:val="single"/>
                </w:rPr>
                <w:t>Form of Co</w:t>
              </w:r>
            </w:hyperlink>
            <w:hyperlink r:id="rId10">
              <w:r>
                <w:rPr>
                  <w:rStyle w:val="InternetLink"/>
                  <w:rFonts w:ascii="Times New Roman;serif" w:hAnsi="Times New Roman;serif"/>
                  <w:b w:val="false"/>
                  <w:color w:val="000080"/>
                  <w:sz w:val="20"/>
                  <w:u w:val="single"/>
                </w:rPr>
                <w:t>nfirmation for Capped Call Transactions (incorporated by reference to Exhibit 10.1 to the Company’s Current Report on Form 8-K filed May 22, 2026).</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Credit Agreement, dated as of June 30, 2026, by and among SiTime Corporation, the lenders party thereto and Wells Fargo Bank, National Association, as administrative agent and collateral agent (incorporated by reference to Exhibit 10.1 to the Company’s Current Report on Form 8-K filed July 1, 2026).</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SiTime Corporation Deferred Compensation Plan (including Adoption Agreement) (incorporated by reference to Exhibit 10.4 to the Company’s Current Report on Form 8-K filed July 1, 2026).</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q226xex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q226xex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q226x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q226x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 the instance document does not appear in the Interactive Data File because its XBRL tags are embedded within the Inline XBRL document.</w:t>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6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120" w:after="283"/>
        <w:ind w:left="0" w:right="0" w:hanging="900"/>
        <w:jc w:val="left"/>
        <w:rPr/>
      </w:pPr>
      <w:r>
        <w:rPr>
          <w:rFonts w:ascii="Times New Roman;serif" w:hAnsi="Times New Roman;serif"/>
          <w:b w:val="false"/>
          <w:color w:val="000000"/>
          <w:sz w:val="24"/>
        </w:rPr>
        <w:t>^</w:t>
      </w:r>
      <w:r>
        <w:rPr>
          <w:rFonts w:ascii="Times New Roman;serif" w:hAnsi="Times New Roman;serif"/>
          <w:b w:val="false"/>
          <w:color w:val="000000"/>
          <w:sz w:val="20"/>
        </w:rPr>
        <w:t>Pursuant to Item 601(a)(5) of Regulation S-K promulgated by the SEC, certain schedules and attachments to this exhibit have been omitted because they do not contain information material to an investment or voting decision and that information is not otherwise disclosed in the exhibit.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#In accordance with Item 601(b)(32)(ii) of Regulation S</w:t>
        <w:noBreakHyphen/>
        <w:t>K and SEC Release No. 34</w:t>
        <w:noBreakHyphen/>
        <w:t>47986, the certifications furnished in Exhibits 32.1 and 32.2 hereto are deemed to accompany this Form 10</w:t>
        <w:noBreakHyphen/>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2cce5bfd5c994a59950cd794d886299d_7">
        <w:r>
          <w:rPr>
            <w:rStyle w:val="InternetLink"/>
            <w:rFonts w:ascii="Times New Roman;serif" w:hAnsi="Times New Roman;serif"/>
            <w:b w:val="false"/>
            <w:color w:val="000080"/>
            <w:sz w:val="20"/>
            <w:u w:val="single"/>
          </w:rPr>
          <w:t>Table</w:t>
        </w:r>
      </w:hyperlink>
      <w:hyperlink w:anchor="i2cce5bfd5c994a59950cd794d886299d_7">
        <w:r>
          <w:rPr>
            <w:rStyle w:val="InternetLink"/>
            <w:rFonts w:ascii="Times New Roman;serif" w:hAnsi="Times New Roman;serif"/>
            <w:b w:val="false"/>
            <w:color w:val="000080"/>
            <w:sz w:val="20"/>
            <w:u w:val="single"/>
          </w:rPr>
          <w:t xml:space="preserve"> of </w:t>
        </w:r>
      </w:hyperlink>
      <w:hyperlink w:anchor="i2cce5bfd5c994a59950cd794d886299d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436" w:type="dxa"/>
        <w:jc w:val="left"/>
        <w:tblInd w:w="0" w:type="dxa"/>
        <w:tblLayout w:type="fixed"/>
        <w:tblCellMar>
          <w:top w:w="28" w:type="dxa"/>
          <w:left w:w="28" w:type="dxa"/>
          <w:bottom w:w="28" w:type="dxa"/>
          <w:right w:w="28" w:type="dxa"/>
        </w:tblCellMar>
      </w:tblPr>
      <w:tblGrid>
        <w:gridCol w:w="667"/>
        <w:gridCol w:w="587"/>
        <w:gridCol w:w="590"/>
        <w:gridCol w:w="274"/>
        <w:gridCol w:w="274"/>
        <w:gridCol w:w="274"/>
        <w:gridCol w:w="1383"/>
        <w:gridCol w:w="1383"/>
        <w:gridCol w:w="200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SiTime Corporation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Elizabeth A. Howe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Elizabeth A. Howe</w:t>
              <w:br/>
              <w:t>Executive Vice President,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(Duly Authorized Officer and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and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Rajesh Vashist, certify that:</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SiTime Corporation.;</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3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3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973" w:type="dxa"/>
        <w:jc w:val="left"/>
        <w:tblInd w:w="0" w:type="dxa"/>
        <w:tblLayout w:type="fixed"/>
        <w:tblCellMar>
          <w:top w:w="28" w:type="dxa"/>
          <w:left w:w="28" w:type="dxa"/>
          <w:bottom w:w="28" w:type="dxa"/>
          <w:right w:w="28" w:type="dxa"/>
        </w:tblCellMar>
      </w:tblPr>
      <w:tblGrid>
        <w:gridCol w:w="667"/>
        <w:gridCol w:w="587"/>
        <w:gridCol w:w="590"/>
        <w:gridCol w:w="624"/>
        <w:gridCol w:w="624"/>
        <w:gridCol w:w="88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Rajesh Vashist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Rajesh Vashist</w:t>
              <w:b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and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Elizabeth A. Howe, certify that:</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SiTime Corporation.;</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36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134" w:type="dxa"/>
        <w:jc w:val="left"/>
        <w:tblInd w:w="0" w:type="dxa"/>
        <w:tblLayout w:type="fixed"/>
        <w:tblCellMar>
          <w:top w:w="28" w:type="dxa"/>
          <w:left w:w="28" w:type="dxa"/>
          <w:bottom w:w="28" w:type="dxa"/>
          <w:right w:w="28" w:type="dxa"/>
        </w:tblCellMar>
      </w:tblPr>
      <w:tblGrid>
        <w:gridCol w:w="667"/>
        <w:gridCol w:w="587"/>
        <w:gridCol w:w="590"/>
        <w:gridCol w:w="1253"/>
        <w:gridCol w:w="1253"/>
        <w:gridCol w:w="178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Elizabeth A. Howe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Elizabeth A. Howe</w:t>
              <w:br/>
              <w:t>Executive Vice President,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03860"/>
                <wp:effectExtent l="0" t="0" r="0" b="0"/>
                <wp:wrapNone/>
                <wp:docPr id="66" name="Frame6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117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SiTime Corporation. (the “Company”) on Form 10-Q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973" w:type="dxa"/>
        <w:jc w:val="left"/>
        <w:tblInd w:w="0" w:type="dxa"/>
        <w:tblLayout w:type="fixed"/>
        <w:tblCellMar>
          <w:top w:w="28" w:type="dxa"/>
          <w:left w:w="28" w:type="dxa"/>
          <w:bottom w:w="28" w:type="dxa"/>
          <w:right w:w="28" w:type="dxa"/>
        </w:tblCellMar>
      </w:tblPr>
      <w:tblGrid>
        <w:gridCol w:w="667"/>
        <w:gridCol w:w="587"/>
        <w:gridCol w:w="590"/>
        <w:gridCol w:w="624"/>
        <w:gridCol w:w="624"/>
        <w:gridCol w:w="88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Rajesh Vashist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Rajesh Vashist</w:t>
              <w:b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117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SiTime Corporation. (the “Company”) on Form 10-Q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134" w:type="dxa"/>
        <w:jc w:val="left"/>
        <w:tblInd w:w="0" w:type="dxa"/>
        <w:tblLayout w:type="fixed"/>
        <w:tblCellMar>
          <w:top w:w="28" w:type="dxa"/>
          <w:left w:w="28" w:type="dxa"/>
          <w:bottom w:w="28" w:type="dxa"/>
          <w:right w:w="28" w:type="dxa"/>
        </w:tblCellMar>
      </w:tblPr>
      <w:tblGrid>
        <w:gridCol w:w="667"/>
        <w:gridCol w:w="587"/>
        <w:gridCol w:w="590"/>
        <w:gridCol w:w="1253"/>
        <w:gridCol w:w="1253"/>
        <w:gridCol w:w="178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Elizabeth A. Howe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Elizabeth A. Howe</w:t>
              <w:br/>
              <w:t>Executive Vice President,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51809/000119312526037802/d35227dex21.htm" TargetMode="External"/><Relationship Id="rId3" Type="http://schemas.openxmlformats.org/officeDocument/2006/relationships/hyperlink" Target="https://www.sec.gov/Archives/edgar/data/1451809/000119312519301287/d630610dex31.htm" TargetMode="External"/><Relationship Id="rId4" Type="http://schemas.openxmlformats.org/officeDocument/2006/relationships/hyperlink" Target="https://www.sec.gov/Archives/edgar/data/1451809/000156459021035069/sitm-ex32_6.htm" TargetMode="External"/><Relationship Id="rId5" Type="http://schemas.openxmlformats.org/officeDocument/2006/relationships/hyperlink" Target="https://www.sec.gov/Archives/edgar/data/0001451809/000119312519272678/d701682dex41.htm" TargetMode="External"/><Relationship Id="rId6" Type="http://schemas.openxmlformats.org/officeDocument/2006/relationships/hyperlink" Target="https://www.sec.gov/Archives/edgar/data/1451809/000156459021005867/sitm-ex42_644.htm" TargetMode="External"/><Relationship Id="rId7" Type="http://schemas.openxmlformats.org/officeDocument/2006/relationships/hyperlink" Target="https://www.sec.gov/Archives/edgar/data/1451809/000119312526237180/d47334dex41.htm" TargetMode="External"/><Relationship Id="rId8" Type="http://schemas.openxmlformats.org/officeDocument/2006/relationships/hyperlink" Target="https://www.sec.gov/Archives/edgar/data/1451809/000119312526237180/d47334dex42.htm" TargetMode="External"/><Relationship Id="rId9" Type="http://schemas.openxmlformats.org/officeDocument/2006/relationships/hyperlink" Target="https://www.sec.gov/Archives/edgar/data/1451809/000119312526237180/d47334dex101.htm" TargetMode="External"/><Relationship Id="rId10" Type="http://schemas.openxmlformats.org/officeDocument/2006/relationships/hyperlink" Target="https://www.sec.gov/Archives/edgar/data/1451809/000119312526237180/d47334dex101.htm" TargetMode="External"/><Relationship Id="rId11" Type="http://schemas.openxmlformats.org/officeDocument/2006/relationships/hyperlink" Target="https://www.sec.gov/Archives/edgar/data/1451809/000119312526291561/d71116dex101.htm" TargetMode="External"/><Relationship Id="rId12" Type="http://schemas.openxmlformats.org/officeDocument/2006/relationships/hyperlink" Target="https://www.sec.gov/Archives/edgar/data/1451809/000119312526291561/d71116dex104.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39146</Words>
  <Characters>217860</Characters>
  <CharactersWithSpaces>255233</CharactersWithSpaces>
  <Paragraphs>2557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