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001-39135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02-0713868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5451 Patrick Henry Drive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(408) 328-4400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707" w:type="dxa"/>
        <w:jc w:val="left"/>
        <w:tblInd w:w="0" w:type="dxa"/>
        <w:tblLayout w:type="fixed"/>
        <w:tblCellMar>
          <w:top w:w="28" w:type="dxa"/>
          <w:left w:w="28" w:type="dxa"/>
          <w:bottom w:w="28" w:type="dxa"/>
          <w:right w:w="28" w:type="dxa"/>
        </w:tblCellMar>
      </w:tblPr>
      <w:tblGrid>
        <w:gridCol w:w="1188"/>
        <w:gridCol w:w="1041"/>
        <w:gridCol w:w="1056"/>
        <w:gridCol w:w="109"/>
        <w:gridCol w:w="109"/>
        <w:gridCol w:w="109"/>
        <w:gridCol w:w="484"/>
        <w:gridCol w:w="484"/>
        <w:gridCol w:w="486"/>
        <w:gridCol w:w="109"/>
        <w:gridCol w:w="109"/>
        <w:gridCol w:w="109"/>
        <w:gridCol w:w="970"/>
        <w:gridCol w:w="970"/>
        <w:gridCol w:w="1374"/>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ind w:left="0" w:right="0" w:firstLine="153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200" w:after="283"/>
        <w:ind w:left="0" w:right="0" w:firstLine="153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1, 2023, the registrant had 22,456,407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
              <w:r>
                <w:rPr>
                  <w:rStyle w:val="InternetLink"/>
                  <w:rFonts w:ascii="Times New Roman;sans-serif" w:hAnsi="Times New Roman;sans-serif"/>
                  <w:b w:val="false"/>
                  <w:color w:val="0000FF"/>
                  <w:sz w:val="20"/>
                  <w:u w:val="single"/>
                </w:rPr>
                <w:t xml:space="preserve">Risk Factor Summary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5648cb257b443eeafb7c395a5f42510_10">
              <w:r>
                <w:rPr>
                  <w:rStyle w:val="InternetLink"/>
                  <w:rFonts w:ascii="Times New Roman;sans-serif" w:hAnsi="Times New Roman;sans-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3">
              <w:r>
                <w:rPr>
                  <w:rStyle w:val="InternetLink"/>
                  <w:rFonts w:ascii="Times New Roman;sans-serif" w:hAnsi="Times New Roman;sans-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22">
              <w:r>
                <w:rPr>
                  <w:rStyle w:val="InternetLink"/>
                  <w:rFonts w:ascii="Times New Roman;sans-serif" w:hAnsi="Times New Roman;sans-serif"/>
                  <w:b w:val="false"/>
                  <w:color w:val="0000FF"/>
                  <w:sz w:val="20"/>
                  <w:u w:val="single"/>
                </w:rPr>
                <w:t>Condensed Consolidated Statements of Operations and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25">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28">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31">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6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64">
              <w:r>
                <w:rPr>
                  <w:rStyle w:val="InternetLink"/>
                  <w:rFonts w:ascii="Times New Roman;sans-serif" w:hAnsi="Times New Roman;sans-serif"/>
                  <w:b w:val="false"/>
                  <w:strike w:val="false"/>
                  <w:dstrike w:val="false"/>
                  <w:color w:val="000000"/>
                  <w:sz w:val="20"/>
                  <w:u w:val="none"/>
                  <w:effect w:val="none"/>
                </w:rPr>
                <w:t>17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0">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0">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00">
              <w:r>
                <w:rPr>
                  <w:rStyle w:val="InternetLink"/>
                  <w:rFonts w:ascii="Times New Roman;sans-serif" w:hAnsi="Times New Roman;sans-serif"/>
                  <w:b w:val="false"/>
                  <w:strike w:val="false"/>
                  <w:dstrike w:val="false"/>
                  <w:color w:val="000000"/>
                  <w:sz w:val="20"/>
                  <w:u w:val="none"/>
                  <w:effect w:val="none"/>
                </w:rPr>
                <w:t>24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3">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3">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03">
              <w:r>
                <w:rPr>
                  <w:rStyle w:val="InternetLink"/>
                  <w:rFonts w:ascii="Times New Roman;sans-serif" w:hAnsi="Times New Roman;sans-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6">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6">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09">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09">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12">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12">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12">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18">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18">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18">
              <w:r>
                <w:rPr>
                  <w:rStyle w:val="InternetLink"/>
                  <w:rFonts w:ascii="Times New Roman;sans-serif" w:hAnsi="Times New Roman;sans-serif"/>
                  <w:b w:val="false"/>
                  <w:strike w:val="false"/>
                  <w:dstrike w:val="false"/>
                  <w:color w:val="000000"/>
                  <w:sz w:val="20"/>
                  <w:u w:val="none"/>
                  <w:effect w:val="non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648cb257b443eeafb7c395a5f42510_121">
              <w:r>
                <w:rPr>
                  <w:rStyle w:val="InternetLink"/>
                  <w:rFonts w:ascii="Times New Roman;sans-serif" w:hAnsi="Times New Roman;sans-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648cb257b443eeafb7c395a5f42510_121">
              <w:r>
                <w:rPr>
                  <w:rStyle w:val="InternetLink"/>
                  <w:rFonts w:ascii="Times New Roman;sans-serif" w:hAnsi="Times New Roman;sans-serif"/>
                  <w:b w:val="false"/>
                  <w:strike w:val="false"/>
                  <w:dstrike w:val="false"/>
                  <w:color w:val="000000"/>
                  <w:sz w:val="20"/>
                  <w:u w:val="none"/>
                  <w:effect w:val="non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the cyclical nature of the semiconductor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the COVID-19 pandemic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revenue in recent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seek, or be required to seek debt financing in the immediate or near term;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Breaches or other disruptions of our security systems may damage our reputation and adversely affect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Substantial future sales of our common stock could cause the market price of our common stock to decline;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2"/>
        <w:gridCol w:w="2249"/>
        <w:gridCol w:w="2190"/>
        <w:gridCol w:w="246"/>
        <w:gridCol w:w="967"/>
        <w:gridCol w:w="127"/>
        <w:gridCol w:w="109"/>
        <w:gridCol w:w="109"/>
        <w:gridCol w:w="109"/>
        <w:gridCol w:w="241"/>
        <w:gridCol w:w="946"/>
        <w:gridCol w:w="180"/>
      </w:tblGrid>
      <w:tr>
        <w:trPr/>
        <w:tc>
          <w:tcPr>
            <w:tcW w:w="273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in held-to-maturity securities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25,182 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666,901 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669,067 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747,687 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750,616 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37,345 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42,136 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8"/>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- 200,000 shares authorized; 22,456 and 21,702 shares issued and outstanding at September 30, 2023 and December 31, 2022</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778,742 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716,343 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710,342 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708,480 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747,687 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750,616 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5"/>
        <w:gridCol w:w="1374"/>
        <w:gridCol w:w="1373"/>
        <w:gridCol w:w="220"/>
        <w:gridCol w:w="802"/>
        <w:gridCol w:w="113"/>
        <w:gridCol w:w="113"/>
        <w:gridCol w:w="113"/>
        <w:gridCol w:w="113"/>
        <w:gridCol w:w="220"/>
        <w:gridCol w:w="752"/>
        <w:gridCol w:w="113"/>
        <w:gridCol w:w="109"/>
        <w:gridCol w:w="109"/>
        <w:gridCol w:w="109"/>
        <w:gridCol w:w="211"/>
        <w:gridCol w:w="826"/>
        <w:gridCol w:w="109"/>
        <w:gridCol w:w="109"/>
        <w:gridCol w:w="109"/>
        <w:gridCol w:w="109"/>
        <w:gridCol w:w="211"/>
        <w:gridCol w:w="826"/>
        <w:gridCol w:w="157"/>
      </w:tblGrid>
      <w:tr>
        <w:trPr/>
        <w:tc>
          <w:tcPr>
            <w:tcW w:w="190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73,095 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222,766 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47,296 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145,203 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23,647 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45,094 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43,764 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123,329 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and comprehensive income (loss)</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common stockholders, basic</w:t>
            </w:r>
          </w:p>
        </w:tc>
        <w:tc>
          <w:tcPr>
            <w:tcW w:w="220"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3"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3"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7"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common stockholders, diluted</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income (loss) per share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income (loss) per share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02"/>
        <w:gridCol w:w="1206"/>
        <w:gridCol w:w="1211"/>
        <w:gridCol w:w="224"/>
        <w:gridCol w:w="224"/>
        <w:gridCol w:w="228"/>
        <w:gridCol w:w="109"/>
        <w:gridCol w:w="109"/>
        <w:gridCol w:w="109"/>
        <w:gridCol w:w="253"/>
        <w:gridCol w:w="307"/>
        <w:gridCol w:w="131"/>
        <w:gridCol w:w="109"/>
        <w:gridCol w:w="109"/>
        <w:gridCol w:w="109"/>
        <w:gridCol w:w="211"/>
        <w:gridCol w:w="826"/>
        <w:gridCol w:w="109"/>
        <w:gridCol w:w="109"/>
        <w:gridCol w:w="109"/>
        <w:gridCol w:w="109"/>
        <w:gridCol w:w="211"/>
        <w:gridCol w:w="752"/>
        <w:gridCol w:w="109"/>
        <w:gridCol w:w="109"/>
        <w:gridCol w:w="109"/>
        <w:gridCol w:w="109"/>
        <w:gridCol w:w="211"/>
        <w:gridCol w:w="826"/>
        <w:gridCol w:w="156"/>
      </w:tblGrid>
      <w:tr>
        <w:trPr/>
        <w:tc>
          <w:tcPr>
            <w:tcW w:w="170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6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708,267 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680,284 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2022</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632,497 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At-The-Market offering net of underwriting discounts and commissions and other offering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restricted stock units, net of tax withholdings</w:t>
            </w:r>
          </w:p>
        </w:tc>
        <w:tc>
          <w:tcPr>
            <w:tcW w:w="6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2022</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p>
      <w:pPr>
        <w:pStyle w:val="TextBody"/>
        <w:bidi w:val="0"/>
        <w:spacing w:lineRule="auto" w:line="288" w:before="0" w:after="0"/>
        <w:jc w:val="center"/>
        <w:rPr/>
      </w:pPr>
      <w:r>
        <w:rPr>
          <w:rFonts w:ascii="Times New Roman;sans-serif" w:hAnsi="Times New Roman;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749"/>
        <w:gridCol w:w="2406"/>
        <w:gridCol w:w="2422"/>
        <w:gridCol w:w="219"/>
        <w:gridCol w:w="826"/>
        <w:gridCol w:w="112"/>
        <w:gridCol w:w="112"/>
        <w:gridCol w:w="112"/>
        <w:gridCol w:w="112"/>
        <w:gridCol w:w="219"/>
        <w:gridCol w:w="750"/>
        <w:gridCol w:w="166"/>
      </w:tblGrid>
      <w:tr>
        <w:trPr/>
        <w:tc>
          <w:tcPr>
            <w:tcW w:w="274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5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3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1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interest on held to maturity securities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4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34,945 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held to maturity securities</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(925,089)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held to maturity securities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intangibles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4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(547,910)</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net share settlement</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public offering</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offering costs</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4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(517,853)</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34,603 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559,461 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5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property and equipment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leases</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SiTime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Note 1.</w:t>
      </w:r>
      <w:r>
        <w:rPr>
          <w:color w:val="000000"/>
        </w:rPr>
        <w:t xml:space="preserve"> </w:t>
      </w:r>
      <w:r>
        <w:rPr>
          <w:rFonts w:ascii="Times New Roman;sans-serif" w:hAnsi="Times New Roman;sans-serif"/>
          <w:b/>
          <w:color w:val="000000"/>
          <w:sz w:val="20"/>
        </w:rPr>
        <w:t>The Company and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2022.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2023, for any future year, or for any other future interim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Coronavirus Disease (“the COVID-19 pandemic”)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continued to impact the Company's workforce and the operations of its customers and suppliers during 2022. In response to the COVID-19 pandemic and related government measures, the Company implemented safety measures to protect its employees and contractors at its locations around the world. The COVID-19 pandemic has not had a significant impact on the Company in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audited consolidated financial statements and related notes thereto included in the Annual Report on Form 10-K for the year ended December 31, 2022. There have been no changes to these accounting policies through September 30,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new accounting pronouncements with a future effective date that are considered material, or could be material,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Net Income (Loss)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income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1814"/>
        <w:gridCol w:w="1459"/>
        <w:gridCol w:w="1463"/>
        <w:gridCol w:w="228"/>
        <w:gridCol w:w="843"/>
        <w:gridCol w:w="118"/>
        <w:gridCol w:w="118"/>
        <w:gridCol w:w="118"/>
        <w:gridCol w:w="118"/>
        <w:gridCol w:w="228"/>
        <w:gridCol w:w="668"/>
        <w:gridCol w:w="118"/>
        <w:gridCol w:w="109"/>
        <w:gridCol w:w="109"/>
        <w:gridCol w:w="109"/>
        <w:gridCol w:w="216"/>
        <w:gridCol w:w="798"/>
        <w:gridCol w:w="111"/>
        <w:gridCol w:w="111"/>
        <w:gridCol w:w="111"/>
        <w:gridCol w:w="111"/>
        <w:gridCol w:w="216"/>
        <w:gridCol w:w="741"/>
        <w:gridCol w:w="170"/>
      </w:tblGrid>
      <w:tr>
        <w:trPr/>
        <w:tc>
          <w:tcPr>
            <w:tcW w:w="181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income (loss) per share</w:t>
            </w:r>
          </w:p>
        </w:tc>
        <w:tc>
          <w:tcPr>
            <w:tcW w:w="10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plans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income (loss) per share</w:t>
            </w:r>
          </w:p>
        </w:tc>
        <w:tc>
          <w:tcPr>
            <w:tcW w:w="10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per share, basic</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 per share, diluted</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September 30, 2023 and 2022, the Company had 960,848 potential shares and 365,102 potential shares from share-based awards that are anti-dilutive, respectively. During the nine months ended September 30, 2023 and 2022, the Company had 1,143,888 and 265,235 potential shares from share-based awards that are anti-dilutive,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and December 31, 2022, highly liquid money market funds of $0.5 million and $3.0 million, respectively, were valued using Level 1 of the fair value hierarchy, quoted prices in active markets for identical assets, and are included in cash equivalents.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 in held-to-maturity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invested in treasury bills with maturities of six months, which the Company intends to hold until maturity and has classified as held-to-maturity securities. The held-to-maturity securities are recorded at amortized cost totaling $545.5 million with gross accrued interest of $5.9 million and total carrying value of $551.4 million as of September 30, 2023. As of December 31, 2022, the amortized cost of the held-to-maturity securities totaled $524.4 million with gross accrued interest of $5.1 million and total carrying value of $529.5 million. 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w:t>
      </w:r>
    </w:p>
    <w:tbl>
      <w:tblPr>
        <w:tblW w:w="5711" w:type="dxa"/>
        <w:jc w:val="left"/>
        <w:tblInd w:w="0" w:type="dxa"/>
        <w:tblLayout w:type="fixed"/>
        <w:tblCellMar>
          <w:top w:w="28" w:type="dxa"/>
          <w:left w:w="28" w:type="dxa"/>
          <w:bottom w:w="28" w:type="dxa"/>
          <w:right w:w="28" w:type="dxa"/>
        </w:tblCellMar>
      </w:tblPr>
      <w:tblGrid>
        <w:gridCol w:w="830"/>
        <w:gridCol w:w="730"/>
        <w:gridCol w:w="735"/>
        <w:gridCol w:w="313"/>
        <w:gridCol w:w="1070"/>
        <w:gridCol w:w="161"/>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25,182 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41,229 </w:t>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931" w:type="dxa"/>
        <w:jc w:val="left"/>
        <w:tblInd w:w="0" w:type="dxa"/>
        <w:tblLayout w:type="fixed"/>
        <w:tblCellMar>
          <w:top w:w="28" w:type="dxa"/>
          <w:left w:w="28" w:type="dxa"/>
          <w:bottom w:w="28" w:type="dxa"/>
          <w:right w:w="28" w:type="dxa"/>
        </w:tblCellMar>
      </w:tblPr>
      <w:tblGrid>
        <w:gridCol w:w="549"/>
        <w:gridCol w:w="481"/>
        <w:gridCol w:w="485"/>
        <w:gridCol w:w="313"/>
        <w:gridCol w:w="1070"/>
        <w:gridCol w:w="161"/>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345" w:type="dxa"/>
        <w:jc w:val="left"/>
        <w:tblInd w:w="0" w:type="dxa"/>
        <w:tblLayout w:type="fixed"/>
        <w:tblCellMar>
          <w:top w:w="28" w:type="dxa"/>
          <w:left w:w="28" w:type="dxa"/>
          <w:bottom w:w="28" w:type="dxa"/>
          <w:right w:w="28" w:type="dxa"/>
        </w:tblCellMar>
      </w:tblPr>
      <w:tblGrid>
        <w:gridCol w:w="1424"/>
        <w:gridCol w:w="1248"/>
        <w:gridCol w:w="1257"/>
        <w:gridCol w:w="348"/>
        <w:gridCol w:w="1017"/>
        <w:gridCol w:w="180"/>
        <w:gridCol w:w="109"/>
        <w:gridCol w:w="109"/>
        <w:gridCol w:w="109"/>
        <w:gridCol w:w="332"/>
        <w:gridCol w:w="970"/>
        <w:gridCol w:w="242"/>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4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9,071 </w:t>
            </w:r>
          </w:p>
        </w:tc>
        <w:tc>
          <w:tcPr>
            <w:tcW w:w="1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2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41" w:type="dxa"/>
        <w:jc w:val="left"/>
        <w:tblInd w:w="0" w:type="dxa"/>
        <w:tblLayout w:type="fixed"/>
        <w:tblCellMar>
          <w:top w:w="28" w:type="dxa"/>
          <w:left w:w="28" w:type="dxa"/>
          <w:bottom w:w="28" w:type="dxa"/>
          <w:right w:w="28" w:type="dxa"/>
        </w:tblCellMar>
      </w:tblPr>
      <w:tblGrid>
        <w:gridCol w:w="1059"/>
        <w:gridCol w:w="932"/>
        <w:gridCol w:w="934"/>
        <w:gridCol w:w="313"/>
        <w:gridCol w:w="1070"/>
        <w:gridCol w:w="161"/>
        <w:gridCol w:w="109"/>
        <w:gridCol w:w="109"/>
        <w:gridCol w:w="109"/>
        <w:gridCol w:w="300"/>
        <w:gridCol w:w="1026"/>
        <w:gridCol w:w="21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and manufacturing equipment</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was $3.3 million and $2.7 million for the three months ended September 30, 2023 and 2022, respectively, and $9.8 million and $7.2 million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549"/>
        <w:gridCol w:w="410"/>
        <w:gridCol w:w="413"/>
        <w:gridCol w:w="211"/>
        <w:gridCol w:w="721"/>
        <w:gridCol w:w="109"/>
        <w:gridCol w:w="109"/>
        <w:gridCol w:w="109"/>
        <w:gridCol w:w="109"/>
        <w:gridCol w:w="305"/>
        <w:gridCol w:w="1135"/>
        <w:gridCol w:w="157"/>
        <w:gridCol w:w="109"/>
        <w:gridCol w:w="109"/>
        <w:gridCol w:w="109"/>
        <w:gridCol w:w="211"/>
        <w:gridCol w:w="616"/>
        <w:gridCol w:w="109"/>
        <w:gridCol w:w="109"/>
        <w:gridCol w:w="109"/>
        <w:gridCol w:w="109"/>
        <w:gridCol w:w="211"/>
        <w:gridCol w:w="721"/>
        <w:gridCol w:w="109"/>
        <w:gridCol w:w="109"/>
        <w:gridCol w:w="109"/>
        <w:gridCol w:w="109"/>
        <w:gridCol w:w="305"/>
        <w:gridCol w:w="1135"/>
        <w:gridCol w:w="157"/>
        <w:gridCol w:w="109"/>
        <w:gridCol w:w="109"/>
        <w:gridCol w:w="109"/>
        <w:gridCol w:w="211"/>
        <w:gridCol w:w="616"/>
        <w:gridCol w:w="159"/>
      </w:tblGrid>
      <w:tr>
        <w:trPr/>
        <w:tc>
          <w:tcPr>
            <w:tcW w:w="5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Assets</w:t>
            </w:r>
          </w:p>
        </w:tc>
      </w:tr>
      <w:tr>
        <w:trPr/>
        <w:tc>
          <w:tcPr>
            <w:tcW w:w="13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(16,812)</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5,205 </w:t>
            </w:r>
          </w:p>
        </w:tc>
        <w:tc>
          <w:tcPr>
            <w:tcW w:w="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$0.7 million and $0.5 million for the three months ended September 30, 2023 and 2022, respectively, and $1.9 million and $1.3 million for the nine months ended September 30, 2023 and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for intangible assets subject to amortization as of September 30, 2023 is summarized as below:</w:t>
      </w:r>
    </w:p>
    <w:tbl>
      <w:tblPr>
        <w:tblW w:w="2714" w:type="dxa"/>
        <w:jc w:val="left"/>
        <w:tblInd w:w="0" w:type="dxa"/>
        <w:tblLayout w:type="fixed"/>
        <w:tblCellMar>
          <w:top w:w="28" w:type="dxa"/>
          <w:left w:w="28" w:type="dxa"/>
          <w:bottom w:w="28" w:type="dxa"/>
          <w:right w:w="28" w:type="dxa"/>
        </w:tblCellMar>
      </w:tblPr>
      <w:tblGrid>
        <w:gridCol w:w="560"/>
        <w:gridCol w:w="491"/>
        <w:gridCol w:w="494"/>
        <w:gridCol w:w="251"/>
        <w:gridCol w:w="735"/>
        <w:gridCol w:w="18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5,665 </w:t>
            </w:r>
          </w:p>
        </w:tc>
        <w:tc>
          <w:tcPr>
            <w:tcW w:w="18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676" w:type="dxa"/>
        <w:jc w:val="left"/>
        <w:tblInd w:w="0" w:type="dxa"/>
        <w:tblLayout w:type="fixed"/>
        <w:tblCellMar>
          <w:top w:w="28" w:type="dxa"/>
          <w:left w:w="28" w:type="dxa"/>
          <w:bottom w:w="28" w:type="dxa"/>
          <w:right w:w="28" w:type="dxa"/>
        </w:tblCellMar>
      </w:tblPr>
      <w:tblGrid>
        <w:gridCol w:w="1542"/>
        <w:gridCol w:w="1354"/>
        <w:gridCol w:w="1364"/>
        <w:gridCol w:w="313"/>
        <w:gridCol w:w="1070"/>
        <w:gridCol w:w="161"/>
        <w:gridCol w:w="109"/>
        <w:gridCol w:w="109"/>
        <w:gridCol w:w="109"/>
        <w:gridCol w:w="300"/>
        <w:gridCol w:w="1026"/>
        <w:gridCol w:w="219"/>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reserves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non-recurring engineering services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liability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reductions to research and development expenses related to non-recurring engineering service arrangements in the condensed consolidated statements of operations of $0.2 million and $2.9 million during the three months ended September 30, 2023 and 2022, respectively, and $1.9 million and $7.7 million during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real estate property under operating leases. The Company leases office space in California, Michigan, Malaysia, Japan, Taiwan, the Netherlands, Finland, and Ukraine all under non-cancellable operating leases with various expiration dates through May 2029.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recorded on the condensed consolidated balance sheets as of September 30, 2023 and December 31, 2022:</w:t>
      </w:r>
    </w:p>
    <w:tbl>
      <w:tblPr>
        <w:tblW w:w="9507" w:type="dxa"/>
        <w:jc w:val="left"/>
        <w:tblInd w:w="0" w:type="dxa"/>
        <w:tblLayout w:type="fixed"/>
        <w:tblCellMar>
          <w:top w:w="28" w:type="dxa"/>
          <w:left w:w="28" w:type="dxa"/>
          <w:bottom w:w="28" w:type="dxa"/>
          <w:right w:w="28" w:type="dxa"/>
        </w:tblCellMar>
      </w:tblPr>
      <w:tblGrid>
        <w:gridCol w:w="2203"/>
        <w:gridCol w:w="1938"/>
        <w:gridCol w:w="1949"/>
        <w:gridCol w:w="297"/>
        <w:gridCol w:w="867"/>
        <w:gridCol w:w="381"/>
        <w:gridCol w:w="109"/>
        <w:gridCol w:w="109"/>
        <w:gridCol w:w="109"/>
        <w:gridCol w:w="261"/>
        <w:gridCol w:w="893"/>
        <w:gridCol w:w="391"/>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expenses and other current liabilities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w:t>
            </w:r>
          </w:p>
        </w:tc>
        <w:tc>
          <w:tcPr>
            <w:tcW w:w="11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related to the lease costs for operating leases for the three and nine months ended September 30, 2023 and 2022:</w:t>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$0.8 million and $0.6 million for the three months ended September 30, 2023 and 2022,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operating lease liabilities was $2.3 million and $1.8 million for the nine months ended September 30, 2023 and 2022, respectively.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Lease Cash Flows</w:t>
      </w:r>
    </w:p>
    <w:p>
      <w:pPr>
        <w:pStyle w:val="TextBody"/>
        <w:bidi w:val="0"/>
        <w:spacing w:lineRule="auto" w:line="288" w:before="120" w:after="283"/>
        <w:jc w:val="left"/>
        <w:rPr/>
      </w:pPr>
      <w:r>
        <w:rPr>
          <w:rFonts w:ascii="Times New Roman;sans-serif" w:hAnsi="Times New Roman;sans-serif"/>
          <w:b w:val="false"/>
          <w:color w:val="000000"/>
          <w:sz w:val="20"/>
        </w:rPr>
        <w:t>The table below reconciles the undiscounted cash flows for each of the first five years and total of the remaining years to the operating lease liabilities recorded on the condensed consolidated balance sheet as of September 30, 2023:</w:t>
      </w:r>
      <w:r>
        <w:rPr>
          <w:color w:val="000000"/>
        </w:rPr>
        <w:t xml:space="preserve"> </w:t>
      </w:r>
    </w:p>
    <w:tbl>
      <w:tblPr>
        <w:tblW w:w="5593" w:type="dxa"/>
        <w:jc w:val="left"/>
        <w:tblInd w:w="0" w:type="dxa"/>
        <w:tblLayout w:type="fixed"/>
        <w:tblCellMar>
          <w:top w:w="28" w:type="dxa"/>
          <w:left w:w="28" w:type="dxa"/>
          <w:bottom w:w="28" w:type="dxa"/>
          <w:right w:w="28" w:type="dxa"/>
        </w:tblCellMar>
      </w:tblPr>
      <w:tblGrid>
        <w:gridCol w:w="1585"/>
        <w:gridCol w:w="1392"/>
        <w:gridCol w:w="1402"/>
        <w:gridCol w:w="261"/>
        <w:gridCol w:w="763"/>
        <w:gridCol w:w="190"/>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0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19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At-The-Market offering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sold 100,000 shares of its common stock through Stifel under the Sales Agreement at a weighted average price of $128.42 per share resulting in net proceeds to the Company of $12.5 million, after deducting underwriting discounts and commissions of $0.2 million and deferred offering costs of $0.1 million. During the nine months ended September 30, 2023, the Company sold 300,000 shares of its common stock through Stifel under the Sales Agreement at a weighted average price of $116.06 per share resulting in net proceeds to the Company of $33.9 million, after deducting underwriting discounts and commissions of $0.7 million and deferred offering costs of $0.2 million.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performance based restricted stock units ("PRSU"), and multi-year performance restricted stock units ("MYPSU") activity for the three and nine months ended September 30, 2023:</w:t>
      </w:r>
    </w:p>
    <w:tbl>
      <w:tblPr>
        <w:tblW w:w="9826" w:type="dxa"/>
        <w:jc w:val="left"/>
        <w:tblInd w:w="0" w:type="dxa"/>
        <w:tblLayout w:type="fixed"/>
        <w:tblCellMar>
          <w:top w:w="28" w:type="dxa"/>
          <w:left w:w="28" w:type="dxa"/>
          <w:bottom w:w="28" w:type="dxa"/>
          <w:right w:w="28" w:type="dxa"/>
        </w:tblCellMar>
      </w:tblPr>
      <w:tblGrid>
        <w:gridCol w:w="1015"/>
        <w:gridCol w:w="893"/>
        <w:gridCol w:w="897"/>
        <w:gridCol w:w="309"/>
        <w:gridCol w:w="309"/>
        <w:gridCol w:w="313"/>
        <w:gridCol w:w="109"/>
        <w:gridCol w:w="109"/>
        <w:gridCol w:w="109"/>
        <w:gridCol w:w="240"/>
        <w:gridCol w:w="581"/>
        <w:gridCol w:w="124"/>
        <w:gridCol w:w="109"/>
        <w:gridCol w:w="109"/>
        <w:gridCol w:w="109"/>
        <w:gridCol w:w="263"/>
        <w:gridCol w:w="263"/>
        <w:gridCol w:w="268"/>
        <w:gridCol w:w="109"/>
        <w:gridCol w:w="109"/>
        <w:gridCol w:w="109"/>
        <w:gridCol w:w="213"/>
        <w:gridCol w:w="622"/>
        <w:gridCol w:w="110"/>
        <w:gridCol w:w="109"/>
        <w:gridCol w:w="109"/>
        <w:gridCol w:w="109"/>
        <w:gridCol w:w="259"/>
        <w:gridCol w:w="259"/>
        <w:gridCol w:w="263"/>
        <w:gridCol w:w="109"/>
        <w:gridCol w:w="109"/>
        <w:gridCol w:w="109"/>
        <w:gridCol w:w="238"/>
        <w:gridCol w:w="578"/>
        <w:gridCol w:w="17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PRSU</w:t>
              <w:br/>
              <w:t>Number</w:t>
              <w:br/>
              <w:t>of</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MYPSU</w:t>
              <w:b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w:t>
              <w:br/>
              <w:t>Value</w:t>
              <w:br/>
              <w:t>per share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2022</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2023</w:t>
            </w:r>
          </w:p>
        </w:tc>
        <w:tc>
          <w:tcPr>
            <w:tcW w:w="9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(254,997)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2023</w:t>
            </w:r>
          </w:p>
        </w:tc>
        <w:tc>
          <w:tcPr>
            <w:tcW w:w="9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(240,774)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September 30, 2023</w:t>
            </w:r>
          </w:p>
        </w:tc>
        <w:tc>
          <w:tcPr>
            <w:tcW w:w="93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2020, the Compensation Committee of the Company adopted and approved the Executive Bonus and Retention Plan (the “Bonus and Retention Plan”). The Compensation Committee approved target bonus amounts and performance goals for the second half of the fiscal year 2022 (the “2022 Goals”) in August 2022 and approved the achievement of the 2022 Goals in February 2023. Actual payouts for the 2022 Goals ranged from 44% to 89% of target, based on performance. In February 2023, the Compensation Committee approved target bonus amounts for the fiscal year 2023 (the "2023 Goals"). The 2022 Goals and the 2023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$0.6 million for 2023 Goals and $0.8 million for 2022 Goals was recorded as accrued expenses and other current liabilities in the condensed consolidated balance sheets as of September 30, 2023 and December 31,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Compensation Committee of the Company approved PRSUs with performance goals for the year 2022 (the “PRSU 2022 Goals”). The PRSU 2022 Goals were based on the achievement of a revenue goal. These grants were not earned and were cancelled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w:t>
      </w:r>
      <w:r>
        <w:rPr>
          <w:color w:val="000000"/>
        </w:rPr>
        <w:t xml:space="preserve"> </w:t>
      </w:r>
      <w:r>
        <w:rPr>
          <w:rFonts w:ascii="Times New Roman;sans-serif" w:hAnsi="Times New Roman;sans-serif"/>
          <w:b w:val="false"/>
          <w:color w:val="000000"/>
          <w:sz w:val="20"/>
        </w:rPr>
        <w:t>term of six years and possible future stock prices over the performance period based on historical stock and market prices. The Company recognizes the expense related to the MYPSUs on a graded-vesting method over the requisite service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approved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condensed consolidated cash flow statements. The liability of $0.8 million and $0.8 million was recorded as accrued expenses and other current liabilities in the condensed consolidated balance sheets as of September 30, 2023 and December 31, 2022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Monte Carlo simulation model. The assumptions used in the Monte Carlo simulation included expected volatility of 84.0% and 83.8%, risk free rate of 4.67% and 4.05%, no expected dividend yield and expected term of 1.9 years and 1.8 years for the awards 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above.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stock-based compensation expense amounts included in the condensed consolidated statement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05"/>
        <w:gridCol w:w="1554"/>
        <w:gridCol w:w="15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0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based awards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 based awards - to be settled in equity</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 equity and liability based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recorded to additional paid-in capital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awards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based awards - settled in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42,051 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costs and related weighted average period of recognition as of September 30, 2023:</w:t>
      </w:r>
    </w:p>
    <w:tbl>
      <w:tblPr>
        <w:tblW w:w="9669" w:type="dxa"/>
        <w:jc w:val="left"/>
        <w:tblInd w:w="0" w:type="dxa"/>
        <w:tblLayout w:type="fixed"/>
        <w:tblCellMar>
          <w:top w:w="28" w:type="dxa"/>
          <w:left w:w="28" w:type="dxa"/>
          <w:bottom w:w="28" w:type="dxa"/>
          <w:right w:w="28" w:type="dxa"/>
        </w:tblCellMar>
      </w:tblPr>
      <w:tblGrid>
        <w:gridCol w:w="710"/>
        <w:gridCol w:w="618"/>
        <w:gridCol w:w="636"/>
        <w:gridCol w:w="790"/>
        <w:gridCol w:w="2307"/>
        <w:gridCol w:w="412"/>
        <w:gridCol w:w="109"/>
        <w:gridCol w:w="109"/>
        <w:gridCol w:w="109"/>
        <w:gridCol w:w="1133"/>
        <w:gridCol w:w="1133"/>
        <w:gridCol w:w="1603"/>
      </w:tblGrid>
      <w:tr>
        <w:trPr/>
        <w:tc>
          <w:tcPr>
            <w:tcW w:w="7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Costs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Period of Recognition (in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MYPSUs</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Liability-based awards</w:t>
            </w:r>
          </w:p>
        </w:tc>
        <w:tc>
          <w:tcPr>
            <w:tcW w:w="7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provision for income taxes and the effective tax rates for the three and nine months ended September 30, 2023 and 2022:</w:t>
      </w:r>
    </w:p>
    <w:tbl>
      <w:tblPr>
        <w:tblW w:w="8748" w:type="dxa"/>
        <w:jc w:val="left"/>
        <w:tblInd w:w="0" w:type="dxa"/>
        <w:tblLayout w:type="fixed"/>
        <w:tblCellMar>
          <w:top w:w="28" w:type="dxa"/>
          <w:left w:w="28" w:type="dxa"/>
          <w:bottom w:w="28" w:type="dxa"/>
          <w:right w:w="28" w:type="dxa"/>
        </w:tblCellMar>
      </w:tblPr>
      <w:tblGrid>
        <w:gridCol w:w="1037"/>
        <w:gridCol w:w="910"/>
        <w:gridCol w:w="918"/>
        <w:gridCol w:w="211"/>
        <w:gridCol w:w="796"/>
        <w:gridCol w:w="271"/>
        <w:gridCol w:w="109"/>
        <w:gridCol w:w="109"/>
        <w:gridCol w:w="109"/>
        <w:gridCol w:w="211"/>
        <w:gridCol w:w="616"/>
        <w:gridCol w:w="271"/>
        <w:gridCol w:w="109"/>
        <w:gridCol w:w="109"/>
        <w:gridCol w:w="109"/>
        <w:gridCol w:w="211"/>
        <w:gridCol w:w="796"/>
        <w:gridCol w:w="271"/>
        <w:gridCol w:w="109"/>
        <w:gridCol w:w="109"/>
        <w:gridCol w:w="109"/>
        <w:gridCol w:w="211"/>
        <w:gridCol w:w="72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was less than $0.1 million for both the three and nine months ended September 30, 2023 and 2022. The effective tax rate was less than 1% for both the three and nine months ended September 30, 2023 and 2022. The provision for income taxes primarily comes from the foreign subsidiaries’ local country obligations. The U.S. effective tax rate is less than 1% and is due to minimum state tax. There is no federal provision for income taxes as the Company has sufficient carryfoward of net operating losses to offset any operating income earned since inception and has projected an operating loss in the current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$2.3 million and $2.3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record interest and penalties related to unrecognized tax benefits as income tax expense. For the three and nine months ended September 30, 2023 and 2022, the Company recorded immaterial amounts related to the accrual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Segment, Geographic and Customer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reportable segment related to the sale of precision timing solutions to the global electronics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 </w:t>
      </w:r>
    </w:p>
    <w:tbl>
      <w:tblPr>
        <w:tblW w:w="6599" w:type="dxa"/>
        <w:jc w:val="left"/>
        <w:tblInd w:w="0" w:type="dxa"/>
        <w:tblLayout w:type="fixed"/>
        <w:tblCellMar>
          <w:top w:w="28" w:type="dxa"/>
          <w:left w:w="28" w:type="dxa"/>
          <w:bottom w:w="28" w:type="dxa"/>
          <w:right w:w="28" w:type="dxa"/>
        </w:tblCellMar>
      </w:tblPr>
      <w:tblGrid>
        <w:gridCol w:w="434"/>
        <w:gridCol w:w="381"/>
        <w:gridCol w:w="38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total property and equipment attributable to operations by country as of the periods presented:</w:t>
      </w:r>
    </w:p>
    <w:tbl>
      <w:tblPr>
        <w:tblW w:w="4615" w:type="dxa"/>
        <w:jc w:val="left"/>
        <w:tblInd w:w="0" w:type="dxa"/>
        <w:tblLayout w:type="fixed"/>
        <w:tblCellMar>
          <w:top w:w="28" w:type="dxa"/>
          <w:left w:w="28" w:type="dxa"/>
          <w:bottom w:w="28" w:type="dxa"/>
          <w:right w:w="28" w:type="dxa"/>
        </w:tblCellMar>
      </w:tblPr>
      <w:tblGrid>
        <w:gridCol w:w="435"/>
        <w:gridCol w:w="381"/>
        <w:gridCol w:w="383"/>
        <w:gridCol w:w="313"/>
        <w:gridCol w:w="1070"/>
        <w:gridCol w:w="161"/>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Related Party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MegaChips Corporation is the largest stockholder of the Company and held approximately 20.9% and 23.0% of the Company’s outstanding common stock as of September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Mr. Takata through December 31, 2022, for which he continued to receive the monthly cash fees and reimbursement of expenses, and an equity award of 300 RSUs that fully vested on November 20,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Subsequent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2023, the Company entered into a Master Framework Agreement (the “Master Framework Agreement”) with Ningbo Aura Semiconductor Co., Ltd., a limited liability company incorporated under the laws of People’s Republic of China, Aura Semiconductor Pvt. Ltd., a company incorporated under the laws of India, Shaoxing Yuanfang Semiconductor Co Ltd., a limited liability company incorporated under the laws of People’s Republic of China (“PRC”), Aura Semiconductor Limited, a limited company incorporated and existing under the laws of Hong Kong, and Aim Core Holdings Limited, a company organized and existing under the laws of British Virgin Islands (each an “Aura Entity” and collectively, the “Aura Entities”), pursuant to which the Company agreed to purchase certain assets of the Aura Entities and license certain intellectual property of the Aura Entities relating to the timing products of the Aura Entities.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Master Framework Agreement provides the Company with an exclusive worldwide, irrevocable, perpetual, and transferable license to certain intellectual property of the Aura Entities and to use, make, have made, sell and offer for sale (whether directly or indirectly), import, and otherwise exploit, commercialize, and dispose of any product or services using such intellectual property (the “License”). The intellectual property that is the subject of the License relates to the timing products of the Aura Entities.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intellectual property underlying the License which will be delivered on an ongoing and periodic basis commencing on the closing date through July 2025. The purchase price for the transaction will be approximately $148 million in cash, with approximately $36 million being paid at closing and the remaining amounts being paid on a periodic basis upon and subject to the Aura Entities delivering to the Company products that meet certain specified criteria and contain the licensed intellectual property. The consideration payable for the transaction also includes potential earnout payments based on agreed multiples of net revenue generated by sales by the Company of products containing licensed intellectual property through calendar year 2028, up to a maximum amount of $120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is subject to closing conditions and is currently expected to close by the end of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the related notes that appear elsewhere in this document.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 </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focus on oscillators, clock ICs, resonators and timing synchronization solutions and to expand our presence in these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address market and customer demands and to develop new or enhanced solutions to meet those demands in a timely manner;</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revenue, average selling prices, gross margin, and expenses;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effects of macroeconomic events in 2023;</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dependence on a limited number of customers and end customers;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success, cost, and timing of new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to identify new customers and deliver differentiated precision timing solutions to them;</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goal to become the leading provider of precision timing solutions;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positioning of being designed into current systems as well as future products;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that our advanced packaging designs can enable the smallest footprints in the industry and provide higher system performance;</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competition in our existing and future markets;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impact the COVID-19 pandemic will have on our business, employees, revenue and other operating results, liquidity, and cash flows, and its impact on the businesses of our suppliers and customers, and our anticipated responses thereto;</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regulatory developments in the United States and foreign countries;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the performance of, and our relationships with, our third-party suppliers and manufacturers;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our ability to attract and retain key personnel;</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expectations regarding intellectual property and related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our belief as to the sufficiency of our existing cash and cash equivalents and short-term investment funds to meet our cash needs for at least the next 12 months and our future capital requirements over the longer term;</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adequacy and availability of our leased facilities;</w:t>
      </w:r>
    </w:p>
    <w:p>
      <w:pPr>
        <w:pStyle w:val="TextBody"/>
        <w:bidi w:val="0"/>
        <w:spacing w:lineRule="auto" w:line="288" w:before="120" w:after="283"/>
        <w:ind w:left="0" w:right="0" w:hanging="990"/>
        <w:jc w:val="left"/>
        <w:rPr/>
      </w:pPr>
      <w:r>
        <w:rPr>
          <w:color w:val="000000"/>
        </w:rPr>
        <w:t>•</w:t>
      </w:r>
      <w:r>
        <w:rPr>
          <w:rFonts w:ascii="Times New Roman;sans-serif" w:hAnsi="Times New Roman;sans-serif"/>
          <w:b w:val="false"/>
          <w:color w:val="000000"/>
          <w:sz w:val="20"/>
        </w:rPr>
        <w:t>the accuracy of our estimates regarding capital requirements and needs for additional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statements contained herein that are statements regarding events or results that may occur in the future may be deemed to be forward-looking statements. Forward</w:t>
        <w:noBreakHyphen/>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is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and enterprise, automotive, industrial, aerospace, mobile, IoT and consumer. Our current solutions include various types of oscillators, clocks, and resonators. Our all-silicon solutions are based on three fundamental areas of expertise: micro-electro-mechanical systems (“MEMS”), analog mixed-signal circuit design, and advanced system-level integration and packaging.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accurately measure and reference time has been essential to many of humankind’s greatest inventions and technological advances. Timing technology has continued to evolve over centuries, and has been instrumental in broader technological advancement. Timing is the heartbeat of digital electronic systems, ensuring that the system runs smoothly and reliably, by providing and distributing clock signals to various critical components such as CPUs, communication and interface chips, and radio frequency components. As electronics evolve to deliver higher performance levels, even in increasingly challenging environments, while also being more complex and space-constrained, we believe they will require more sophisticated timing solutions, and precision timing, a category that SiTime created, fills this need.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heart of SiTime’s precision timing solutions are our micro-electro-mechanical systems ("MEMS"), analog/mixed-signal, and systems technologies. All of our oscillators and clocks contain MEMS and analog die, co-packaged in plastic, ceramic, or chip-scale packages. We have a deep understanding of mechanical, electrical, and thermal properties of materials, which is a key requirement for developing our proprietary MEMS processes. To maximize MEMS first-silicon success, we have also developed our own MEMS simulation tools. Our analog/mixed-signal die are developed using industry-standard processes and deliver high levels of performance using programmable phase-locked loops, temperature sensors, regulators, data converters, drivers and other building blocks.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shipments of SiTime’s oscillator products began in 2006. Historically, our revenue has been substantially delivered from sales of oscillators across our target end markets. In addition to oscillators, we have expanded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include clock IC and timing sync solutions. We seek to expand our presence in our end markets across all product categories.</w:t>
      </w:r>
    </w:p>
    <w:p>
      <w:pPr>
        <w:pStyle w:val="TextBody"/>
        <w:bidi w:val="0"/>
        <w:spacing w:lineRule="auto" w:line="288" w:before="120" w:after="283"/>
        <w:jc w:val="left"/>
        <w:rPr/>
      </w:pPr>
      <w:r>
        <w:rPr>
          <w:rFonts w:ascii="Times New Roman;sans-serif" w:hAnsi="Times New Roman;sans-serif"/>
          <w:b w:val="false"/>
          <w:color w:val="000000"/>
          <w:sz w:val="20"/>
        </w:rPr>
        <w:t>We sell our products primarily through distributors in Asia, who in turn sell to our end customers. We also sell products directly to some of our end customers. Based on sell-through information provided by our distributors, we believe the majority of our end customers are headquartered in the U.S.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our distributors or by shopping on our online store, SiTimeDirect</w:t>
      </w:r>
      <w:r>
        <w:rPr>
          <w:color w:val="000000"/>
        </w:rPr>
        <w:t>™</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fabless business model, allowing us to focus on the design, sales, and marketing of our products, quickly scale production, and significantly reduce our capital expenditures by using the semiconductor industry manufacturing infrastructure.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initial public offering in November 2019, while our revenue has grown, gross margins have improved, and new opportunities for growth for our business have emerged, adverse macroeconomic events including geopolitical tensions and conflicts have substantially increased. In 2021 and the first half of 2022, there were a number of industry-wide supply constraints affecting the supply of analog circuits manufactured by certain foundries, including Taiwan Semiconductor Manufacturing Company ("TSMC"), and affecting outsourced semiconductor assembly and test providers. In addition, in 2022,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and continue to negatively affect sales of our products and results of operations in 2023. We believe that many of our customers built up inventory in our products in 2022 to overcome the industry-wide supply constraints that occurred in the previous periods. We also believe that the macroeconomic events in 2022 led to reduced demand for our customers' products, which led to an inventory buildup at many of our customers, including distributors and their affiliates, partners and contract manufacturers. These inventory buildups at our customers have adversely affected sales of our products and we believe that this will continue until the inventory buildups are reduced and demand increases. The inventory buildups at many of our customers, including distributors and their affiliates, partners, and contract manufacturers could result in significant decreases in our sales,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employees in Finland, France, Germany, Japan, Korea, Malaysia, the Netherlands, Taiwan, Ukraine, and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Impact of COVID-19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continued to impact our workforce and the operations of our customers and suppliers during 2022. In response to the ongoing COVID-19 pandemic and related government measures, we implemented safety measures to protect our employees and contractors at our locations around the world. The COVID-19 pandemic has not had a significant impact on the Company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satisfy our performance obligations as evidenced by the transfer of control of our products to customers. We measure revenue based on the amount of consideration we expect to be entitled to in exchange for products.</w:t>
      </w:r>
    </w:p>
    <w:tbl>
      <w:tblPr>
        <w:tblW w:w="10370" w:type="dxa"/>
        <w:jc w:val="left"/>
        <w:tblInd w:w="0" w:type="dxa"/>
        <w:tblLayout w:type="fixed"/>
        <w:tblCellMar>
          <w:top w:w="28" w:type="dxa"/>
          <w:left w:w="28" w:type="dxa"/>
          <w:bottom w:w="28" w:type="dxa"/>
          <w:right w:w="28" w:type="dxa"/>
        </w:tblCellMar>
      </w:tblPr>
      <w:tblGrid>
        <w:gridCol w:w="266"/>
        <w:gridCol w:w="234"/>
        <w:gridCol w:w="236"/>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5"/>
        <w:gridCol w:w="196"/>
        <w:gridCol w:w="256"/>
        <w:gridCol w:w="109"/>
        <w:gridCol w:w="109"/>
        <w:gridCol w:w="109"/>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5"/>
        <w:gridCol w:w="19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$37.6 million, or 51.4%, for the three months ended September 30, 2023 compared to the same period in the prior year. The decrease was primarily related to a decrease in sales volume as well as decrease in average selling prices ("ASPs") of our products. Lower sales volume was driven by excess inventory buildup at many of our customers, including our largest end customer, distributors and their affiliates, partners, and contract manufacturers, and lower demand for our products due to macroeconomic conditions. Lower ASPs of our products was related to change in mix of the products we shipped.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$121.2 million, or 54.4%, for the nine months ended September 30, 2023 compared to the same period in the prior year. The decrease was primarily related to a decrease in sales volume as well as decrease in ASPs. Lower sales volume was driven by excess inventory buildup at many of our customers, including our largest end customer, distributors and their affiliates, partners, and contract manufacturers, and lower demand for our products due to macroeconomic conditions. Lower ASPs of our products was related to change in mix of the products we shipped.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attributable to our largest end customer through multiple distributors accounted for 37% and 25% of our revenue for the three months ended September 30, 2023 and 2022, respectively, and 19% and 19% of our revenue for the nine months ended September 30, 2023 and 2022. Our end customers predominantly purchase our products from distributors. Our top three customers by revenue, which are distributors, together accounted for approximately 61% and 55% of our revenue for the three months ended September 30, 2023 and 2022, respectively, and 50% and 45% of our revenue for the nine months ended September 30, 2023 and 2022, respectively. Revenue attributable to our largest ten end customers accounted for 60% and 80% of our revenue for the three months ended September 30, 2023 and 2022, respectively, and 46% and 72% of our revenues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tbl>
      <w:tblPr>
        <w:tblW w:w="10778" w:type="dxa"/>
        <w:jc w:val="left"/>
        <w:tblInd w:w="0" w:type="dxa"/>
        <w:tblLayout w:type="fixed"/>
        <w:tblCellMar>
          <w:top w:w="28" w:type="dxa"/>
          <w:left w:w="28" w:type="dxa"/>
          <w:bottom w:w="28" w:type="dxa"/>
          <w:right w:w="28" w:type="dxa"/>
        </w:tblCellMar>
      </w:tblPr>
      <w:tblGrid>
        <w:gridCol w:w="266"/>
        <w:gridCol w:w="234"/>
        <w:gridCol w:w="236"/>
        <w:gridCol w:w="196"/>
        <w:gridCol w:w="646"/>
        <w:gridCol w:w="256"/>
        <w:gridCol w:w="109"/>
        <w:gridCol w:w="109"/>
        <w:gridCol w:w="109"/>
        <w:gridCol w:w="196"/>
        <w:gridCol w:w="646"/>
        <w:gridCol w:w="256"/>
        <w:gridCol w:w="109"/>
        <w:gridCol w:w="109"/>
        <w:gridCol w:w="109"/>
        <w:gridCol w:w="196"/>
        <w:gridCol w:w="661"/>
        <w:gridCol w:w="109"/>
        <w:gridCol w:w="109"/>
        <w:gridCol w:w="109"/>
        <w:gridCol w:w="109"/>
        <w:gridCol w:w="195"/>
        <w:gridCol w:w="196"/>
        <w:gridCol w:w="256"/>
        <w:gridCol w:w="109"/>
        <w:gridCol w:w="109"/>
        <w:gridCol w:w="109"/>
        <w:gridCol w:w="196"/>
        <w:gridCol w:w="646"/>
        <w:gridCol w:w="256"/>
        <w:gridCol w:w="109"/>
        <w:gridCol w:w="109"/>
        <w:gridCol w:w="109"/>
        <w:gridCol w:w="196"/>
        <w:gridCol w:w="736"/>
        <w:gridCol w:w="256"/>
        <w:gridCol w:w="109"/>
        <w:gridCol w:w="109"/>
        <w:gridCol w:w="109"/>
        <w:gridCol w:w="196"/>
        <w:gridCol w:w="661"/>
        <w:gridCol w:w="109"/>
        <w:gridCol w:w="109"/>
        <w:gridCol w:w="109"/>
        <w:gridCol w:w="109"/>
        <w:gridCol w:w="195"/>
        <w:gridCol w:w="196"/>
        <w:gridCol w:w="30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25,799 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43,195 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decreased by $27.4 million in the three months ended September 30, 2023 compared to the same period in the prior year. Gross profit decreased $28.6 million mainly from lower revenue. This decrease was partially offset by lower other manufacturing and overhead costs of $1.2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decreased by $86.8 million in the nine months ended September 30, 2023 compared to the same period in the prior year. Gross profit decreased $90.7 million mainly from lower revenue. This decrease was partially offset by lower other manufacturing and overhead costs of $3.9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9% in the three months ended September 30, 2023 compared to the same period in the prior year. Of the decrease, 6% was mainly due to lower sales causing an unfavorable absorption of our manufacturing overhead costs and the additional 3% decline was contributed by lower ASP for the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was lower by 8% in the nine months ended September 30, 2023 compared to the same period in the prior year. Of the decrease, 6% was mainly due to lower sales causing an unfavorable absorption of our manufacturing overhead costs and the additional 2% decline was contributed by lower ASP for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10385" w:type="dxa"/>
        <w:jc w:val="left"/>
        <w:tblInd w:w="0" w:type="dxa"/>
        <w:tblLayout w:type="fixed"/>
        <w:tblCellMar>
          <w:top w:w="28" w:type="dxa"/>
          <w:left w:w="28" w:type="dxa"/>
          <w:bottom w:w="28" w:type="dxa"/>
          <w:right w:w="28" w:type="dxa"/>
        </w:tblCellMar>
      </w:tblPr>
      <w:tblGrid>
        <w:gridCol w:w="584"/>
        <w:gridCol w:w="263"/>
        <w:gridCol w:w="26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50"/>
        <w:gridCol w:w="151"/>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percentage) </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$0.2 million, or 1%, for the three months ended September 30, 2023 compared to the same period in the prior year, primarily due to lower engineering spend towards ongoing new product development of $3.1 million and lower personnel costs of $0.7 million, offset by a decrease in non-recurring engineering contra-expense recognized of $2.7 million, an increase in depreciation and amortization of lab equipment and licenses of $0.6 million, and an increase in stock-based compensation expense of $0.3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$8.2 million, or 12%, for the nine months ended September 30, 2023 compared to the same period in the prior year, primarily due to an increase in stock-based compensation expense of $7.7 million, a decrease in non-recurring engineering contra-expense recognized of $5.7 million, higher personnel costs of $1.7 million due to increased headcount and an increase in depreciation and amortization of lab equipment and licenses of $2.4 million, and offset by lower engineering spend towards ongoing new product development of $9.3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guarantee we will enter into a non-recurring engineering arrangement or recognize such contra-expense in any future period.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by $1.6 million, or 8%, for the three months ended September 30, 2023 compared to the same period in the prior year, primarily due to higher stock-based compensation expense of $3.2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partially offset by reduction in sales commission payouts by $0.7 million due to lower sales, lower personnel costs of $0.4 million, and lower consulting fees of $0.6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by $6.6 million, or 12%, for the nine months ended September 30, 2023 compared to the same period in the prior year, primarily due to higher stock-based compensation expense of $9.0 million, higher personnel costs of $0.4 million, offset by reduction in sales commission payouts by $2.2 million due to lower sales and lower advertising spend of $0.5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on short term investments.</w:t>
      </w:r>
    </w:p>
    <w:tbl>
      <w:tblPr>
        <w:tblW w:w="10205" w:type="dxa"/>
        <w:jc w:val="left"/>
        <w:tblInd w:w="0" w:type="dxa"/>
        <w:tblLayout w:type="fixed"/>
        <w:tblCellMar>
          <w:top w:w="28" w:type="dxa"/>
          <w:left w:w="28" w:type="dxa"/>
          <w:bottom w:w="28" w:type="dxa"/>
          <w:right w:w="28" w:type="dxa"/>
        </w:tblCellMar>
      </w:tblPr>
      <w:tblGrid>
        <w:gridCol w:w="424"/>
        <w:gridCol w:w="371"/>
        <w:gridCol w:w="37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0"/>
        <w:gridCol w:w="211"/>
        <w:gridCol w:w="256"/>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10"/>
        <w:gridCol w:w="211"/>
        <w:gridCol w:w="302"/>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1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3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$4.8 million for the three months ended September 30, 2023, compared to the same period in the prior year due to an increase in interest rates in the current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$16.3 million for the nine months ended September 30, 2023, compared to the same period in the prior year as the Company started investing its cash in treasury bills only in the second quarter of fiscal year 2022 and received interest payments at higher interest rates from the treasury bills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primarily of foreign exchange gains and losses.</w:t>
      </w:r>
    </w:p>
    <w:tbl>
      <w:tblPr>
        <w:tblW w:w="9439" w:type="dxa"/>
        <w:jc w:val="left"/>
        <w:tblInd w:w="0" w:type="dxa"/>
        <w:tblLayout w:type="fixed"/>
        <w:tblCellMar>
          <w:top w:w="28" w:type="dxa"/>
          <w:left w:w="28" w:type="dxa"/>
          <w:bottom w:w="28" w:type="dxa"/>
          <w:right w:w="28" w:type="dxa"/>
        </w:tblCellMar>
      </w:tblPr>
      <w:tblGrid>
        <w:gridCol w:w="520"/>
        <w:gridCol w:w="458"/>
        <w:gridCol w:w="462"/>
        <w:gridCol w:w="196"/>
        <w:gridCol w:w="496"/>
        <w:gridCol w:w="109"/>
        <w:gridCol w:w="109"/>
        <w:gridCol w:w="109"/>
        <w:gridCol w:w="109"/>
        <w:gridCol w:w="196"/>
        <w:gridCol w:w="496"/>
        <w:gridCol w:w="109"/>
        <w:gridCol w:w="109"/>
        <w:gridCol w:w="109"/>
        <w:gridCol w:w="109"/>
        <w:gridCol w:w="196"/>
        <w:gridCol w:w="241"/>
        <w:gridCol w:w="109"/>
        <w:gridCol w:w="109"/>
        <w:gridCol w:w="109"/>
        <w:gridCol w:w="109"/>
        <w:gridCol w:w="150"/>
        <w:gridCol w:w="151"/>
        <w:gridCol w:w="316"/>
        <w:gridCol w:w="109"/>
        <w:gridCol w:w="109"/>
        <w:gridCol w:w="109"/>
        <w:gridCol w:w="196"/>
        <w:gridCol w:w="496"/>
        <w:gridCol w:w="109"/>
        <w:gridCol w:w="109"/>
        <w:gridCol w:w="109"/>
        <w:gridCol w:w="109"/>
        <w:gridCol w:w="196"/>
        <w:gridCol w:w="496"/>
        <w:gridCol w:w="109"/>
        <w:gridCol w:w="109"/>
        <w:gridCol w:w="109"/>
        <w:gridCol w:w="109"/>
        <w:gridCol w:w="196"/>
        <w:gridCol w:w="406"/>
        <w:gridCol w:w="109"/>
        <w:gridCol w:w="109"/>
        <w:gridCol w:w="109"/>
        <w:gridCol w:w="109"/>
        <w:gridCol w:w="165"/>
        <w:gridCol w:w="166"/>
        <w:gridCol w:w="30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4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essentially flat for the three and nine months ended September 30, 2023, compared to the same period in the prior year and primarily related to net unrealized loss on foreign exchange rates due to increased activities in our foreign subsidiaries and unfavorable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 </w:t>
      </w:r>
    </w:p>
    <w:tbl>
      <w:tblPr>
        <w:tblW w:w="9558" w:type="dxa"/>
        <w:jc w:val="left"/>
        <w:tblInd w:w="0" w:type="dxa"/>
        <w:tblLayout w:type="fixed"/>
        <w:tblCellMar>
          <w:top w:w="28" w:type="dxa"/>
          <w:left w:w="28" w:type="dxa"/>
          <w:bottom w:w="28" w:type="dxa"/>
          <w:right w:w="28" w:type="dxa"/>
        </w:tblCellMar>
      </w:tblPr>
      <w:tblGrid>
        <w:gridCol w:w="548"/>
        <w:gridCol w:w="482"/>
        <w:gridCol w:w="484"/>
        <w:gridCol w:w="196"/>
        <w:gridCol w:w="406"/>
        <w:gridCol w:w="109"/>
        <w:gridCol w:w="109"/>
        <w:gridCol w:w="109"/>
        <w:gridCol w:w="109"/>
        <w:gridCol w:w="196"/>
        <w:gridCol w:w="316"/>
        <w:gridCol w:w="109"/>
        <w:gridCol w:w="109"/>
        <w:gridCol w:w="109"/>
        <w:gridCol w:w="109"/>
        <w:gridCol w:w="196"/>
        <w:gridCol w:w="406"/>
        <w:gridCol w:w="109"/>
        <w:gridCol w:w="109"/>
        <w:gridCol w:w="109"/>
        <w:gridCol w:w="109"/>
        <w:gridCol w:w="255"/>
        <w:gridCol w:w="256"/>
        <w:gridCol w:w="256"/>
        <w:gridCol w:w="109"/>
        <w:gridCol w:w="109"/>
        <w:gridCol w:w="109"/>
        <w:gridCol w:w="196"/>
        <w:gridCol w:w="496"/>
        <w:gridCol w:w="109"/>
        <w:gridCol w:w="109"/>
        <w:gridCol w:w="109"/>
        <w:gridCol w:w="109"/>
        <w:gridCol w:w="196"/>
        <w:gridCol w:w="496"/>
        <w:gridCol w:w="109"/>
        <w:gridCol w:w="109"/>
        <w:gridCol w:w="109"/>
        <w:gridCol w:w="109"/>
        <w:gridCol w:w="196"/>
        <w:gridCol w:w="406"/>
        <w:gridCol w:w="109"/>
        <w:gridCol w:w="109"/>
        <w:gridCol w:w="109"/>
        <w:gridCol w:w="109"/>
        <w:gridCol w:w="165"/>
        <w:gridCol w:w="166"/>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had cash and cash equivalents of $16.7 million and $34.6 million, respectively. As of September 30, 2023 and December 31, 2022 we also held $551.4 million and $529.5 million of short-term investments, respectively in held-to-maturity securities which consisted of treasury bills. Our principal use of cash is to fund our operations to support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nine months ended September 30, 2023, we sold 300,000 shares of our common stock under the Sales Agreement at a weighted average price of $116.06 per share resulting in net proceeds to us of $33.9 million, after deducting underwriting discounts and commissions and deferred offering costs.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purchase obligations primarily include design and simulation licenses and non-cancelable purchase commitments from agreements with our contract manufacturers as well as a multi-year purchase agreement with commitment to purchase minimum quantities of MEMS wafers and research and development, tooling and sample cost under the agreement. For information about our contractual obligations refer to "Note 5 - Lease" of the Notes to Condensed Consolidated Financial Statements for the period ending September 30, 2023 and "Note 6 - Commitments and Contingencies" of the Notes to the Consolidated Financial Statements filed in the Company's Annual Report on Form 10-K for the year ending December 31,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investing activities, primarily in the purchase of property and equipment and capitalized software, to support research and development, sales and marketing, product support, and administrative staff.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periods indicated:</w:t>
      </w:r>
    </w:p>
    <w:tbl>
      <w:tblPr>
        <w:tblW w:w="6923" w:type="dxa"/>
        <w:jc w:val="left"/>
        <w:tblInd w:w="0" w:type="dxa"/>
        <w:tblLayout w:type="fixed"/>
        <w:tblCellMar>
          <w:top w:w="28" w:type="dxa"/>
          <w:left w:w="28" w:type="dxa"/>
          <w:bottom w:w="28" w:type="dxa"/>
          <w:right w:w="28" w:type="dxa"/>
        </w:tblCellMar>
      </w:tblPr>
      <w:tblGrid>
        <w:gridCol w:w="1524"/>
        <w:gridCol w:w="1340"/>
        <w:gridCol w:w="1350"/>
        <w:gridCol w:w="211"/>
        <w:gridCol w:w="796"/>
        <w:gridCol w:w="109"/>
        <w:gridCol w:w="109"/>
        <w:gridCol w:w="109"/>
        <w:gridCol w:w="109"/>
        <w:gridCol w:w="211"/>
        <w:gridCol w:w="90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(517,853)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net cash used in operating activities of $8.9 million was primarily due to a net loss of $60.5 million offset by non-cash expenses of $51.8 million and a change in operating assets and liabilities of $0.2 million. Non-cash expenses were mainly related to depreciation and amortization, stock-based compensation expense and interest on held to maturity investments. The changes in operating assets and liabilities resulted in cash provided primarily due to lower accounts receivable due to timing of payments and lower revenue partially offset by an increase in inventories as we built our wafer inventory levels, an increase in prepaid expenses and other assets due to timing of payments, and lower accounts payable and accrued expenses primarily due to timing of accrued payroll and related benefit payments.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consist primarily of purchase and maturities of short-term investments and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nine months ended September 30, 2023, net cash used in investing activities was $11.9 million. We paid $925.1 million to purchase short-term investments in held-to-maturity securities. We paid $9.2 million largely to purchase test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manufacturing equipment and intangibles to support the general business operations. All such payments were offset by $922.4 million proceeds from the maturity of held to maturity investments.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primarily consisted of proceeds from issuance of shares and withholding of taxes on restricted stock units. During the nine months ended September 30, 2023, we sold 300,000 shares of our common stock under the Sales Agreement resulting in net proceeds to us of $33.9 million, after deducting underwriting discounts and commissions of $0.7 million and deferred offering costs of $0.2 million. The net proceeds from the Sales Agreement were offset by tax withholdings paid on behalf of employees for net share settlement of $31.0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2022 filed with the SEC on February 27,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denominated in U.S. dollars. Our expenses are generally denominated in the currencies in which our operations are located, which is primarily in the United States and, to a lesser extent, in Finland, France, Japan, Germany, Korea, Malaysia, the Netherlands,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$16.7 million and $34.6 million as of September 30, 2023 and December 31, 2022, respectively, consisting of bank deposits, money market funds and treasury bills. We also had short-term investments in held-to-maturity securities of $551.4 million consisting of treasury bills as of September 30, 2023. Such interest-earning instruments carry a degree of interest rate risk. During the nine months ended September 30, 2023 we have generated $19.6 million in interest income due to higher investment balance and rising 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enter into investments for trading or speculative purposes and have not used any derivative financial instruments to manage our interest rate risk exposure. As of September 30, 2023, a hypothetical 10% increase or decrease in market interest rates would change the fair value and related interest income on our interest-earning instruments of $551.4 million, by an increase or decrease of approximately $2.0 million for the nine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of the Notes to Condensed Consolidated Financial Statements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company and therefore our business, results of operations, and financial condition are impacted by global macroeconomic conditions. Macroeconomic events such as rising inflation, recession, equity market volatility, global banking concerns, geopolitical tensions, war, declines in income or asset values, decreased spending, changes to fuel and other energy costs, public health crises, supply chain disruptions, trade restrictions and sanctions, and the COVID-19 pandemic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cyclical nature of the semiconductor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These downturns have been characterized by diminished product demand, production overcapacity, high inventory levels for us and our customers, and erosion of average selling prices. Any downturns in the semiconductor industry could harm our business, financial condition, and results of operations. In the last few years, the semiconductor industry experienced an upturn.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61% and 55% of our revenue for the three months ended September 30, 2023 and 2022, respectively and 50% and 45% of our revenue for the nine months ended September 30, 2023 and 2022 respectively. Based on our shipment information, we believe that revenue attributable to our ten largest end customers accounted for 60% and 80% of our revenue for the three months ended September 30, 2023 and 2022, respectively, and 46% and 72% of our revenue for the nine months ended September 30, 2023 and 2022 respectively. Sales attributable to Apple Inc., our largest end customer accounted for approximately 37% and 25% of our revenue for the three months ended September 30, 2023 and 2022 respectively, and 19% and 19% of our revenue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September 30, 2023 and 2022 respectively. We 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customer or end customer forecasts or the timing of orders from our customers could make demand for our products difficult for us to predict and could expose us to the risks of inventory shortages or excess inventory. This in turn could cause our operating results to fluctuate and could materially harm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customer demand and product life cycles;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product announcements and introductions by us or our competitors;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the impact of the COVID-19 pandemic on our business, suppliers, and customers;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new accounting pronouncements or changes in existing accounting standards;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loss of one or more of our executive officers or other key employees;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our pricing, product cost, and product mix.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in the past has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fabrication and assembly of all of our products to third parties that are primarily located in Germany and Asia. In addition, we conduct research and development activities in the United States, Japan, the Netherlands, Taiwan, Ukraine, and Finland. We also conduct marketing and administrative functions in the United States, Japan, the Netherlands, China, Taiwan, Malaysia, and Ukraine. Certain of the critical functions for our business are performed in locations outside of the United States. Members of our sales force are located in various locations outside of the United States. In addition, approximately 89% and 86% of our revenue for the three months ended September 30, 2023 and 2022, respectively, and approximately 85% and 88% of our revenue for the nine months ended September 30, 2023 and 2022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geopolitical and military conflicts, including the effects of Russia’s invasion of Ukraine;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regional health issues and the impact of public health epidemics on employees and the global economy, such as the worldwide COVID-19 pandemic;</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 xml:space="preserve">power outages and natural disasters; and </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travel, work-from-home or other restrictions or stoppages, like those imposed by governments around the world as a result of the COVID-19 pandemic.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harm our international operations, delay new product releases, increase our operating costs, and hinder our ability to grow our operations and business and, consequently, our business,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 At this point, the extent to which the COVID-19 pandemic may further impact our business remains uncertain but it may materially adversely affect our business, financial condition, or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ans-serif" w:hAnsi="Times New Roman;sans-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ans-serif" w:hAnsi="Times New Roman;sans-serif"/>
          <w:b/>
          <w:i/>
          <w:color w:val="000000"/>
          <w:sz w:val="20"/>
        </w:rPr>
        <w: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development, product collaboration and technology licensing arrangements with some of our customers and other third parties, and we expect to enter into new arrangements of these kinds from time to time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target markets include the communications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period-to-period comparisons of our results of operations. Furthermore, currency exchange rates have been especially volatile in the recent past, and these currency fluctuations may make it difficult for us to predict our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Pandemics, epidemics, or other outbreaks of disease have had and may in the future have an adverse impact upon our business, result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including emerging variants,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disruptions to our supply chain; or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higher rate of losses on our accounts receivable due to credit defaults.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also caused significant uncertainty and volatility in global financial markets and the trading prices for the common stock of technology companies, including us. Further adverse economic events resulting from the COVID-19 pandemic, including a recession, depression, or other sustained economic downturn, could materially and adversely affect our business, access to capital markets, and the value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Though we believe the production capabilities of our suppliers have been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changing nature and continuing uncertainty surrounding COVID-19 due to public health challenges,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in recent periods may not be indicative of future performance and our revenue may fluctuate over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recent revenue should not be considered indicative of our future performance. Our revenue was $35.5 million and $73.1 million for the three months ended September 30, 2023 and 2022, respectively, and $101.6 million and $222.8 million for the nine months ended September 30, 2023 and 2022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the impact of the COVID-19 pandemic, a decrease in the growth of our overall market or market saturation, or our failure to capitalize on growth opportunities.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industries characterized by rapidly changing technologies as well as technological obsolescence. The introduction of new products by our competitors, the delay or cancellation of any of our customers’ product offerings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Corporation,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define, design, and regularly introduce new products that anticipate the functionality and integration needs of our customers’ next-generation products and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withstand or respond to significant price competition;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build and expand international operations in a cost-effective manner;</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ans-serif" w:hAnsi="Times New Roman;sans-serif"/>
          <w:b w:val="false"/>
          <w:color w:val="000000"/>
          <w:sz w:val="20"/>
        </w:rPr>
        <w:t>the increasing need to develop expertise in new areas of business that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our culture,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September 30, 2023, substantially all of which are large distributors, OEMs, and system manufacturers, we had $0.1 million and $0.1 million in allowance for credit losses as of September 30, 2023 and December 31, 2022, respectively. If our credit losses, however,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opportunities, or respond to competitive pressures, which could negatively impact our revenue and the competitiveness of our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cash and cash equivalents could be adversely affected if the financial institutions in which we hold our cash and cash equivalents fail.</w:t>
      </w:r>
    </w:p>
    <w:p>
      <w:pPr>
        <w:pStyle w:val="TextBody"/>
        <w:bidi w:val="0"/>
        <w:spacing w:lineRule="auto" w:line="288" w:before="12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September 30, 2023, a majority of our cash and short-term investment balances were maintained with Wells Fargo &amp; Co., Morgan Stanley and U.S. Bancorp.</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seek, or be required to seek,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significant tariffs or other trade restrictions are placed on our products or third-party suppliers, our revenue and results of operations may be materially harmed.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environmental laws or regulations, including conflict minerals rules, could impair our ability to compete in international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State, federal, and foreign laws and regulations related to privacy, data use, and security could adversely affect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which went into effect in January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governments are raising similar privacy and data security concerns. In particular, the European Union has enacted a General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Regulation (“GDPR”), which became effective in May 2018. China,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Breaches or other disruptions of our security systems may damage our reputation and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cyber-attacks, nation state advance persistent threats, internal malfeasance, computer viruses, spyware, malware, ransomware, phishing or other forms of social engineering, attempts to access information, denial of service attacks, and other electronic security breaches, are persistent and evolve quickly. Such threats have recently increased in frequency, scope, magnitude, and cost due in part to increasing geopolitical tensions.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security breaches or other unauthorized access by third parties to the systems of our cloud-based service providers or the existence of computer viruses in their data or software could expose us to a risk of information loss and misappropriation of confidential information as well as work stoppages or disruptions.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might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U.S. federal, state and foreign net operating loss (“NOL”), carryforwards of approximately $213.3 million, $65.3 million and $1.7 million, respectively, and U.S. federal and state research and development tax credit carryforwards of approximately $3.9 million and $3.6 million, respectively. The U.S. federal NOL carryforwards begin to expire in 2025, the state NOL carryforwards begin to expire in 2028,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2022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misappropriation, infringement, or other violation is uncertain, particularly in countries outside of the United States. As of September 30, 2023, we had 116 issued U.S. patents, expiring generally between 2026 and 2040 and 41 pending U.S. patent applications (including 14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results could adversely affect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and indemnification obligations under some of our agreements, which could result in substantial expense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MegaChips Corporation’s Ownership Position in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As long as MegaChips holds a significant amount of our stock, our other shareholders’ ability to influence matters requiring stockholder approval will be limited.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MegaChips owns 4,700,000 shares of our common stock, representing approximately 20.9% of our outstanding common stock as of September 30, 2023.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allocation of business opportunities that may be suitable for us and MegaChips;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number of shares available for issuance under our stock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resolve any disputes that arise between us and MegaChips with respect to our past and ongoing relationships may adversely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between MegaChips and us in a number of areas relating to our past and ongoing relationships,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sales or distributions by MegaChips of all or any portion of its ownership interest in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business opportunities that may be attractive to both MegaChips and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resolve any potential conflicts, and even if we do, the resolution may be less favorable than if we were dealing with an unaffiliated party.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negotiate amendments to these agreements on terms as favorable to us compared to those we would negotiate with an unaffiliated third party.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There could be potential conflicts of interest between us and affiliates of MegaChips, which could impact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our directors may be removed only for cause;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bylaws designate the Court of Chancery of the State of Delaware as the sole and exclusive forum for certain types of actions and proceedings that may be initiated by our stockholders, and federal district courts will be the sole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ans-serif" w:hAnsi="Times New Roman;sans-serif"/>
          <w:b/>
          <w:i/>
          <w:color w:val="000000"/>
          <w:sz w:val="20"/>
        </w:rPr>
      </w:pPr>
      <w:r>
        <w:rPr>
          <w:rFonts w:ascii="Times New Roman;sans-serif" w:hAnsi="Times New Roman;sans-serif"/>
          <w:b/>
          <w:i/>
          <w:color w:val="000000"/>
          <w:sz w:val="20"/>
        </w:rPr>
        <w:t>Our stock price may be volatile and may decline, resulting in a loss of some or all of our stockholder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with respect to developments, status, and impact on us, our competition, our constituents, and our suppliers of the COVID 19 global pandemic;</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cyclical fluctuations in the semiconductor market;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other events or factors, including those resulting from war, incidents of terrorism, the COVID-19 pandemic, or responses to these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661"/>
        <w:gridCol w:w="2624"/>
        <w:gridCol w:w="375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Restated Certificate of Incorporation of SiTime Corporation (the “Company”) (incorporated by reference to Exhibit 3.1 to the Company’s Current Report on Form 8-K filed November 26, 2019).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the Company (incorporated by reference to Exhibit 3.2 to the Company’s Current Report on Form 8-K filed June 29,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Form of Common Stock Certificate of the Company ((incorporated by reference to Exhibit 4.1 to the Company’s Registration Statement on Form S-1 (File No. 333-234305) (the “S-1”)).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Description of Securities Registered Pursuant to Section 12 of the Securities Exchange Act of 1934 (incorporated by reference to the Company’s Annual Report on Form 10-K filed February 16, 2021).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20230930x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20230930x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20230930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tm-20230930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 the instance document does not appear in the Interactive Data File because its XBRL tags are embedded within the Inline XBRL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5648cb257b443eeafb7c395a5f4251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10" w:type="dxa"/>
        <w:jc w:val="left"/>
        <w:tblInd w:w="0" w:type="dxa"/>
        <w:tblLayout w:type="fixed"/>
        <w:tblCellMar>
          <w:top w:w="28" w:type="dxa"/>
          <w:left w:w="28" w:type="dxa"/>
          <w:bottom w:w="28" w:type="dxa"/>
          <w:right w:w="28" w:type="dxa"/>
        </w:tblCellMar>
      </w:tblPr>
      <w:tblGrid>
        <w:gridCol w:w="759"/>
        <w:gridCol w:w="668"/>
        <w:gridCol w:w="672"/>
        <w:gridCol w:w="274"/>
        <w:gridCol w:w="274"/>
        <w:gridCol w:w="274"/>
        <w:gridCol w:w="1244"/>
        <w:gridCol w:w="1244"/>
        <w:gridCol w:w="18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Corporation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Arthur D. Chadwick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Arthur D. Chadwick</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Rajesh Vashist,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28" w:type="dxa"/>
        <w:jc w:val="left"/>
        <w:tblInd w:w="0" w:type="dxa"/>
        <w:tblLayout w:type="fixed"/>
        <w:tblCellMar>
          <w:top w:w="28" w:type="dxa"/>
          <w:left w:w="28" w:type="dxa"/>
          <w:bottom w:w="28" w:type="dxa"/>
          <w:right w:w="28" w:type="dxa"/>
        </w:tblCellMar>
      </w:tblPr>
      <w:tblGrid>
        <w:gridCol w:w="759"/>
        <w:gridCol w:w="668"/>
        <w:gridCol w:w="672"/>
        <w:gridCol w:w="624"/>
        <w:gridCol w:w="624"/>
        <w:gridCol w:w="88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Arthur D. Chadwick, certify that: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SiTime Corporation.;</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3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36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89" w:type="dxa"/>
        <w:jc w:val="left"/>
        <w:tblInd w:w="0" w:type="dxa"/>
        <w:tblLayout w:type="fixed"/>
        <w:tblCellMar>
          <w:top w:w="28" w:type="dxa"/>
          <w:left w:w="28" w:type="dxa"/>
          <w:bottom w:w="28" w:type="dxa"/>
          <w:right w:w="28" w:type="dxa"/>
        </w:tblCellMar>
      </w:tblPr>
      <w:tblGrid>
        <w:gridCol w:w="759"/>
        <w:gridCol w:w="668"/>
        <w:gridCol w:w="672"/>
        <w:gridCol w:w="1253"/>
        <w:gridCol w:w="1253"/>
        <w:gridCol w:w="17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Arthur D. Chadwick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Arthur D. Chadwick</w:t>
              <w:b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03860"/>
                <wp:effectExtent l="0" t="0" r="0" b="0"/>
                <wp:wrapNone/>
                <wp:docPr id="55" name="Frame5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28" w:type="dxa"/>
        <w:jc w:val="left"/>
        <w:tblInd w:w="0" w:type="dxa"/>
        <w:tblLayout w:type="fixed"/>
        <w:tblCellMar>
          <w:top w:w="28" w:type="dxa"/>
          <w:left w:w="28" w:type="dxa"/>
          <w:bottom w:w="28" w:type="dxa"/>
          <w:right w:w="28" w:type="dxa"/>
        </w:tblCellMar>
      </w:tblPr>
      <w:tblGrid>
        <w:gridCol w:w="759"/>
        <w:gridCol w:w="668"/>
        <w:gridCol w:w="672"/>
        <w:gridCol w:w="624"/>
        <w:gridCol w:w="624"/>
        <w:gridCol w:w="88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Rajesh Vashist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Rajesh Vashist</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SiTime Corporation. (the “Company”) on Form 10-Q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389" w:type="dxa"/>
        <w:jc w:val="left"/>
        <w:tblInd w:w="0" w:type="dxa"/>
        <w:tblLayout w:type="fixed"/>
        <w:tblCellMar>
          <w:top w:w="28" w:type="dxa"/>
          <w:left w:w="28" w:type="dxa"/>
          <w:bottom w:w="28" w:type="dxa"/>
          <w:right w:w="28" w:type="dxa"/>
        </w:tblCellMar>
      </w:tblPr>
      <w:tblGrid>
        <w:gridCol w:w="759"/>
        <w:gridCol w:w="668"/>
        <w:gridCol w:w="672"/>
        <w:gridCol w:w="1253"/>
        <w:gridCol w:w="1253"/>
        <w:gridCol w:w="17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Arthur D. Chadwick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Arthur D. Chadwick</w:t>
              <w:b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19301287/d630610dex31.htm" TargetMode="External"/><Relationship Id="rId3" Type="http://schemas.openxmlformats.org/officeDocument/2006/relationships/hyperlink" Target="https://www.sec.gov/Archives/edgar/data/1451809/000156459021035069/sitm-ex32_6.htm" TargetMode="External"/><Relationship Id="rId4" Type="http://schemas.openxmlformats.org/officeDocument/2006/relationships/hyperlink" Target="https://www.sec.gov/Archives/edgar/data/0001451809/000119312519272678/d701682dex41.htm" TargetMode="External"/><Relationship Id="rId5" Type="http://schemas.openxmlformats.org/officeDocument/2006/relationships/hyperlink" Target="https://www.sec.gov/Archives/edgar/data/1451809/000156459021005867/sitm-ex42_64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33993</Words>
  <Characters>188897</Characters>
  <CharactersWithSpaces>221369</CharactersWithSpaces>
  <Paragraphs>2214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