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44" w:lineRule="auto"/>
        <w:tabs>
          <w:tab w:leader="none" w:pos="47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-86995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color w:val="auto"/>
                <w:w w:val="89"/>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02-0713868</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5451 Patrick Henry Drive</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4"/>
              </w:rPr>
              <w:t>Santa Clara, CA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95054</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SITM</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7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October 31, 2020, the registrant had </w:t>
      </w:r>
      <w:r>
        <w:rPr>
          <w:rFonts w:ascii="Arial" w:cs="Arial" w:eastAsia="Arial" w:hAnsi="Arial"/>
          <w:sz w:val="16"/>
          <w:szCs w:val="16"/>
          <w:color w:val="auto"/>
        </w:rPr>
        <w:t>16</w:t>
      </w:r>
      <w:r>
        <w:rPr>
          <w:rFonts w:ascii="Arial" w:cs="Arial" w:eastAsia="Arial" w:hAnsi="Arial"/>
          <w:sz w:val="15"/>
          <w:szCs w:val="15"/>
          <w:color w:val="auto"/>
        </w:rPr>
        <w:t>,940,154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557530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500" w:type="dxa"/>
            <w:vAlign w:val="bottom"/>
            <w:vMerge w:val="restart"/>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960" w:type="dxa"/>
            <w:vAlign w:val="bottom"/>
            <w:vMerge w:val="continue"/>
          </w:tcPr>
          <w:p>
            <w:pPr>
              <w:spacing w:after="0"/>
              <w:rPr>
                <w:sz w:val="19"/>
                <w:szCs w:val="19"/>
                <w:color w:val="auto"/>
              </w:rPr>
            </w:pPr>
          </w:p>
        </w:tc>
        <w:tc>
          <w:tcPr>
            <w:tcW w:w="950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Income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Stockholders’ Equity</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9500" w:type="dxa"/>
            <w:vAlign w:val="bottom"/>
          </w:tcPr>
          <w:p>
            <w:pPr>
              <w:ind w:left="2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tcPr>
          <w:p>
            <w:pPr>
              <w:ind w:left="2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5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tcPr>
          <w:p>
            <w:pPr>
              <w:ind w:left="20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3"/>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500" w:type="dxa"/>
            <w:vAlign w:val="bottom"/>
          </w:tcPr>
          <w:p>
            <w:pPr>
              <w:ind w:left="2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OTHER INFORMATION</w:t>
              </w:r>
            </w:hyperlink>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tcPr>
          <w:p>
            <w:pPr>
              <w:ind w:left="2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500" w:type="dxa"/>
            <w:vAlign w:val="bottom"/>
          </w:tcPr>
          <w:p>
            <w:pPr>
              <w:ind w:left="20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500" w:type="dxa"/>
            <w:vAlign w:val="bottom"/>
          </w:tcPr>
          <w:p>
            <w:pPr>
              <w:ind w:left="20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500" w:type="dxa"/>
            <w:vAlign w:val="bottom"/>
          </w:tcPr>
          <w:p>
            <w:pPr>
              <w:ind w:left="20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Signatures</w:t>
              </w:r>
            </w:hyperlink>
          </w:p>
        </w:tc>
        <w:tc>
          <w:tcPr>
            <w:tcW w:w="9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w w:val="93"/>
              </w:rPr>
              <w:t>September 30, 2020</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5"/>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60" w:type="dxa"/>
            <w:vAlign w:val="bottom"/>
            <w:gridSpan w:val="4"/>
          </w:tcPr>
          <w:p>
            <w:pPr>
              <w:jc w:val="right"/>
              <w:ind w:right="1171"/>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17,224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accounts receivable</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15,208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11,911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105,353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99,662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127,697</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7,473</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Loan obligations</w:t>
            </w:r>
          </w:p>
        </w:tc>
        <w:tc>
          <w:tcPr>
            <w:tcW w:w="140" w:type="dxa"/>
            <w:vAlign w:val="bottom"/>
          </w:tcPr>
          <w:p>
            <w:pPr>
              <w:spacing w:after="0"/>
              <w:rPr>
                <w:sz w:val="19"/>
                <w:szCs w:val="19"/>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17,565</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24,874</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- 200,000 shares authorized;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16,940 and 14,968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September 30, 2020 and December 31, 2019</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168,208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(65,387)</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(54,024)</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102,823</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127,697</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60" w:type="dxa"/>
            <w:vAlign w:val="bottom"/>
            <w:gridSpan w:val="6"/>
          </w:tcPr>
          <w:p>
            <w:pPr>
              <w:jc w:val="right"/>
              <w:ind w:right="440"/>
              <w:spacing w:after="0" w:line="155" w:lineRule="exact"/>
              <w:rPr>
                <w:sz w:val="20"/>
                <w:szCs w:val="20"/>
                <w:color w:val="auto"/>
              </w:rPr>
            </w:pPr>
            <w:r>
              <w:rPr>
                <w:rFonts w:ascii="Arial" w:cs="Arial" w:eastAsia="Arial" w:hAnsi="Arial"/>
                <w:sz w:val="14"/>
                <w:szCs w:val="14"/>
                <w:b w:val="1"/>
                <w:bCs w:val="1"/>
                <w:color w:val="auto"/>
                <w:w w:val="92"/>
              </w:rPr>
              <w:t>(in thousands, except per share data)</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32,667</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25,325</w:t>
            </w:r>
          </w:p>
        </w:tc>
        <w:tc>
          <w:tcPr>
            <w:tcW w:w="2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13,178</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36,861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8,978</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17,462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(726)</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29"/>
        </w:trPr>
        <w:tc>
          <w:tcPr>
            <w:tcW w:w="502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income before income taxes</w:t>
            </w:r>
          </w:p>
        </w:tc>
        <w:tc>
          <w:tcPr>
            <w:tcW w:w="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8"/>
                <w:szCs w:val="18"/>
                <w:color w:val="auto"/>
              </w:rPr>
              <w:t>Net (loss) income attributable to common stockholders and</w:t>
            </w: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20" w:type="dxa"/>
            <w:vAlign w:val="bottom"/>
          </w:tcPr>
          <w:p>
            <w:pPr>
              <w:ind w:left="140"/>
              <w:spacing w:after="0"/>
              <w:rPr>
                <w:sz w:val="20"/>
                <w:szCs w:val="20"/>
                <w:color w:val="auto"/>
              </w:rPr>
            </w:pPr>
            <w:r>
              <w:rPr>
                <w:rFonts w:ascii="Arial" w:cs="Arial" w:eastAsia="Arial" w:hAnsi="Arial"/>
                <w:sz w:val="18"/>
                <w:szCs w:val="18"/>
                <w:color w:val="auto"/>
              </w:rPr>
              <w:t>comprehensive (loss)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1,079</w:t>
            </w:r>
          </w:p>
        </w:tc>
        <w:tc>
          <w:tcPr>
            <w:tcW w:w="240" w:type="dxa"/>
            <w:vAlign w:val="bottom"/>
          </w:tcPr>
          <w:p>
            <w:pPr>
              <w:spacing w:after="0"/>
              <w:rPr>
                <w:sz w:val="23"/>
                <w:szCs w:val="23"/>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(11,363)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196"/>
        </w:trPr>
        <w:tc>
          <w:tcPr>
            <w:tcW w:w="50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income per share attributable to common</w:t>
            </w:r>
          </w:p>
        </w:tc>
        <w:tc>
          <w:tcPr>
            <w:tcW w:w="7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(0.72)</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to compute basic and diluted</w:t>
            </w:r>
          </w:p>
        </w:tc>
        <w:tc>
          <w:tcPr>
            <w:tcW w:w="7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net (loss) income per share</w:t>
            </w:r>
          </w:p>
        </w:tc>
        <w:tc>
          <w:tcPr>
            <w:tcW w:w="7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20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6"/>
        </w:trPr>
        <w:tc>
          <w:tcPr>
            <w:tcW w:w="5200" w:type="dxa"/>
            <w:vAlign w:val="bottom"/>
          </w:tcPr>
          <w:p>
            <w:pPr>
              <w:spacing w:after="0"/>
              <w:rPr>
                <w:sz w:val="13"/>
                <w:szCs w:val="13"/>
                <w:color w:val="auto"/>
              </w:rPr>
            </w:pPr>
          </w:p>
        </w:tc>
        <w:tc>
          <w:tcPr>
            <w:tcW w:w="100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94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June 30, 2020</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16,716</w:t>
            </w:r>
          </w:p>
        </w:tc>
        <w:tc>
          <w:tcPr>
            <w:tcW w:w="1000" w:type="dxa"/>
            <w:vAlign w:val="bottom"/>
            <w:gridSpan w:val="2"/>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164,287</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(64,720)</w:t>
            </w: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(667)</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w w:val="97"/>
              </w:rPr>
              <w:t>Issuance of shares upon vesting of restricted stock units, net of tax</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withholdings</w:t>
            </w:r>
          </w:p>
        </w:tc>
        <w:tc>
          <w:tcPr>
            <w:tcW w:w="100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168,208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Balances at June 30, 2019</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(55,736)</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September 30,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(54,657)</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14,968</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116,162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(54,024)</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(11,363)</w:t>
            </w: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(11,363)</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Issuance of common stock upon follow-on public offering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net of underwriting discounts and commissions and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other offering costs</w:t>
            </w:r>
          </w:p>
        </w:tc>
        <w:tc>
          <w:tcPr>
            <w:tcW w:w="1000" w:type="dxa"/>
            <w:vAlign w:val="bottom"/>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w w:val="97"/>
              </w:rPr>
              <w:t>Issuance of shares upon vesting of restricted stock units, net of tax</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withholdings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(3,492)</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(3,492)</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16,940</w:t>
            </w:r>
          </w:p>
        </w:tc>
        <w:tc>
          <w:tcPr>
            <w:tcW w:w="220" w:type="dxa"/>
            <w:vAlign w:val="bottom"/>
            <w:tcBorders>
              <w:bottom w:val="single" w:sz="8" w:color="CFF0FC"/>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168,208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(65,387)</w:t>
            </w:r>
          </w:p>
        </w:tc>
        <w:tc>
          <w:tcPr>
            <w:tcW w:w="2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102,823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(47,417)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(7,240)</w:t>
            </w: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58,431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(54,657)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60" w:type="dxa"/>
            <w:vAlign w:val="bottom"/>
            <w:gridSpan w:val="3"/>
          </w:tcPr>
          <w:p>
            <w:pPr>
              <w:jc w:val="right"/>
              <w:ind w:right="619"/>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980" w:type="dxa"/>
            <w:vAlign w:val="bottom"/>
          </w:tcPr>
          <w:p>
            <w:pPr>
              <w:jc w:val="right"/>
              <w:ind w:right="801"/>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w w:val="97"/>
              </w:rPr>
              <w:t>(11,363)</w:t>
            </w:r>
          </w:p>
        </w:tc>
        <w:tc>
          <w:tcPr>
            <w:tcW w:w="1000" w:type="dxa"/>
            <w:vAlign w:val="bottom"/>
          </w:tcPr>
          <w:p>
            <w:pPr>
              <w:jc w:val="right"/>
              <w:ind w:right="819"/>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(7,240)</w:t>
            </w:r>
          </w:p>
        </w:tc>
      </w:tr>
      <w:tr>
        <w:trPr>
          <w:trHeight w:val="19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4,966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6,159</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Non-cash operating lease cost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10,129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Impairment of internal-use software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Changes in assets and liabilities: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 net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1,908</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Related party accounts receivable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335</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573</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Inventories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(3,481)</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7,367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Prepaid expenses and other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2,625</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(1,825)</w:t>
            </w: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(621)</w:t>
            </w: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Accrued expenses and other liabilities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2,108</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(1,489)</w:t>
            </w: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Lease liabilities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(1,921)</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(918)</w:t>
            </w: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operating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9,842</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4,882</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9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(3,912)</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(832)</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intangibles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(1,437)</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(1,378)</w:t>
            </w: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investing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(5,349)</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public offering, net of underwriting</w:t>
            </w: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8"/>
        </w:trPr>
        <w:tc>
          <w:tcPr>
            <w:tcW w:w="7720" w:type="dxa"/>
            <w:vAlign w:val="bottom"/>
          </w:tcPr>
          <w:p>
            <w:pPr>
              <w:ind w:left="260"/>
              <w:spacing w:after="0"/>
              <w:rPr>
                <w:sz w:val="20"/>
                <w:szCs w:val="20"/>
                <w:color w:val="auto"/>
              </w:rPr>
            </w:pPr>
            <w:r>
              <w:rPr>
                <w:rFonts w:ascii="Arial" w:cs="Arial" w:eastAsia="Arial" w:hAnsi="Arial"/>
                <w:sz w:val="17"/>
                <w:szCs w:val="17"/>
                <w:color w:val="auto"/>
              </w:rPr>
              <w:t>discounts and commissions and other offering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45,789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(1,329)</w:t>
            </w: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(3,492)</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loans from financial institutions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35,000</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Principal payments on loans to financial institutions</w:t>
            </w:r>
          </w:p>
        </w:tc>
        <w:tc>
          <w:tcPr>
            <w:tcW w:w="9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7"/>
              </w:rPr>
              <w:t>(76,000)</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(used in) financing activities</w:t>
            </w:r>
          </w:p>
        </w:tc>
        <w:tc>
          <w:tcPr>
            <w:tcW w:w="9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1,297</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(1,329)</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1000"/>
              <w:spacing w:after="0"/>
              <w:rPr>
                <w:sz w:val="20"/>
                <w:szCs w:val="20"/>
                <w:color w:val="auto"/>
              </w:rPr>
            </w:pPr>
            <w:r>
              <w:rPr>
                <w:rFonts w:ascii="Arial" w:cs="Arial" w:eastAsia="Arial" w:hAnsi="Arial"/>
                <w:sz w:val="17"/>
                <w:szCs w:val="17"/>
                <w:color w:val="auto"/>
              </w:rPr>
              <w:t>Net increase in cash and cash equivalents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5,790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1,343</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b w:val="1"/>
                <w:bCs w:val="1"/>
                <w:color w:val="auto"/>
              </w:rPr>
              <w:t>Cash and cash equivalents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Beginning of period</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63,418</w:t>
            </w:r>
          </w:p>
        </w:tc>
        <w:tc>
          <w:tcPr>
            <w:tcW w:w="2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7,889</w:t>
            </w:r>
          </w:p>
        </w:tc>
        <w:tc>
          <w:tcPr>
            <w:tcW w:w="120" w:type="dxa"/>
            <w:vAlign w:val="bottom"/>
            <w:shd w:val="clear" w:color="auto" w:fill="CFF0FC"/>
          </w:tcPr>
          <w:p>
            <w:pPr>
              <w:spacing w:after="0"/>
              <w:rPr>
                <w:sz w:val="18"/>
                <w:szCs w:val="18"/>
                <w:color w:val="auto"/>
              </w:rPr>
            </w:pPr>
          </w:p>
        </w:tc>
      </w:tr>
      <w:tr>
        <w:trPr>
          <w:trHeight w:val="25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End of period</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69,208</w:t>
            </w:r>
          </w:p>
        </w:tc>
        <w:tc>
          <w:tcPr>
            <w:tcW w:w="28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9,232</w:t>
            </w:r>
          </w:p>
        </w:tc>
        <w:tc>
          <w:tcPr>
            <w:tcW w:w="120" w:type="dxa"/>
            <w:vAlign w:val="bottom"/>
            <w:tcBorders>
              <w:bottom w:val="single" w:sz="8" w:color="CFF0FC"/>
            </w:tcBorders>
          </w:tcPr>
          <w:p>
            <w:pPr>
              <w:spacing w:after="0"/>
              <w:rPr>
                <w:sz w:val="21"/>
                <w:szCs w:val="21"/>
                <w:color w:val="auto"/>
              </w:rPr>
            </w:pPr>
          </w:p>
        </w:tc>
      </w:tr>
      <w:tr>
        <w:trPr>
          <w:trHeight w:val="196"/>
        </w:trPr>
        <w:tc>
          <w:tcPr>
            <w:tcW w:w="7720" w:type="dxa"/>
            <w:vAlign w:val="bottom"/>
            <w:shd w:val="clear" w:color="auto" w:fill="CFF0FC"/>
          </w:tcPr>
          <w:p>
            <w:pPr>
              <w:spacing w:after="0" w:line="193" w:lineRule="exact"/>
              <w:rPr>
                <w:sz w:val="20"/>
                <w:szCs w:val="20"/>
                <w:color w:val="auto"/>
              </w:rPr>
            </w:pPr>
            <w:r>
              <w:rPr>
                <w:rFonts w:ascii="Arial" w:cs="Arial" w:eastAsia="Arial" w:hAnsi="Arial"/>
                <w:sz w:val="17"/>
                <w:szCs w:val="17"/>
                <w:b w:val="1"/>
                <w:bCs w:val="1"/>
                <w:color w:val="auto"/>
              </w:rPr>
              <w:t>Supplemental disclosure of cash flow information</w:t>
            </w: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Interest paid during the period</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799</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1,258</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Income taxes paid</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Unpaid property and equipment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Unpaid deferred offering costs</w:t>
            </w:r>
          </w:p>
        </w:tc>
        <w:tc>
          <w:tcPr>
            <w:tcW w:w="9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Right-of-use assets acquired under operating leases</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10,763</w:t>
            </w:r>
          </w:p>
        </w:tc>
        <w:tc>
          <w:tcPr>
            <w:tcW w:w="1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are comprised of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2019. The year-end condensed balance sheet data was derived from audited financial statements, but does not include all disclosures required by GAAP.</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was a wholly-owned subsidiary of MegaChips Corporation (“MegaChips”), a fabless semiconductor company based in Japan and traded on the Tokyo Stock Exchange, until the Company completed its initial public offering in November 2019. On June 16, 2020, we completed a follow-on public offering, in which we issued and sold 1,525,000 shares of our common stock and MegaChips sold 2,500,000 of our common stock held by them, resulting in net proceeds to the Company of $45.8 million after deducting underwriting discounts and commissions of $2.7 million and deferred offering costs of $0.3 million. MegaChips remains the largest stockholder of the Company and held approximately 44.3% of the Company’s outstanding common stock as of September 30,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we rely upon for our manufacturing, assembly, testing, shipping and other operations.</w:t>
      </w:r>
    </w:p>
    <w:p>
      <w:pPr>
        <w:spacing w:after="0" w:line="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global health crisis caused by the COVID-19 pandemic has negatively impacted business activity across the globe and has impacted the Company's employees and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and as such, the Company is not able to estimate the future effects of the COVID-19 pandemic on its employees, customers, suppliers, results of operations, financial condition, or liquidity for fiscal year 2020.</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Calendar</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Company’s significant accounting policies are disclosed in the Company’s audited consolidated financial statements and related notes thereto included in the Annual Report on Form 10-K for the year ended December 31, 2019. There had been no changes to these accounting policies except for the recently adopted accounting guidance as discussed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August 2018, the Financial Accounting Standard Board (“FASB”) issued Accounting Standard Update (“ASU”) 2018-15, Intangibles-Goodwill and Other-Internal-Use Software (Subtopic 350-40): Customer’s Accounting for Implementation Costs Incurred in a Cloud Computing Arrangement That Is a Service Contract, which aligns the requirements for capitalizing implementation costs incurred in a cloud computing arrangement that is a service contract with the requirements for capitalizing implementation costs incurred to develop or obtain internal-use-software. The adoption of this standard on January 1, 2020 did not have any impact on the Company's consolidated financial position, results of operations and cash flows.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right="200"/>
        <w:spacing w:after="0" w:line="263"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modifies the disclosure requirements in Topic 820. The adoption of this standard on January 1, 2020 did not have any impact on the Company's disclosures.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eliminates certain exceptions related to the approach for intraperiod tax allocation, the methodology for calculating income taxes in an interim period and the recognition of deferred tax liabilities for outside basis differences. It also clarifies and simplifies other aspects of the accounting for income taxes. The new standard will be effective for fiscal years beginning after December 15, 2020. The Company is currently evaluating the impact of the adoption of this standard on its consolidated financial position, results of operations and cash flows.</w:t>
      </w:r>
    </w:p>
    <w:p>
      <w:pPr>
        <w:spacing w:after="0" w:line="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June 2016, the FASB issued ASU 2016-13, Financial Instruments – Credit Losses (Topic 326): Measurement of Credit Losses on Financial Instruments, which changes the credit loss model from an incurred loss approach to an expected loss approach. It requires the application of a current expected credit loss (“CECL”) impairment model to financial assets measured at amortized cost (including trade accounts receivable) and certain off-balance-sheet credit exposures. Under the CECL model, lifetime expected credit losses on such financial assets are measured and recognized at each reporting date based on historical, current, and forecasted information. The standard also changes the impairment model for available-for-sale debt securities, eliminating the concept of other than temporary impairment and requiring credit losses to be recorded through an allowance for credit losses. The amount of the allowance for credit losses for available-for-sale debt securities is limited to the amount by which fair value is below amortized cost. The standard is effective for interim and annual periods beginning after December 15, 2022. A modified retrospective adoption method is required, with a cumulative-effect adjustment to the opening retained earnings balance in the period of adoption. The adoption of this standard is not expected to have a material impact on the Company's consolidated financial position,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computation of basic and diluted net loss (income) per share attributable to common stockholder of the Company:</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5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80" w:type="dxa"/>
            <w:vAlign w:val="bottom"/>
            <w:gridSpan w:val="5"/>
          </w:tcPr>
          <w:p>
            <w:pPr>
              <w:jc w:val="right"/>
              <w:ind w:right="38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common stockholders</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(11,363)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(7,240)</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FF0FC"/>
            </w:tcBorders>
            <w:vMerge w:val="continue"/>
          </w:tcPr>
          <w:p>
            <w:pPr>
              <w:spacing w:after="0"/>
              <w:rPr>
                <w:sz w:val="21"/>
                <w:szCs w:val="21"/>
                <w:color w:val="auto"/>
              </w:rPr>
            </w:pPr>
          </w:p>
        </w:tc>
        <w:tc>
          <w:tcPr>
            <w:tcW w:w="6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16,818</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15,737</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2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 average shares used to compute basic and</w:t>
            </w: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 net (loss) income per share</w:t>
            </w:r>
          </w:p>
        </w:tc>
        <w:tc>
          <w:tcPr>
            <w:tcW w:w="6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16,818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15,737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60"/>
              <w:spacing w:after="0"/>
              <w:rPr>
                <w:sz w:val="20"/>
                <w:szCs w:val="20"/>
                <w:color w:val="auto"/>
              </w:rPr>
            </w:pPr>
            <w:r>
              <w:rPr>
                <w:rFonts w:ascii="Arial" w:cs="Arial" w:eastAsia="Arial" w:hAnsi="Arial"/>
                <w:sz w:val="18"/>
                <w:szCs w:val="18"/>
                <w:color w:val="auto"/>
              </w:rPr>
              <w:t>Net (loss) income attributable to common stockholders per</w:t>
            </w: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380"/>
              <w:spacing w:after="0"/>
              <w:rPr>
                <w:sz w:val="20"/>
                <w:szCs w:val="20"/>
                <w:color w:val="auto"/>
              </w:rPr>
            </w:pPr>
            <w:r>
              <w:rPr>
                <w:rFonts w:ascii="Arial" w:cs="Arial" w:eastAsia="Arial" w:hAnsi="Arial"/>
                <w:sz w:val="18"/>
                <w:szCs w:val="18"/>
                <w:color w:val="auto"/>
              </w:rPr>
              <w:t>share, basic and diluted</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(0.72)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short-term debt obligations, and other current liabilities, approximate their fair values due to their short maturities.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September 30, 2020 and December 31, 2019, cash balances in bank checking and savings accounts of $14.1 million and $28.4 million, respectively were valued using Level 1 of the fair value hierarchy. At September 30, 2020 and December 31, 2019, highly liquid money market funds of $55.1 million and $35.0 million, respectively, were valued using Level 1 of the fair value hierarchy, quoted prices in active markets for identical assets, and are included in cash equivalents.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As of</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w w:val="94"/>
              </w:rPr>
              <w:t>September 30, 2020</w:t>
            </w: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receivables, gross</w:t>
            </w:r>
          </w:p>
        </w:tc>
        <w:tc>
          <w:tcPr>
            <w:tcW w:w="3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receivables, net</w:t>
            </w:r>
          </w:p>
        </w:tc>
        <w:tc>
          <w:tcPr>
            <w:tcW w:w="35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17,224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3560" w:type="dxa"/>
            <w:vAlign w:val="bottom"/>
            <w:vMerge w:val="restart"/>
          </w:tcPr>
          <w:p>
            <w:pPr>
              <w:jc w:val="right"/>
              <w:ind w:right="1790"/>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98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w w:val="94"/>
              </w:rPr>
              <w:t>September 30, 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11,937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15,208</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center"/>
              <w:ind w:left="1240"/>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w w:val="94"/>
              </w:rPr>
              <w:t>September 30, 2020</w:t>
            </w: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ectPr>
          <w:pgSz w:w="11900" w:h="16838" w:orient="portrait"/>
          <w:cols w:equalWidth="0" w:num="1">
            <w:col w:w="11260"/>
          </w:cols>
          <w:pgMar w:left="320" w:top="445" w:right="31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Advance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prepaid and other current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04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r>
      <w:tr>
        <w:trPr>
          <w:trHeight w:val="229"/>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30"/>
        </w:trPr>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1,279</w:t>
            </w:r>
          </w:p>
        </w:tc>
      </w:tr>
      <w:tr>
        <w:trPr>
          <w:trHeight w:val="230"/>
        </w:trPr>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r>
      <w:tr>
        <w:trPr>
          <w:trHeight w:val="223"/>
        </w:trPr>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5,601</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2802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5" w:lineRule="exact"/>
        <w:rPr>
          <w:sz w:val="20"/>
          <w:szCs w:val="20"/>
          <w:color w:val="auto"/>
        </w:rPr>
      </w:pPr>
    </w:p>
    <w:p>
      <w:pPr>
        <w:ind w:left="220"/>
        <w:spacing w:after="0"/>
        <w:tabs>
          <w:tab w:leader="none" w:pos="216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22802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6820" w:space="720"/>
            <w:col w:w="3720"/>
          </w:cols>
          <w:pgMar w:left="320" w:top="445"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20,706</w:t>
            </w: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4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17,376</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Computer Equipment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4,086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w:t>
            </w:r>
          </w:p>
        </w:tc>
        <w:tc>
          <w:tcPr>
            <w:tcW w:w="10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26,982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22,712</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5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(16,123)</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(13,424)</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10,859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9,288</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expense related to property and equipment was $1.0 million, $2.7 million, $0.9 million, and $2.4 million for the three and nine months ended September 30, 2020 and 2019,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As of</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7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4"/>
              </w:rPr>
              <w:t>September 30, 2020</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3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9,338</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intangibles</w:t>
            </w:r>
          </w:p>
        </w:tc>
        <w:tc>
          <w:tcPr>
            <w:tcW w:w="37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FF0FC"/>
          </w:tcPr>
          <w:p>
            <w:pPr>
              <w:spacing w:after="0"/>
              <w:rPr>
                <w:sz w:val="19"/>
                <w:szCs w:val="19"/>
                <w:color w:val="auto"/>
              </w:rPr>
            </w:pPr>
          </w:p>
        </w:tc>
        <w:tc>
          <w:tcPr>
            <w:tcW w:w="37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w:t>
            </w:r>
          </w:p>
        </w:tc>
        <w:tc>
          <w:tcPr>
            <w:tcW w:w="12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3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(12,569)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(10,326)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37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780" w:type="dxa"/>
            <w:vAlign w:val="bottom"/>
            <w:vMerge w:val="restart"/>
          </w:tcPr>
          <w:p>
            <w:pPr>
              <w:jc w:val="right"/>
              <w:ind w:right="1790"/>
              <w:spacing w:after="0"/>
              <w:rPr>
                <w:sz w:val="20"/>
                <w:szCs w:val="20"/>
                <w:color w:val="auto"/>
              </w:rPr>
            </w:pPr>
            <w:r>
              <w:rPr>
                <w:rFonts w:ascii="Arial" w:cs="Arial" w:eastAsia="Arial" w:hAnsi="Arial"/>
                <w:sz w:val="18"/>
                <w:szCs w:val="18"/>
                <w:color w:val="auto"/>
              </w:rPr>
              <w:t>7</w:t>
            </w: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76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type w:val="continuous"/>
        </w:sectPr>
      </w:pPr>
    </w:p>
    <w:bookmarkStart w:id="9" w:name="page10"/>
    <w:bookmarkEnd w:id="9"/>
    <w:p>
      <w:pPr>
        <w:ind w:right="60"/>
        <w:spacing w:after="0" w:line="254" w:lineRule="auto"/>
        <w:rPr>
          <w:sz w:val="20"/>
          <w:szCs w:val="20"/>
          <w:color w:val="auto"/>
        </w:rPr>
      </w:pPr>
      <w:r>
        <w:rPr>
          <w:rFonts w:ascii="Arial" w:cs="Arial" w:eastAsia="Arial" w:hAnsi="Arial"/>
          <w:sz w:val="18"/>
          <w:szCs w:val="18"/>
          <w:color w:val="auto"/>
        </w:rPr>
        <w:t>Amortization expense for intangible assets was $0.3 million, $2.3 million, $1.2 million, and $3.7 million for the three and nine months ended September 30, 2020 and 2019, respectively. In the three and nine months ended September 30, 2020 the Company recorded impairment charges of $0.8 million and $1.0 million respectively, related to capitalized cost of software that was within the development phase and was being developed solely to meet the Company’s internal needs. The related product for which the software was developed to support in production was abandoned as the Company changed its roadmap and improved the final desired technical specifications required of the new product. Accordingly, it was no longer probable that the software project will be completed and placed into service. The impairment charge was recorded as research and development expense in the condensed consolidated statement of operations.</w:t>
      </w:r>
    </w:p>
    <w:p>
      <w:pPr>
        <w:spacing w:after="0" w:line="8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September 30, 2020, the Company had $0.7 million of intangibles that were still in development stage and were not being amortized. The estimated aggregate future amortization expense for intangible assets in development stage and subject to amortization as of September 30, 2020 is summarized as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3"/>
        </w:trPr>
        <w:tc>
          <w:tcPr>
            <w:tcW w:w="7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2020 (remainder)</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1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4"/>
                <w:szCs w:val="4"/>
                <w:color w:val="auto"/>
                <w:w w:val="87"/>
              </w:rPr>
              <w:t>$</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4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ind w:left="1237"/>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5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w w:val="94"/>
              </w:rPr>
              <w:t>September 30, 2020</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benefits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w:t>
            </w:r>
          </w:p>
        </w:tc>
        <w:tc>
          <w:tcPr>
            <w:tcW w:w="460" w:type="dxa"/>
            <w:vAlign w:val="bottom"/>
            <w:gridSpan w:val="3"/>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Price adjustment and other revenue reserves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Short term lease liability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10,092</w:t>
            </w:r>
          </w:p>
        </w:tc>
        <w:tc>
          <w:tcPr>
            <w:tcW w:w="300" w:type="dxa"/>
            <w:vAlign w:val="bottom"/>
            <w:tcBorders>
              <w:bottom w:val="single" w:sz="8" w:color="CFF0FC"/>
            </w:tcBorders>
            <w:gridSpan w:val="2"/>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leases real estate property under operating leases. The Company was also a lessee and a sublessor from an accounting perspective for its Santa Clara lease through March 31, 2019. The Company also leases office space in Michigan, Malaysia, Japan, the Netherlands, and Ukraine all under non-cancellable operating leases with various expiration dates through December 2026. The remaining lease terms vary from a few months to 6 years. For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did not have any leases that had not yet commenced.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September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542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54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w w:val="94"/>
              </w:rPr>
              <w:t>September 30, 2020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2019</w:t>
            </w:r>
          </w:p>
        </w:tc>
        <w:tc>
          <w:tcPr>
            <w:tcW w:w="20" w:type="dxa"/>
            <w:vAlign w:val="bottom"/>
          </w:tcPr>
          <w:p>
            <w:pPr>
              <w:spacing w:after="0"/>
              <w:rPr>
                <w:sz w:val="19"/>
                <w:szCs w:val="19"/>
                <w:color w:val="auto"/>
              </w:rPr>
            </w:pPr>
          </w:p>
        </w:tc>
      </w:tr>
      <w:tr>
        <w:trPr>
          <w:trHeight w:val="155"/>
        </w:trPr>
        <w:tc>
          <w:tcPr>
            <w:tcW w:w="54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480" w:type="dxa"/>
            <w:vAlign w:val="bottom"/>
            <w:tcBorders>
              <w:top w:val="single" w:sz="8" w:color="auto"/>
            </w:tcBorders>
            <w:gridSpan w:val="5"/>
          </w:tcPr>
          <w:p>
            <w:pPr>
              <w:jc w:val="right"/>
              <w:ind w:right="1293"/>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21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9,220</w:t>
            </w:r>
          </w:p>
        </w:tc>
        <w:tc>
          <w:tcPr>
            <w:tcW w:w="3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w w:val="93"/>
              </w:rPr>
              <w:t>Lease liabilities included in accrued expenses and other current liabilities</w:t>
            </w:r>
          </w:p>
        </w:tc>
        <w:tc>
          <w:tcPr>
            <w:tcW w:w="20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 - non-current</w:t>
            </w:r>
          </w:p>
        </w:tc>
        <w:tc>
          <w:tcPr>
            <w:tcW w:w="20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7,309</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20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8,552</w:t>
            </w:r>
          </w:p>
        </w:tc>
        <w:tc>
          <w:tcPr>
            <w:tcW w:w="3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9,814</w:t>
            </w:r>
          </w:p>
        </w:tc>
        <w:tc>
          <w:tcPr>
            <w:tcW w:w="1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jc w:val="right"/>
              <w:ind w:right="108"/>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r>
      <w:tr>
        <w:trPr>
          <w:trHeight w:val="742"/>
        </w:trPr>
        <w:tc>
          <w:tcPr>
            <w:tcW w:w="5420" w:type="dxa"/>
            <w:vAlign w:val="bottom"/>
          </w:tcPr>
          <w:p>
            <w:pPr>
              <w:spacing w:after="0"/>
              <w:rPr>
                <w:sz w:val="24"/>
                <w:szCs w:val="24"/>
                <w:color w:val="auto"/>
              </w:rPr>
            </w:pPr>
          </w:p>
        </w:tc>
        <w:tc>
          <w:tcPr>
            <w:tcW w:w="2000" w:type="dxa"/>
            <w:vAlign w:val="bottom"/>
          </w:tcPr>
          <w:p>
            <w:pPr>
              <w:jc w:val="right"/>
              <w:ind w:right="167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0" w:name="page11"/>
    <w:bookmarkEnd w:id="10"/>
    <w:p>
      <w:pPr>
        <w:ind w:right="340"/>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three and nine months ended September 30, 2020 and 2019:</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Short-term lease cost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Variable lease cost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35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23"/>
        </w:trPr>
        <w:tc>
          <w:tcPr>
            <w:tcW w:w="940" w:type="dxa"/>
            <w:vAlign w:val="bottom"/>
            <w:gridSpan w:val="2"/>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22"/>
        </w:trPr>
        <w:tc>
          <w:tcPr>
            <w:tcW w:w="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30"/>
        </w:trPr>
        <w:tc>
          <w:tcPr>
            <w:tcW w:w="940" w:type="dxa"/>
            <w:vAlign w:val="bottom"/>
            <w:gridSpan w:val="2"/>
          </w:tcPr>
          <w:p>
            <w:pPr>
              <w:jc w:val="right"/>
              <w:ind w:right="799"/>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Pr>
          <w:p>
            <w:pPr>
              <w:spacing w:after="0"/>
              <w:rPr>
                <w:sz w:val="19"/>
                <w:szCs w:val="19"/>
                <w:color w:val="auto"/>
              </w:rPr>
            </w:pPr>
          </w:p>
        </w:tc>
        <w:tc>
          <w:tcPr>
            <w:tcW w:w="1020" w:type="dxa"/>
            <w:vAlign w:val="bottom"/>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352</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1,269</w:t>
            </w:r>
          </w:p>
        </w:tc>
        <w:tc>
          <w:tcPr>
            <w:tcW w:w="260" w:type="dxa"/>
            <w:vAlign w:val="bottom"/>
          </w:tcPr>
          <w:p>
            <w:pPr>
              <w:spacing w:after="0"/>
              <w:rPr>
                <w:sz w:val="19"/>
                <w:szCs w:val="19"/>
                <w:color w:val="auto"/>
              </w:rPr>
            </w:pP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29"/>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225</w:t>
            </w:r>
          </w:p>
        </w:tc>
        <w:tc>
          <w:tcPr>
            <w:tcW w:w="2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23"/>
        </w:trPr>
        <w:tc>
          <w:tcPr>
            <w:tcW w:w="20" w:type="dxa"/>
            <w:vAlign w:val="bottom"/>
          </w:tcPr>
          <w:p>
            <w:pPr>
              <w:spacing w:after="0"/>
              <w:rPr>
                <w:sz w:val="19"/>
                <w:szCs w:val="19"/>
                <w:color w:val="auto"/>
              </w:rPr>
            </w:pPr>
          </w:p>
        </w:tc>
        <w:tc>
          <w:tcPr>
            <w:tcW w:w="920" w:type="dxa"/>
            <w:vAlign w:val="bottom"/>
            <w:tcBorders>
              <w:bottom w:val="single" w:sz="8" w:color="auto"/>
            </w:tcBorders>
          </w:tcPr>
          <w:p>
            <w:pPr>
              <w:jc w:val="right"/>
              <w:ind w:right="79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670</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-616585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-325120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300"/>
          </w:cols>
          <w:pgMar w:left="320" w:top="382" w:right="339" w:bottom="1440" w:gutter="0" w:footer="0" w:header="0"/>
          <w:type w:val="continuous"/>
        </w:sectPr>
      </w:pPr>
    </w:p>
    <w:p>
      <w:pPr>
        <w:spacing w:after="0" w:line="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Cash paid for operating lease liabilities was $0.3 million, $1.9 million, $2.0 million and $2.7 million, respectively for the three and nine months ended September 30, 2020 and 2019. The cash paid for three and nine months ended September 30, 2019, includes $1.6 million of prepaid lease payments. The Company sub-leased a portion of its Santa Clara facility through March 31, 2019 and received $0.1 million in sub-lease income for the nine months ended September 30, 2019, which was included in the short-term lease cost above.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Undiscounted Cash Flows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September 30,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FF0FC"/>
          </w:tcPr>
          <w:p>
            <w:pPr>
              <w:spacing w:after="0"/>
              <w:rPr>
                <w:sz w:val="19"/>
                <w:szCs w:val="19"/>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2021</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1,567</w:t>
            </w:r>
          </w:p>
        </w:tc>
        <w:tc>
          <w:tcPr>
            <w:tcW w:w="120" w:type="dxa"/>
            <w:vAlign w:val="bottom"/>
          </w:tcPr>
          <w:p>
            <w:pPr>
              <w:spacing w:after="0"/>
              <w:rPr>
                <w:sz w:val="19"/>
                <w:szCs w:val="19"/>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120" w:type="dxa"/>
            <w:vAlign w:val="bottom"/>
            <w:shd w:val="clear" w:color="auto" w:fill="CFF0FC"/>
          </w:tcPr>
          <w:p>
            <w:pPr>
              <w:spacing w:after="0"/>
              <w:rPr>
                <w:sz w:val="19"/>
                <w:szCs w:val="19"/>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2023</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beyond</w:t>
            </w: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w:t>
            </w:r>
          </w:p>
        </w:tc>
        <w:tc>
          <w:tcPr>
            <w:tcW w:w="120" w:type="dxa"/>
            <w:vAlign w:val="bottom"/>
            <w:tcBorders>
              <w:bottom w:val="single" w:sz="8" w:color="CFF0FC"/>
            </w:tcBorders>
          </w:tcPr>
          <w:p>
            <w:pPr>
              <w:spacing w:after="0"/>
              <w:rPr>
                <w:sz w:val="19"/>
                <w:szCs w:val="19"/>
                <w:color w:val="auto"/>
              </w:rPr>
            </w:pPr>
          </w:p>
        </w:tc>
      </w:tr>
      <w:tr>
        <w:trPr>
          <w:trHeight w:val="223"/>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9,652</w:t>
            </w:r>
          </w:p>
        </w:tc>
        <w:tc>
          <w:tcPr>
            <w:tcW w:w="120" w:type="dxa"/>
            <w:vAlign w:val="bottom"/>
            <w:shd w:val="clear" w:color="auto" w:fill="CFF0FC"/>
          </w:tcPr>
          <w:p>
            <w:pPr>
              <w:spacing w:after="0"/>
              <w:rPr>
                <w:sz w:val="19"/>
                <w:szCs w:val="19"/>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Less: amount of lease payments representing interest</w:t>
            </w: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(1,100)</w:t>
            </w:r>
          </w:p>
        </w:tc>
      </w:tr>
      <w:tr>
        <w:trPr>
          <w:trHeight w:val="223"/>
        </w:trPr>
        <w:tc>
          <w:tcPr>
            <w:tcW w:w="8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440" w:type="dxa"/>
            <w:vAlign w:val="bottom"/>
            <w:tcBorders>
              <w:top w:val="single" w:sz="8" w:color="auto"/>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(1,243)</w:t>
            </w:r>
          </w:p>
        </w:tc>
      </w:tr>
      <w:tr>
        <w:trPr>
          <w:trHeight w:val="223"/>
        </w:trPr>
        <w:tc>
          <w:tcPr>
            <w:tcW w:w="8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June 16, 2020, we completed a follow-on public offering, in which we issued and sold 1,525,000 shares of our common stock and MegaChips sold 2,500,000 of our common stock held by them.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the restricted stock unit award (“RSU”) and cash restricted stock unit award (“CRSU”), activity for the three and nine months ended September 30, 2020: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RSU</w:t>
            </w:r>
          </w:p>
        </w:tc>
        <w:tc>
          <w:tcPr>
            <w:tcW w:w="14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CRSU</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78"/>
        </w:trPr>
        <w:tc>
          <w:tcPr>
            <w:tcW w:w="58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r>
      <w:tr>
        <w:trPr>
          <w:trHeight w:val="171"/>
        </w:trPr>
        <w:tc>
          <w:tcPr>
            <w:tcW w:w="58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FF0FC"/>
            </w:tcBorders>
          </w:tcPr>
          <w:p>
            <w:pPr>
              <w:spacing w:after="0"/>
              <w:rPr>
                <w:sz w:val="14"/>
                <w:szCs w:val="14"/>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December 31, 2019</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2,989,322</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2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206,026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(149,141)</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(130,939)</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2"/>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March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2,915,268</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13.5</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130,640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(183,910)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(3,290)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(17,860)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r>
      <w:tr>
        <w:trPr>
          <w:trHeight w:val="21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June 30,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2,844,138</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1,490</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133,825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(224,179)</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(19,980)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2,733,804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1" w:name="page12"/>
    <w:bookmarkEnd w:id="11"/>
    <w:p>
      <w:pPr>
        <w:ind w:right="80"/>
        <w:spacing w:after="0" w:line="272" w:lineRule="auto"/>
        <w:rPr>
          <w:sz w:val="20"/>
          <w:szCs w:val="20"/>
          <w:color w:val="auto"/>
        </w:rPr>
      </w:pPr>
      <w:r>
        <w:rPr>
          <w:rFonts w:ascii="Arial" w:cs="Arial" w:eastAsia="Arial" w:hAnsi="Arial"/>
          <w:sz w:val="17"/>
          <w:szCs w:val="17"/>
          <w:color w:val="auto"/>
        </w:rPr>
        <w:t>On August 4, 2020, the Compensation Committee of the Company adopted and approved the Executive Bonus and Retention Plan (the “Bonus and Retention Plan”) with target bonus amounts and performance goals for the second half of the fiscal year 2020 (the “2020 Goals”). The 2020 Goals are based on the achievement of revenue and Non-GAAP operating profit for the second half of 2020, as well as individual performance goals. The target bonuses were granted based on a fixed dollar amount to be settled in restricted stock units on the vesting date and hence the awards have been classified as liability-based awards. Such expense is included in the non-cash adjustment within stock-based compensation expense on the condensed consolidated cash flow statement. The liability of $0.4 million was recorded as accrued expenses and other current liabilities in the condensed consolidated balance sheet. Actual payouts may range from zero to 150% of target, based on performance.</w:t>
      </w:r>
    </w:p>
    <w:p>
      <w:pPr>
        <w:spacing w:after="0" w:line="8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 the three and nine months ended September 30, 2020, the Company granted cash based RSUs (the “CRSU”) as part of an employee bonus plan. Generally, such units are granted quarterly and fully vest at the end of the quarter they are granted except units granted to new hires that have a one-year cliff vesting. Such awards have also been classified as liability-based awards.</w:t>
      </w:r>
    </w:p>
    <w:p>
      <w:pPr>
        <w:spacing w:after="0" w:line="8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For the nine months ended September 30, 2020, the Company issued 447,077 shares of common stock in connection with the vesting of RSUs. The difference between the number of RSUs vested and the shares of common stock issued is the result of RSUs withheld in satisfaction of minimum tax withholding obligations associated with the vesting.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76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37"/>
        </w:trPr>
        <w:tc>
          <w:tcPr>
            <w:tcW w:w="5840" w:type="dxa"/>
            <w:vAlign w:val="bottom"/>
            <w:vMerge w:val="restart"/>
          </w:tcPr>
          <w:p>
            <w:pPr>
              <w:spacing w:after="0"/>
              <w:rPr>
                <w:sz w:val="20"/>
                <w:szCs w:val="20"/>
                <w:color w:val="auto"/>
              </w:rPr>
            </w:pPr>
            <w:r>
              <w:rPr>
                <w:rFonts w:ascii="Arial" w:cs="Arial" w:eastAsia="Arial" w:hAnsi="Arial"/>
                <w:sz w:val="16"/>
                <w:szCs w:val="16"/>
                <w:b w:val="1"/>
                <w:bCs w:val="1"/>
                <w:color w:val="auto"/>
              </w:rPr>
              <w:t>Equity awards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4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720" w:type="dxa"/>
            <w:vAlign w:val="bottom"/>
            <w:shd w:val="clear" w:color="auto" w:fill="CFF0FC"/>
          </w:tcPr>
          <w:p>
            <w:pPr>
              <w:jc w:val="right"/>
              <w:ind w:right="53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4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1,100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2,785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FF0FC"/>
            </w:tcBorders>
          </w:tcPr>
          <w:p>
            <w:pPr>
              <w:spacing w:after="0"/>
              <w:rPr>
                <w:sz w:val="23"/>
                <w:szCs w:val="23"/>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3,919</w:t>
            </w:r>
          </w:p>
        </w:tc>
        <w:tc>
          <w:tcPr>
            <w:tcW w:w="220" w:type="dxa"/>
            <w:vAlign w:val="bottom"/>
            <w:tcBorders>
              <w:bottom w:val="single" w:sz="8" w:color="CFF0FC"/>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9,749</w:t>
            </w:r>
          </w:p>
        </w:tc>
        <w:tc>
          <w:tcPr>
            <w:tcW w:w="240" w:type="dxa"/>
            <w:vAlign w:val="bottom"/>
            <w:tcBorders>
              <w:bottom w:val="single" w:sz="8" w:color="CFF0FC"/>
            </w:tcBorders>
          </w:tcPr>
          <w:p>
            <w:pPr>
              <w:spacing w:after="0"/>
              <w:rPr>
                <w:sz w:val="23"/>
                <w:szCs w:val="23"/>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Liability-based awards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720" w:type="dxa"/>
            <w:vAlign w:val="bottom"/>
          </w:tcPr>
          <w:p>
            <w:pPr>
              <w:jc w:val="right"/>
              <w:ind w:right="535"/>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98</w:t>
            </w:r>
          </w:p>
        </w:tc>
        <w:tc>
          <w:tcPr>
            <w:tcW w:w="4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840" w:type="dxa"/>
            <w:vAlign w:val="bottom"/>
            <w:tcBorders>
              <w:top w:val="single" w:sz="8" w:color="CFF0FC"/>
              <w:bottom w:val="single" w:sz="8" w:color="CFF0FC"/>
            </w:tcBorders>
            <w:shd w:val="clear" w:color="auto" w:fill="CFF0FC"/>
          </w:tcPr>
          <w:p>
            <w:pPr>
              <w:spacing w:after="0"/>
              <w:rPr>
                <w:sz w:val="20"/>
                <w:szCs w:val="20"/>
                <w:color w:val="auto"/>
              </w:rPr>
            </w:pPr>
          </w:p>
        </w:tc>
        <w:tc>
          <w:tcPr>
            <w:tcW w:w="720" w:type="dxa"/>
            <w:vAlign w:val="bottom"/>
            <w:tcBorders>
              <w:top w:val="single" w:sz="8" w:color="auto"/>
              <w:bottom w:val="single" w:sz="8" w:color="auto"/>
            </w:tcBorders>
            <w:shd w:val="clear" w:color="auto" w:fill="CFF0FC"/>
          </w:tcPr>
          <w:p>
            <w:pPr>
              <w:jc w:val="right"/>
              <w:ind w:right="5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vMerge w:val="continue"/>
          </w:tcPr>
          <w:p>
            <w:pPr>
              <w:spacing w:after="0"/>
              <w:rPr>
                <w:sz w:val="19"/>
                <w:szCs w:val="19"/>
                <w:color w:val="auto"/>
              </w:rPr>
            </w:pP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4,640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As of September 30, 2020, there was $41.3 million and $1.1 million of unrecognized compensation costs related to RSUs granted and liability-based awards granted, respectively. The unrecognized compensation cost is expected to be recognized over a weighted average period of 3.67 years for equity awards and 0.44 years for liability-based awards.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quarterly provision for (benefit from)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The new legislation includes a number of income tax provisions applicable to individuals and businesses. Due to historical net operating losses incurred in the U.S., the CARES Act did not have material impacts on the Company’s condensed consolidated financial statements as of September 30, 2020. The Company continues to examine the elements of the CARES Act and the impact it may have on its financial statements.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following table presents the provision for income taxes and the effective tax rates for the three and nine months ended September 30, 2020 and 2019:</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7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 September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56"/>
        </w:trPr>
        <w:tc>
          <w:tcPr>
            <w:tcW w:w="4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r>
      <w:tr>
        <w:trPr>
          <w:trHeight w:val="155"/>
        </w:trPr>
        <w:tc>
          <w:tcPr>
            <w:tcW w:w="40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40" w:type="dxa"/>
            <w:vAlign w:val="bottom"/>
            <w:gridSpan w:val="5"/>
          </w:tcPr>
          <w:p>
            <w:pPr>
              <w:jc w:val="right"/>
              <w:ind w:right="997"/>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3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(667)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(11,362)</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(7,239)</w:t>
            </w: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Provision (benefit) for income tax</w:t>
            </w:r>
          </w:p>
        </w:tc>
        <w:tc>
          <w:tcPr>
            <w:tcW w:w="1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r>
      <w:tr>
        <w:trPr>
          <w:trHeight w:val="229"/>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5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4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income before income taxes and taxable income.</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September 30, 2020.</w:t>
      </w:r>
    </w:p>
    <w:p>
      <w:pPr>
        <w:spacing w:after="0" w:line="6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As of September 30, 2020 and December 31, 2019, the Company had $2.2 million and $2.2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and nine months ended September 30, 2020 and 2019, the Company had immaterial amounts related to the accrual of interest and penalties.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Geographic and Customer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silicon timing systems solutions.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25"/>
        </w:trPr>
        <w:tc>
          <w:tcPr>
            <w:tcW w:w="5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8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5"/>
          </w:tcPr>
          <w:p>
            <w:pPr>
              <w:ind w:left="560"/>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16,126</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11,934</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34,099</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26,830</w:t>
            </w:r>
          </w:p>
        </w:tc>
        <w:tc>
          <w:tcPr>
            <w:tcW w:w="120" w:type="dxa"/>
            <w:vAlign w:val="bottom"/>
            <w:shd w:val="clear" w:color="auto" w:fill="CFF0FC"/>
          </w:tcPr>
          <w:p>
            <w:pPr>
              <w:spacing w:after="0"/>
              <w:rPr>
                <w:sz w:val="21"/>
                <w:szCs w:val="21"/>
                <w:color w:val="auto"/>
              </w:rPr>
            </w:pPr>
          </w:p>
        </w:tc>
      </w:tr>
      <w:tr>
        <w:trPr>
          <w:trHeight w:val="237"/>
        </w:trPr>
        <w:tc>
          <w:tcPr>
            <w:tcW w:w="5840" w:type="dxa"/>
            <w:vAlign w:val="bottom"/>
          </w:tcPr>
          <w:p>
            <w:pPr>
              <w:spacing w:after="0"/>
              <w:rPr>
                <w:sz w:val="20"/>
                <w:szCs w:val="20"/>
                <w:color w:val="auto"/>
              </w:rPr>
            </w:pPr>
            <w:r>
              <w:rPr>
                <w:rFonts w:ascii="Arial" w:cs="Arial" w:eastAsia="Arial" w:hAnsi="Arial"/>
                <w:sz w:val="18"/>
                <w:szCs w:val="18"/>
                <w:color w:val="auto"/>
              </w:rPr>
              <w:t>Hong Kong</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9,209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4,442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11,047</w:t>
            </w:r>
          </w:p>
        </w:tc>
        <w:tc>
          <w:tcPr>
            <w:tcW w:w="120" w:type="dxa"/>
            <w:vAlign w:val="bottom"/>
          </w:tcPr>
          <w:p>
            <w:pPr>
              <w:spacing w:after="0"/>
              <w:rPr>
                <w:sz w:val="20"/>
                <w:szCs w:val="20"/>
                <w:color w:val="auto"/>
              </w:rPr>
            </w:pPr>
          </w:p>
        </w:tc>
      </w:tr>
      <w:tr>
        <w:trPr>
          <w:trHeight w:val="24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5,938</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3,880</w:t>
            </w:r>
          </w:p>
        </w:tc>
        <w:tc>
          <w:tcPr>
            <w:tcW w:w="120" w:type="dxa"/>
            <w:vAlign w:val="bottom"/>
            <w:shd w:val="clear" w:color="auto" w:fill="CFF0FC"/>
          </w:tcPr>
          <w:p>
            <w:pPr>
              <w:spacing w:after="0"/>
              <w:rPr>
                <w:sz w:val="21"/>
                <w:szCs w:val="21"/>
                <w:color w:val="auto"/>
              </w:rPr>
            </w:pPr>
          </w:p>
        </w:tc>
      </w:tr>
      <w:tr>
        <w:trPr>
          <w:trHeight w:val="277"/>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w:t>
            </w: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w:t>
            </w:r>
          </w:p>
        </w:tc>
        <w:tc>
          <w:tcPr>
            <w:tcW w:w="220" w:type="dxa"/>
            <w:vAlign w:val="bottom"/>
            <w:tcBorders>
              <w:bottom w:val="single" w:sz="8" w:color="CFF0F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16,315</w:t>
            </w:r>
          </w:p>
        </w:tc>
        <w:tc>
          <w:tcPr>
            <w:tcW w:w="26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14,228</w:t>
            </w:r>
          </w:p>
        </w:tc>
        <w:tc>
          <w:tcPr>
            <w:tcW w:w="120" w:type="dxa"/>
            <w:vAlign w:val="bottom"/>
            <w:tcBorders>
              <w:bottom w:val="single" w:sz="8" w:color="CFF0FC"/>
            </w:tcBorders>
          </w:tcPr>
          <w:p>
            <w:pPr>
              <w:spacing w:after="0"/>
              <w:rPr>
                <w:sz w:val="24"/>
                <w:szCs w:val="24"/>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32,667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25,325</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75,882</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September 30, 2020 and December 31, 2019 were 96% and 97%, respectively, of total property and equipment and intangible assets.</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 from sales to three of the Company's distributors accounted for 30.3%, 15.8%, and 14.6% of its consolidated revenues for the three months ended September 30, 2020. Revenue from sales to three of the Company's distributors accounted for 23.0%, 19.7% and 14.0% of its consolidated revenues for the nine months ended September 30, 2020. Revenue from sales to one end customer accounted for 44.6% and 36.3% for the three and nine months ended September 30, 2020. No other distributors or customers accounted for 10% or more of the Company's consolidated revenues for the three months or nine months ended September 30, 2020.</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 from sales to four of the Company's distributors accounted for 27.5%, 16.9%, 15.3% and 11.7% of its consolidated revenues for the three months ended September 30, 2019. Revenue from sales to three of the Company's distributors accounted for 23.1%, 19.3% and 18.2% of its consolidated revenues for the nine months ended September 30, 2019. Revenue from sales to one end customer accounted for 34.1% and 35.4% for the three and nine months ended September 30, 2019. No other distributors or customers accounted for 10% or more of the Company's consolidated revenues for the three months or nine months ended September 30, 2019.</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9. Debt Obligations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has borrowed against the short-term revolving line of credit that it has arranged with The Bank of Tokyo-Mitsubishi UFJ, Ltd. (“MUFG”) to fund its operations. The weighted-average interest rate on short-term borrowings outstanding as of December 31, 2019 was 1.42%.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 Company was in compliance with all of the financial covenants under its debt agreement with MUFG.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as of September 30, 2020 and December 31, 2019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left="239"/>
              <w:spacing w:after="0"/>
              <w:rPr>
                <w:sz w:val="20"/>
                <w:szCs w:val="20"/>
                <w:color w:val="auto"/>
              </w:rPr>
            </w:pPr>
            <w:r>
              <w:rPr>
                <w:rFonts w:ascii="Arial" w:cs="Arial" w:eastAsia="Arial" w:hAnsi="Arial"/>
                <w:sz w:val="14"/>
                <w:szCs w:val="14"/>
                <w:b w:val="1"/>
                <w:bCs w:val="1"/>
                <w:color w:val="auto"/>
                <w:w w:val="91"/>
              </w:rPr>
              <w:t>As of</w:t>
            </w:r>
          </w:p>
        </w:tc>
        <w:tc>
          <w:tcPr>
            <w:tcW w:w="1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tcBorders>
              <w:bottom w:val="single" w:sz="8" w:color="auto"/>
            </w:tcBorders>
            <w:gridSpan w:val="4"/>
          </w:tcPr>
          <w:p>
            <w:pPr>
              <w:ind w:left="180"/>
              <w:spacing w:after="0" w:line="155" w:lineRule="exact"/>
              <w:rPr>
                <w:sz w:val="20"/>
                <w:szCs w:val="20"/>
                <w:color w:val="auto"/>
              </w:rPr>
            </w:pPr>
            <w:r>
              <w:rPr>
                <w:rFonts w:ascii="Arial" w:cs="Arial" w:eastAsia="Arial" w:hAnsi="Arial"/>
                <w:sz w:val="14"/>
                <w:szCs w:val="14"/>
                <w:b w:val="1"/>
                <w:bCs w:val="1"/>
                <w:color w:val="auto"/>
              </w:rPr>
              <w:t>September 30, 2020</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ind w:right="115"/>
              <w:spacing w:after="0" w:line="155" w:lineRule="exact"/>
              <w:rPr>
                <w:sz w:val="20"/>
                <w:szCs w:val="20"/>
                <w:color w:val="auto"/>
              </w:rPr>
            </w:pPr>
            <w:r>
              <w:rPr>
                <w:rFonts w:ascii="Arial" w:cs="Arial" w:eastAsia="Arial" w:hAnsi="Arial"/>
                <w:sz w:val="14"/>
                <w:szCs w:val="14"/>
                <w:b w:val="1"/>
                <w:bCs w:val="1"/>
                <w:color w:val="auto"/>
                <w:w w:val="96"/>
              </w:rPr>
              <w:t>December 31, 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5"/>
          </w:tcPr>
          <w:p>
            <w:pPr>
              <w:jc w:val="center"/>
              <w:ind w:left="23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Revolving line of credit:</w:t>
            </w: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gridSpan w:val="2"/>
          </w:tcPr>
          <w:p>
            <w:pPr>
              <w:ind w:left="260"/>
              <w:spacing w:after="0"/>
              <w:rPr>
                <w:sz w:val="20"/>
                <w:szCs w:val="20"/>
                <w:color w:val="auto"/>
              </w:rPr>
            </w:pPr>
            <w:r>
              <w:rPr>
                <w:rFonts w:ascii="Arial" w:cs="Arial" w:eastAsia="Arial" w:hAnsi="Arial"/>
                <w:sz w:val="18"/>
                <w:szCs w:val="18"/>
                <w:color w:val="auto"/>
              </w:rPr>
              <w:t>MUFG</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w:t>
            </w:r>
          </w:p>
        </w:tc>
        <w:tc>
          <w:tcPr>
            <w:tcW w:w="10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00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(41,000)</w:t>
            </w:r>
          </w:p>
        </w:tc>
        <w:tc>
          <w:tcPr>
            <w:tcW w:w="0" w:type="dxa"/>
            <w:vAlign w:val="bottom"/>
          </w:tcPr>
          <w:p>
            <w:pPr>
              <w:spacing w:after="0"/>
              <w:rPr>
                <w:sz w:val="1"/>
                <w:szCs w:val="1"/>
                <w:color w:val="auto"/>
              </w:rPr>
            </w:pPr>
          </w:p>
        </w:tc>
      </w:tr>
      <w:tr>
        <w:trPr>
          <w:trHeight w:val="210"/>
        </w:trPr>
        <w:tc>
          <w:tcPr>
            <w:tcW w:w="60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0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w w:val="91"/>
              </w:rPr>
              <w:t>As of December 31, 2019, debt obligations were as follows (dollars in thousands):</w:t>
            </w: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Lender</w:t>
            </w:r>
          </w:p>
        </w:tc>
        <w:tc>
          <w:tcPr>
            <w:tcW w:w="220" w:type="dxa"/>
            <w:vAlign w:val="bottom"/>
            <w:vMerge w:val="restart"/>
          </w:tcPr>
          <w:p>
            <w:pPr>
              <w:spacing w:after="0"/>
              <w:rPr>
                <w:sz w:val="24"/>
                <w:szCs w:val="24"/>
                <w:color w:val="auto"/>
              </w:rPr>
            </w:pPr>
          </w:p>
        </w:tc>
        <w:tc>
          <w:tcPr>
            <w:tcW w:w="1360" w:type="dxa"/>
            <w:vAlign w:val="bottom"/>
            <w:gridSpan w:val="3"/>
          </w:tcPr>
          <w:p>
            <w:pPr>
              <w:jc w:val="right"/>
              <w:ind w:right="710"/>
              <w:spacing w:after="0"/>
              <w:rPr>
                <w:sz w:val="20"/>
                <w:szCs w:val="20"/>
                <w:color w:val="auto"/>
              </w:rPr>
            </w:pPr>
            <w:r>
              <w:rPr>
                <w:rFonts w:ascii="Arial" w:cs="Arial" w:eastAsia="Arial" w:hAnsi="Arial"/>
                <w:sz w:val="14"/>
                <w:szCs w:val="14"/>
                <w:b w:val="1"/>
                <w:bCs w:val="1"/>
                <w:color w:val="auto"/>
              </w:rPr>
              <w:t>Loan</w:t>
            </w:r>
          </w:p>
        </w:tc>
        <w:tc>
          <w:tcPr>
            <w:tcW w:w="94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Loan</w:t>
            </w:r>
          </w:p>
        </w:tc>
        <w:tc>
          <w:tcPr>
            <w:tcW w:w="240" w:type="dxa"/>
            <w:vAlign w:val="bottom"/>
          </w:tcPr>
          <w:p>
            <w:pPr>
              <w:spacing w:after="0"/>
              <w:rPr>
                <w:sz w:val="24"/>
                <w:szCs w:val="24"/>
                <w:color w:val="auto"/>
              </w:rPr>
            </w:pPr>
          </w:p>
        </w:tc>
        <w:tc>
          <w:tcPr>
            <w:tcW w:w="80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2"/>
              </w:rPr>
              <w:t>Annual</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71"/>
        </w:trPr>
        <w:tc>
          <w:tcPr>
            <w:tcW w:w="5780" w:type="dxa"/>
            <w:vAlign w:val="bottom"/>
            <w:tcBorders>
              <w:bottom w:val="single" w:sz="8" w:color="CFF0FC"/>
            </w:tcBorders>
            <w:vMerge w:val="continue"/>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Start Date</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300" w:type="dxa"/>
            <w:vAlign w:val="bottom"/>
            <w:tcBorders>
              <w:bottom w:val="single" w:sz="8" w:color="CFF0FC"/>
            </w:tcBorders>
          </w:tcPr>
          <w:p>
            <w:pPr>
              <w:spacing w:after="0"/>
              <w:rPr>
                <w:sz w:val="14"/>
                <w:szCs w:val="14"/>
                <w:color w:val="auto"/>
              </w:rPr>
            </w:pPr>
          </w:p>
        </w:tc>
        <w:tc>
          <w:tcPr>
            <w:tcW w:w="12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MUFG</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12/19/2019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38,000</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88"/>
              <w:spacing w:after="0"/>
              <w:rPr>
                <w:sz w:val="20"/>
                <w:szCs w:val="20"/>
                <w:color w:val="auto"/>
              </w:rPr>
            </w:pPr>
            <w:r>
              <w:rPr>
                <w:rFonts w:ascii="Arial" w:cs="Arial" w:eastAsia="Arial" w:hAnsi="Arial"/>
                <w:sz w:val="18"/>
                <w:szCs w:val="18"/>
                <w:color w:val="auto"/>
                <w:w w:val="90"/>
              </w:rPr>
              <w:t>2.97%</w:t>
            </w: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6/10/2020</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MUFG</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8/23/2019</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3,000</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gridSpan w:val="3"/>
          </w:tcPr>
          <w:p>
            <w:pPr>
              <w:jc w:val="right"/>
              <w:ind w:right="88"/>
              <w:spacing w:after="0"/>
              <w:rPr>
                <w:sz w:val="20"/>
                <w:szCs w:val="20"/>
                <w:color w:val="auto"/>
              </w:rPr>
            </w:pPr>
            <w:r>
              <w:rPr>
                <w:rFonts w:ascii="Arial" w:cs="Arial" w:eastAsia="Arial" w:hAnsi="Arial"/>
                <w:sz w:val="18"/>
                <w:szCs w:val="18"/>
                <w:color w:val="auto"/>
                <w:w w:val="90"/>
              </w:rPr>
              <w:t>3.10%</w:t>
            </w:r>
          </w:p>
        </w:tc>
        <w:tc>
          <w:tcPr>
            <w:tcW w:w="12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2/19/2020</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41,000</w:t>
            </w:r>
          </w:p>
        </w:tc>
        <w:tc>
          <w:tcPr>
            <w:tcW w:w="24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10, 2020, the $38.0 million loan with MUFG matured, at which time the Company renewed the loan for $23.0 million at an interest rate of 1.39% through June 24, 2020. On June 24, 2020, the loan was further extended through July 24, 2020 at an interest rate of 1.45%. On July 24, 2020, the Company paid down all outstanding loans with MUFG of $35.0 million of which $12.0 million of loans were prepaid with a penalty of $0.1 million. Effective June 30, 2020, the MegaChips guarantee for the revolving line of credit with MUFG has been terminated. Upon termination of the guarantee, the Company agreed to maintain a minimum cash balance in its operating cash account equal to its outstanding loan balance with MUFG. The minimum cash balance requirement is a compensating balance arrangement that does not legally restrict any cash amounts that are shown in the condensed consolidated balance sheet. The Company continues to have $50.0 million funds available under its credit facility with MUFG. The credit line with MUFG is no longer guaranteed by MCC. As of September 30, 2020, the Company closed the $20.0 million revolving line of credit it had with Sumitomo Mitsui Banking Corporation and $30.0 million revolving line of credit with MegaChips. Both of these credit facilities had no outstanding balance at time of closing.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 No accruals for loss contingencies or recognition of actual losses have been recorded in any of the periods presented.</w:t>
      </w:r>
    </w:p>
    <w:p>
      <w:pPr>
        <w:spacing w:after="0" w:line="4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March 2019, VTT Technical Research Centre of Finland, Ltd. ("VTT") filed suit in the United States District Court for the Northern District of California alleging infringement by the Company of a patent relating to specific combinations of features set forth in U.S. Patent No. 8,558,643. The complaint sought unspecified monetary damages and injunctive relief. On January 22, 2020, the Company participated in a mediation that had been ordered by the Court. The case was not resolved at the mediation. A 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filed a Notice of Appeal of the Court's judgment with the US Court of Appeals for the Federal Circuit and is expected to file its opening brief by November 19, 2020 and the Company is expected to file its response brief by January 28, 2020. The Company has not accrued for a loss contingency relating to such matter as the potential loss is currently not probable and reasonably estimable.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entered into an agreement with MegaChips, whereby the Company appointed MegaChips as the exclusive sales representative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loss.</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MegaChips is the largest stockholder of the Company and held approximately 44.3% and 66.8% of the Company’s outstanding common stock as of September 30, 2020 and December 31, 2019,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the three and nine months ended September 30, 2020, the Company entered into an asset purchase agreement with MegaChips Corporation.</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nine months ended September 30, 2020 the Company entered into an equipment purchase agreement with MegaChips Taiwan Corporation, a wholly-owned subsidiary of MegaChips Corporation.</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the nine months ended September 30, 2020 the Company entered into a services and secondment agreement with MegaChips LSI USA Corporation, a wholly-owned subsidiary of MegaChips Corporation.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 9, “Debt Obligations” for more information regarding the Company’s loan agreement with MegaChips.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Borders>
              <w:bottom w:val="single" w:sz="8" w:color="auto"/>
            </w:tcBorders>
            <w:gridSpan w:val="4"/>
          </w:tcPr>
          <w:p>
            <w:pPr>
              <w:jc w:val="right"/>
              <w:ind w:right="162"/>
              <w:spacing w:after="0" w:line="155" w:lineRule="exact"/>
              <w:rPr>
                <w:sz w:val="20"/>
                <w:szCs w:val="20"/>
                <w:color w:val="auto"/>
              </w:rPr>
            </w:pPr>
            <w:r>
              <w:rPr>
                <w:rFonts w:ascii="Arial" w:cs="Arial" w:eastAsia="Arial" w:hAnsi="Arial"/>
                <w:sz w:val="14"/>
                <w:szCs w:val="14"/>
                <w:b w:val="1"/>
                <w:bCs w:val="1"/>
                <w:color w:val="auto"/>
              </w:rPr>
              <w:t>September 30, 2020</w:t>
            </w:r>
          </w:p>
        </w:tc>
        <w:tc>
          <w:tcPr>
            <w:tcW w:w="4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3"/>
                <w:szCs w:val="13"/>
                <w:color w:val="auto"/>
              </w:rPr>
            </w:pPr>
          </w:p>
        </w:tc>
      </w:tr>
      <w:tr>
        <w:trPr>
          <w:trHeight w:val="155"/>
        </w:trPr>
        <w:tc>
          <w:tcPr>
            <w:tcW w:w="4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3"/>
          </w:tcPr>
          <w:p>
            <w:pPr>
              <w:jc w:val="right"/>
              <w:ind w:right="416"/>
              <w:spacing w:after="0" w:line="155"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gridSpan w:val="2"/>
          </w:tcPr>
          <w:p>
            <w:pPr>
              <w:jc w:val="right"/>
              <w:ind w:right="45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738</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current assets</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Accounts payable</w:t>
            </w: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r>
      <w:tr>
        <w:trPr>
          <w:trHeight w:val="418"/>
        </w:trPr>
        <w:tc>
          <w:tcPr>
            <w:tcW w:w="4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5"/>
        </w:trPr>
        <w:tc>
          <w:tcPr>
            <w:tcW w:w="4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4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4"/>
          </w:tcPr>
          <w:p>
            <w:pPr>
              <w:jc w:val="right"/>
              <w:ind w:right="362"/>
              <w:spacing w:after="0" w:line="155" w:lineRule="exact"/>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Sales</w:t>
            </w:r>
          </w:p>
        </w:tc>
        <w:tc>
          <w:tcPr>
            <w:tcW w:w="20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1,544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1,418</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4,274</w:t>
            </w:r>
          </w:p>
        </w:tc>
        <w:tc>
          <w:tcPr>
            <w:tcW w:w="6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License expense</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Commission expense</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Affiliates</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Consulting fees</w:t>
            </w:r>
          </w:p>
        </w:tc>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262</w:t>
            </w:r>
          </w:p>
        </w:tc>
        <w:tc>
          <w:tcPr>
            <w:tcW w:w="600" w:type="dxa"/>
            <w:vAlign w:val="bottom"/>
          </w:tcPr>
          <w:p>
            <w:pPr>
              <w:spacing w:after="0"/>
              <w:rPr>
                <w:sz w:val="20"/>
                <w:szCs w:val="20"/>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18"/>
        </w:trPr>
        <w:tc>
          <w:tcPr>
            <w:tcW w:w="4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56"/>
        </w:trPr>
        <w:tc>
          <w:tcPr>
            <w:tcW w:w="4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35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3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Cash paid for commissions</w:t>
            </w:r>
          </w:p>
        </w:tc>
        <w:tc>
          <w:tcPr>
            <w:tcW w:w="20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176</w:t>
            </w:r>
          </w:p>
        </w:tc>
        <w:tc>
          <w:tcPr>
            <w:tcW w:w="600" w:type="dxa"/>
            <w:vAlign w:val="bottom"/>
          </w:tcPr>
          <w:p>
            <w:pPr>
              <w:jc w:val="right"/>
              <w:ind w:right="19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licenses</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b w:val="1"/>
                <w:bCs w:val="1"/>
                <w:color w:val="auto"/>
              </w:rPr>
              <w:t>Affiliates</w:t>
            </w:r>
          </w:p>
        </w:tc>
        <w:tc>
          <w:tcPr>
            <w:tcW w:w="1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consulting fees</w:t>
            </w:r>
          </w:p>
        </w:tc>
        <w:tc>
          <w:tcPr>
            <w:tcW w:w="1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600" w:type="dxa"/>
            <w:vAlign w:val="bottom"/>
            <w:shd w:val="clear" w:color="auto" w:fill="CFF0FC"/>
          </w:tcPr>
          <w:p>
            <w:pPr>
              <w:spacing w:after="0"/>
              <w:rPr>
                <w:sz w:val="19"/>
                <w:szCs w:val="19"/>
                <w:color w:val="auto"/>
              </w:rPr>
            </w:pPr>
          </w:p>
        </w:tc>
        <w:tc>
          <w:tcPr>
            <w:tcW w:w="9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69" w:lineRule="exact"/>
        <w:rPr>
          <w:sz w:val="20"/>
          <w:szCs w:val="20"/>
          <w:color w:val="auto"/>
        </w:rPr>
      </w:pPr>
    </w:p>
    <w:p>
      <w:pPr>
        <w:ind w:left="1120" w:hanging="748"/>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plans to focus on oscillators, clock IC, resonators and timing sync solutions and to aggressively expand our presence in these markets;</w:t>
      </w:r>
    </w:p>
    <w:p>
      <w:pPr>
        <w:spacing w:after="0" w:line="140" w:lineRule="exact"/>
        <w:rPr>
          <w:rFonts w:ascii="Arial" w:cs="Arial" w:eastAsia="Arial" w:hAnsi="Arial"/>
          <w:sz w:val="16"/>
          <w:szCs w:val="16"/>
          <w:color w:val="auto"/>
        </w:rPr>
      </w:pPr>
    </w:p>
    <w:p>
      <w:pPr>
        <w:ind w:left="1120" w:right="240" w:hanging="748"/>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employees, revenue and other operating results, liquidity, and cash flows, and its impact on the businesses of our suppliers and customers, and our anticipated responses thereto;</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address market and customer demands and to timely develop new or enhanced solutions to meet those demands;</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impact of new legislation and IRS guidance issued in response to the COVID-19 pandemic;</w:t>
      </w:r>
    </w:p>
    <w:p>
      <w:pPr>
        <w:spacing w:after="0" w:line="117" w:lineRule="exact"/>
        <w:rPr>
          <w:rFonts w:ascii="Arial" w:cs="Arial" w:eastAsia="Arial" w:hAnsi="Arial"/>
          <w:sz w:val="18"/>
          <w:szCs w:val="18"/>
          <w:color w:val="auto"/>
        </w:rPr>
      </w:pPr>
    </w:p>
    <w:p>
      <w:pPr>
        <w:jc w:val="both"/>
        <w:ind w:left="1120" w:hanging="748"/>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spacing w:after="0" w:line="75"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dependence on our largest customer;</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new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solutions, and our ability to serve and expand our presence in those markets;</w:t>
      </w:r>
    </w:p>
    <w:p>
      <w:pPr>
        <w:spacing w:after="0" w:line="128" w:lineRule="exact"/>
        <w:rPr>
          <w:rFonts w:ascii="Arial" w:cs="Arial" w:eastAsia="Arial" w:hAnsi="Arial"/>
          <w:sz w:val="17"/>
          <w:szCs w:val="17"/>
          <w:color w:val="auto"/>
        </w:rPr>
      </w:pPr>
    </w:p>
    <w:p>
      <w:pPr>
        <w:ind w:left="1120" w:right="640" w:hanging="748"/>
        <w:spacing w:after="0" w:line="263"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spacing w:after="0" w:line="75"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goal to become the leading timing solution provider for advanced and challenging applications;</w:t>
      </w:r>
    </w:p>
    <w:p>
      <w:pPr>
        <w:spacing w:after="0" w:line="130"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fit in the smallest footprints in the industry;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new markets;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and our relationships with, our third-party suppliers and manufacturers;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customers’ ability to respond successfully to technological or industry developments;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management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intellectual property and related litigation;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regarding capital requirements, expectations regarding renewal of loans, and needs for additional financing;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6" w:name="page17"/>
    <w:bookmarkEnd w:id="16"/>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relationship with, and ownership percentage of, MegaChips Corporation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our ability to obtain, maintain, protect, and enforce intellectual property protection for our technology.</w:t>
      </w:r>
    </w:p>
    <w:p>
      <w:pPr>
        <w:spacing w:after="0" w:line="237"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addition, any statements contained herein that are not statements of historical facts may be deemed to be forward-looking statements.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20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 are a leading provider of silicon timing solutions. Our timing solutions are the heartbeat of our customers’ electronic systems, solving complex timing problems and enabling industry-leading products. We provide solutions that are differentiated by high performance and reliability, programmability, small size, and low power consumption. Our products have been designed into over 200 applications across our target markets, including enterprise and telecommunications infrastructure, automotive, industrial, IoT and mobile, and aerospace and defense.</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commenced commercial shipments of our first oscillator products in 2006. Substantially all of our revenue to date has been derived from sales of oscillator systems across our target end markets. We recently introduced products into the clock IC market, which we began sampling in 2019, and to focus on clock IC and timing sync solutions in the future. We seek to aggressively expand our presence in these two markets.</w:t>
      </w:r>
    </w:p>
    <w:p>
      <w:pPr>
        <w:spacing w:after="0" w:line="1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Based on sell-through information provided by these distributors, we believe the majority of our end customers are based in the U.S.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On June 16, 2020, we completed a follow-on public offering, in which we issued and sold 1,525,000 shares of our common stock and MegaChips sold 2,500,000 of our common stock held by them. MegaChips continues to be our largest stockholder and held approximately 44.3% of our common stock as of September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future impact of the global emergence of the COVID-19 pandemic on our business is currently unknown. In an effort to protect the health and safety of our employees, we took proactive actions and adopted social distancing policies at our locations around the world, including work from home (“WFH”), reducing the number of people in our sites at any one time, and suspending employee travel. In an effort to contain the COVID-19 pandemic or slow its spread, governments around the world have also enacted various measures, including orders to close all businesses not deemed “essential,” isolate residents to their homes or places of residence, and practice social distancing when engaging in essential activities. In addition, the United States and other foreign countries in which we operate have imposed measures such as quarantines and “shelter-in-place” orders that are restricting business operations and travel and requiring individuals to WFH, which has impacted all aspects of our business, as well as those of the third-parties we rely upon for our manufacturing, assembly, testing, shipping and other operations.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40"/>
        <w:spacing w:after="0" w:line="268" w:lineRule="auto"/>
        <w:rPr>
          <w:sz w:val="20"/>
          <w:szCs w:val="20"/>
          <w:color w:val="auto"/>
        </w:rPr>
      </w:pPr>
      <w:r>
        <w:rPr>
          <w:rFonts w:ascii="Arial" w:cs="Arial" w:eastAsia="Arial" w:hAnsi="Arial"/>
          <w:sz w:val="17"/>
          <w:szCs w:val="17"/>
          <w:color w:val="auto"/>
        </w:rPr>
        <w:t>We anticipate the global health crisis caused by the COVID-19 pandemic will continue to negatively impact business activity across the globe and will continue to impact our business, employees and operations. We believe that the COVID-19 pandemic has caused, and could continue to cause, delay and disruption in the manufacture, shipment, and sales of, and overall demand for, our products. In addition, we believe the production capabilities of our suppliers has been, and may continue to be, impacted as a result of quarantines, closures of production facilities, lack of supplies, or delays caused by restrictions on travel or WFH orders. For example, on March 16, 2020, the government of Malaysia announced measures to restrict movement in that country to suppress the number of COVID-19 cases. The restrictions have been extended currently until December 31, 2020.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the Company has experienced minimal impact from any supplier disruption. 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employees, service providers, customers and results of operations.</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remains a high degree of uncertainty in the global business environment given the impact of the COVID-19 pandemic which creates challenges with visibility beyond the near term.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the remainder of fiscal 2020 or beyond. For additional discussion, please see Part II, Item 1A Risk Factors of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94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tcPr>
          <w:p>
            <w:pPr>
              <w:ind w:left="5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2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524"/>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62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20" w:type="dxa"/>
            <w:vAlign w:val="bottom"/>
            <w:gridSpan w:val="5"/>
          </w:tcPr>
          <w:p>
            <w:pPr>
              <w:jc w:val="right"/>
              <w:ind w:right="182"/>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32,667</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25,325</w:t>
            </w: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244"/>
              <w:spacing w:after="0"/>
              <w:rPr>
                <w:sz w:val="20"/>
                <w:szCs w:val="20"/>
                <w:color w:val="auto"/>
              </w:rPr>
            </w:pPr>
            <w:r>
              <w:rPr>
                <w:rFonts w:ascii="Arial" w:cs="Arial" w:eastAsia="Arial" w:hAnsi="Arial"/>
                <w:sz w:val="18"/>
                <w:szCs w:val="18"/>
                <w:color w:val="auto"/>
                <w:w w:val="99"/>
              </w:rPr>
              <w:t>$ 7,342</w:t>
            </w:r>
          </w:p>
        </w:tc>
        <w:tc>
          <w:tcPr>
            <w:tcW w:w="7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29%  $</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75,882</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55,985</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w w:val="89"/>
              </w:rPr>
              <w:t>$19,897</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r>
    </w:tbl>
    <w:p>
      <w:pPr>
        <w:spacing w:after="0" w:line="2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Revenue increased by $7.3 million, or 29%, for three months ended September 30, 2020 compared to the same period in the prior year. The increase in revenue was primarily related to increased revenue of $5.9 million from our largest customer from higher sales volume. The remaining increase was from increased ASP from our customers largely in Asia. The overall average selling price of our products increase by $0.02 year over year driven mostly by mix of products.</w:t>
      </w:r>
    </w:p>
    <w:p>
      <w:pPr>
        <w:spacing w:after="0" w:line="21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Revenue increased by $19.9 million, or 36%, for nine months ended September 30, 2020 compared to the same period in the prior year. The revenue from our customers largely in Asia increased $12.2 million primarily from higher sales volume of 13% and an increase in ASP. The remaining increase was primarily related to increased revenue of $7.7 million from our largest customer from higher sales volume and higher ASP driven by mix of products sold. The overall average selling price of our products increased by $0.03 year over year driven mostly by mix of products.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120"/>
        <w:spacing w:after="0" w:line="279" w:lineRule="auto"/>
        <w:rPr>
          <w:sz w:val="20"/>
          <w:szCs w:val="20"/>
          <w:color w:val="auto"/>
        </w:rPr>
      </w:pPr>
      <w:r>
        <w:rPr>
          <w:rFonts w:ascii="Arial" w:cs="Arial" w:eastAsia="Arial" w:hAnsi="Arial"/>
          <w:sz w:val="17"/>
          <w:szCs w:val="17"/>
          <w:color w:val="auto"/>
        </w:rPr>
        <w:t>For three and nine months ended September 30, 2020, sales attributable to our largest end customer accounted for 45% and 36% of our revenue, respectively. Our end customers predominantly purchase our products from distributors. For the three and nine months ended September 30, 2020, our top three distributors by revenue together accounted for approximately 61% and 57% of our revenue, respectively. Revenue attributable to our largest ten end customers accounted for 63% and 55% respectively for the three and nine months ended September 30,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21"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3"/>
              </w:rPr>
              <w:t>Three Months Ended September 30,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4"/>
              </w:rPr>
              <w:t>Nine Months Ended September 30,</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24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08"/>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gridSpan w:val="5"/>
          </w:tcPr>
          <w:p>
            <w:pPr>
              <w:jc w:val="right"/>
              <w:ind w:right="599"/>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720" w:type="dxa"/>
            <w:vAlign w:val="bottom"/>
            <w:gridSpan w:val="5"/>
          </w:tcPr>
          <w:p>
            <w:pPr>
              <w:jc w:val="right"/>
              <w:ind w:right="608"/>
              <w:spacing w:after="0" w:line="155" w:lineRule="exact"/>
              <w:rPr>
                <w:sz w:val="20"/>
                <w:szCs w:val="20"/>
                <w:color w:val="auto"/>
              </w:rPr>
            </w:pPr>
            <w:r>
              <w:rPr>
                <w:rFonts w:ascii="Arial" w:cs="Arial" w:eastAsia="Arial" w:hAnsi="Arial"/>
                <w:sz w:val="14"/>
                <w:szCs w:val="14"/>
                <w:b w:val="1"/>
                <w:bCs w:val="1"/>
                <w:color w:val="auto"/>
                <w:w w:val="90"/>
              </w:rPr>
              <w:t>(in thousands except percentage)</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15,765</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13,178</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239"/>
              <w:spacing w:after="0"/>
              <w:rPr>
                <w:sz w:val="20"/>
                <w:szCs w:val="20"/>
                <w:color w:val="auto"/>
              </w:rPr>
            </w:pPr>
            <w:r>
              <w:rPr>
                <w:rFonts w:ascii="Arial" w:cs="Arial" w:eastAsia="Arial" w:hAnsi="Arial"/>
                <w:sz w:val="18"/>
                <w:szCs w:val="18"/>
                <w:color w:val="auto"/>
                <w:w w:val="96"/>
              </w:rPr>
              <w:t>$ 2,587</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39,021</w:t>
            </w:r>
          </w:p>
        </w:tc>
        <w:tc>
          <w:tcPr>
            <w:tcW w:w="5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29,875</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348"/>
              <w:spacing w:after="0"/>
              <w:rPr>
                <w:sz w:val="20"/>
                <w:szCs w:val="20"/>
                <w:color w:val="auto"/>
              </w:rPr>
            </w:pPr>
            <w:r>
              <w:rPr>
                <w:rFonts w:ascii="Arial" w:cs="Arial" w:eastAsia="Arial" w:hAnsi="Arial"/>
                <w:sz w:val="18"/>
                <w:szCs w:val="18"/>
                <w:color w:val="auto"/>
              </w:rPr>
              <w:t>$ 9,146</w:t>
            </w:r>
          </w:p>
        </w:tc>
        <w:tc>
          <w:tcPr>
            <w:tcW w:w="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r>
      <w:tr>
        <w:trPr>
          <w:trHeight w:val="229"/>
        </w:trPr>
        <w:tc>
          <w:tcPr>
            <w:tcW w:w="24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200" w:type="dxa"/>
            <w:vAlign w:val="bottom"/>
          </w:tcPr>
          <w:p>
            <w:pPr>
              <w:jc w:val="right"/>
              <w:ind w:right="139"/>
              <w:spacing w:after="0"/>
              <w:rPr>
                <w:sz w:val="20"/>
                <w:szCs w:val="20"/>
                <w:color w:val="auto"/>
              </w:rPr>
            </w:pPr>
            <w:r>
              <w:rPr>
                <w:rFonts w:ascii="Arial" w:cs="Arial" w:eastAsia="Arial" w:hAnsi="Arial"/>
                <w:sz w:val="18"/>
                <w:szCs w:val="18"/>
                <w:color w:val="auto"/>
              </w:rPr>
              <w:t>16,902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12,147</w:t>
            </w:r>
          </w:p>
        </w:tc>
        <w:tc>
          <w:tcPr>
            <w:tcW w:w="300" w:type="dxa"/>
            <w:vAlign w:val="bottom"/>
          </w:tcPr>
          <w:p>
            <w:pPr>
              <w:spacing w:after="0"/>
              <w:rPr>
                <w:sz w:val="19"/>
                <w:szCs w:val="19"/>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color w:val="auto"/>
              </w:rPr>
              <w:t>4,755</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36,861</w:t>
            </w:r>
          </w:p>
        </w:tc>
        <w:tc>
          <w:tcPr>
            <w:tcW w:w="5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26,110</w:t>
            </w:r>
          </w:p>
        </w:tc>
        <w:tc>
          <w:tcPr>
            <w:tcW w:w="220" w:type="dxa"/>
            <w:vAlign w:val="bottom"/>
          </w:tcPr>
          <w:p>
            <w:pPr>
              <w:spacing w:after="0"/>
              <w:rPr>
                <w:sz w:val="19"/>
                <w:szCs w:val="19"/>
                <w:color w:val="auto"/>
              </w:rPr>
            </w:pPr>
          </w:p>
        </w:tc>
        <w:tc>
          <w:tcPr>
            <w:tcW w:w="1100" w:type="dxa"/>
            <w:vAlign w:val="bottom"/>
            <w:gridSpan w:val="2"/>
          </w:tcPr>
          <w:p>
            <w:pPr>
              <w:jc w:val="right"/>
              <w:ind w:right="348"/>
              <w:spacing w:after="0"/>
              <w:rPr>
                <w:sz w:val="20"/>
                <w:szCs w:val="20"/>
                <w:color w:val="auto"/>
              </w:rPr>
            </w:pPr>
            <w:r>
              <w:rPr>
                <w:rFonts w:ascii="Arial" w:cs="Arial" w:eastAsia="Arial" w:hAnsi="Arial"/>
                <w:sz w:val="18"/>
                <w:szCs w:val="18"/>
                <w:color w:val="auto"/>
              </w:rPr>
              <w:t>10,751</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30"/>
        </w:trPr>
        <w:tc>
          <w:tcPr>
            <w:tcW w:w="242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48%</w:t>
            </w:r>
          </w:p>
        </w:tc>
        <w:tc>
          <w:tcPr>
            <w:tcW w:w="9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19"/>
              <w:spacing w:after="0"/>
              <w:rPr>
                <w:sz w:val="20"/>
                <w:szCs w:val="20"/>
                <w:color w:val="auto"/>
              </w:rPr>
            </w:pPr>
            <w:r>
              <w:rPr>
                <w:rFonts w:ascii="Arial" w:cs="Arial" w:eastAsia="Arial" w:hAnsi="Arial"/>
                <w:sz w:val="18"/>
                <w:szCs w:val="18"/>
                <w:color w:val="auto"/>
              </w:rPr>
              <w:t>49%</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Gross profit increased by $4.8 million in the three months ended September 30, 2020 compared to the same period in the prior year. The gross profit for the period ended September 30, 2019 included a benefit of $0.7 million from the sale of previously reserved inventory. Gross profit excluding this benefit of $0.7 million increased $5.5 million year over year mainly from an increase in ASP as other manufacturing costs remained relatively flat.</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profit increased by $10.8 million in the nine months ended September 30, 2020 compared to the same period in the prior year. The gross profit for the period ended September 30, 2019 included a benefit of $2.4 million from the sale of previously reserved inventory. Gross profit excluding this benefit of $2.4 million increased a net $13.2 million year over year mainly from higher sales volume and an increase in ASP which were offset by higher other manufacturing and overhead costs of $1.5 million.</w:t>
      </w:r>
    </w:p>
    <w:p>
      <w:pPr>
        <w:spacing w:after="0" w:line="22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Gross margin was higher by 4% in the three months ended September 30, 2020 when compared to the same period in the prior year. The gross margin for the period ended September 30, 2019 included a benefit of 2% or $0.7 million from sale of previously reserved inventory. The gross margin excluding the benefit to the gross margin from the sale of the previosly reserved inventoy increased by 6% year over year from higher sales volume and a slight increase in ASP as other manufacturing costs remained relatively flat.</w:t>
      </w:r>
    </w:p>
    <w:p>
      <w:pPr>
        <w:spacing w:after="0" w:line="2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Gross margin was higher by 2% in the nine months ended September 30, 2020 when compared to the same period in the prior year. The gross margin for the period ended September 30, 2019 included a benefit of 3% or $2.4 million from sale of previously reserved inventory. The gross margin excluding the benefit to the gross margin from the sale of the previosly reserved inventoy increased by 5% year over year from higher sales volume and an increase in ASP as other manufacturing costs remained relatively flat.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We expect our operating expenses to fluctuate in absolute dollars and as a percentage of revenue over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17"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1040" w:type="dxa"/>
            <w:vAlign w:val="bottom"/>
            <w:gridSpan w:val="2"/>
          </w:tcPr>
          <w:p>
            <w:pPr>
              <w:ind w:left="520"/>
              <w:spacing w:after="0"/>
              <w:rPr>
                <w:sz w:val="20"/>
                <w:szCs w:val="20"/>
                <w:color w:val="auto"/>
              </w:rPr>
            </w:pPr>
            <w:r>
              <w:rPr>
                <w:rFonts w:ascii="Arial" w:cs="Arial" w:eastAsia="Arial" w:hAnsi="Arial"/>
                <w:sz w:val="14"/>
                <w:szCs w:val="14"/>
                <w:b w:val="1"/>
                <w:bCs w:val="1"/>
                <w:color w:val="auto"/>
                <w:w w:val="97"/>
              </w:rPr>
              <w:t>Change</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25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20" w:type="dxa"/>
            <w:vAlign w:val="bottom"/>
            <w:gridSpan w:val="8"/>
          </w:tcPr>
          <w:p>
            <w:pPr>
              <w:ind w:left="86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20" w:type="dxa"/>
            <w:vAlign w:val="bottom"/>
            <w:gridSpan w:val="7"/>
          </w:tcPr>
          <w:p>
            <w:pPr>
              <w:ind w:left="96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2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8,484</w:t>
            </w:r>
          </w:p>
        </w:tc>
        <w:tc>
          <w:tcPr>
            <w:tcW w:w="24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5,778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2,706</w:t>
            </w:r>
          </w:p>
        </w:tc>
        <w:tc>
          <w:tcPr>
            <w:tcW w:w="3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22,906</w:t>
            </w:r>
          </w:p>
        </w:tc>
        <w:tc>
          <w:tcPr>
            <w:tcW w:w="4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17,846</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6"/>
              </w:rPr>
              <w:t>$ 5,060</w:t>
            </w:r>
          </w:p>
        </w:tc>
        <w:tc>
          <w:tcPr>
            <w:tcW w:w="4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15"/>
        </w:trPr>
        <w:tc>
          <w:tcPr>
            <w:tcW w:w="2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0"/>
        </w:trPr>
        <w:tc>
          <w:tcPr>
            <w:tcW w:w="2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administrative</w:t>
            </w:r>
          </w:p>
        </w:tc>
        <w:tc>
          <w:tcPr>
            <w:tcW w:w="1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8,978</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220" w:type="dxa"/>
            <w:vAlign w:val="bottom"/>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4,109</w:t>
            </w:r>
          </w:p>
        </w:tc>
        <w:tc>
          <w:tcPr>
            <w:tcW w:w="3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24,642</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14,167</w:t>
            </w:r>
          </w:p>
        </w:tc>
        <w:tc>
          <w:tcPr>
            <w:tcW w:w="240" w:type="dxa"/>
            <w:vAlign w:val="bottom"/>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10,475</w:t>
            </w:r>
          </w:p>
        </w:tc>
        <w:tc>
          <w:tcPr>
            <w:tcW w:w="4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w:t>
            </w: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6,815</w:t>
            </w:r>
          </w:p>
        </w:tc>
        <w:tc>
          <w:tcPr>
            <w:tcW w:w="3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47,548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32,013</w:t>
            </w:r>
          </w:p>
        </w:tc>
        <w:tc>
          <w:tcPr>
            <w:tcW w:w="2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15,535</w:t>
            </w:r>
          </w:p>
        </w:tc>
        <w:tc>
          <w:tcPr>
            <w:tcW w:w="4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Research and development expense increased by $2.7 million, or 47%, for the three months ended September 30, 2020 compared to the same period in the prior year, primarily due to an increase in stock-based compensation expense of $1.4 million. This in turn was due to the timing of grants of employee equity awards upon the completion of our initial public offering in November 2019 and new performance-based award grants in the three months ended September 30, 2020. The remaining increase was primarily due to increased project spend and an impairment charge of $0.8 million related to the cost of a software that was in process of development for internal use. The related product for which the software was developed to support in production was abandoned as we changed our roadmap and improved the final desired technical specifications required of the new product.</w:t>
      </w:r>
    </w:p>
    <w:p>
      <w:pPr>
        <w:spacing w:after="0" w:line="16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Selling, general and administrative expense increased by $4.1 million, or 84%, for the three months ended September 30, 2020 compared to the same period in the prior year, primarily due to higher stock-based compensation expense of $3.1 million, $0.9 million of higher personnel costs largely related to increased headcount and expenses for services related to the requirements of being a public company.</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Research and development expense increased by $5.1 million, or 28%, for the nine months ended September 30, 2020 compared to the same period in the prior year, primarily due to an increase in stock-based compensation expense of $3.4 million. This in turn was due to the timing of grants of employee equity awards upon the completion of our initial public offering in November 2019 and new performance-based award grants in the nine months ended September 30, 2020. The remaining increase was primarily due to increased headcount and impairment charges of $1.0 million related to the cost of software that were in the process of development for internal use. The related products for which the software was developed to support in production were abandoned as we changed our roadmap and improved the final desired technical specifications required of the new products.</w:t>
      </w:r>
    </w:p>
    <w:p>
      <w:pPr>
        <w:spacing w:after="0" w:line="164"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Selling, general and administrative expense increased by $10.5 million, or 74%, for the nine months ended September 30, 2020 compared to the same period in the prior year, primarily due to higher stock-based compensation expense of $7.0 million, higher personnel costs of $1.8 million largely related to increased headcount and remaining increase due to additional expenses for services related to the requirements of being a public company.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Other income (expense) consists primarily of interest expense on our outstanding debt, foreign exchange gains and losses, and asset dispositions. See Note 7 to our consolidated financial statements under Item 8 for more information about our debt.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7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60" w:type="dxa"/>
            <w:vAlign w:val="bottom"/>
            <w:gridSpan w:val="10"/>
          </w:tcPr>
          <w:p>
            <w:pPr>
              <w:jc w:val="right"/>
              <w:ind w:right="561"/>
              <w:spacing w:after="0" w:line="155" w:lineRule="exact"/>
              <w:rPr>
                <w:sz w:val="20"/>
                <w:szCs w:val="20"/>
                <w:color w:val="auto"/>
              </w:rPr>
            </w:pPr>
            <w:r>
              <w:rPr>
                <w:rFonts w:ascii="Arial" w:cs="Arial" w:eastAsia="Arial" w:hAnsi="Arial"/>
                <w:sz w:val="14"/>
                <w:szCs w:val="14"/>
                <w:b w:val="1"/>
                <w:bCs w:val="1"/>
                <w:color w:val="auto"/>
                <w:w w:val="98"/>
              </w:rPr>
              <w:t>(in thousands except percentage)</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80" w:type="dxa"/>
            <w:vAlign w:val="bottom"/>
            <w:gridSpan w:val="8"/>
          </w:tcPr>
          <w:p>
            <w:pPr>
              <w:jc w:val="right"/>
              <w:ind w:right="541"/>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FF0FC"/>
          </w:tcPr>
          <w:p>
            <w:pPr>
              <w:jc w:val="right"/>
              <w:ind w:right="6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(316)</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(594)</w:t>
            </w: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29"/>
        </w:trPr>
        <w:tc>
          <w:tcPr>
            <w:tcW w:w="1980" w:type="dxa"/>
            <w:vAlign w:val="bottom"/>
          </w:tcPr>
          <w:p>
            <w:pPr>
              <w:spacing w:after="0"/>
              <w:rPr>
                <w:sz w:val="20"/>
                <w:szCs w:val="20"/>
                <w:color w:val="auto"/>
              </w:rPr>
            </w:pPr>
            <w:r>
              <w:rPr>
                <w:rFonts w:ascii="Arial" w:cs="Arial" w:eastAsia="Arial" w:hAnsi="Arial"/>
                <w:sz w:val="18"/>
                <w:szCs w:val="18"/>
                <w:color w:val="auto"/>
              </w:rPr>
              <w:t>Other expense, net</w:t>
            </w: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(67)</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9"/>
                <w:szCs w:val="19"/>
                <w:color w:val="auto"/>
              </w:rPr>
            </w:pPr>
          </w:p>
        </w:tc>
      </w:tr>
      <w:tr>
        <w:trPr>
          <w:trHeight w:val="223"/>
        </w:trPr>
        <w:tc>
          <w:tcPr>
            <w:tcW w:w="1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300" w:type="dxa"/>
            <w:vAlign w:val="bottom"/>
            <w:tcBorders>
              <w:top w:val="single" w:sz="8" w:color="CFF0FC"/>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CFF0FC"/>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420" w:type="dxa"/>
            <w:vAlign w:val="bottom"/>
            <w:tcBorders>
              <w:top w:val="single" w:sz="8" w:color="CFF0FC"/>
              <w:bottom w:val="single" w:sz="8" w:color="CFF0FC"/>
            </w:tcBorders>
            <w:shd w:val="clear" w:color="auto" w:fill="CFF0FC"/>
          </w:tcPr>
          <w:p>
            <w:pPr>
              <w:jc w:val="right"/>
              <w:ind w:right="281"/>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3"/>
        </w:trPr>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jc w:val="right"/>
              <w:ind w:right="56"/>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65" w:right="319" w:bottom="1440" w:gutter="0" w:footer="0" w:header="0"/>
        </w:sectPr>
      </w:pPr>
    </w:p>
    <w:bookmarkStart w:id="20" w:name="page21"/>
    <w:bookmarkEnd w:id="20"/>
    <w:p>
      <w:pPr>
        <w:ind w:right="80"/>
        <w:spacing w:after="0" w:line="263" w:lineRule="auto"/>
        <w:rPr>
          <w:sz w:val="20"/>
          <w:szCs w:val="20"/>
          <w:color w:val="auto"/>
        </w:rPr>
      </w:pPr>
      <w:r>
        <w:rPr>
          <w:rFonts w:ascii="Arial" w:cs="Arial" w:eastAsia="Arial" w:hAnsi="Arial"/>
          <w:sz w:val="18"/>
          <w:szCs w:val="18"/>
          <w:color w:val="auto"/>
        </w:rPr>
        <w:t>Other expense decreased $0.3 million and $0.7 million for three and nine months ended September 30, 2020 compared to the same period in the prior year, primarily as a result of lower interest rates and a shorter term on our outstanding revolving short-term debt as we paid in full all of our debt on July 24,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18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212529"/>
        </w:rPr>
        <w:t>On March 27, 2020, the Coronavirus Aid, Relief and Economic Security Act (“CARES Act”) was signed into law in the U.S. to provide certain relief as a result of the COVID-19 pandemic. In addition, governments around the world have enacted or implemented various forms of tax relief measures in response to the economic conditions in the wake of the COVID-19 pandemic. As of September 30, 2020, the Company has determined that neither the CARES Act nor changes to income tax laws or regulations in other jurisdictions had a significant impact on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w w:val="98"/>
              </w:rPr>
              <w:t>Three Months Ended September 30,</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Nine Months Ended September 30,</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3"/>
              </w:rPr>
              <w:t>Change</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04"/>
              <w:spacing w:after="0" w:line="155" w:lineRule="exact"/>
              <w:rPr>
                <w:sz w:val="20"/>
                <w:szCs w:val="20"/>
                <w:color w:val="auto"/>
              </w:rPr>
            </w:pPr>
            <w:r>
              <w:rPr>
                <w:rFonts w:ascii="Arial" w:cs="Arial" w:eastAsia="Arial" w:hAnsi="Arial"/>
                <w:sz w:val="14"/>
                <w:szCs w:val="14"/>
                <w:b w:val="1"/>
                <w:bCs w:val="1"/>
                <w:color w:val="auto"/>
              </w:rPr>
              <w:t>2020</w:t>
            </w:r>
          </w:p>
        </w:tc>
        <w:tc>
          <w:tcPr>
            <w:tcW w:w="1060" w:type="dxa"/>
            <w:vAlign w:val="bottom"/>
            <w:tcBorders>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156"/>
        </w:trPr>
        <w:tc>
          <w:tcPr>
            <w:tcW w:w="2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0" w:type="dxa"/>
            <w:vAlign w:val="bottom"/>
            <w:gridSpan w:val="6"/>
          </w:tcPr>
          <w:p>
            <w:pPr>
              <w:jc w:val="right"/>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w w:val="99"/>
              </w:rPr>
              <w:t>Income tax benefit (expense)</w:t>
            </w:r>
          </w:p>
        </w:tc>
        <w:tc>
          <w:tcPr>
            <w:tcW w:w="106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center"/>
              <w:ind w:right="59"/>
              <w:spacing w:after="0"/>
              <w:rPr>
                <w:sz w:val="20"/>
                <w:szCs w:val="20"/>
                <w:color w:val="auto"/>
              </w:rPr>
            </w:pPr>
            <w:r>
              <w:rPr>
                <w:rFonts w:ascii="Arial" w:cs="Arial" w:eastAsia="Arial" w:hAnsi="Arial"/>
                <w:sz w:val="18"/>
                <w:szCs w:val="18"/>
                <w:color w:val="auto"/>
                <w:w w:val="87"/>
              </w:rPr>
              <w:t>n/a</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(1)</w:t>
            </w:r>
          </w:p>
        </w:tc>
        <w:tc>
          <w:tcPr>
            <w:tcW w:w="46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w w:val="92"/>
              </w:rPr>
              <w:t>0%</w:t>
            </w:r>
          </w:p>
        </w:tc>
        <w:tc>
          <w:tcPr>
            <w:tcW w:w="120" w:type="dxa"/>
            <w:vAlign w:val="bottom"/>
            <w:shd w:val="clear" w:color="auto" w:fill="CFF0FC"/>
          </w:tcPr>
          <w:p>
            <w:pPr>
              <w:spacing w:after="0"/>
              <w:rPr>
                <w:sz w:val="19"/>
                <w:szCs w:val="19"/>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Before our initial public offering in November 2019, we financed our operations primarily through cash generated from product sales and proceeds from our credit facilities, including proceeds from our loan agreement with MegaChips. As of September 30, 2020 and December 31, 2019, we had cash and cash equivalents of $69.2 million and $63.4 million, respectively. Our principal use of cash is to fund our operations to support growth. In June 2020, we completed a follow-on public offering of our shares, resulting in net proceeds to us of $45.8 million after deducting underwriting discounts</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and commissions and deferred offering costs. On July 24, 2020, the Company paid down all outstanding loans with MUFG of $35.0 million and in the three months ended September closed its credit facilities with MCC and SMBC. The Company continues to have $50.0 million funds available under its credit facility with MUFG. The credit line with MUFG is no longer guaranteed by MCC. As of the reporting date, it is challenging to assess the future impact of the COVID-19 pandemic on the Company. We believe that one impact of the COVID-19 pandemic on the Company may be its impact on our employees and operations. We are not currently aware of any other material short-term adverse influences on the Company. However, at this point in time, we cannot predict what other impacts the COVID-19 pandemic may have on the Company. We believe that our existing cash and cash equivalents and funds available under the credit facility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w:t>
      </w:r>
    </w:p>
    <w:p>
      <w:pPr>
        <w:spacing w:after="0" w:line="5"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40" w:type="dxa"/>
            <w:vAlign w:val="bottom"/>
            <w:gridSpan w:val="3"/>
          </w:tcPr>
          <w:p>
            <w:pPr>
              <w:jc w:val="right"/>
              <w:ind w:right="616"/>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(5,349)</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(2,210)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(1,329)</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the nine months ended September 30, 2020, net cash provided by operating activities of $9.8 million was primarily due to a net loss of $11.4 million offset by non-cash expenses of $16.9 million and a change in operating assets and liabilities of $4.3 million. Non-cash expenses were mainly related to depreciation and amortization, impairment of internal-use software, stock-based compensation expense, and non-cash operating lease costs. Operating assets and liabilities increased primarily due to lower prepaid expenses and other current assets related to advance payments to suppliers for inventory and higher accounts payable and accrued expenses and other liabilities due to timing of payments partially offset by an increase in inventories as we managed our inventory levels and lower lease liabilities due to timing of payments.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1" w:name="page22"/>
    <w:bookmarkEnd w:id="21"/>
    <w:p>
      <w:pPr>
        <w:ind w:right="200"/>
        <w:spacing w:after="0" w:line="273" w:lineRule="auto"/>
        <w:rPr>
          <w:sz w:val="20"/>
          <w:szCs w:val="20"/>
          <w:color w:val="auto"/>
        </w:rPr>
      </w:pPr>
      <w:r>
        <w:rPr>
          <w:rFonts w:ascii="Arial" w:cs="Arial" w:eastAsia="Arial" w:hAnsi="Arial"/>
          <w:sz w:val="17"/>
          <w:szCs w:val="17"/>
          <w:color w:val="auto"/>
        </w:rPr>
        <w:t>In the nine months ended September 30, 2019, net cash provided by operating activities of $4.9 million was primarily due to a net loss of $7.2 million offset by non-cash expenses of $7.1 million and a change in operating assets and liabilities of $5.0 million. The increase in operating assets and liabilities was primarily due to lower accounts receivable and related party receivables due to timing of shipment and collections, a decrease in inventories due to lower purchases primarily to manage our inventory levels, offset by higher prepaid expenses and other current assets related to advance payment to suppliers for inventory, lower accounts payable due to timing of payments, lower accrued expenses and other liabilities and lower lease liabilities. Non-cash items included depreciation and amortization, and non-cash operating lease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 the nine months ended September 30, 2020, cash used in investing activities was $5.3 million and consisted primarily of the purchase of production masks, internally developed software, and other property and equipment for general business purposes to support the growth of the Company.</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nine months ended September 30, 2019, cash used in investing activities was approximately $2.2 million and consisted primarily of the purchase of production masks, internally developed software, and other property and equipment for general business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includes proceeds from borrowings under our credit facilities and proceeds from issuance of shares.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nine months ended September 30, 2020, net cash provided by financing activities was $1.3 million, consisting of proceeds from issuance of shares of $45.8 million net of underwriting commissions and discounts of $2.7 million and deferred offering costs of $0.3 million and borrowings of $35.0 million offset by repayments of $76.0 million under our short-term revolving line of credit and $3.5 million payment of tax withholdings paid on behalf of employees for net share settlement at the time of vesting.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2019 the Company paid $1.3 million in deferred offering costs.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information concerning our contractual commitments and obligations as of September 30,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6"/>
          </w:tcPr>
          <w:p>
            <w:pPr>
              <w:jc w:val="center"/>
              <w:ind w:right="67"/>
              <w:spacing w:after="0"/>
              <w:rPr>
                <w:sz w:val="20"/>
                <w:szCs w:val="20"/>
                <w:color w:val="auto"/>
              </w:rPr>
            </w:pPr>
            <w:r>
              <w:rPr>
                <w:rFonts w:ascii="Arial" w:cs="Arial" w:eastAsia="Arial" w:hAnsi="Arial"/>
                <w:sz w:val="14"/>
                <w:szCs w:val="14"/>
                <w:b w:val="1"/>
                <w:bCs w:val="1"/>
                <w:color w:val="auto"/>
                <w:w w:val="91"/>
              </w:rPr>
              <w:t>Payments due by period</w:t>
            </w: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3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17"/>
              <w:spacing w:after="0" w:line="133" w:lineRule="exact"/>
              <w:rPr>
                <w:sz w:val="20"/>
                <w:szCs w:val="20"/>
                <w:color w:val="auto"/>
              </w:rPr>
            </w:pPr>
            <w:r>
              <w:rPr>
                <w:rFonts w:ascii="Arial" w:cs="Arial" w:eastAsia="Arial" w:hAnsi="Arial"/>
                <w:sz w:val="14"/>
                <w:szCs w:val="14"/>
                <w:b w:val="1"/>
                <w:bCs w:val="1"/>
                <w:color w:val="auto"/>
                <w:w w:val="97"/>
              </w:rPr>
              <w:t>Less than</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8"/>
              </w:rPr>
              <w:t>1-3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3-5 years</w:t>
            </w:r>
          </w:p>
        </w:tc>
        <w:tc>
          <w:tcPr>
            <w:tcW w:w="140" w:type="dxa"/>
            <w:vAlign w:val="bottom"/>
          </w:tcPr>
          <w:p>
            <w:pPr>
              <w:spacing w:after="0"/>
              <w:rPr>
                <w:sz w:val="11"/>
                <w:szCs w:val="11"/>
                <w:color w:val="auto"/>
              </w:rPr>
            </w:pPr>
          </w:p>
        </w:tc>
        <w:tc>
          <w:tcPr>
            <w:tcW w:w="900" w:type="dxa"/>
            <w:vAlign w:val="bottom"/>
          </w:tcPr>
          <w:p>
            <w:pPr>
              <w:jc w:val="center"/>
              <w:ind w:right="77"/>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1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20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Purchase obligations</w:t>
            </w: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Obligations under contracts that we can cancel without a significant penalty are not included in the table above. The aggregate amount of our obligations under these contracts is approximately $19.2 million as of September 30, 2020.</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signed an operating lease agreement for our corporate headquarters in Santa Clara, California that commenced on October 20, 2016 and will expire on December 31, 2026. The agreement provides for an option to renew for an additional five years and for rent payments through the term of the lease payment. We also lease office space in Michigan, Malaysia, Japan, the Netherlands, and Ukraine, and all under operating leases with various expiration dates through December 2022.</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purchase components and wafers from a variety of suppliers and use several contract manufacturers to provide manufacturing services for our products. A significant portion of our reported purchase commitments arising from these agreements consists of firm, non-cancellable and unconditional purchase commitments once the production has started. In certain instances, these agreements allow us the option to cancel, reschedule, and adjust our requirements based on its business needs prior to firm orders being placed.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preparation of our financial statements and accompanying disclosures in conformity with GAAP requires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 (2) inventory; (3) stock-based compensation;</w:t>
      </w:r>
    </w:p>
    <w:p>
      <w:pPr>
        <w:spacing w:after="0" w:line="4" w:lineRule="exact"/>
        <w:rPr>
          <w:sz w:val="20"/>
          <w:szCs w:val="20"/>
          <w:color w:val="auto"/>
        </w:rPr>
      </w:pPr>
    </w:p>
    <w:p>
      <w:pPr>
        <w:ind w:right="60" w:firstLine="8"/>
        <w:spacing w:after="0" w:line="271"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accounting for income taxes and (5) segment reporting.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2019 filed with the SEC on March 3,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had cash and cash equivalents of $69.2 million and $63.4 million as of September 30, 2020 and December 31, 2019, respectively, consisting of bank deposits. Such interest-earning instruments carry a degree of interest rate risk. To date, fluctuations in interest income have not been significant. The Company paid down all of its debt in the three months ended September 30, 2020</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4"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September 30, 2020 that has materially affected, or are reasonably likely to materially affect, our internal control over financial reporting.</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included in Note 10 of the Notes to Condensed Consolidated Financial Statements in Part I Item 1 of this Quarterly Report on Form 10-Q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40"/>
        <w:spacing w:after="0" w:line="329"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31"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The effects of the global spread of the disease caused by the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imposed measures such as quarantines and “shelter-in-place” orders that are restricting business operations and travel and requiring individuals to WFH, which has impacted all aspects of our business as well as those of the third-parties we rely upon for our manufacturing, assembly, testing, shipping and other operations. The continuation of WFH and other restrictions for an extended period of time may negatively impact our productivity, product development, operations, sales and support, business and financial results. Among other things, the COVID-19 pandemic may result in:</w:t>
      </w:r>
    </w:p>
    <w:p>
      <w:pPr>
        <w:spacing w:after="0" w:line="69" w:lineRule="exact"/>
        <w:rPr>
          <w:sz w:val="20"/>
          <w:szCs w:val="20"/>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demand and/or prices for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13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7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we have experienced some delay and disruption in the manufacture, shipment, and sales of, and overall demand for, our products. In addition, we believe the production capabilities of our suppliers has been, and will likely continue to be, impacted as a result of quarantines, closures of production facilities, lack of supplies, or delays caused by restrictions on travel or WFH orders. The continued disruption in the manufacture, shipment and sales of our products may negatively and materially impact our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us, our suppliers, and/or our customers. As a result, the effects of the COVID-19 pandemic could have a material adverse impact on our business, results of operations and financial condition for the remainder of 2020 and beyond.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1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COVID-19 pandemic could cause a further downturn in the worldwide economy, which would likely result in reduced demand for our products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440"/>
        <w:spacing w:after="0" w:line="308"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45%, 36%, 35% and 40% of our revenue for the three and nine months ended September 30, 2020 and the years ended December 31, 2019 and 2018, respectively. Revenue attributable to this end customer decreased in absolute dollars and as a percentage of revenue from 2018 to 2019 and increased in absolute dollars and as a percentage of revenue from 2019 to 2020.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 For example, in 2018 we incurred approximately $8.0 million in cost of inventory in anticipation of an order that did not materialize. This resulted in an inventory write-down of approximately $8.0 million for 2018. We were able to sell approximately $3.0 million of such inventory in the fourth quarter of 2018 and approximately $2.5 million of such inventory in the year ended December 31, 2019.</w:t>
      </w:r>
    </w:p>
    <w:p>
      <w:pPr>
        <w:spacing w:after="0" w:line="56"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2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sell our products primarily through distributors and resellers, who in turn sell to our end customers. For the three and nine months ended September 30, 2020 and the years ended December 31, 2019 and 2018, our top three distributors by revenue together accounted for approximately 61%, 57%. 59% and 65% of our revenue, respectively. Based on our shipment information, we believe that revenue attributable to our ten largest end customers accounted for 63%, 55%, 57%, and 60% of our revenue in the three and nine months ended September 30, 2020 and for the years ended December 31, 2019 and 2018, respectively. Sales attributable to our largest end customer accounted for approximately 45%, 36%, 35%, and 40%, of our revenue for the three and nine months ended September 30, 2020 and the years ended December 31, 2019 and 2018,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at least in the short term. Any of the foregoing events could materially and adversely affect our business, financial condition, and results of operations.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1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76" w:lineRule="exact"/>
        <w:rPr>
          <w:sz w:val="20"/>
          <w:szCs w:val="20"/>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1120" w:right="700" w:hanging="74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seasonality and fluctuations in sales by product manufacturers that incorporate our silicon timing systems solutions into their products;</w:t>
      </w:r>
    </w:p>
    <w:p>
      <w:pPr>
        <w:spacing w:after="0" w:line="140" w:lineRule="exact"/>
        <w:rPr>
          <w:rFonts w:ascii="Arial" w:cs="Arial" w:eastAsia="Arial" w:hAnsi="Arial"/>
          <w:sz w:val="16"/>
          <w:szCs w:val="16"/>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 accumulated deficit and have incurred net losses in the past, and we may continue to incur net losses in the future.</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of September 30, 2020, and December 31, 2019 and 2018, we had an accumulated deficit of $65.4 million, $54.0 million, and $47.4 million, respectively. We generated net losses of $0.7 million, $11.4 million, $6.6 million, and $9.3 million in the three and nine months ended September 30, 2020 and the years ended 2019 and 2018, respectively. The loss in 2018 was primarily attributable to a reduction in revenue from our largest end customer and inventory write-down. The loss in 2019 was primarily due to a decrease in revenue from customers in Asia primarily as a result of lower sales volume, as well as a reduction in revenue from our largest end customer. We may continue to incur net losses in the future.</w:t>
      </w:r>
    </w:p>
    <w:p>
      <w:pPr>
        <w:spacing w:after="0" w:line="68"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26" w:name="page27"/>
    <w:bookmarkEnd w:id="26"/>
    <w:p>
      <w:pPr>
        <w:spacing w:after="0" w:line="263"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until one year or more or later, if at all. If we do not continue to achieve design wins in the short term, our revenue in the following years will deteriorate.</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8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5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p>
    <w:p>
      <w:pPr>
        <w:spacing w:after="0" w:line="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6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900"/>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target markets include the enterprise and telecommunications infrastructure, automotive, industrial, IoT and mobile, and aerospace and defense markets. Substantially all of our revenue for the three and nine months ended September 30, 2020 and the years ended December 31, 2019 and 2018 was derived from sales in the IoT and mobile, industrial, and consumer markets. In 2017, we began introducing products for the automotive market. In addition, within the timing market, substantially all of our revenue to date has been attributable to sales of MEMS oscillators. We recently introduced products into the clock IC market, which we began sampling in the second quarter of 2019, and we intend to further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5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decreased historically over time and may do so in the future, which could harm our revenue and gross margins.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5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4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we maintain an inventory of our products at various stages of production and in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recent revenue should not be considered indicative of our future performance. For the three and nine months ended September 30, 2020 and the years ended December 31, 2019 and 2018, our revenue was $32.7 million, $75.9 million, $84.1 million, and $85.2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challenges and our failure to capitalize on growth opportunities.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7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58"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We provide a lifetime warranty on our products and generally agree to indemnify our customers for defects in our products.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20"/>
        <w:spacing w:after="0" w:line="270" w:lineRule="auto"/>
        <w:rPr>
          <w:sz w:val="20"/>
          <w:szCs w:val="20"/>
          <w:color w:val="auto"/>
        </w:rPr>
      </w:pPr>
      <w:r>
        <w:rPr>
          <w:rFonts w:ascii="Arial" w:cs="Arial" w:eastAsia="Arial" w:hAnsi="Arial"/>
          <w:sz w:val="17"/>
          <w:szCs w:val="17"/>
          <w:color w:val="auto"/>
        </w:rPr>
        <w:t>Our silicon timing systems solutions have only been incorporated into end products for the past 13 years.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in our products could harm our relationships with our customers and damage our reputation.</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Defects in our products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6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customers and decreased revenue and have an adverse effect on our business, financial condition, and results of operations.</w:t>
      </w:r>
    </w:p>
    <w:p>
      <w:pPr>
        <w:spacing w:after="0" w:line="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semiconductor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products to smaller companies specializing in narrow market verticals. In the MEMS-based oscillator market, we primarily compete against Microchip Technology Inc. (“MCHP”). In the analog mixed-signal IC and clocking market, we primarily compete against Renesas Electronics Corporation (through their acquisition of Integrated Device Technology, Inc.), Silicon Laboratories Inc., Texas Instruments Incorporated, Microsemi Corporation (which is owned by MCHP), and Analog Devices, Inc. In the oscillator market, we primarily compete against quartz crystal suppliers such as Rakon Limited, Daishinku, Nihon Dempa Kogyo Co., Ltd., TXC Corporation, Seiko Epson Corporation, and Vectron International (which is owned by MCHP). We expect competition in our current markets to increase in the future as existing competitors improve or expand their product offerings and as new competitors enter these markets. In addition, our future growth will depend in part on our ability to successfully enter and compete in new markets, such as the access market.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current COVID-19 pandemic, in the future and significantly reduce their pricing so as to compete against us. Our ability to compete successfully will depend on a number of factors, including:</w:t>
      </w:r>
    </w:p>
    <w:p>
      <w:pPr>
        <w:spacing w:after="0" w:line="68" w:lineRule="exact"/>
        <w:rPr>
          <w:sz w:val="20"/>
          <w:szCs w:val="20"/>
          <w:color w:val="auto"/>
        </w:rPr>
      </w:pPr>
    </w:p>
    <w:p>
      <w:pPr>
        <w:ind w:left="1120" w:right="180" w:hanging="74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17" w:lineRule="exact"/>
        <w:rPr>
          <w:rFonts w:ascii="Arial" w:cs="Arial" w:eastAsia="Arial" w:hAnsi="Arial"/>
          <w:sz w:val="18"/>
          <w:szCs w:val="18"/>
          <w:color w:val="auto"/>
        </w:rPr>
      </w:pPr>
    </w:p>
    <w:p>
      <w:pPr>
        <w:ind w:left="1120" w:right="380" w:hanging="748"/>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1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Any of these factors, alone or in combination with others, could harm our business, financial condition, and results of operations and result in a loss of market share and an increase in pricing pressure.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16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8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1120" w:right="300" w:hanging="74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are not able to maintain our culture, our business, financial condition, and results of operations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on third parties for our wafer fabrication, assembly, and testing operations, which exposes us to certain risks that may harm our business.</w:t>
      </w:r>
    </w:p>
    <w:p>
      <w:pPr>
        <w:spacing w:after="0" w:line="1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operate an outsourced manufacturing business model. As a result, we rely on third parties for all of our manufacturing operations, including wafer fabrication, assembly, and testing. Although we use multiple third-party supplier sources, we depend on these third parties to supply us with material of a requested quantity in a timely manner that meets our standards for yield, cost, and manufacturing quality. Except for our agreement with Robert Bosch LLC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market demand for wafers or production and assembly materials increases,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Taiwan Semiconductor Manufacturing Company (“TSMC”) for our analog circuits fabrication, and any disruption in their supply of wafers or any increases in their wafer or materials prices could adversely affect our gross margins and our ability to meet customer demands in a timely manner, or at all, and lead to reduced revenue. Moreover, wafers constitute a large portion of our product cost. If we are unable to negotiate volume discounts or otherwise purchase wafers at favorable prices and in sufficient quantities in a timely manner, our gross margins would be adversely affected.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40"/>
        <w:spacing w:after="0" w:line="290" w:lineRule="auto"/>
        <w:rPr>
          <w:sz w:val="20"/>
          <w:szCs w:val="20"/>
          <w:color w:val="auto"/>
        </w:rPr>
      </w:pPr>
      <w:r>
        <w:rPr>
          <w:rFonts w:ascii="Arial" w:cs="Arial" w:eastAsia="Arial" w:hAnsi="Arial"/>
          <w:sz w:val="16"/>
          <w:szCs w:val="16"/>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encounter difficulties and incur additional costs. For example, we also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5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currently rely on Advanced Semiconductor Engineering, Inc. (“ASE”), Carsem (M) Sdn. Bhd. (“Carsem”), and United Test and Assembly Center Ltd. (“UTAC”) for assembly and testing, as well as Daishinku Corp.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For example, on March 16, 2020, the government of Malaysia announced measures to restrict movement in that country until March 31, 2020 in an effort to suppress the number of COVID-19 cases. The restrictions have been extended several times, currently until December 31, 2020. These restrictions could limit our suppliers’ ability to operate their manufacturing facilities in that country.</w:t>
      </w:r>
    </w:p>
    <w:p>
      <w:pPr>
        <w:spacing w:after="0" w:line="7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and loss of customers. In addition, the inability of our customers or their contract manufacturers to obtain sufficient supplies of third-party components used with our products could result in a decline in the demand of our products and a loss of sales.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right="160"/>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our products, impact our ability to meet customer commitments, and may adversely affect our results of operations.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customer relationships.</w:t>
      </w:r>
    </w:p>
    <w:p>
      <w:pPr>
        <w:spacing w:after="0" w:line="5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significant downturn during past global recessions and has been experiencing a downturn since 2019, which may be prolonged as a result of the worldwide economic impact of the COVID-19 pandemic. These downturns have been characterized by diminished product demand, production overcapacity, high inventory levels, and accelerated erosion of average selling prices. The current downturn in the semiconductor industry has been attributed to a variety of factors, including the current COVID-19 pandemic, ongoing U.S.-China trade dispute, weakness in demand and pricing for semiconductors across applications, and excess inventory. While this downturn has not directly impacted our business to date, any prolonged or significant downturn in the semiconductor industry could adversely affect our business and reduce demand for our products. Any future downturns in the semiconductor industry could also harm our business, financial condition, and results of operations. Furthermore, any significant upturn in the semiconductor industry could result in increased competition for access to third-party foundry and assembly capacity. We are dependent on the availability of this capacity to manufacture and assemble our products and we can provide no assurance that adequate capacity will be available to us in the future.</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doubtful accounts. However, the extent of the COVID-19 pandemic’s impact on credit and financial markets is unknown, which creates uncertainty as to the financial condition of our distributors and customers. Based on our review of our customers annually and as of September 30, 2020, substantially all of which are large distributors, resellers, OEMs, and system manufacturers, we had a $0.1 million, $0.1 million and a $0.2 million reserve for doubtful accounts as of September 30, 2020, December 31, 2019 and December 31, 2018, respectively. If our doubtful accounts, however, were to exceed our current or future allowance for doubtful accounts, our business, financial condition, and results of operations would be adversely affected.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right="160"/>
        <w:spacing w:after="0" w:line="277" w:lineRule="auto"/>
        <w:rPr>
          <w:sz w:val="20"/>
          <w:szCs w:val="20"/>
          <w:color w:val="auto"/>
        </w:rPr>
      </w:pPr>
      <w:r>
        <w:rPr>
          <w:rFonts w:ascii="Arial" w:cs="Arial" w:eastAsia="Arial" w:hAnsi="Arial"/>
          <w:sz w:val="18"/>
          <w:szCs w:val="18"/>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certain restrictive covenants that may limit our operating flexibility.</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loan agreements contain certain restrictive covenants that either limit our ability to, or require a mandatory prepayment in the event that we, incur additional indebtedness, merge with other companies or enter into or consummate certain change of control transactions, acquire other companies, make certain investments, transfer or dispose of assets, amend certain material agreements, or enter into certain other transactions. Furthermore, our future working capital, borrowings, or equity financing could be unavailable to repay or refinance the amounts outstanding under our current debt obligations.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our existing and any future lenders, were first repaid in full.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4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recently repaid all of our outstanding indebtedness under our revolving line of credit and may seek, or be required to seek, alternative or additional debt financing in the immediate or near term.</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July 24, 2020 we repaid $35.0 million of outstanding indebtedness under our revolving line of credit agreement with The Bank of Tokyo-Mitsubishi UFJ, Ltd. (“MUFG”). As of September 30, 2020, the Company closed the $20.0 million revolving line of credit it had with Sumitomo Mitsui Banking Corporation and $30.0 revolving line of credit with MegaChips. Both of these credit facilities had no outstanding balance at the time of closing. The company currently still maintains a $50.0 million revolving line of credit with MUFG. We may seek, or be required to seek, additional or alternative sources of debt financing, in lieu of, or in addition to, our current facilities. Any required additional financing may not be available on terms acceptable to us, or at all. Further, we may not have the leverage to negotiate terms favorable to us under these arrangements, including with MUFG, as we are no longer a wholly-owned subsidiary of MegaChips. We do not expect MegaChips to provide guarantees of our indebtedness in the future, which may make it more difficult or expensive to borrow funds in the future. In addition, the terms of any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5" w:name="page36"/>
    <w:bookmarkEnd w:id="35"/>
    <w:p>
      <w:pPr>
        <w:ind w:right="18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outsource the fabrication and assembly of all of our products to third parties that are primarily located in Germany and Asia. In addition, we conduct research and development activities in the United States, Japan, the Netherlands, Taiwan, and Ukraine and work with third-party contractors in Russia. We also conduct marketing and administrative functions in the United States, China, Taiwan, and Ukraine. In addition, members of our sales force are located in the United States, China, India, France, Taiwan, and Ukraine. In addition, approximately 93%, 92%, 93% and 93%, respectively of our revenue for three and nine months ended September 30, 2020 and the years ended December 31, 2019 and 2018,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69" w:lineRule="exact"/>
        <w:rPr>
          <w:sz w:val="20"/>
          <w:szCs w:val="20"/>
          <w:color w:val="auto"/>
        </w:rPr>
      </w:pPr>
    </w:p>
    <w:p>
      <w:pPr>
        <w:ind w:left="1120" w:right="18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17" w:lineRule="exact"/>
        <w:rPr>
          <w:rFonts w:ascii="Arial" w:cs="Arial" w:eastAsia="Arial" w:hAnsi="Arial"/>
          <w:sz w:val="18"/>
          <w:szCs w:val="18"/>
          <w:color w:val="auto"/>
        </w:rPr>
      </w:pPr>
    </w:p>
    <w:p>
      <w:pPr>
        <w:ind w:left="1120" w:right="36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including uncertainty surrounding the United Kingdom’s exit from the European Union;</w:t>
      </w:r>
    </w:p>
    <w:p>
      <w:pPr>
        <w:spacing w:after="0" w:line="62" w:lineRule="exact"/>
        <w:rPr>
          <w:rFonts w:ascii="Arial" w:cs="Arial" w:eastAsia="Arial" w:hAnsi="Arial"/>
          <w:sz w:val="18"/>
          <w:szCs w:val="18"/>
          <w:color w:val="auto"/>
        </w:rPr>
      </w:pPr>
    </w:p>
    <w:p>
      <w:pPr>
        <w:ind w:left="1120" w:right="6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 and increased restrictions on Hong Kong;</w:t>
      </w:r>
    </w:p>
    <w:p>
      <w:pPr>
        <w:spacing w:after="0" w:line="62" w:lineRule="exact"/>
        <w:rPr>
          <w:rFonts w:ascii="Arial" w:cs="Arial" w:eastAsia="Arial" w:hAnsi="Arial"/>
          <w:sz w:val="18"/>
          <w:szCs w:val="18"/>
          <w:color w:val="auto"/>
        </w:rPr>
      </w:pPr>
    </w:p>
    <w:p>
      <w:pPr>
        <w:ind w:left="1120" w:right="98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1120" w:right="80" w:hanging="748"/>
        <w:spacing w:after="0" w:line="342"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5" w:lineRule="exact"/>
        <w:rPr>
          <w:rFonts w:ascii="Arial" w:cs="Arial" w:eastAsia="Arial" w:hAnsi="Arial"/>
          <w:sz w:val="16"/>
          <w:szCs w:val="16"/>
          <w:color w:val="auto"/>
        </w:rPr>
      </w:pPr>
    </w:p>
    <w:p>
      <w:pPr>
        <w:ind w:left="1120" w:right="14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120" w:right="50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left="1120" w:right="18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17" w:lineRule="exact"/>
        <w:rPr>
          <w:rFonts w:ascii="Arial" w:cs="Arial" w:eastAsia="Arial" w:hAnsi="Arial"/>
          <w:sz w:val="18"/>
          <w:szCs w:val="18"/>
          <w:color w:val="auto"/>
        </w:rPr>
      </w:pPr>
    </w:p>
    <w:p>
      <w:pPr>
        <w:ind w:left="1120" w:right="16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remains uncertain but it may materially adversely affect our business, financial condition or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risks related to health epidemics such as the COVID-19 pandemic which could adversely affect our business and results of operations.</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business could be materially adversely affected by a widespread outbreak of contagious disease, including the recent COVID-19 pandemic. 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Although we do not source a significant amount of products or components from China, our third-party suppliers and customers may source materials from China which could indirectly impact our production or demand for our products. In addition to the COVID-19 pandemic, any future outbreak of contagious diseases in the human population could result in a continued widespread health crisis that could adversely affect the economies and financial markets of many countries, resulting in an economic downturn that could reduce the demand for our products and impact our results of operations.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If significant tariffs or other restrictions are placed on Chinese imports or any related counter-measures are taken by China, our revenue and results of operations may be materially and adversely affected. Between July 2018 and February 2020, the U.S. Trade Representative imposed tariffs on products from China, with current tariff rates between 7.5% and 25%.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current U.S. administration has indicated that it may further alter trade agreements and terms between China and the United States, including limiting trade with China and imposing additional tariffs on imports from China. The administration has previously imposed new or additional tariffs on Chinese products with short notice and China has imposed certain retaliatory tariffs.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7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and Ukraine, and we have engineering consultants in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We are in the early stages of implementing our FCPA compliance program and cannot assure you that all of our employees and agents, as well as those companies, to which we outsource certain of our business operations, will not take actions in violation of our policies and applicable law, for which we may be ultimately held responsible.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SiTime sells to markets in Asia where multiple companies have been added to the Entity List in the last 18 months, requiring license for exports of items subject to control under the EAR. To the Company’s knowledge, during the quarter,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(“BEPS”), Project,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 Project, which could affect international businesses, and other countries have become more aggressive in their approach to audits and enforcement of their applicable tax laws. On December 22, 2017, the U.S. federal government enacted the Tax Cuts and Jobs Act (the “Tax Act”), which made substantial changes to U.S. tax laws, the consequences of which have not yet been fully determined and may be adverse to our business.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right="340"/>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Foreign governments are raising similar privacy and data security concerns. In particular, the European Union has enacted a General Data Protection Regulation (“GDPR”), which became effective in May 2018. It is unclear how compliance with GDPR will affect our business.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security systems are designed to protect our customers’, suppliers’, and employees’ confidential information, as well as maintain the physical security of our facilities.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Any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 Cybersecurity threats, which include computer viruses, spyware, and malware, attempts to access information, denial of service attacks, and other electronic security breaches, are persistent and evolve quickly. Such threats have increased in frequency, scope, and potential impact in recent years. Since the techniques used to obtain unauthorized access or to sabotage systems change frequently and are often not recognized until after they are launched against a target, we may be unable to anticipate these techniques or to implement adequate preventative measures.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October 15, 2020, we had 71 issued U.S. patents, expiring generally between 2026 and 2038, and 27 pending U.S. patent applications (including two provisional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our competitors,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Many U.S.-based companies have encountered substantial third-party intellectual property infringement in foreign countries, including countries where we sell products. Even if foreign patents are granted, effective enforcement in foreign countries may not be available.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28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ind w:right="20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We have not accrued for a loss contingency relating to this matter.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For more information regarding this matter, see Note 10 in Notes to Unaudited Condensed Consolidated Financial Statements in Item 1 of Part I of this Report.</w:t>
      </w:r>
    </w:p>
    <w:p>
      <w:pPr>
        <w:spacing w:after="0" w:line="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6" w:lineRule="exact"/>
        <w:rPr>
          <w:sz w:val="20"/>
          <w:szCs w:val="20"/>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1120" w:right="8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120" w:right="64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spacing w:after="0" w:line="270"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MegaChips owns 7,500,000 shares of our common stock, representing approximately 44.3% of our outstanding common stock as of September 30, 2020. For so long as MegaChips, its successors in interest, and its subsidiaries continue to hold the largest ownership position in our outstanding common stock, we expect MegaChips to continue to hold at least one out of seven seats on our board of directors, to be able to elect members of our board of directors, and could replace our entire board of directors. As long as MegaChips continues to be our largest stockholder, it will continue to have significant influence over us.</w:t>
      </w:r>
    </w:p>
    <w:p>
      <w:pPr>
        <w:spacing w:after="0" w:line="8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example, as long as MegaChips continues to hold a significant or the largest ownership position in our outstanding common stock, MegaChips may have the ability to control or otherwise affect the outcome of any stockholder vote during this period. As a result, MegaChips will have the ability to exert significant influence over many matters affecting us, either through its board representative or as a stockholder, including:</w:t>
      </w:r>
    </w:p>
    <w:p>
      <w:pPr>
        <w:spacing w:after="0" w:line="57" w:lineRule="exact"/>
        <w:rPr>
          <w:sz w:val="20"/>
          <w:szCs w:val="20"/>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 on our board of directors, persons who we would like to invite to join our board of directors may decline to do so.</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distributions by MegaChips of our products under our distribution agreement with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entered into a distribution agreement with MegaChips under which MegaChips has the exclusive right to promote, market, and sell our products in Japan as the exclusive distributor. We also have an integration and purchase agreement with MegaChips for the sale of resonators by us to MegaChips. The agreements we entered into with MegaChips may be amended upon agreement 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Some of our employees, directors and executive officers own MegaChips’ common stock and restricted stock units. In addition, some of our directors have or had affiliations with MegaChips. Ownership of MegaChips securities by our directors and officers and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In addition, we have not established at this time any procedural mechanisms to address actual or perceived conflicts of interest of such directors and officers and expect that our board of directors, in the exercise of its fiduciary duties, will determine how to address any actual or perceived conflicts of interest on a case-by-case basis. If any corporate opportunity arises and if our directors and officers do not pursue it on our behalf, we may not become aware of, and may potentially lose, a significant business opportunity.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your investment.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1120" w:right="16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these projections or our failure to meet these projections;</w:t>
      </w:r>
    </w:p>
    <w:p>
      <w:pPr>
        <w:spacing w:after="0" w:line="128" w:lineRule="exact"/>
        <w:rPr>
          <w:rFonts w:ascii="Arial" w:cs="Arial" w:eastAsia="Arial" w:hAnsi="Arial"/>
          <w:sz w:val="17"/>
          <w:szCs w:val="17"/>
          <w:color w:val="auto"/>
        </w:rPr>
      </w:pPr>
    </w:p>
    <w:p>
      <w:pPr>
        <w:ind w:left="1120" w:right="14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120" w:right="18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17" w:lineRule="exact"/>
        <w:rPr>
          <w:rFonts w:ascii="Arial" w:cs="Arial" w:eastAsia="Arial" w:hAnsi="Arial"/>
          <w:sz w:val="18"/>
          <w:szCs w:val="18"/>
          <w:color w:val="auto"/>
        </w:rPr>
      </w:pPr>
    </w:p>
    <w:p>
      <w:pPr>
        <w:ind w:left="1120" w:right="18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120" w:right="400" w:hanging="748"/>
        <w:spacing w:after="0" w:line="277"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4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Substantial future sales of our common stock could cause the market price of our common stock to decline.</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a large number of shares of our common stock becoming available for sale or the perception in the market that holders of a large number of shares intend to sell their shares. As of October 31, 2020, 16,940,154 shares of common stock were outstanding. Except as described below, all of the shares of common stock are freely transferable without restriction or additional registration under the Securities Act of 1933, as amended, or the Securities Act.</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Shares of our common stock held by individuals who are considered to be our affiliates, including MegaChips and our directors and executive officers may only be resold in the public market subject to the restrictions of Rule 144 of the Securities Act. In addition, the 7,500,000 shares of common stock held by MegaChips are subject to lock-up agreement expiring on December 31, 2020. The market price of our common stock could decline if the holders of these shares sell them or are perceived by the market as intending to sell them.</w:t>
      </w:r>
    </w:p>
    <w:p>
      <w:pPr>
        <w:spacing w:after="0" w:line="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have also registered shares of common stock that we may issue under our employee equity incentive plans. These shares may be sold freely in the public market upon issuance, subject to the restrictions of Rule 144 and relevant vesting schedules.</w:t>
      </w:r>
    </w:p>
    <w:p>
      <w:pPr>
        <w:spacing w:after="0" w:line="6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 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changes in the value of our common stock.</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might not be able to utilize a significant portion of our net operating loss carryforwards and research and development tax credit carryforwards.</w:t>
      </w:r>
    </w:p>
    <w:p>
      <w:pPr>
        <w:spacing w:after="0" w:line="14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of December 31, 2019, we had U.S. federal and state net operating loss (“NOL”), carryforwards of approximately $156.5 million and $63.7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recent initial public offering did not result in a change in ownership of greater than 50%.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4" w:name="page45"/>
    <w:bookmarkEnd w:id="44"/>
    <w:p>
      <w:pPr>
        <w:ind w:right="140"/>
        <w:spacing w:after="0" w:line="255" w:lineRule="auto"/>
        <w:rPr>
          <w:sz w:val="20"/>
          <w:szCs w:val="20"/>
          <w:color w:val="auto"/>
        </w:rPr>
      </w:pPr>
      <w:r>
        <w:rPr>
          <w:rFonts w:ascii="Arial" w:cs="Arial" w:eastAsia="Arial" w:hAnsi="Arial"/>
          <w:sz w:val="18"/>
          <w:szCs w:val="18"/>
          <w:color w:val="auto"/>
        </w:rPr>
        <w:t>On March 27, 2020, the “Coronavirus Aid, Relief, and Economic Security Act” (“CARES Act”) was signed into law as a result of the COVID-19 pandemic. The new legislation includes a number of income tax provisions applicable to individuals and businesses. In addition, governments around the world have enacted or implemented various forms of tax relief measures in response to the economic conditions in the wake of the COVID-19 pandemic. Although, due to our historical net operating losses incurred in the U.S., the CARES Act did not have a material impact on our condensed consolidated financial statements as of September 30, 2020, we continue to examine the elements of the CARES Act and other changes in tax laws and regulations and the impact they may have on us in the future.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not meet our guidance and expectations, which would likely cause our stock price to decline.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such as the uncertainty around the impact of the COVID-19 pandemic.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7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including costs associated with public company reporting requirements. Our management team and other personnel will need to devote a substantial amount of time to, and we may not effectively or efficiently manage our transition into a public company.</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required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As a public company we incur significant legal, accounting and other expenses, including costs associated with public company reporting requirements. Our management team and other personnel will need to devote a substantial amount of time to, and we may not effectively or efficiently manage, our new obligations as a public company.</w:t>
      </w:r>
    </w:p>
    <w:p>
      <w:pPr>
        <w:spacing w:after="0" w:line="7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ind w:right="60"/>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that will be placed upon us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will not be required to formally attest to the effectiveness of our internal control over financial reporting pursuant to Section 404 until we are no longer an “emerging growth company,” as defined in the JOBS Act.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 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investigations or sanctions by Nasdaq, the SEC or other regulatory authorities. Furthermore,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8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7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103" w:lineRule="exact"/>
        <w:rPr>
          <w:sz w:val="20"/>
          <w:szCs w:val="20"/>
          <w:color w:val="auto"/>
        </w:rPr>
      </w:pPr>
    </w:p>
    <w:p>
      <w:pPr>
        <w:ind w:left="1120" w:right="440" w:hanging="748"/>
        <w:spacing w:after="0" w:line="277"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left="112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12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28" w:lineRule="exact"/>
        <w:rPr>
          <w:rFonts w:ascii="Arial" w:cs="Arial" w:eastAsia="Arial" w:hAnsi="Arial"/>
          <w:sz w:val="17"/>
          <w:szCs w:val="17"/>
          <w:color w:val="auto"/>
        </w:rPr>
      </w:pPr>
    </w:p>
    <w:p>
      <w:pPr>
        <w:ind w:left="1120" w:right="40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4" w:lineRule="exact"/>
        <w:rPr>
          <w:sz w:val="20"/>
          <w:szCs w:val="20"/>
          <w:color w:val="auto"/>
        </w:rPr>
      </w:pPr>
    </w:p>
    <w:p>
      <w:pPr>
        <w:ind w:right="80"/>
        <w:spacing w:after="0" w:line="340"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5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60" w:type="dxa"/>
            <w:vAlign w:val="bottom"/>
            <w:gridSpan w:val="10"/>
            <w:vMerge w:val="restart"/>
          </w:tcPr>
          <w:p>
            <w:pPr>
              <w:ind w:left="2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760" w:type="dxa"/>
            <w:vAlign w:val="bottom"/>
            <w:tcBorders>
              <w:top w:val="single" w:sz="8" w:color="auto"/>
              <w:bottom w:val="single" w:sz="8" w:color="0000EE"/>
            </w:tcBorders>
            <w:gridSpan w:val="10"/>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Restated Certificate of Incorporation of SiTime Corporate (the “Company”) (incorporated by reference to Exhibit 3.1 to the Company’s</w:t>
              </w:r>
            </w:hyperlink>
          </w:p>
        </w:tc>
        <w:tc>
          <w:tcPr>
            <w:tcW w:w="440" w:type="dxa"/>
            <w:vAlign w:val="bottom"/>
            <w:tcBorders>
              <w:top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Current Report on Form 8-K filed November 26,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4"/>
              </w:rPr>
            </w:pPr>
            <w:hyperlink r:id="rId77">
              <w:r>
                <w:rPr>
                  <w:rFonts w:ascii="Arial" w:cs="Arial" w:eastAsia="Arial" w:hAnsi="Arial"/>
                  <w:sz w:val="18"/>
                  <w:szCs w:val="18"/>
                  <w:color w:val="0000EE"/>
                  <w:w w:val="94"/>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filed June 9, 2020).</w:t>
              </w:r>
            </w:hyperlink>
          </w:p>
        </w:tc>
        <w:tc>
          <w:tcPr>
            <w:tcW w:w="3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8">
              <w:r>
                <w:rPr>
                  <w:rFonts w:ascii="Arial" w:cs="Arial" w:eastAsia="Arial" w:hAnsi="Arial"/>
                  <w:sz w:val="18"/>
                  <w:szCs w:val="18"/>
                  <w:color w:val="0000EE"/>
                  <w:w w:val="92"/>
                </w:rPr>
                <w:t>Form S-1 (File No. 333-234305) (the “S-1”)).</w:t>
              </w:r>
            </w:hyperlink>
          </w:p>
        </w:tc>
        <w:tc>
          <w:tcPr>
            <w:tcW w:w="6720" w:type="dxa"/>
            <w:vAlign w:val="bottom"/>
            <w:tcBorders>
              <w:top w:val="single" w:sz="8" w:color="0000EE"/>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6"/>
              </w:rPr>
            </w:pPr>
            <w:hyperlink r:id="rId79">
              <w:r>
                <w:rPr>
                  <w:rFonts w:ascii="Arial" w:cs="Arial" w:eastAsia="Arial" w:hAnsi="Arial"/>
                  <w:sz w:val="18"/>
                  <w:szCs w:val="18"/>
                  <w:color w:val="0000EE"/>
                  <w:w w:val="96"/>
                </w:rPr>
                <w:t>Description of Securities Registered Pursuant to Section 12 of the Securities Exchange Act of 1934 (incorporated by reference to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Company’s Annual Report on Form 10-k filed March 2, 2020).</w:t>
              </w:r>
            </w:hyperlink>
          </w:p>
        </w:tc>
        <w:tc>
          <w:tcPr>
            <w:tcW w:w="5000" w:type="dxa"/>
            <w:vAlign w:val="bottom"/>
            <w:tcBorders>
              <w:top w:val="single" w:sz="8" w:color="0000EE"/>
            </w:tcBorders>
            <w:gridSpan w:val="2"/>
          </w:tcPr>
          <w:p>
            <w:pPr>
              <w:spacing w:after="0"/>
              <w:rPr>
                <w:sz w:val="17"/>
                <w:szCs w:val="17"/>
                <w:color w:val="auto"/>
              </w:rPr>
            </w:pP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3"/>
          </w:tcPr>
          <w:p>
            <w:pPr>
              <w:spacing w:after="0"/>
              <w:rPr>
                <w:sz w:val="17"/>
                <w:szCs w:val="17"/>
                <w:color w:val="auto"/>
              </w:rPr>
            </w:pPr>
          </w:p>
        </w:tc>
        <w:tc>
          <w:tcPr>
            <w:tcW w:w="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5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Adopted Pursuant to Section 302 of the Sarbanes-Oxley Act of 2002.</w:t>
              </w:r>
            </w:hyperlink>
          </w:p>
        </w:tc>
        <w:tc>
          <w:tcPr>
            <w:tcW w:w="5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Act of 2002.</w:t>
              </w:r>
            </w:hyperlink>
          </w:p>
        </w:tc>
        <w:tc>
          <w:tcPr>
            <w:tcW w:w="93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00" w:type="dxa"/>
            <w:vAlign w:val="bottom"/>
            <w:gridSpan w:val="15"/>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Act of 2002.</w:t>
              </w:r>
            </w:hyperlink>
          </w:p>
        </w:tc>
        <w:tc>
          <w:tcPr>
            <w:tcW w:w="9080" w:type="dxa"/>
            <w:vAlign w:val="bottom"/>
            <w:tcBorders>
              <w:top w:val="single" w:sz="8" w:color="0000EE"/>
            </w:tcBorders>
            <w:gridSpan w:val="11"/>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right="280" w:hanging="492"/>
        <w:spacing w:after="0" w:line="220" w:lineRule="exact"/>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pacing w:after="0" w:line="252"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November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320" w:top="337"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Rajesh Vashist, certify that:</w:t>
      </w:r>
    </w:p>
    <w:p>
      <w:pPr>
        <w:spacing w:after="0" w:line="225"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25"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Executive Vice President, Chief Financial Officer</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September 30, 2020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2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September 30, 2020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2020</w:t>
      </w:r>
    </w:p>
    <w:p>
      <w:pPr>
        <w:spacing w:after="0" w:line="25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Executive Vice President,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76" Type="http://schemas.openxmlformats.org/officeDocument/2006/relationships/hyperlink" Target="http://www.sec.gov/Archives/edgar/data/0001451809/000119312519272678/d701682dex32.htm" TargetMode="External"/><Relationship Id="rId77" Type="http://schemas.openxmlformats.org/officeDocument/2006/relationships/hyperlink" Target="http://www.sec.gov/Archives/edgar/data/1451809/000119312520164650/d920552dex32.htm" TargetMode="External"/><Relationship Id="rId78" Type="http://schemas.openxmlformats.org/officeDocument/2006/relationships/hyperlink" Target="http://www.sec.gov/Archives/edgar/data/0001451809/000119312519272678/d701682dex41.htm" TargetMode="External"/><Relationship Id="rId79" Type="http://schemas.openxmlformats.org/officeDocument/2006/relationships/hyperlink" Target="http://www.sec.gov/Archives/edgar/data/1451809/000156459020008145/sitm-ex42_1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2020-11-05T16:35:37Z</dcterms:created>
  <dcterms:modified xsi:type="dcterms:W3CDTF">2020-11-05T16:35:37Z</dcterms:modified>
</cp:coreProperties>
</file>