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Assaderaghi Fariborz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00"/>
        <w:spacing w:after="0" w:line="365" w:lineRule="auto"/>
        <w:rPr>
          <w:sz w:val="20"/>
          <w:szCs w:val="20"/>
          <w:color w:val="auto"/>
        </w:rPr>
      </w:pPr>
      <w:r>
        <w:rPr>
          <w:rFonts w:ascii="Times New Roman" w:cs="Times New Roman" w:eastAsia="Times New Roman" w:hAnsi="Times New Roman"/>
          <w:sz w:val="17"/>
          <w:szCs w:val="17"/>
          <w:color w:val="0000FF"/>
        </w:rPr>
        <w:t>C/O SITIME CORPORATION 5451 PATRICK HENRY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SITIME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702.9</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78,936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711.25</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78,736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710.68</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77,936</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$700.23 to $716.61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an aggregate of 76,830 shares of common stock issuable pursuant to previously reported restricted stock units and performance-based restricted stock units that have not vested. These unvested units include 32,013 restricted stock units that vest over time, and 44,817 performance-based restricted stock units that vest based on certain absolute and relative price performance of the issuer's common stock over various performance periods.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Engineering &amp; Technology</w:t>
      </w:r>
    </w:p>
    <w:p>
      <w:pPr>
        <w:spacing w:after="0" w:line="10"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Samsheer Ahamad, Attorney-</w:t>
      </w:r>
      <w:r>
        <w:rPr>
          <w:sz w:val="20"/>
          <w:szCs w:val="20"/>
          <w:color w:val="auto"/>
        </w:rPr>
        <w:tab/>
      </w:r>
      <w:r>
        <w:rPr>
          <w:rFonts w:ascii="Times New Roman" w:cs="Times New Roman" w:eastAsia="Times New Roman" w:hAnsi="Times New Roman"/>
          <w:sz w:val="26"/>
          <w:szCs w:val="26"/>
          <w:color w:val="0000FF"/>
          <w:vertAlign w:val="subscript"/>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4679" TargetMode="External"/><Relationship Id="rId14" Type="http://schemas.openxmlformats.org/officeDocument/2006/relationships/hyperlink" Target="http://www.sec.gov/cgi-bin/browse-edgar?action=getcompany&amp;CIK=0001451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2026-06-05T19:55:33Z</dcterms:created>
  <dcterms:modified xsi:type="dcterms:W3CDTF">2026-06-05T19:55:33Z</dcterms:modified>
</cp:coreProperties>
</file>