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tbl>
      <w:tblPr>
        <w:tblW w:w="5370" w:type="dxa"/>
        <w:jc w:val="left"/>
        <w:tblInd w:w="0" w:type="dxa"/>
        <w:tblLayout w:type="fixed"/>
        <w:tblCellMar>
          <w:top w:w="28" w:type="dxa"/>
          <w:left w:w="28" w:type="dxa"/>
          <w:bottom w:w="28" w:type="dxa"/>
          <w:right w:w="28" w:type="dxa"/>
        </w:tblCellMar>
      </w:tblPr>
      <w:tblGrid>
        <w:gridCol w:w="1715"/>
        <w:gridCol w:w="1509"/>
        <w:gridCol w:w="2146"/>
      </w:tblGrid>
      <w:tr>
        <w:trPr/>
        <w:tc>
          <w:tcPr>
            <w:tcW w:w="1715"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06, 2026</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SiTime Corporation</w:t>
      </w:r>
    </w:p>
    <w:p>
      <w:pPr>
        <w:pStyle w:val="TextBody"/>
        <w:bidi w:val="0"/>
        <w:spacing w:lineRule="auto" w:line="288" w:before="60" w:after="283"/>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tbl>
      <w:tblPr>
        <w:tblW w:w="5864" w:type="dxa"/>
        <w:jc w:val="left"/>
        <w:tblInd w:w="0" w:type="dxa"/>
        <w:tblLayout w:type="fixed"/>
        <w:tblCellMar>
          <w:top w:w="28" w:type="dxa"/>
          <w:left w:w="28" w:type="dxa"/>
          <w:bottom w:w="28" w:type="dxa"/>
          <w:right w:w="28" w:type="dxa"/>
        </w:tblCellMar>
      </w:tblPr>
      <w:tblGrid>
        <w:gridCol w:w="970"/>
        <w:gridCol w:w="851"/>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001-39135</w:t>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02-0713868</w:t>
            </w:r>
          </w:p>
        </w:tc>
      </w:tr>
      <w:tr>
        <w:trPr/>
        <w:tc>
          <w:tcPr>
            <w:tcW w:w="268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(State or Other Jurisdiction</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(IRS Employer</w:t>
            </w:r>
          </w:p>
          <w:p>
            <w:pPr>
              <w:pStyle w:val="TableContents"/>
              <w:bidi w:val="0"/>
              <w:spacing w:lineRule="auto" w:line="276" w:before="14" w:after="283"/>
              <w:jc w:val="center"/>
              <w:rPr>
                <w:rFonts w:ascii="Times New Roman;serif" w:hAnsi="Times New Roman;serif"/>
                <w:b/>
                <w:color w:val="000000"/>
                <w:sz w:val="15"/>
              </w:rPr>
            </w:pPr>
            <w:r>
              <w:rPr>
                <w:rFonts w:ascii="Times New Roman;serif" w:hAnsi="Times New Roman;serif"/>
                <w:b/>
                <w:color w:val="000000"/>
                <w:sz w:val="15"/>
              </w:rPr>
              <w:t>Identification No.)</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5451 Patrick Henry Drive</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Santa Clara, California</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tbl>
      <w:tblPr>
        <w:tblW w:w="6090" w:type="dxa"/>
        <w:jc w:val="left"/>
        <w:tblInd w:w="0" w:type="dxa"/>
        <w:tblLayout w:type="fixed"/>
        <w:tblCellMar>
          <w:top w:w="28" w:type="dxa"/>
          <w:left w:w="28" w:type="dxa"/>
          <w:bottom w:w="28" w:type="dxa"/>
          <w:right w:w="28" w:type="dxa"/>
        </w:tblCellMar>
      </w:tblPr>
      <w:tblGrid>
        <w:gridCol w:w="1951"/>
        <w:gridCol w:w="1715"/>
        <w:gridCol w:w="2424"/>
      </w:tblGrid>
      <w:tr>
        <w:trPr/>
        <w:tc>
          <w:tcPr>
            <w:tcW w:w="1951"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lineRule="auto" w:line="276" w:before="18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val="false"/>
                <w:color w:val="000000"/>
                <w:sz w:val="20"/>
              </w:rPr>
              <w:t>(408) 328-4400</w:t>
            </w:r>
          </w:p>
        </w:tc>
      </w:tr>
    </w:tbl>
    <w:p>
      <w:pPr>
        <w:pStyle w:val="TextBody"/>
        <w:bidi w:val="0"/>
        <w:spacing w:lineRule="auto" w:line="288" w:before="360" w:after="283"/>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283"/>
        <w:jc w:val="left"/>
        <w:rPr/>
      </w:pPr>
      <w:r>
        <w:rPr>
          <w:rFonts w:ascii="Wingdings;sans-serif" w:hAnsi="Wingdings;sans-serif"/>
          <w:b w:val="false"/>
          <w:color w:val="000000"/>
          <w:sz w:val="20"/>
        </w:rPr>
        <w:t>o</w:t>
      </w: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12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14"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6, 2026, the Company issued a press release announcing its financial results for the first quarter of 2026. A copy of the press release is furnished as Exhibit 99.1 to this report.</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under Item 2.02 of this report, including Exhibit 99.1 hereto, shall not be deemed to be "filed" for purposes of Section 18 of the Securities Exchange Act of 1934, as amended, or otherwise subject to the liabilities of that section or Sections 11 and 12(a)(2) of the Securities Act of 1933, as amended. The information and the accompanying exhibit shall not be incorporated by reference into filings with the U.S. Securities and Exchange Commission (the "SEC") made by the Company,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228" w:type="dxa"/>
        <w:jc w:val="left"/>
        <w:tblInd w:w="0" w:type="dxa"/>
        <w:tblLayout w:type="fixed"/>
        <w:tblCellMar>
          <w:top w:w="28" w:type="dxa"/>
          <w:left w:w="28" w:type="dxa"/>
          <w:bottom w:w="28" w:type="dxa"/>
          <w:right w:w="28" w:type="dxa"/>
        </w:tblCellMar>
      </w:tblPr>
      <w:tblGrid>
        <w:gridCol w:w="124"/>
        <w:gridCol w:w="109"/>
        <w:gridCol w:w="109"/>
        <w:gridCol w:w="259"/>
        <w:gridCol w:w="259"/>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88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r>
    </w:tbl>
    <w:tbl>
      <w:tblPr>
        <w:tblW w:w="7740" w:type="dxa"/>
        <w:jc w:val="left"/>
        <w:tblInd w:w="0" w:type="dxa"/>
        <w:tblLayout w:type="fixed"/>
        <w:tblCellMar>
          <w:top w:w="28" w:type="dxa"/>
          <w:left w:w="28" w:type="dxa"/>
          <w:bottom w:w="28" w:type="dxa"/>
          <w:right w:w="28" w:type="dxa"/>
        </w:tblCellMar>
      </w:tblPr>
      <w:tblGrid>
        <w:gridCol w:w="391"/>
        <w:gridCol w:w="344"/>
        <w:gridCol w:w="345"/>
        <w:gridCol w:w="1944"/>
        <w:gridCol w:w="1944"/>
        <w:gridCol w:w="277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sitm-q126x8kxexx991.htm">
              <w:r>
                <w:rPr>
                  <w:rStyle w:val="InternetLink"/>
                  <w:rFonts w:ascii="Times New Roman;serif" w:hAnsi="Times New Roman;serif"/>
                  <w:b w:val="false"/>
                  <w:color w:val="0000FF"/>
                  <w:sz w:val="20"/>
                  <w:u w:val="single"/>
                </w:rPr>
                <w:t>99.1</w:t>
              </w:r>
            </w:hyperlink>
          </w:p>
        </w:tc>
        <w:tc>
          <w:tcPr>
            <w:tcW w:w="6660" w:type="dxa"/>
            <w:gridSpan w:val="3"/>
            <w:tcBorders/>
            <w:tcMar>
              <w:top w:w="0" w:type="dxa"/>
              <w:left w:w="0" w:type="dxa"/>
              <w:bottom w:w="0" w:type="dxa"/>
              <w:right w:w="0" w:type="dxa"/>
            </w:tcMar>
            <w:vAlign w:val="center"/>
          </w:tcPr>
          <w:p>
            <w:pPr>
              <w:pStyle w:val="TableContents"/>
              <w:bidi w:val="0"/>
              <w:spacing w:lineRule="auto" w:line="276" w:before="14" w:after="283"/>
              <w:jc w:val="left"/>
              <w:rPr/>
            </w:pPr>
            <w:hyperlink w:anchor="sitm-q126x8kxexx991.htm">
              <w:r>
                <w:rPr>
                  <w:rStyle w:val="InternetLink"/>
                  <w:rFonts w:ascii="Times New Roman;serif" w:hAnsi="Times New Roman;serif"/>
                  <w:b w:val="false"/>
                  <w:color w:val="0000FF"/>
                  <w:sz w:val="20"/>
                  <w:u w:val="single"/>
                </w:rPr>
                <w:t>Press Release of SiTime Corporation dated May 6,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6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7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49"/>
        <w:gridCol w:w="149"/>
        <w:gridCol w:w="151"/>
        <w:gridCol w:w="1347"/>
        <w:gridCol w:w="1347"/>
        <w:gridCol w:w="191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SiTime Reports First Quarter 2026 Financial Results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Q1 Net Revenue Increased 88% to $113.6 Million</w:t>
      </w:r>
    </w:p>
    <w:p>
      <w:pPr>
        <w:pStyle w:val="TextBody"/>
        <w:bidi w:val="0"/>
        <w:spacing w:lineRule="auto" w:line="288" w:before="120" w:after="283"/>
        <w:jc w:val="left"/>
        <w:rPr/>
      </w:pPr>
      <w:r>
        <w:rPr>
          <w:rFonts w:ascii="Times New Roman;serif" w:hAnsi="Times New Roman;serif"/>
          <w:b/>
          <w:color w:val="000000"/>
          <w:sz w:val="20"/>
        </w:rPr>
        <w:t xml:space="preserve">SANTA CLARA, Calif., May 6, 2026 </w:t>
      </w:r>
      <w:r>
        <w:rPr>
          <w:color w:val="000000"/>
        </w:rPr>
        <w:t xml:space="preserve">– </w:t>
      </w:r>
      <w:r>
        <w:rPr>
          <w:rFonts w:ascii="Times New Roman;serif" w:hAnsi="Times New Roman;serif"/>
          <w:b w:val="false"/>
          <w:color w:val="000000"/>
          <w:sz w:val="20"/>
        </w:rPr>
        <w:t>SiTime Corporation, (Nasdaq: SITM), the Precision Timing company, today announced financial results for the first quarter ended March 31,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Net revenue in the first quarter of 2026 was $113.6 million, an increase of 88.3%from $60.3 million in the year ago quarter.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strong start to 2026, with revenue growing 88 percent year over year, reflects the scale and momentum of the Precision Timing category we created,” said Rajesh Vashist, CEO of SiTime. “As AI infrastructure and high-performance systems grow, precision timing is becoming a system-level requirement. Here, our differentiated platforms are driving higher ASPs and margins, along with deeper customer engagement. I believe that we are executing from a position of strength for the next phase of SiTime’s growth and am excited about the opportunities ahead.”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GAAP gross profit was $67.0 million, or 59.0% of revenue, GAAP operating expenses were $79.3 million, GAAP loss from operations was $12.3 million, and GAAP net loss was $5.2 million, or $0.20 per diluted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non-GAAP gross profit was $73.3 million, or 64.5% of revenue, non-GAAP operating expenses were $41.5 million, non-GAAP income from operations was $31.8 million and non-GAAP net income was $38.9 million, or $1.44 per diluted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short-term investments were $788.7 million on March 31,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plans to discuss its business outlook as part of today’s scheduled conference call.</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Use of Non-GAAP Financial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and its attachments include certain non-GAAP supplemental performance measures. The presentation of this financial information is not intended to be considered in isolation or as a substitute for the financial information prepared and presented in accordance with GAAP.</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believes that the presentation of non-GAAP financial measures provides important supplemental information to management and investors regarding financial and business trends relating to SiTime’s financial condition and results of operations. SiTime believes that these non-GAAP financial measures provide additional insight into SiTime’s ongoing performance and core operational activities and has chosen to provide these measures for more consistent and meaningful comparison between periods. These measures should only be used to evaluate SiTime’s results of operations in conjunction with the corresponding GAAP measures. The non-GAAP financial measures exclude stock-based compensation expense, amortization of acquired intangibles, and acquisition-related expenses which include transaction and certain other cash costs associated with business acquisition as well as changes in the estimated fair value of earn out liabilities and accretion of acquisition consideration payable. The reconciliation between GAAP and non-GAAP financial results is provided in the financial statements portion of this release.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Inducement Plan Grants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granted restricted stock unit awards (“RSUs”) on May 4, 2026 that were approved by the Compensation and Talent Committee of its Board of Directors under SiTime’s Amended and Restated 2022 Inducement Award Plan, as a material inducement to employment of 42 newly hired individuals globally. The RSUs were approved in accordance with Nasdaq Listing Rule 5635(c)(4). The inducement grants consisted of an aggregate of 41,471 RSUs. One-fourth of the RSUs will vest on the first February 20, May 20, August 20, or November 20 falling in the one-year anniversary quarter of the applicable vesting start date, and then 1/16th of the RSUs vest in equal quarterly installments on each February 20, May 20, August 20, and November 20, thereafter, subject to each such employee’s continued service on each vesting date. The inducement grants are subject to the terms and conditions of award agreements covering the grants and SiTime’s Amended and Restated 2022 Inducement Award Plan.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SiTime will broadcast the financial results for its first quarter of 2026 via conference call today, May 6, 2026, at 2:00 p.m. Pacific Time (5:00 p.m. Eastern Time). To join the conference call via phone, participants are required to complete the following registration form to receive a dial-in number and dedicated PIN for accessing the conference call. The conference call will also be available via a live audio webcast on the investor relations section of the SiTime website at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investor.sitime.com. Please access the website at least a few minutes prior to the start of the call to download and install any necessary audio software. An archived webcast replay of the call will be available on the website.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About SiTime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 is the Precision Timing company. Our semiconductor MEMS programmable solutions offer a rich feature set that enables customers to differentiate their products with higher performance, smaller size, lower power, and better reliability. With more than 4 billion devices shipped, SiTime is changing the timing industry. For more information, visit www.sitime.com.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About Precision Timing – Timing is the heartbeat of all electronics, ensuring performance, resilience and scalability. For decades, quartz devices, non-silicon technology, have kept systems in sync, but they struggle in harsher, more demanding environments. MEMS-based Precision Timing delivers greater accuracy, smaller size and resilience. Today, MEMS timing powers over 400 applications, including high-growth ones in AI data centers, automated driving, industrial and humanoid robots, wearables and IoT.</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This press release and the earnings call referencing this press release contains forward-looking statements within the meaning of Section 27A of the Securities Act of 1933, as amended, and Section 21E of the Security Exchange Act of 1934, as amended. These forward-looking statements involve risks, uncertainties, assumptions, and other factors that may cause actual results or outcomes to differ materially from those anticipated in such forward-looking statements. The risks, uncertainties, assumptions, and other factors include, but are not limited to our expectations and trends relating to the growth of our new products, our product differentiation and market acceptance of our products, and our ability to accurately forecast our future performance, business and growth. More information about these and other risks, uncertainties, and other factors that may cause actual outcomes and results to differ materially from those included in the forward-looking statements contained in this release are included under the caption “Risk Factors” and elsewhere in our most recent Form 10-Q filed with the Securities and Exchange Commission and other filings SiTime makes with the Securities and Exchange Commission from time to time, including SiTime's Annual Report on Form 10-K that has been filed for the year ended December 31, 2025. The financial information set forth in this release reflects estimates based on information available at this time. While SiTime believes these estimates to be reasonable, these amounts could differ materially from reported amounts in SiTime’s Quarterly Report on Form 10-Q for the quarter ended March 31, 2026 and SiTime’s other filings with the Securities and Exchange Commission. Forward-looking statements speak only as of the date the statements are made and are based on information available to SiTime at the time those statements are made and/or management's good faith belief as of that time with respect to future events. Except as required by law, SiTime undertakes no obligation, and does not intend, to update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GAAP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2119"/>
        <w:gridCol w:w="1745"/>
        <w:gridCol w:w="1748"/>
        <w:gridCol w:w="228"/>
        <w:gridCol w:w="892"/>
        <w:gridCol w:w="117"/>
        <w:gridCol w:w="109"/>
        <w:gridCol w:w="109"/>
        <w:gridCol w:w="109"/>
        <w:gridCol w:w="263"/>
        <w:gridCol w:w="1033"/>
        <w:gridCol w:w="135"/>
        <w:gridCol w:w="109"/>
        <w:gridCol w:w="109"/>
        <w:gridCol w:w="109"/>
        <w:gridCol w:w="232"/>
        <w:gridCol w:w="865"/>
        <w:gridCol w:w="174"/>
      </w:tblGrid>
      <w:tr>
        <w:trPr/>
        <w:tc>
          <w:tcPr>
            <w:tcW w:w="211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3"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28"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113,567 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113,284 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60,314 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49,404 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29,978 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0"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66,955 </w:t>
            </w:r>
          </w:p>
        </w:tc>
        <w:tc>
          <w:tcPr>
            <w:tcW w:w="11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63,880 </w:t>
            </w:r>
          </w:p>
        </w:tc>
        <w:tc>
          <w:tcPr>
            <w:tcW w:w="135"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30,336 </w:t>
            </w:r>
          </w:p>
        </w:tc>
        <w:tc>
          <w:tcPr>
            <w:tcW w:w="17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28,294 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1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79,294 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62,117 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58,444 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1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11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(28,108)</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7,998 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4,294 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12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(5,203)</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9,552 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(23,810)</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2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2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(23,877)</w:t>
            </w:r>
          </w:p>
        </w:tc>
        <w:tc>
          <w:tcPr>
            <w:tcW w:w="17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common stockholders and comprehensive loss</w:t>
            </w:r>
          </w:p>
        </w:tc>
        <w:tc>
          <w:tcPr>
            <w:tcW w:w="22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117"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135"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(23,877)</w:t>
            </w:r>
          </w:p>
        </w:tc>
        <w:tc>
          <w:tcPr>
            <w:tcW w:w="174"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attributable to common stockholders, basic</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attributable to common stockholders, diluted</w:t>
            </w:r>
          </w:p>
        </w:tc>
        <w:tc>
          <w:tcPr>
            <w:tcW w:w="228"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117"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35"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doub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74" w:type="dxa"/>
            <w:tcBorders>
              <w:top w:val="doub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net (loss) income per share</w:t>
            </w:r>
          </w:p>
        </w:tc>
        <w:tc>
          <w:tcPr>
            <w:tcW w:w="12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23,653</w:t>
            </w:r>
          </w:p>
        </w:tc>
      </w:tr>
      <w:tr>
        <w:trPr/>
        <w:tc>
          <w:tcPr>
            <w:tcW w:w="5612"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(loss) income per share</w:t>
            </w:r>
          </w:p>
        </w:tc>
        <w:tc>
          <w:tcPr>
            <w:tcW w:w="1237" w:type="dxa"/>
            <w:gridSpan w:val="3"/>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26,343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23,653</w:t>
            </w:r>
          </w:p>
        </w:tc>
      </w:tr>
      <w:tr>
        <w:trPr/>
        <w:tc>
          <w:tcPr>
            <w:tcW w:w="5612"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Reconciliation of Non-GAAP Adjustments</w:t>
      </w:r>
    </w:p>
    <w:tbl>
      <w:tblPr>
        <w:tblW w:w="10205" w:type="dxa"/>
        <w:jc w:val="center"/>
        <w:tblInd w:w="0" w:type="dxa"/>
        <w:tblLayout w:type="fixed"/>
        <w:tblCellMar>
          <w:top w:w="28" w:type="dxa"/>
          <w:left w:w="28" w:type="dxa"/>
          <w:bottom w:w="28" w:type="dxa"/>
          <w:right w:w="28" w:type="dxa"/>
        </w:tblCellMar>
      </w:tblPr>
      <w:tblGrid>
        <w:gridCol w:w="2051"/>
        <w:gridCol w:w="1724"/>
        <w:gridCol w:w="1732"/>
        <w:gridCol w:w="211"/>
        <w:gridCol w:w="826"/>
        <w:gridCol w:w="271"/>
        <w:gridCol w:w="109"/>
        <w:gridCol w:w="109"/>
        <w:gridCol w:w="109"/>
        <w:gridCol w:w="231"/>
        <w:gridCol w:w="904"/>
        <w:gridCol w:w="296"/>
        <w:gridCol w:w="109"/>
        <w:gridCol w:w="109"/>
        <w:gridCol w:w="109"/>
        <w:gridCol w:w="211"/>
        <w:gridCol w:w="774"/>
        <w:gridCol w:w="320"/>
      </w:tblGrid>
      <w:tr>
        <w:trPr/>
        <w:tc>
          <w:tcPr>
            <w:tcW w:w="2051"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 except per share data)</w:t>
            </w:r>
            <w:r>
              <w:rPr>
                <w:color w:val="000000"/>
              </w:rPr>
              <w:t xml:space="preserve"> </w:t>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gross profit and margin to non-GAAP</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113,284 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66,955 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63,880 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30,336 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27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w:t>
            </w:r>
          </w:p>
        </w:tc>
        <w:tc>
          <w:tcPr>
            <w:tcW w:w="32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73,289 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69,366 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34,610 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61.2</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operating expenses to non-GAAP</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32,738 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28,294 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30,026 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(9,318)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(10,682)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 expenses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21,510 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18,976 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19,344 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sales, general and administrative expenses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38,937 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26,856 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(18,982)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(13,663)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sales, general and administrative expenses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16,492 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13,193 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acquisition related costs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acquisition related costs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41,465 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35,468 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32,537 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(loss) income from operations to non-GAAP loss from operations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income from operations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(28,108)</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31,824 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33,898 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2,073 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income from operations as a percentage of revenue</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Reconciliation of GAAP net (loss) income to non-GAAP net income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9,166 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(23,877)</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25,046 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38,946 </w:t>
            </w:r>
          </w:p>
        </w:tc>
        <w:tc>
          <w:tcPr>
            <w:tcW w:w="271"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41,301 </w:t>
            </w:r>
          </w:p>
        </w:tc>
        <w:tc>
          <w:tcPr>
            <w:tcW w:w="29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6,304 </w:t>
            </w:r>
          </w:p>
        </w:tc>
        <w:tc>
          <w:tcPr>
            <w:tcW w:w="320"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diluted net income per share</w:t>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24,412</w:t>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 detailed above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0.26 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Non-GAAP diluted weighted average shares are calculated using the treasury stock method and differ from GAAP diluted weighted average shares due to non-GAAP net income reported.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GAAP Condensed Consolidated Balance Sheets </w:t>
      </w:r>
    </w:p>
    <w:tbl>
      <w:tblPr>
        <w:tblW w:w="7562" w:type="dxa"/>
        <w:jc w:val="left"/>
        <w:tblInd w:w="0" w:type="dxa"/>
        <w:tblLayout w:type="fixed"/>
        <w:tblCellMar>
          <w:top w:w="28" w:type="dxa"/>
          <w:left w:w="28" w:type="dxa"/>
          <w:bottom w:w="28" w:type="dxa"/>
          <w:right w:w="28" w:type="dxa"/>
        </w:tblCellMar>
      </w:tblPr>
      <w:tblGrid>
        <w:gridCol w:w="1583"/>
        <w:gridCol w:w="1397"/>
        <w:gridCol w:w="1414"/>
        <w:gridCol w:w="211"/>
        <w:gridCol w:w="976"/>
        <w:gridCol w:w="109"/>
        <w:gridCol w:w="109"/>
        <w:gridCol w:w="109"/>
        <w:gridCol w:w="109"/>
        <w:gridCol w:w="243"/>
        <w:gridCol w:w="1125"/>
        <w:gridCol w:w="177"/>
      </w:tblGrid>
      <w:tr>
        <w:trPr/>
        <w:tc>
          <w:tcPr>
            <w:tcW w:w="158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As of</w:t>
            </w:r>
            <w:r>
              <w:rPr>
                <w:color w:val="000000"/>
              </w:rPr>
              <w:t xml:space="preserve">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(in thousands)</w:t>
            </w:r>
            <w:r>
              <w:rPr>
                <w:color w:val="000000"/>
              </w:rPr>
              <w:t xml:space="preserve"> </w:t>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498,476 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held-to-maturity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290,188 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791,648 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54,997 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949,216 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949,279 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106,661 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141,572 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1,292,857 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7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76,082 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84,005 </w:t>
            </w:r>
          </w:p>
        </w:tc>
        <w:tc>
          <w:tcPr>
            <w:tcW w:w="17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133,879 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138,517 </w:t>
            </w:r>
          </w:p>
        </w:tc>
        <w:tc>
          <w:tcPr>
            <w:tcW w:w="17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29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9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1,389,096 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1,381,083 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(224,904)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1,158,978 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1,156,182 </w:t>
            </w:r>
          </w:p>
        </w:tc>
        <w:tc>
          <w:tcPr>
            <w:tcW w:w="177"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1,292,857 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7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Investor Relations Contacts: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Shelton Group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Leanne Sievers | Brett Perry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sitm-ir@sheltongroup.com</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SiTime Corporation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Beth Howe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investor.relations@sitime.com</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2429</Words>
  <Characters>14062</Characters>
  <CharactersWithSpaces>16193</CharactersWithSpaces>
  <Paragraphs>472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