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Assaderaghi Fariborz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65" w:lineRule="auto"/>
        <w:rPr>
          <w:sz w:val="20"/>
          <w:szCs w:val="20"/>
          <w:color w:val="auto"/>
        </w:rPr>
      </w:pPr>
      <w:r>
        <w:rPr>
          <w:rFonts w:ascii="Times New Roman" w:cs="Times New Roman" w:eastAsia="Times New Roman" w:hAnsi="Times New Roman"/>
          <w:sz w:val="17"/>
          <w:szCs w:val="17"/>
          <w:color w:val="0000FF"/>
        </w:rPr>
        <w:t>C/O SITIME CORPORATION 5451 PATRICK HENRY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SITIME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712.72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79,936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$700.00 to $719.53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aggregate of 76,830 shares of common stock issuable pursuant to previously reported restricted stock units and performance-based restricted stock units that have not vested. These unvested units include 32,013 restricted stock units that vest over time, and 44,817 performance-based restricted stock units that vest based on certain absolute and relative price performance of the issuer's common stock over various performance periods.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Engineering &amp; Technology</w:t>
      </w:r>
    </w:p>
    <w:p>
      <w:pPr>
        <w:spacing w:after="0" w:line="10"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Samsheer Ahamad, Attorney-</w:t>
      </w:r>
      <w:r>
        <w:rPr>
          <w:sz w:val="20"/>
          <w:szCs w:val="20"/>
          <w:color w:val="auto"/>
        </w:rPr>
        <w:tab/>
      </w:r>
      <w:r>
        <w:rPr>
          <w:rFonts w:ascii="Times New Roman" w:cs="Times New Roman" w:eastAsia="Times New Roman" w:hAnsi="Times New Roman"/>
          <w:sz w:val="26"/>
          <w:szCs w:val="26"/>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4679" TargetMode="External"/><Relationship Id="rId14" Type="http://schemas.openxmlformats.org/officeDocument/2006/relationships/hyperlink" Target="http://www.sec.gov/cgi-bin/browse-edgar?action=getcompany&amp;CIK=0001451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2026-06-02T19:40:49Z</dcterms:created>
  <dcterms:modified xsi:type="dcterms:W3CDTF">2026-06-02T19:40:49Z</dcterms:modified>
</cp:coreProperties>
</file>