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3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ind w:left="460" w:hanging="434"/>
        <w:spacing w:after="0" w:line="191" w:lineRule="auto"/>
        <w:tabs>
          <w:tab w:leader="none" w:pos="460" w:val="left"/>
        </w:tabs>
        <w:numPr>
          <w:ilvl w:val="0"/>
          <w:numId w:val="2"/>
        </w:numPr>
        <w:rPr>
          <w:rFonts w:ascii="Wingdings" w:cs="Wingdings" w:eastAsia="Wingdings" w:hAnsi="Wingdings"/>
          <w:sz w:val="6"/>
          <w:szCs w:val="6"/>
          <w:b w:val="1"/>
          <w:bCs w:val="1"/>
          <w:color w:val="auto"/>
          <w:highlight w:val="black"/>
        </w:rPr>
      </w:pPr>
      <w:r>
        <w:rPr>
          <w:rFonts w:ascii="Times New Roman" w:cs="Times New Roman" w:eastAsia="Times New Roman" w:hAnsi="Times New Roman"/>
          <w:sz w:val="6"/>
          <w:szCs w:val="6"/>
          <w:b w:val="1"/>
          <w:bCs w:val="1"/>
          <w:color w:val="auto"/>
        </w:rPr>
        <w:t>TRANSITION REPORT PURSUANT TO SECTION 13 OR 15(d) OF THE SECURITIES EXCHANGE ACT OF 1934</w:t>
      </w:r>
    </w:p>
    <w:p>
      <w:pPr>
        <w:spacing w:after="0" w:line="194" w:lineRule="exact"/>
        <w:rPr>
          <w:sz w:val="24"/>
          <w:szCs w:val="24"/>
          <w:color w:val="auto"/>
        </w:rPr>
      </w:pPr>
    </w:p>
    <w:p>
      <w:pPr>
        <w:ind w:left="460"/>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SiTime Corporation</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ectPr>
          <w:pgSz w:w="11900" w:h="16838" w:orient="portrait"/>
          <w:cols w:equalWidth="0" w:num="1">
            <w:col w:w="11240"/>
          </w:cols>
          <w:pgMar w:left="320" w:top="337" w:right="339" w:bottom="0" w:gutter="0" w:footer="0" w:header="0"/>
        </w:sectPr>
      </w:pPr>
    </w:p>
    <w:p>
      <w:pPr>
        <w:spacing w:after="0" w:line="3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02-0713868</w:t>
      </w:r>
    </w:p>
    <w:p>
      <w:pPr>
        <w:spacing w:after="0" w:line="72" w:lineRule="exact"/>
        <w:rPr>
          <w:sz w:val="24"/>
          <w:szCs w:val="24"/>
          <w:color w:val="auto"/>
        </w:rPr>
      </w:pPr>
    </w:p>
    <w:p>
      <w:pPr>
        <w:sectPr>
          <w:pgSz w:w="11900" w:h="16838" w:orient="portrait"/>
          <w:cols w:equalWidth="0" w:num="2">
            <w:col w:w="7280" w:space="720"/>
            <w:col w:w="3240"/>
          </w:cols>
          <w:pgMar w:left="320" w:top="337" w:right="339" w:bottom="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6" w:lineRule="exact"/>
        <w:rPr>
          <w:sz w:val="24"/>
          <w:szCs w:val="24"/>
          <w:color w:val="auto"/>
        </w:rPr>
      </w:pPr>
    </w:p>
    <w:p>
      <w:pPr>
        <w:sectPr>
          <w:pgSz w:w="11900" w:h="16838" w:orient="portrait"/>
          <w:cols w:equalWidth="0" w:num="2">
            <w:col w:w="7140" w:space="720"/>
            <w:col w:w="3380"/>
          </w:cols>
          <w:pgMar w:left="320" w:top="337" w:right="339" w:bottom="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5451 Patrick Henry Drive</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Santa Clara,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95054</w:t>
      </w:r>
    </w:p>
    <w:p>
      <w:pPr>
        <w:spacing w:after="0" w:line="60" w:lineRule="exact"/>
        <w:rPr>
          <w:sz w:val="24"/>
          <w:szCs w:val="24"/>
          <w:color w:val="auto"/>
        </w:rPr>
      </w:pPr>
    </w:p>
    <w:p>
      <w:pPr>
        <w:sectPr>
          <w:pgSz w:w="11900" w:h="16838" w:orient="portrait"/>
          <w:cols w:equalWidth="0" w:num="2">
            <w:col w:w="7480" w:space="720"/>
            <w:col w:w="3040"/>
          </w:cols>
          <w:pgMar w:left="320" w:top="337" w:right="339" w:bottom="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8" w:lineRule="exact"/>
        <w:rPr>
          <w:sz w:val="24"/>
          <w:szCs w:val="24"/>
          <w:color w:val="auto"/>
        </w:rPr>
      </w:pPr>
    </w:p>
    <w:p>
      <w:pPr>
        <w:sectPr>
          <w:pgSz w:w="11900" w:h="16838" w:orient="portrait"/>
          <w:cols w:equalWidth="0" w:num="2">
            <w:col w:w="7380" w:space="720"/>
            <w:col w:w="3140"/>
          </w:cols>
          <w:pgMar w:left="320" w:top="337"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SITM</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57" w:lineRule="exact"/>
        <w:rPr>
          <w:sz w:val="24"/>
          <w:szCs w:val="24"/>
          <w:color w:val="auto"/>
        </w:rPr>
      </w:pPr>
    </w:p>
    <w:p>
      <w:pPr>
        <w:ind w:right="36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right="120"/>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4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6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rPr>
                <w:sz w:val="20"/>
                <w:szCs w:val="20"/>
                <w:color w:val="auto"/>
              </w:rPr>
            </w:pPr>
            <w:r>
              <w:rPr>
                <w:rFonts w:ascii="Wingdings" w:cs="Wingdings" w:eastAsia="Wingdings" w:hAnsi="Wingdings"/>
                <w:sz w:val="14"/>
                <w:szCs w:val="14"/>
                <w:b w:val="1"/>
                <w:bCs w:val="1"/>
                <w:color w:val="auto"/>
                <w:w w:val="95"/>
              </w:rPr>
              <w:t>o</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920"/>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rPr>
                <w:sz w:val="20"/>
                <w:szCs w:val="20"/>
                <w:color w:val="auto"/>
              </w:rPr>
            </w:pPr>
            <w:r>
              <w:rPr>
                <w:rFonts w:ascii="Wingdings" w:cs="Wingdings" w:eastAsia="Wingdings" w:hAnsi="Wingdings"/>
                <w:sz w:val="14"/>
                <w:szCs w:val="14"/>
                <w:b w:val="1"/>
                <w:bCs w:val="1"/>
                <w:color w:val="auto"/>
                <w:w w:val="95"/>
              </w:rPr>
              <w:t>o</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60" w:type="dxa"/>
            <w:vAlign w:val="bottom"/>
          </w:tcPr>
          <w:p>
            <w:pPr>
              <w:ind w:left="920"/>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240"/>
          </w:cols>
          <w:pgMar w:left="320" w:top="337" w:right="339" w:bottom="0" w:gutter="0" w:footer="0" w:header="0"/>
          <w:type w:val="continuous"/>
        </w:sectPr>
      </w:pPr>
    </w:p>
    <w:p>
      <w:pPr>
        <w:spacing w:after="0" w:line="71" w:lineRule="exact"/>
        <w:rPr>
          <w:sz w:val="24"/>
          <w:szCs w:val="24"/>
          <w:color w:val="auto"/>
        </w:rPr>
      </w:pPr>
    </w:p>
    <w:p>
      <w:pPr>
        <w:ind w:left="20"/>
        <w:spacing w:after="0" w:line="30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520"/>
        <w:spacing w:after="0"/>
        <w:rPr>
          <w:sz w:val="20"/>
          <w:szCs w:val="20"/>
          <w:color w:val="auto"/>
        </w:rPr>
      </w:pPr>
      <w:r>
        <w:rPr>
          <w:rFonts w:ascii="Wingdings" w:cs="Wingdings" w:eastAsia="Wingdings" w:hAnsi="Wingdings"/>
          <w:sz w:val="14"/>
          <w:szCs w:val="14"/>
          <w:b w:val="1"/>
          <w:bCs w:val="1"/>
          <w:color w:val="auto"/>
        </w:rPr>
        <w:t>o</w:t>
      </w:r>
    </w:p>
    <w:p>
      <w:pPr>
        <w:spacing w:after="0" w:line="99" w:lineRule="exact"/>
        <w:rPr>
          <w:sz w:val="24"/>
          <w:szCs w:val="24"/>
          <w:color w:val="auto"/>
        </w:rPr>
      </w:pPr>
    </w:p>
    <w:p>
      <w:pPr>
        <w:sectPr>
          <w:pgSz w:w="11900" w:h="16838" w:orient="portrait"/>
          <w:cols w:equalWidth="0" w:num="2">
            <w:col w:w="10020" w:space="560"/>
            <w:col w:w="660"/>
          </w:cols>
          <w:pgMar w:left="320" w:top="337" w:right="339" w:bottom="0" w:gutter="0" w:footer="0" w:header="0"/>
          <w:type w:val="continuous"/>
        </w:sectPr>
      </w:pPr>
    </w:p>
    <w:p>
      <w:pPr>
        <w:ind w:left="20"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99" w:lineRule="exact"/>
        <w:rPr>
          <w:sz w:val="24"/>
          <w:szCs w:val="24"/>
          <w:color w:val="auto"/>
        </w:rPr>
      </w:pPr>
    </w:p>
    <w:p>
      <w:pPr>
        <w:sectPr>
          <w:pgSz w:w="11900" w:h="16838" w:orient="portrait"/>
          <w:cols w:equalWidth="0" w:num="2">
            <w:col w:w="9860" w:space="720"/>
            <w:col w:w="660"/>
          </w:cols>
          <w:pgMar w:left="320" w:top="337" w:right="339" w:bottom="0" w:gutter="0" w:footer="0" w:header="0"/>
          <w:type w:val="continuous"/>
        </w:sectPr>
      </w:pPr>
    </w:p>
    <w:p>
      <w:pPr>
        <w:ind w:left="20" w:right="140"/>
        <w:spacing w:after="0" w:line="302"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99" w:lineRule="exact"/>
        <w:rPr>
          <w:sz w:val="24"/>
          <w:szCs w:val="24"/>
          <w:color w:val="auto"/>
        </w:rPr>
      </w:pPr>
    </w:p>
    <w:p>
      <w:pPr>
        <w:sectPr>
          <w:pgSz w:w="11900" w:h="16838" w:orient="portrait"/>
          <w:cols w:equalWidth="0" w:num="2">
            <w:col w:w="9860" w:space="720"/>
            <w:col w:w="660"/>
          </w:cols>
          <w:pgMar w:left="320" w:top="337" w:right="339" w:bottom="0" w:gutter="0" w:footer="0" w:header="0"/>
          <w:type w:val="continuous"/>
        </w:sectPr>
      </w:pPr>
    </w:p>
    <w:p>
      <w:pPr>
        <w:ind w:left="20" w:right="1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166" w:lineRule="exact"/>
        <w:rPr>
          <w:sz w:val="24"/>
          <w:szCs w:val="24"/>
          <w:color w:val="auto"/>
        </w:rPr>
      </w:pPr>
    </w:p>
    <w:p>
      <w:pPr>
        <w:sectPr>
          <w:pgSz w:w="11900" w:h="16838" w:orient="portrait"/>
          <w:cols w:equalWidth="0" w:num="2">
            <w:col w:w="9860" w:space="720"/>
            <w:col w:w="66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right="400"/>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last reported sale of the common stock on June 30, 2023, on the Nasdaq Global Market, was $2,031,068,019 based on the closing price of the registrant’s common stock on such date of $117.97 per share.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15, 2024 was 22,692,165.</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ind w:right="340"/>
        <w:spacing w:after="0" w:line="302" w:lineRule="auto"/>
        <w:rPr>
          <w:sz w:val="20"/>
          <w:szCs w:val="20"/>
          <w:color w:val="auto"/>
        </w:rPr>
      </w:pPr>
      <w:r>
        <w:rPr>
          <w:rFonts w:ascii="Times New Roman" w:cs="Times New Roman" w:eastAsia="Times New Roman" w:hAnsi="Times New Roman"/>
          <w:sz w:val="14"/>
          <w:szCs w:val="14"/>
          <w:color w:val="auto"/>
        </w:rPr>
        <w:t>Part III incorporates by reference certain information from the registrant’s definitive proxy statement for the 2024 Annual Meeting of Stockholders to be filed no later than 120 days after the conclusion of the registrant’s fiscal year ended December 31, 2023.</w:t>
      </w:r>
    </w:p>
    <w:p>
      <w:pPr>
        <w:sectPr>
          <w:pgSz w:w="11900" w:h="16838" w:orient="portrait"/>
          <w:cols w:equalWidth="0" w:num="1">
            <w:col w:w="11240"/>
          </w:cols>
          <w:pgMar w:left="320" w:top="337" w:right="339" w:bottom="0" w:gutter="0" w:footer="0" w:header="0"/>
          <w:type w:val="continuous"/>
        </w:sectPr>
      </w:pPr>
    </w:p>
    <w:bookmarkStart w:id="1" w:name="page2"/>
    <w:bookmarkEnd w:id="1"/>
    <w:p>
      <w:pPr>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1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16"/>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56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1"/>
                <w:szCs w:val="21"/>
                <w:color w:val="auto"/>
              </w:rPr>
            </w:pPr>
          </w:p>
        </w:tc>
        <w:tc>
          <w:tcPr>
            <w:tcW w:w="7200" w:type="dxa"/>
            <w:vAlign w:val="bottom"/>
            <w:gridSpan w:val="1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56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1"/>
                <w:szCs w:val="21"/>
                <w:color w:val="auto"/>
              </w:rPr>
            </w:pPr>
          </w:p>
        </w:tc>
        <w:tc>
          <w:tcPr>
            <w:tcW w:w="488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20" w:type="dxa"/>
            <w:vAlign w:val="bottom"/>
            <w:gridSpan w:val="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561"/>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0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81" w:lineRule="exact"/>
        <w:rPr>
          <w:sz w:val="20"/>
          <w:szCs w:val="20"/>
          <w:color w:val="auto"/>
        </w:rPr>
      </w:pPr>
    </w:p>
    <w:p>
      <w:pPr>
        <w:ind w:left="820" w:right="20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53" w:lineRule="exact"/>
        <w:rPr>
          <w:rFonts w:ascii="Times New Roman" w:cs="Times New Roman" w:eastAsia="Times New Roman" w:hAnsi="Times New Roman"/>
          <w:sz w:val="18"/>
          <w:szCs w:val="18"/>
          <w:color w:val="auto"/>
        </w:rPr>
      </w:pPr>
    </w:p>
    <w:p>
      <w:pPr>
        <w:ind w:left="820" w:right="8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macroeconomic events in 2024;</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17" w:lineRule="exact"/>
        <w:rPr>
          <w:rFonts w:ascii="Times New Roman" w:cs="Times New Roman" w:eastAsia="Times New Roman" w:hAnsi="Times New Roman"/>
          <w:sz w:val="18"/>
          <w:szCs w:val="18"/>
          <w:color w:val="auto"/>
        </w:rPr>
      </w:pPr>
    </w:p>
    <w:p>
      <w:pPr>
        <w:ind w:left="820" w:right="1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117" w:lineRule="exact"/>
        <w:rPr>
          <w:rFonts w:ascii="Times New Roman" w:cs="Times New Roman" w:eastAsia="Times New Roman" w:hAnsi="Times New Roman"/>
          <w:sz w:val="18"/>
          <w:szCs w:val="18"/>
          <w:color w:val="auto"/>
        </w:rPr>
      </w:pPr>
    </w:p>
    <w:p>
      <w:pPr>
        <w:ind w:left="820" w:right="54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pandemic, epidemic, or other outbreak of disease may in the future have on our business, results of operations and financial condition, as well as the businesses of our suppliers and customers;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17"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leased facilities;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the “Risk Factor Summary” below and under Part I, Item 1A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89" w:lineRule="exact"/>
        <w:rPr>
          <w:sz w:val="20"/>
          <w:szCs w:val="20"/>
          <w:color w:val="auto"/>
        </w:rPr>
      </w:pPr>
    </w:p>
    <w:p>
      <w:pPr>
        <w:ind w:right="120" w:firstLine="81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83"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200" w:firstLine="81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Part 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68"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820" w:right="40" w:hanging="488"/>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1" w:lineRule="exact"/>
        <w:rPr>
          <w:rFonts w:ascii="Times New Roman" w:cs="Times New Roman" w:eastAsia="Times New Roman" w:hAnsi="Times New Roman"/>
          <w:sz w:val="18"/>
          <w:szCs w:val="18"/>
          <w:color w:val="auto"/>
        </w:rPr>
      </w:pPr>
    </w:p>
    <w:p>
      <w:pPr>
        <w:ind w:left="820" w:right="1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3" w:lineRule="exact"/>
        <w:rPr>
          <w:rFonts w:ascii="Times New Roman" w:cs="Times New Roman" w:eastAsia="Times New Roman" w:hAnsi="Times New Roman"/>
          <w:sz w:val="18"/>
          <w:szCs w:val="18"/>
          <w:color w:val="auto"/>
        </w:rPr>
      </w:pPr>
    </w:p>
    <w:p>
      <w:pPr>
        <w:ind w:left="820" w:right="80" w:hanging="488"/>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including the emergence of new variants of COVID-19, on our business as well as our suppliers and customers, and product warranty claims. This in turn could cause our stock price to decline;</w:t>
      </w:r>
    </w:p>
    <w:p>
      <w:pPr>
        <w:spacing w:after="0" w:line="75" w:lineRule="exact"/>
        <w:rPr>
          <w:rFonts w:ascii="Times New Roman" w:cs="Times New Roman" w:eastAsia="Times New Roman" w:hAnsi="Times New Roman"/>
          <w:sz w:val="18"/>
          <w:szCs w:val="18"/>
          <w:color w:val="auto"/>
        </w:rPr>
      </w:pPr>
    </w:p>
    <w:p>
      <w:pPr>
        <w:jc w:val="both"/>
        <w:ind w:left="820" w:right="140" w:hanging="488"/>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71" w:lineRule="exact"/>
        <w:rPr>
          <w:rFonts w:ascii="Times New Roman" w:cs="Times New Roman" w:eastAsia="Times New Roman" w:hAnsi="Times New Roman"/>
          <w:sz w:val="18"/>
          <w:szCs w:val="18"/>
          <w:color w:val="auto"/>
        </w:rPr>
      </w:pPr>
    </w:p>
    <w:p>
      <w:pPr>
        <w:ind w:left="820" w:right="70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22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53" w:lineRule="exact"/>
        <w:rPr>
          <w:rFonts w:ascii="Times New Roman" w:cs="Times New Roman" w:eastAsia="Times New Roman" w:hAnsi="Times New Roman"/>
          <w:sz w:val="18"/>
          <w:szCs w:val="18"/>
          <w:color w:val="auto"/>
        </w:rPr>
      </w:pPr>
    </w:p>
    <w:p>
      <w:pPr>
        <w:ind w:left="820" w:right="34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17" w:lineRule="exact"/>
        <w:rPr>
          <w:rFonts w:ascii="Times New Roman" w:cs="Times New Roman" w:eastAsia="Times New Roman" w:hAnsi="Times New Roman"/>
          <w:sz w:val="18"/>
          <w:szCs w:val="18"/>
          <w:color w:val="auto"/>
        </w:rPr>
      </w:pPr>
    </w:p>
    <w:p>
      <w:pPr>
        <w:ind w:left="820" w:right="54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margins may fluctuate due to a variety of factors, which could negatively impact our results of operations and our financial condition;</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in previous periods may not be indicative of future performance and our revenue may fluctuate over time;</w:t>
      </w:r>
    </w:p>
    <w:p>
      <w:pPr>
        <w:spacing w:after="0" w:line="117" w:lineRule="exact"/>
        <w:rPr>
          <w:rFonts w:ascii="Times New Roman" w:cs="Times New Roman" w:eastAsia="Times New Roman" w:hAnsi="Times New Roman"/>
          <w:sz w:val="18"/>
          <w:szCs w:val="18"/>
          <w:color w:val="auto"/>
        </w:rPr>
      </w:pPr>
    </w:p>
    <w:p>
      <w:pPr>
        <w:jc w:val="both"/>
        <w:ind w:left="820" w:right="28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67" w:lineRule="exact"/>
        <w:rPr>
          <w:rFonts w:ascii="Times New Roman" w:cs="Times New Roman" w:eastAsia="Times New Roman" w:hAnsi="Times New Roman"/>
          <w:sz w:val="18"/>
          <w:szCs w:val="18"/>
          <w:color w:val="auto"/>
        </w:rPr>
      </w:pPr>
    </w:p>
    <w:p>
      <w:pPr>
        <w:ind w:left="820" w:right="28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28" w:lineRule="exact"/>
        <w:rPr>
          <w:rFonts w:ascii="Times New Roman" w:cs="Times New Roman" w:eastAsia="Times New Roman" w:hAnsi="Times New Roman"/>
          <w:sz w:val="17"/>
          <w:szCs w:val="17"/>
          <w:color w:val="auto"/>
        </w:rPr>
      </w:pPr>
    </w:p>
    <w:p>
      <w:pPr>
        <w:ind w:left="820" w:right="18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acquisitions in the future that could disrupt our business, cause dilution to our stockholders, reduce our financial resources, and harm our business;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or be required to seek debt financing;</w:t>
      </w:r>
    </w:p>
    <w:p>
      <w:pPr>
        <w:spacing w:after="0" w:line="117"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significant tariffs or other trade restrictions are placed on our products or third-party suppliers, our revenue and results of operations may be materially harmed;</w:t>
      </w:r>
    </w:p>
    <w:p>
      <w:pPr>
        <w:spacing w:after="0" w:line="53" w:lineRule="exact"/>
        <w:rPr>
          <w:rFonts w:ascii="Times New Roman" w:cs="Times New Roman" w:eastAsia="Times New Roman" w:hAnsi="Times New Roman"/>
          <w:sz w:val="18"/>
          <w:szCs w:val="18"/>
          <w:color w:val="auto"/>
        </w:rPr>
      </w:pPr>
    </w:p>
    <w:p>
      <w:pPr>
        <w:ind w:left="820" w:right="58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53"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53" w:lineRule="exact"/>
        <w:rPr>
          <w:rFonts w:ascii="Times New Roman" w:cs="Times New Roman" w:eastAsia="Times New Roman" w:hAnsi="Times New Roman"/>
          <w:sz w:val="18"/>
          <w:szCs w:val="18"/>
          <w:color w:val="auto"/>
        </w:rPr>
      </w:pPr>
    </w:p>
    <w:p>
      <w:pPr>
        <w:ind w:left="820" w:right="340" w:hanging="488"/>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53" w:lineRule="exact"/>
        <w:rPr>
          <w:rFonts w:ascii="Times New Roman" w:cs="Times New Roman" w:eastAsia="Times New Roman" w:hAnsi="Times New Roman"/>
          <w:sz w:val="18"/>
          <w:szCs w:val="18"/>
          <w:color w:val="auto"/>
        </w:rPr>
      </w:pPr>
    </w:p>
    <w:p>
      <w:pPr>
        <w:ind w:left="820" w:right="6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67" w:lineRule="exact"/>
        <w:rPr>
          <w:rFonts w:ascii="Times New Roman" w:cs="Times New Roman" w:eastAsia="Times New Roman" w:hAnsi="Times New Roman"/>
          <w:sz w:val="18"/>
          <w:szCs w:val="18"/>
          <w:color w:val="auto"/>
        </w:rPr>
      </w:pPr>
    </w:p>
    <w:p>
      <w:pPr>
        <w:jc w:val="both"/>
        <w:ind w:left="820" w:right="36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67" w:lineRule="exact"/>
        <w:rPr>
          <w:rFonts w:ascii="Times New Roman" w:cs="Times New Roman" w:eastAsia="Times New Roman" w:hAnsi="Times New Roman"/>
          <w:sz w:val="18"/>
          <w:szCs w:val="18"/>
          <w:color w:val="auto"/>
        </w:rPr>
      </w:pPr>
    </w:p>
    <w:p>
      <w:pPr>
        <w:ind w:left="820" w:right="14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6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488"/>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humankind’s greatest inventions and technological advances. Timing technology has continued to evolve over centuries, forming a critical aspect of broader technological evolution. Timing is the heartbeat of digital electronic systems, ensuring that the system runs smoothly and reliably by providing and distributing clock signals to various critical components such as central processing units, communication and interface ICs, and radio frequency components. As electronics evolve to deliver higher performance levels,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power, size, and cost that is required by these new applications.</w:t>
      </w:r>
    </w:p>
    <w:p>
      <w:pPr>
        <w:spacing w:after="0" w:line="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w:t>
      </w:r>
    </w:p>
    <w:p>
      <w:pPr>
        <w:spacing w:after="0" w:line="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all-silicon solutions are based on three fundamental areas of expertise: micro-electro-mechanical systems (“MEMS”), analog mixed-signal design capabilities, and advanced system-level integration expertise. These areas of expertise enable us to design silicon MEMS resonators, analog circuits, as well as systems and packaging, and put these all together to deliver a system-level solution that solves customers’ complex timing problems. In this aspect, we are different than quartz-based providers, who typically have expertise in designing and manufacturing resonator components, but usually outsource the analog and packaging. We also have a deep understanding of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suppliers use quartz crystal material. 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Precision Timing solutions are designed to be resilient to harsh environmental stressors. For the communications, datacenter and enterprise market, our products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datacenters.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timing solutions have the advantage of offering high performance at optimal power consumption and size, as our customers fit more functionality into smaller devices.</w:t>
      </w:r>
    </w:p>
    <w:p>
      <w:pPr>
        <w:spacing w:after="0" w:line="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total timing market is approximately $10 billion in size. Since our founding, we have focused on transforming this market with compelling solutions that solve difficult timing problems. Historically, our revenue has been substantially delivered from sales of oscillator systems across our target end markets. Since our IPO in 2019, we’ve grown from 60 to 150 unique products and the price of our highest-value oscillator has grown manyfold. In addition to oscillators, we have expanded our product portfolio to include clock IC and timing synchronization solutions.</w:t>
      </w:r>
    </w:p>
    <w:p>
      <w:pPr>
        <w:spacing w:after="0" w:line="7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December 2023, we closed the acquisition of certain assets and the exclusive license to certain intellectual property from Aura Semiconductor Pvt. Ltd. and certain of its affiliated entities (together, "Aura") relating to Aura's timing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business and clock products. With this acquisition, we bring our expertise to the category of clocks, adding 20 best-in-class clocks at the close of the acquisition, and approximately an additional 20 products, starting at the second half of 2024 and through 2025.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 resilient to environmental stressors with better reliability. SiTime is now a key provider of all differentiated products in timing – oscillators, clocks, and resonators combined with depth in engineering expertise in Precision Timing solutions.</w:t>
      </w:r>
    </w:p>
    <w:p>
      <w:pPr>
        <w:spacing w:after="0" w:line="7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sell our products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distributors or by shopping on our online store, SiTimeDirect™.</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This model also allows us to operate with lower capital expenditure investment than other semiconductor companies that own fabs.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Building Blocks of Timing Solutions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Timing solutions are comprised of three key product types: resonators, oscillators, and clock ICs.</w:t>
      </w:r>
    </w:p>
    <w:p>
      <w:pPr>
        <w:spacing w:after="0" w:line="117" w:lineRule="exact"/>
        <w:rPr>
          <w:sz w:val="20"/>
          <w:szCs w:val="20"/>
          <w:color w:val="auto"/>
        </w:rPr>
      </w:pPr>
    </w:p>
    <w:p>
      <w:pPr>
        <w:ind w:left="980" w:right="4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Resonators are mechanical structures that vibrate at a precise frequency and provide the core accuracy and stability in oscillator systems. We create resonators in silicon using MEMS semiconductor technology, which is different than the quartz industry where the resonators are made from quartz crystals and are generally manufactured in non-semiconductor technologies.</w:t>
      </w:r>
    </w:p>
    <w:p>
      <w:pPr>
        <w:spacing w:after="0" w:line="67"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Oscillators are active systems that combine resonators with analog mixed-signal ICs that cause the resonators to vibrate, generating accurate and stable clock signals. Each oscillator generally delivers a single clock signal.</w:t>
      </w:r>
    </w:p>
    <w:p>
      <w:pPr>
        <w:spacing w:after="0" w:line="53" w:lineRule="exact"/>
        <w:rPr>
          <w:rFonts w:ascii="Times New Roman" w:cs="Times New Roman" w:eastAsia="Times New Roman" w:hAnsi="Times New Roman"/>
          <w:sz w:val="18"/>
          <w:szCs w:val="18"/>
          <w:color w:val="auto"/>
        </w:rPr>
      </w:pPr>
    </w:p>
    <w:p>
      <w:pPr>
        <w:ind w:left="980" w:right="500" w:hanging="486"/>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Clock ICs are integrated analog mixed-signal circuits that deliver multiple clock signals by using building blocks such as PLLs, clock dividers, and drivers. Clock ICs require resonators and oscillators for timing references and usually integrate these blocks into complex systems.</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an electronic system, these three product types may be used individually or in combination, depending on the end product’s performance, price, and size requirements. Simpler electronic systems generally require a standalone resonator coupled with a basic oscillator circuit that is embedded in a semiconductor device such as a microprocessor, system on a chip ("SoC"), or application specific integrated circuit ("ASIC"). In this type of system, multiple resonators may be used for different functionality. More complex electronic systems require advanced timing solutions that may integrate a variety of oscillators, clock ICs, and resonators. The complexity of these timing solutions increases significantly when the performance requirements of the systems that use them increase, such as electronic systems required to support the 5G communication network infrastructure.</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Quartz-based Solutions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Quartz crystal has been the predominant technology of choice for resonators for over half a century and will continue to play a role in the timing market. In a quartz oscillator, a quartz crystal resonator is paired with a silicon-based clock IC in a ceramic package. However, quartz timing devices, largely unchanged in decades, have many inherent limitations, including limited frequency ranges, sensitivity to rapid temperature changes, vulnerability to vibration and mechanical shock, susceptibility to frequency jumps at specific temperatures, and limited programmability. Quartz devices must be housed in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oscillators, clock ICs, and resonators in various system-level combinations. This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seamless integration is more difficult with legacy quartz systems. These limitations impact the precision and quality of the timing signal in harsh conditions.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Precision MEMS Timing Solutions Poised to Disrupt the Market</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recent years, advances in silicon-based manufacturing and packaging techniques have allowed the development of alternatives to quartz crystal technology. We believe that MEMS is an ideal technology for resonator design. Specifically, its ability to integrate with other circuits in standard semiconductor packages has made scalable standard manufacturing possible for resonators and broader timing technology. MEMS timing products can operate in a wide range of frequencies, are more resistant to vibration, mechanical shock, and temperature changes, and are less susceptible to frequency jumps. MEMS technology is also inherently well-suited to produce timing solutions that are small, and offer high performance, resilience and programmability. Timing solutions based on MEMS technology are manufactured using semiconductor processes in fabrication plants with high capacity, allowing for cost-effective high-volume manufacturing.</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Market Opportunity for Precision Timing Solutions</w:t>
      </w:r>
    </w:p>
    <w:p>
      <w:pPr>
        <w:spacing w:after="0" w:line="12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According to Dedalus Consulting - 2019 Frequency Control Components Global Markets, End-Users, Applications &amp; Competitors: Analysis &amp; Forecasts and our estimates, the global timing market is expected to grow to $10.1 billion by 2024. Dedalus Consulting estimates that oscillators and standalone resonators will represent approximately $5.0 billion and $4.0 billion total addressable markets, respectively, in 2024. Based on our internal estimates, we believe clock ICs represent an approximate $1.0 billion total addressable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Advanced Solutions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From high-performance network infrastructure equipment to low-power battery-operated devices, Precision Timing solutions enable virtually all electronics.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Datacenter, and Enterprise</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Communications infrastructure equipment used in wireless base stations, wired infrastructure equipment, enterprise networks, cloud data centers, and artificial intelligence infrastructure must provide high performance and stability in demanding environments, which may include temperature fluctuations, mechanical shocks, and vibration. If the timing solution within the equipment fails, networks can shut down, leading to service disruptions and higher operating costs.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Automotive, Industrial, and Aerospace</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automotive applications, timing technology must perform reliably over the life of an automobile in an environment characterized by vibration, mechanical shocks, electromagnetic interference, wide and rapid temperature change. The AECC (Automotive Edge Computing Consortium) estimated in 2020 that “data traffic from connected vehicles will exceed 1,000 times the present volume, surpassing 10 exabytes per month by 2025.” These communication systems will require highly-reliable Precision Timing. We believe Precision Timing can address many of the challenges associated with this demanding automotive ecosystem.</w:t>
      </w:r>
    </w:p>
    <w:p>
      <w:pPr>
        <w:spacing w:after="0" w:line="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Industrial equipment, ranging from factory machinery to diagnostic equipment, is often exposed to environments characterized by temperature fluctuation, mechanical shocks, vibration, and electromagnetic interference. We believe our Precision Timing solutions can perform better than legacy quartz-based solutions in demanding industrial environments and with lower power consumption and higher reliability. In addition, with the highly diverse nature of industrial applications and the need for unique operating frequencies, we believe the programmable architecture of our Precision Timing products provides an advantage.</w:t>
      </w:r>
    </w:p>
    <w:p>
      <w:pPr>
        <w:spacing w:after="0" w:line="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Timing devices used in aerospace and defense applications such as rockets and satellites need to withstand extreme vibration forces and temperature gradients during operation. Quartz-based solutions can be impacted by vibrating forces acting on the whole system. Precision Timing devices are well-suited for these applications, as they provide up to 50 times better acceleration sensitivity under vibration than comparable quartz-based solutions.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Mobile, IoT and Consumer</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growing reliance on mobile devices and the IoT revolution has enabled the proliferation of billions of internet-connected devices in industrial and consumer applications. These devices range from smartphones and personal wearable devices to electronics 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 MEMS timing solutions are well-suited to optimize footprint, reliability, and power consumption of the overall system within mobile, IoT and consumer devices.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Technology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Precision Timing solutions comprise of:</w:t>
      </w:r>
    </w:p>
    <w:p>
      <w:pPr>
        <w:spacing w:after="0" w:line="113" w:lineRule="exact"/>
        <w:rPr>
          <w:sz w:val="20"/>
          <w:szCs w:val="20"/>
          <w:color w:val="auto"/>
        </w:rPr>
      </w:pPr>
    </w:p>
    <w:p>
      <w:pPr>
        <w:ind w:left="980" w:right="120" w:hanging="486"/>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Oscillators and Clock ICs</w:t>
      </w:r>
      <w:r>
        <w:rPr>
          <w:rFonts w:ascii="Times New Roman" w:cs="Times New Roman" w:eastAsia="Times New Roman" w:hAnsi="Times New Roman"/>
          <w:sz w:val="18"/>
          <w:szCs w:val="18"/>
          <w:color w:val="auto"/>
        </w:rPr>
        <w:t>: We have a dedicated analog and mixed-signal engineering team focused on the most complex challenges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oscillators, such as OCXOs, XOs, VCXOs, TCXOs, and DCXOs, and clock ICs, such as network synchronizers, jitter cleaners, clock generators, and buffers.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microkelvin-resolution sensing technologies stabilize our Precision Timing solutions despite rapid temperature changes. We also offer what we consider to be leading solutions across a range of attributes, including Allan deviation, power supply noise rejection, temperature-sensing resolution, and integrated phase jitter.</w:t>
      </w:r>
    </w:p>
    <w:p>
      <w:pPr>
        <w:spacing w:after="0" w:line="74" w:lineRule="exact"/>
        <w:rPr>
          <w:rFonts w:ascii="Times New Roman" w:cs="Times New Roman" w:eastAsia="Times New Roman" w:hAnsi="Times New Roman"/>
          <w:sz w:val="18"/>
          <w:szCs w:val="18"/>
          <w:color w:val="auto"/>
        </w:rPr>
      </w:pPr>
    </w:p>
    <w:p>
      <w:pPr>
        <w:ind w:left="980" w:right="40" w:hanging="486"/>
        <w:spacing w:after="0" w:line="259"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MEMS resonators</w:t>
      </w:r>
      <w:r>
        <w:rPr>
          <w:rFonts w:ascii="Times New Roman" w:cs="Times New Roman" w:eastAsia="Times New Roman" w:hAnsi="Times New Roman"/>
          <w:sz w:val="18"/>
          <w:szCs w:val="18"/>
          <w:color w:val="auto"/>
        </w:rPr>
        <w:t>: We pioneered the silicon MEMS timing industry with the MEMS First®, EpiSeal®, and TempFlat® processes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These manufacturing processes have allowed the hermetically-sealed resonator die to be housed in industry-standard, low-cost plastic packages. These processes and technologies improve resonator stability, increase quality and reliability, and decrease aging effects. We believe our MEMS resonators are easy to integrate into silicon-based oscillators and clock ICs, and allow us to develop tightly-integrated Precision Timing solutions.</w:t>
      </w:r>
    </w:p>
    <w:p>
      <w:pPr>
        <w:spacing w:after="0" w:line="71" w:lineRule="exact"/>
        <w:rPr>
          <w:rFonts w:ascii="Times New Roman" w:cs="Times New Roman" w:eastAsia="Times New Roman" w:hAnsi="Times New Roman"/>
          <w:sz w:val="18"/>
          <w:szCs w:val="18"/>
          <w:color w:val="auto"/>
        </w:rPr>
      </w:pPr>
    </w:p>
    <w:p>
      <w:pPr>
        <w:ind w:left="980" w:right="180" w:hanging="486"/>
        <w:spacing w:after="0" w:line="262"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Advanced system-level integration</w:t>
      </w:r>
      <w:r>
        <w:rPr>
          <w:rFonts w:ascii="Times New Roman" w:cs="Times New Roman" w:eastAsia="Times New Roman" w:hAnsi="Times New Roman"/>
          <w:sz w:val="18"/>
          <w:szCs w:val="18"/>
          <w:color w:val="auto"/>
        </w:rPr>
        <w:t>: We have extensive know-how in integrating various timing components into elegant system-level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Our ability to integrate MEMS-based resonators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flexible and programmable Precision Timing solutions offer the following benefits:</w:t>
      </w:r>
    </w:p>
    <w:p>
      <w:pPr>
        <w:spacing w:after="0" w:line="113" w:lineRule="exact"/>
        <w:rPr>
          <w:sz w:val="20"/>
          <w:szCs w:val="20"/>
          <w:color w:val="auto"/>
        </w:rPr>
      </w:pPr>
    </w:p>
    <w:p>
      <w:pPr>
        <w:ind w:left="980" w:right="380" w:hanging="486"/>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performance</w:t>
      </w:r>
      <w:r>
        <w:rPr>
          <w:rFonts w:ascii="Times New Roman" w:cs="Times New Roman" w:eastAsia="Times New Roman" w:hAnsi="Times New Roman"/>
          <w:sz w:val="18"/>
          <w:szCs w:val="18"/>
          <w:color w:val="auto"/>
        </w:rPr>
        <w:t>: Our portfolio of MEMS-based Precision Timing products allows us to provide our customers with high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a wide range of attributes including stability over temperature, vibration, phase jitter, and other metrics.</w:t>
      </w:r>
    </w:p>
    <w:p>
      <w:pPr>
        <w:spacing w:after="0" w:line="46" w:lineRule="exact"/>
        <w:rPr>
          <w:rFonts w:ascii="Times New Roman" w:cs="Times New Roman" w:eastAsia="Times New Roman" w:hAnsi="Times New Roman"/>
          <w:sz w:val="18"/>
          <w:szCs w:val="18"/>
          <w:color w:val="auto"/>
        </w:rPr>
      </w:pPr>
    </w:p>
    <w:p>
      <w:pPr>
        <w:ind w:left="980" w:right="180" w:hanging="486"/>
        <w:spacing w:after="0" w:line="26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Small size</w:t>
      </w:r>
      <w:r>
        <w:rPr>
          <w:rFonts w:ascii="Times New Roman" w:cs="Times New Roman" w:eastAsia="Times New Roman" w:hAnsi="Times New Roman"/>
          <w:sz w:val="18"/>
          <w:szCs w:val="18"/>
          <w:color w:val="auto"/>
        </w:rPr>
        <w:t>: Our solutions have a small footprint and package size, optimizing the end customer’s board area. Additionally, many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have added integrated functions such as on-chip regulators and load capacitors which reduce the need for external components and decrease the overall system size.</w:t>
      </w:r>
    </w:p>
    <w:p>
      <w:pPr>
        <w:spacing w:after="0" w:line="62" w:lineRule="exact"/>
        <w:rPr>
          <w:rFonts w:ascii="Times New Roman" w:cs="Times New Roman" w:eastAsia="Times New Roman" w:hAnsi="Times New Roman"/>
          <w:sz w:val="18"/>
          <w:szCs w:val="18"/>
          <w:color w:val="auto"/>
        </w:rPr>
      </w:pPr>
    </w:p>
    <w:p>
      <w:pPr>
        <w:ind w:left="980" w:right="40" w:hanging="486"/>
        <w:spacing w:after="0" w:line="28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power</w:t>
      </w:r>
      <w:r>
        <w:rPr>
          <w:rFonts w:ascii="Times New Roman" w:cs="Times New Roman" w:eastAsia="Times New Roman" w:hAnsi="Times New Roman"/>
          <w:sz w:val="18"/>
          <w:szCs w:val="18"/>
          <w:color w:val="auto"/>
        </w:rPr>
        <w:t>: Our solutions operate at low power levels and have differentiated power-saving features such as NanoDrive™ and FlexSwing™,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them well-suited for mobile, IoT and other power-sensitive applications.</w:t>
      </w:r>
    </w:p>
    <w:p>
      <w:pPr>
        <w:spacing w:after="0" w:line="46" w:lineRule="exact"/>
        <w:rPr>
          <w:rFonts w:ascii="Times New Roman" w:cs="Times New Roman" w:eastAsia="Times New Roman" w:hAnsi="Times New Roman"/>
          <w:sz w:val="18"/>
          <w:szCs w:val="18"/>
          <w:color w:val="auto"/>
        </w:rPr>
      </w:pPr>
    </w:p>
    <w:p>
      <w:pPr>
        <w:ind w:left="980" w:hanging="486"/>
        <w:spacing w:after="0" w:line="26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Programmability</w:t>
      </w:r>
      <w:r>
        <w:rPr>
          <w:rFonts w:ascii="Times New Roman" w:cs="Times New Roman" w:eastAsia="Times New Roman" w:hAnsi="Times New Roman"/>
          <w:sz w:val="18"/>
          <w:szCs w:val="18"/>
          <w:color w:val="auto"/>
        </w:rPr>
        <w:t>: Our devices are configurable across a wide range of parameters, including frequency, stability metrics, voltage parameters,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temperature ranges, among others. This provides design flexibility for the customer, and enabling us to produce a vast number of custom timing products on demand with short lead times.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right="420" w:hanging="486"/>
        <w:spacing w:after="0" w:line="26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quality and reliability</w:t>
      </w:r>
      <w:r>
        <w:rPr>
          <w:rFonts w:ascii="Times New Roman" w:cs="Times New Roman" w:eastAsia="Times New Roman" w:hAnsi="Times New Roman"/>
          <w:sz w:val="18"/>
          <w:szCs w:val="18"/>
          <w:color w:val="auto"/>
        </w:rPr>
        <w:t>: The combination of our materials, design, and manufacturing processes enables us to produce high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with long-term reliability. Our solutions offer low sensitivity to electromagnetic energy, mechanical shock, vibration, airflow, temperature gradients and power supply noise.</w:t>
      </w:r>
    </w:p>
    <w:p>
      <w:pPr>
        <w:spacing w:after="0" w:line="62" w:lineRule="exact"/>
        <w:rPr>
          <w:rFonts w:ascii="Times New Roman" w:cs="Times New Roman" w:eastAsia="Times New Roman" w:hAnsi="Times New Roman"/>
          <w:sz w:val="18"/>
          <w:szCs w:val="18"/>
          <w:color w:val="auto"/>
        </w:rPr>
      </w:pPr>
    </w:p>
    <w:p>
      <w:pPr>
        <w:ind w:left="980" w:right="20" w:hanging="486"/>
        <w:spacing w:after="0" w:line="26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Flexible integration</w:t>
      </w:r>
      <w:r>
        <w:rPr>
          <w:rFonts w:ascii="Times New Roman" w:cs="Times New Roman" w:eastAsia="Times New Roman" w:hAnsi="Times New Roman"/>
          <w:sz w:val="18"/>
          <w:szCs w:val="18"/>
          <w:color w:val="auto"/>
        </w:rPr>
        <w:t>: Our MEMS resonators and clock ICs allow a wide range of packaging and integration methodologies to support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levels of size, cost, and electrical, thermal, and mechanical performance. We are one of the first companies to introduce a clock system-on-a-chip with an embedded MEMS resonator, which solves significant board and system level problems. We believe that we have an advantage in delivering such integrated clocking solutions because the expertise related to these high-performance technologies resides in house.</w:t>
      </w:r>
    </w:p>
    <w:p>
      <w:pPr>
        <w:spacing w:after="0" w:line="68" w:lineRule="exact"/>
        <w:rPr>
          <w:rFonts w:ascii="Times New Roman" w:cs="Times New Roman" w:eastAsia="Times New Roman" w:hAnsi="Times New Roman"/>
          <w:sz w:val="18"/>
          <w:szCs w:val="18"/>
          <w:color w:val="auto"/>
        </w:rPr>
      </w:pPr>
    </w:p>
    <w:p>
      <w:pPr>
        <w:ind w:left="980" w:right="80" w:hanging="486"/>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Leveraged product development</w:t>
      </w:r>
      <w:r>
        <w:rPr>
          <w:rFonts w:ascii="Times New Roman" w:cs="Times New Roman" w:eastAsia="Times New Roman" w:hAnsi="Times New Roman"/>
          <w:sz w:val="18"/>
          <w:szCs w:val="18"/>
          <w:color w:val="auto"/>
        </w:rPr>
        <w:t>: Our solutions employ different combinations of MEMS and circuit components, enabling us to generate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vast number of custom part numbers, including over 40,000 unique part numbers shipped as of December 31, 2023.</w:t>
      </w:r>
    </w:p>
    <w:p>
      <w:pPr>
        <w:spacing w:after="0" w:line="46" w:lineRule="exact"/>
        <w:rPr>
          <w:rFonts w:ascii="Times New Roman" w:cs="Times New Roman" w:eastAsia="Times New Roman" w:hAnsi="Times New Roman"/>
          <w:sz w:val="18"/>
          <w:szCs w:val="18"/>
          <w:color w:val="auto"/>
        </w:rPr>
      </w:pPr>
    </w:p>
    <w:p>
      <w:pPr>
        <w:ind w:left="980" w:right="440" w:hanging="486"/>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 time to market</w:t>
      </w:r>
      <w:r>
        <w:rPr>
          <w:rFonts w:ascii="Times New Roman" w:cs="Times New Roman" w:eastAsia="Times New Roman" w:hAnsi="Times New Roman"/>
          <w:sz w:val="18"/>
          <w:szCs w:val="18"/>
          <w:color w:val="auto"/>
        </w:rPr>
        <w:t>: Our solutions can typically be delivered within weeks of initial customer order and configuration, enabling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 our end customers’ time to market.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objective is to be the leading provider of Precision Timing solutions for advanced and complex electronics applications. Our solutions not only displace existing products by providing improved performance across a range of operational attributes, but also enable next-generation electronic applications by providing high performance at affordable price points. Key elements of our strategy include:</w:t>
      </w:r>
    </w:p>
    <w:p>
      <w:pPr>
        <w:spacing w:after="0" w:line="64" w:lineRule="exact"/>
        <w:rPr>
          <w:sz w:val="20"/>
          <w:szCs w:val="20"/>
          <w:color w:val="auto"/>
        </w:rPr>
      </w:pPr>
    </w:p>
    <w:p>
      <w:pPr>
        <w:ind w:left="980" w:hanging="486"/>
        <w:spacing w:after="0" w:line="25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Extend our leadership in Precision Timing</w:t>
      </w:r>
      <w:r>
        <w:rPr>
          <w:rFonts w:ascii="Times New Roman" w:cs="Times New Roman" w:eastAsia="Times New Roman" w:hAnsi="Times New Roman"/>
          <w:sz w:val="18"/>
          <w:szCs w:val="18"/>
          <w:color w:val="auto"/>
        </w:rPr>
        <w:t>. SiTime pioneered the Precision Timing category, and we intend to continue driving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timing market and working with our ecosystem partners to help set the timing standards of the future. Through this and other efforts, we expect to enable customers to create reference architectures and purchase complete solutions. Our knowledge of the end systems architecture, its future trajectory, and the clock tree are important for developing better Precision Timing products, as well as helping customers get the best system performance and reliability. We plan to improve the performance of our current solution suite across a variety of key metrics, including size, power, frequency stability, phase noise, and signal quality, while adding new functionality.</w:t>
      </w:r>
    </w:p>
    <w:p>
      <w:pPr>
        <w:spacing w:after="0" w:line="74" w:lineRule="exact"/>
        <w:rPr>
          <w:rFonts w:ascii="Times New Roman" w:cs="Times New Roman" w:eastAsia="Times New Roman" w:hAnsi="Times New Roman"/>
          <w:sz w:val="18"/>
          <w:szCs w:val="18"/>
          <w:color w:val="auto"/>
        </w:rPr>
      </w:pPr>
    </w:p>
    <w:p>
      <w:pPr>
        <w:jc w:val="both"/>
        <w:ind w:left="980" w:right="400" w:hanging="486"/>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Educate and promote the benefits of silicon technology</w:t>
      </w:r>
      <w:r>
        <w:rPr>
          <w:rFonts w:ascii="Times New Roman" w:cs="Times New Roman" w:eastAsia="Times New Roman" w:hAnsi="Times New Roman"/>
          <w:sz w:val="18"/>
          <w:szCs w:val="18"/>
          <w:color w:val="auto"/>
        </w:rPr>
        <w:t>. We intend to continue to educate current and prospective customers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benefits of our Precision Timing solutions relative to their existing and future products. Our </w:t>
      </w:r>
      <w:r>
        <w:rPr>
          <w:rFonts w:ascii="Times New Roman" w:cs="Times New Roman" w:eastAsia="Times New Roman" w:hAnsi="Times New Roman"/>
          <w:sz w:val="18"/>
          <w:szCs w:val="18"/>
          <w:i w:val="1"/>
          <w:iCs w:val="1"/>
          <w:color w:val="auto"/>
        </w:rPr>
        <w:t>Timing Essentials Learning Hub</w:t>
      </w:r>
      <w:r>
        <w:rPr>
          <w:rFonts w:ascii="Times New Roman" w:cs="Times New Roman" w:eastAsia="Times New Roman" w:hAnsi="Times New Roman"/>
          <w:sz w:val="18"/>
          <w:szCs w:val="18"/>
          <w:color w:val="auto"/>
        </w:rPr>
        <w:t xml:space="preserve"> is an online educational platform established to share our knowledge, though-leadership, and technology leadership.</w:t>
      </w:r>
    </w:p>
    <w:p>
      <w:pPr>
        <w:spacing w:after="0" w:line="62" w:lineRule="exact"/>
        <w:rPr>
          <w:rFonts w:ascii="Times New Roman" w:cs="Times New Roman" w:eastAsia="Times New Roman" w:hAnsi="Times New Roman"/>
          <w:sz w:val="18"/>
          <w:szCs w:val="18"/>
          <w:color w:val="auto"/>
        </w:rPr>
      </w:pPr>
    </w:p>
    <w:p>
      <w:pPr>
        <w:ind w:left="980" w:right="20" w:hanging="486"/>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promote new and emerging applications for our technologies</w:t>
      </w:r>
      <w:r>
        <w:rPr>
          <w:rFonts w:ascii="Times New Roman" w:cs="Times New Roman" w:eastAsia="Times New Roman" w:hAnsi="Times New Roman"/>
          <w:sz w:val="18"/>
          <w:szCs w:val="18"/>
          <w:color w:val="auto"/>
        </w:rPr>
        <w:t>. We intend to continue to collaborate with our end customers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timing challenges related to their product roadmaps and to support new applications that would not be possible without SiTime's unique timing technology.</w:t>
      </w:r>
    </w:p>
    <w:p>
      <w:pPr>
        <w:spacing w:after="0" w:line="62" w:lineRule="exact"/>
        <w:rPr>
          <w:rFonts w:ascii="Times New Roman" w:cs="Times New Roman" w:eastAsia="Times New Roman" w:hAnsi="Times New Roman"/>
          <w:sz w:val="18"/>
          <w:szCs w:val="18"/>
          <w:color w:val="auto"/>
        </w:rPr>
      </w:pPr>
    </w:p>
    <w:p>
      <w:pPr>
        <w:ind w:left="980" w:right="140" w:hanging="486"/>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Enable future technology innovation</w:t>
      </w:r>
      <w:r>
        <w:rPr>
          <w:rFonts w:ascii="Times New Roman" w:cs="Times New Roman" w:eastAsia="Times New Roman" w:hAnsi="Times New Roman"/>
          <w:sz w:val="18"/>
          <w:szCs w:val="18"/>
          <w:color w:val="auto"/>
        </w:rPr>
        <w:t>. We plan to continue to apply our MEMS, analog and mixed-signal, and systems expertise,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with leading technology companies to develop innovative products.</w:t>
      </w:r>
    </w:p>
    <w:p>
      <w:pPr>
        <w:spacing w:after="0" w:line="46" w:lineRule="exact"/>
        <w:rPr>
          <w:rFonts w:ascii="Times New Roman" w:cs="Times New Roman" w:eastAsia="Times New Roman" w:hAnsi="Times New Roman"/>
          <w:sz w:val="18"/>
          <w:szCs w:val="18"/>
          <w:color w:val="auto"/>
        </w:rPr>
      </w:pPr>
    </w:p>
    <w:p>
      <w:pPr>
        <w:ind w:left="980" w:right="600" w:hanging="486"/>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Broaden our product portfolio</w:t>
      </w:r>
      <w:r>
        <w:rPr>
          <w:rFonts w:ascii="Times New Roman" w:cs="Times New Roman" w:eastAsia="Times New Roman" w:hAnsi="Times New Roman"/>
          <w:sz w:val="18"/>
          <w:szCs w:val="18"/>
          <w:color w:val="auto"/>
        </w:rPr>
        <w:t>. We intend to continue to broaden our product portfolio by offering additional varieties of oscillators,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expanding into the clock IC market and expanding our business in standalone resonators.</w:t>
      </w:r>
    </w:p>
    <w:p>
      <w:pPr>
        <w:spacing w:after="0" w:line="46" w:lineRule="exact"/>
        <w:rPr>
          <w:rFonts w:ascii="Times New Roman" w:cs="Times New Roman" w:eastAsia="Times New Roman" w:hAnsi="Times New Roman"/>
          <w:sz w:val="18"/>
          <w:szCs w:val="18"/>
          <w:color w:val="auto"/>
        </w:rPr>
      </w:pPr>
    </w:p>
    <w:p>
      <w:pPr>
        <w:ind w:left="980" w:right="40" w:hanging="486"/>
        <w:spacing w:after="0" w:line="26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attract and acquire new customers</w:t>
      </w:r>
      <w:r>
        <w:rPr>
          <w:rFonts w:ascii="Times New Roman" w:cs="Times New Roman" w:eastAsia="Times New Roman" w:hAnsi="Times New Roman"/>
          <w:sz w:val="18"/>
          <w:szCs w:val="18"/>
          <w:color w:val="auto"/>
        </w:rPr>
        <w:t>. We intend to continue expanding our end customer base through direct dialogue with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accounts, partnerships with large distributors, as well as grow direct online sales with the SiTimeDirect store. With continued investment in our digital marketing strategies that advance the SiTime customer experience, along with sophisticated market segmentation efforts, we expect to identify new customers, and deliver differentiated Precision Timing solutions to them.</w:t>
      </w:r>
    </w:p>
    <w:p>
      <w:pPr>
        <w:spacing w:after="0" w:line="68" w:lineRule="exact"/>
        <w:rPr>
          <w:rFonts w:ascii="Times New Roman" w:cs="Times New Roman" w:eastAsia="Times New Roman" w:hAnsi="Times New Roman"/>
          <w:sz w:val="18"/>
          <w:szCs w:val="18"/>
          <w:color w:val="auto"/>
        </w:rPr>
      </w:pPr>
    </w:p>
    <w:p>
      <w:pPr>
        <w:ind w:left="980" w:right="40" w:hanging="486"/>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margin expansion of our products</w:t>
      </w:r>
      <w:r>
        <w:rPr>
          <w:rFonts w:ascii="Times New Roman" w:cs="Times New Roman" w:eastAsia="Times New Roman" w:hAnsi="Times New Roman"/>
          <w:sz w:val="18"/>
          <w:szCs w:val="18"/>
          <w:color w:val="auto"/>
        </w:rPr>
        <w:t>. We intend to use our technological expertise to deliver higher value and higher margin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traditional and new innovative channels. In addition, we intend to continue to reduce our costs through operational improvements and supply-chain management initiatives.</w:t>
      </w:r>
    </w:p>
    <w:p>
      <w:pPr>
        <w:spacing w:after="0" w:line="62" w:lineRule="exact"/>
        <w:rPr>
          <w:rFonts w:ascii="Times New Roman" w:cs="Times New Roman" w:eastAsia="Times New Roman" w:hAnsi="Times New Roman"/>
          <w:sz w:val="18"/>
          <w:szCs w:val="18"/>
          <w:color w:val="auto"/>
        </w:rPr>
      </w:pPr>
    </w:p>
    <w:p>
      <w:pPr>
        <w:ind w:left="980" w:right="100" w:hanging="486"/>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 lower cost of ownership</w:t>
      </w:r>
      <w:r>
        <w:rPr>
          <w:rFonts w:ascii="Times New Roman" w:cs="Times New Roman" w:eastAsia="Times New Roman" w:hAnsi="Times New Roman"/>
          <w:sz w:val="18"/>
          <w:szCs w:val="18"/>
          <w:color w:val="auto"/>
        </w:rPr>
        <w:t>. In addition to differentiating our solutions based on technical features and value, we also intend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to our customers on business metrics by leveraging our fabless semiconductor infrastructure. These benefits may include shorter lead times, higher quality and reliability, and therefore lower cost of ownership for the end customer.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Precision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20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well established with our core offering of oscillator products that comprise a MEMS resonator and an analog mixed-signal IC that are integrated into a package. The following table illustrates our current portfolio of products by target end market:</w:t>
      </w:r>
    </w:p>
    <w:p>
      <w:pPr>
        <w:spacing w:after="0" w:line="207" w:lineRule="exact"/>
        <w:rPr>
          <w:sz w:val="20"/>
          <w:szCs w:val="20"/>
          <w:color w:val="auto"/>
        </w:rPr>
      </w:pPr>
    </w:p>
    <w:tbl>
      <w:tblPr>
        <w:tblLayout w:type="fixed"/>
        <w:tblInd w:w="1920" w:type="dxa"/>
        <w:tblCellMar>
          <w:top w:w="0" w:type="dxa"/>
          <w:left w:w="0" w:type="dxa"/>
          <w:bottom w:w="0" w:type="dxa"/>
          <w:right w:w="0" w:type="dxa"/>
        </w:tblCellMar>
      </w:tblPr>
      <w:tr>
        <w:trPr>
          <w:trHeight w:val="175"/>
        </w:trPr>
        <w:tc>
          <w:tcPr>
            <w:tcW w:w="1660" w:type="dxa"/>
            <w:vAlign w:val="bottom"/>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Communicatons,</w:t>
            </w:r>
          </w:p>
        </w:tc>
        <w:tc>
          <w:tcPr>
            <w:tcW w:w="160" w:type="dxa"/>
            <w:vAlign w:val="bottom"/>
            <w:tcBorders>
              <w:right w:val="single" w:sz="8" w:color="B5B5B5"/>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shd w:val="clear" w:color="auto" w:fill="A6A6A6"/>
          </w:tcPr>
          <w:p>
            <w:pPr>
              <w:spacing w:after="0"/>
              <w:rPr>
                <w:sz w:val="15"/>
                <w:szCs w:val="15"/>
                <w:color w:val="auto"/>
              </w:rPr>
            </w:pPr>
          </w:p>
        </w:tc>
        <w:tc>
          <w:tcPr>
            <w:tcW w:w="2160" w:type="dxa"/>
            <w:vAlign w:val="bottom"/>
            <w:gridSpan w:val="3"/>
            <w:shd w:val="clear" w:color="auto" w:fill="A6A6A6"/>
          </w:tcPr>
          <w:p>
            <w:pPr>
              <w:jc w:val="center"/>
              <w:ind w:right="1308"/>
              <w:spacing w:after="0"/>
              <w:rPr>
                <w:sz w:val="20"/>
                <w:szCs w:val="20"/>
                <w:color w:val="auto"/>
              </w:rPr>
            </w:pPr>
            <w:r>
              <w:rPr>
                <w:rFonts w:ascii="Calibri" w:cs="Calibri" w:eastAsia="Calibri" w:hAnsi="Calibri"/>
                <w:sz w:val="14"/>
                <w:szCs w:val="14"/>
                <w:b w:val="1"/>
                <w:bCs w:val="1"/>
                <w:color w:val="FFFFFF"/>
              </w:rPr>
              <w:t>Automotve,</w:t>
            </w:r>
          </w:p>
        </w:tc>
        <w:tc>
          <w:tcPr>
            <w:tcW w:w="160" w:type="dxa"/>
            <w:vAlign w:val="bottom"/>
            <w:tcBorders>
              <w:right w:val="single" w:sz="8" w:color="B5B5B5"/>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Mobile, IoT &amp;</w:t>
            </w:r>
          </w:p>
        </w:tc>
        <w:tc>
          <w:tcPr>
            <w:tcW w:w="0" w:type="dxa"/>
            <w:vAlign w:val="bottom"/>
          </w:tcPr>
          <w:p>
            <w:pPr>
              <w:spacing w:after="0"/>
              <w:rPr>
                <w:sz w:val="1"/>
                <w:szCs w:val="1"/>
                <w:color w:val="auto"/>
              </w:rPr>
            </w:pPr>
          </w:p>
        </w:tc>
      </w:tr>
      <w:tr>
        <w:trPr>
          <w:trHeight w:val="75"/>
        </w:trPr>
        <w:tc>
          <w:tcPr>
            <w:tcW w:w="1660" w:type="dxa"/>
            <w:vAlign w:val="bottom"/>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Datacenter,</w:t>
            </w:r>
          </w:p>
        </w:tc>
        <w:tc>
          <w:tcPr>
            <w:tcW w:w="160" w:type="dxa"/>
            <w:vAlign w:val="bottom"/>
            <w:tcBorders>
              <w:right w:val="single" w:sz="8" w:color="B5B5B5"/>
            </w:tcBorders>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gridSpan w:val="4"/>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Aerospace &amp; Defense,</w:t>
            </w:r>
          </w:p>
        </w:tc>
        <w:tc>
          <w:tcPr>
            <w:tcW w:w="160" w:type="dxa"/>
            <w:vAlign w:val="bottom"/>
            <w:tcBorders>
              <w:right w:val="single" w:sz="8" w:color="B5B5B5"/>
            </w:tcBorders>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vMerge w:val="continue"/>
            <w:shd w:val="clear" w:color="auto" w:fill="A6A6A6"/>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A6A6A6"/>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3500" w:type="dxa"/>
            <w:vAlign w:val="bottom"/>
            <w:gridSpan w:val="4"/>
            <w:vMerge w:val="continue"/>
            <w:shd w:val="clear" w:color="auto" w:fill="A6A6A6"/>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Consumer</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&amp; Enterprise</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3500" w:type="dxa"/>
            <w:vAlign w:val="bottom"/>
            <w:gridSpan w:val="4"/>
            <w:vMerge w:val="restart"/>
            <w:shd w:val="clear" w:color="auto" w:fill="A6A6A6"/>
          </w:tcPr>
          <w:p>
            <w:pPr>
              <w:jc w:val="center"/>
              <w:spacing w:after="0"/>
              <w:rPr>
                <w:sz w:val="20"/>
                <w:szCs w:val="20"/>
                <w:color w:val="auto"/>
              </w:rPr>
            </w:pPr>
            <w:r>
              <w:rPr>
                <w:rFonts w:ascii="Calibri" w:cs="Calibri" w:eastAsia="Calibri" w:hAnsi="Calibri"/>
                <w:sz w:val="14"/>
                <w:szCs w:val="14"/>
                <w:b w:val="1"/>
                <w:bCs w:val="1"/>
                <w:color w:val="FFFFFF"/>
              </w:rPr>
              <w:t>Industrial, Medical</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shd w:val="clear" w:color="auto" w:fill="A6A6A6"/>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60" w:type="dxa"/>
            <w:vAlign w:val="bottom"/>
            <w:tcBorders>
              <w:bottom w:val="single" w:sz="8" w:color="A6A6A6"/>
            </w:tcBorders>
            <w:vMerge w:val="continue"/>
            <w:shd w:val="clear" w:color="auto" w:fill="A6A6A6"/>
          </w:tcPr>
          <w:p>
            <w:pPr>
              <w:spacing w:after="0"/>
              <w:rPr>
                <w:sz w:val="10"/>
                <w:szCs w:val="10"/>
                <w:color w:val="auto"/>
              </w:rPr>
            </w:pP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bottom w:val="single" w:sz="8" w:color="A6A6A6"/>
            </w:tcBorders>
            <w:gridSpan w:val="4"/>
            <w:vMerge w:val="continue"/>
            <w:shd w:val="clear" w:color="auto" w:fill="A6A6A6"/>
          </w:tcPr>
          <w:p>
            <w:pPr>
              <w:spacing w:after="0"/>
              <w:rPr>
                <w:sz w:val="10"/>
                <w:szCs w:val="10"/>
                <w:color w:val="auto"/>
              </w:rPr>
            </w:pP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Borders>
              <w:bottom w:val="single" w:sz="8" w:color="A6A6A6"/>
            </w:tcBorders>
            <w:shd w:val="clear" w:color="auto" w:fill="A6A6A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Low Jiter</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30"/>
              <w:spacing w:after="0"/>
              <w:rPr>
                <w:sz w:val="20"/>
                <w:szCs w:val="20"/>
                <w:color w:val="auto"/>
              </w:rPr>
            </w:pPr>
            <w:r>
              <w:rPr>
                <w:rFonts w:ascii="Calibri" w:cs="Calibri" w:eastAsia="Calibri" w:hAnsi="Calibri"/>
                <w:sz w:val="14"/>
                <w:szCs w:val="14"/>
                <w:b w:val="1"/>
                <w:bCs w:val="1"/>
                <w:color w:val="FFFFFF"/>
              </w:rPr>
              <w:t>High Temp</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Clock</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Low Power</w:t>
            </w:r>
          </w:p>
        </w:tc>
        <w:tc>
          <w:tcPr>
            <w:tcW w:w="0" w:type="dxa"/>
            <w:vAlign w:val="bottom"/>
          </w:tcPr>
          <w:p>
            <w:pPr>
              <w:spacing w:after="0"/>
              <w:rPr>
                <w:sz w:val="1"/>
                <w:szCs w:val="1"/>
                <w:color w:val="auto"/>
              </w:rPr>
            </w:pPr>
          </w:p>
        </w:tc>
      </w:tr>
      <w:tr>
        <w:trPr>
          <w:trHeight w:val="175"/>
        </w:trPr>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Oscillators</w:t>
            </w:r>
          </w:p>
        </w:tc>
        <w:tc>
          <w:tcPr>
            <w:tcW w:w="160" w:type="dxa"/>
            <w:vAlign w:val="bottom"/>
            <w:tcBorders>
              <w:right w:val="single" w:sz="8" w:color="B5B5B5"/>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Oscillators</w:t>
            </w:r>
          </w:p>
        </w:tc>
        <w:tc>
          <w:tcPr>
            <w:tcW w:w="320" w:type="dxa"/>
            <w:vAlign w:val="bottom"/>
            <w:shd w:val="clear" w:color="auto" w:fill="000000"/>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Generators</w:t>
            </w:r>
          </w:p>
        </w:tc>
        <w:tc>
          <w:tcPr>
            <w:tcW w:w="160" w:type="dxa"/>
            <w:vAlign w:val="bottom"/>
            <w:tcBorders>
              <w:right w:val="single" w:sz="8" w:color="B5B5B5"/>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Oscillators</w:t>
            </w:r>
          </w:p>
        </w:tc>
        <w:tc>
          <w:tcPr>
            <w:tcW w:w="0" w:type="dxa"/>
            <w:vAlign w:val="bottom"/>
          </w:tcPr>
          <w:p>
            <w:pPr>
              <w:spacing w:after="0"/>
              <w:rPr>
                <w:sz w:val="1"/>
                <w:szCs w:val="1"/>
                <w:color w:val="auto"/>
              </w:rPr>
            </w:pPr>
          </w:p>
        </w:tc>
      </w:tr>
      <w:tr>
        <w:trPr>
          <w:trHeight w:val="236"/>
        </w:trPr>
        <w:tc>
          <w:tcPr>
            <w:tcW w:w="166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DCXO</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50"/>
              <w:spacing w:after="0"/>
              <w:rPr>
                <w:sz w:val="20"/>
                <w:szCs w:val="20"/>
                <w:color w:val="auto"/>
              </w:rPr>
            </w:pPr>
            <w:r>
              <w:rPr>
                <w:rFonts w:ascii="Calibri" w:cs="Calibri" w:eastAsia="Calibri" w:hAnsi="Calibri"/>
                <w:sz w:val="14"/>
                <w:szCs w:val="14"/>
                <w:b w:val="1"/>
                <w:bCs w:val="1"/>
                <w:color w:val="FFFFFF"/>
              </w:rPr>
              <w:t>Low Jiter</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Clock</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μPower 32 kHz</w:t>
            </w:r>
          </w:p>
        </w:tc>
        <w:tc>
          <w:tcPr>
            <w:tcW w:w="0" w:type="dxa"/>
            <w:vAlign w:val="bottom"/>
          </w:tcPr>
          <w:p>
            <w:pPr>
              <w:spacing w:after="0"/>
              <w:rPr>
                <w:sz w:val="1"/>
                <w:szCs w:val="1"/>
                <w:color w:val="auto"/>
              </w:rPr>
            </w:pPr>
          </w:p>
        </w:tc>
      </w:tr>
      <w:tr>
        <w:trPr>
          <w:trHeight w:val="122"/>
        </w:trPr>
        <w:tc>
          <w:tcPr>
            <w:tcW w:w="1660" w:type="dxa"/>
            <w:vAlign w:val="bottom"/>
            <w:shd w:val="clear" w:color="auto" w:fill="000000"/>
          </w:tcPr>
          <w:p>
            <w:pPr>
              <w:jc w:val="center"/>
              <w:spacing w:after="0" w:line="122" w:lineRule="exact"/>
              <w:rPr>
                <w:sz w:val="20"/>
                <w:szCs w:val="20"/>
                <w:color w:val="auto"/>
              </w:rPr>
            </w:pPr>
            <w:r>
              <w:rPr>
                <w:rFonts w:ascii="Calibri" w:cs="Calibri" w:eastAsia="Calibri" w:hAnsi="Calibri"/>
                <w:sz w:val="11"/>
                <w:szCs w:val="11"/>
                <w:b w:val="1"/>
                <w:bCs w:val="1"/>
                <w:color w:val="FFFFFF"/>
                <w:w w:val="96"/>
              </w:rPr>
              <w:t>In-System</w:t>
            </w: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Oscillators</w:t>
            </w:r>
          </w:p>
        </w:tc>
        <w:tc>
          <w:tcPr>
            <w:tcW w:w="3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Bufers</w:t>
            </w: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Oscillators</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000000"/>
          </w:tcPr>
          <w:p>
            <w:pPr>
              <w:jc w:val="center"/>
              <w:spacing w:after="0" w:line="127" w:lineRule="exact"/>
              <w:rPr>
                <w:sz w:val="20"/>
                <w:szCs w:val="20"/>
                <w:color w:val="auto"/>
              </w:rPr>
            </w:pPr>
            <w:r>
              <w:rPr>
                <w:rFonts w:ascii="Calibri" w:cs="Calibri" w:eastAsia="Calibri" w:hAnsi="Calibri"/>
                <w:sz w:val="11"/>
                <w:szCs w:val="11"/>
                <w:b w:val="1"/>
                <w:bCs w:val="1"/>
                <w:color w:val="FFFFFF"/>
                <w:w w:val="97"/>
              </w:rPr>
              <w:t>Programmable</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660" w:type="dxa"/>
            <w:vAlign w:val="bottom"/>
            <w:vMerge w:val="continue"/>
            <w:shd w:val="clear" w:color="auto" w:fill="000000"/>
          </w:tcPr>
          <w:p>
            <w:pPr>
              <w:spacing w:after="0"/>
              <w:rPr>
                <w:sz w:val="4"/>
                <w:szCs w:val="4"/>
                <w:color w:val="auto"/>
              </w:rPr>
            </w:pPr>
          </w:p>
        </w:tc>
        <w:tc>
          <w:tcPr>
            <w:tcW w:w="160" w:type="dxa"/>
            <w:vAlign w:val="bottom"/>
            <w:tcBorders>
              <w:right w:val="single" w:sz="8" w:color="B5B5B5"/>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shd w:val="clear" w:color="auto" w:fill="000000"/>
          </w:tcPr>
          <w:p>
            <w:pPr>
              <w:spacing w:after="0"/>
              <w:rPr>
                <w:sz w:val="4"/>
                <w:szCs w:val="4"/>
                <w:color w:val="auto"/>
              </w:rPr>
            </w:pPr>
          </w:p>
        </w:tc>
        <w:tc>
          <w:tcPr>
            <w:tcW w:w="160" w:type="dxa"/>
            <w:vAlign w:val="bottom"/>
            <w:tcBorders>
              <w:right w:val="single" w:sz="8" w:color="B5B5B5"/>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660" w:type="dxa"/>
            <w:vAlign w:val="bottom"/>
            <w:shd w:val="clear" w:color="auto" w:fill="000000"/>
          </w:tcPr>
          <w:p>
            <w:pPr>
              <w:spacing w:after="0"/>
              <w:rPr>
                <w:sz w:val="16"/>
                <w:szCs w:val="16"/>
                <w:color w:val="auto"/>
              </w:rPr>
            </w:pPr>
          </w:p>
        </w:tc>
        <w:tc>
          <w:tcPr>
            <w:tcW w:w="160" w:type="dxa"/>
            <w:vAlign w:val="bottom"/>
            <w:tcBorders>
              <w:right w:val="single" w:sz="8" w:color="B5B5B5"/>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shd w:val="clear" w:color="auto" w:fill="000000"/>
          </w:tcPr>
          <w:p>
            <w:pPr>
              <w:spacing w:after="0"/>
              <w:rPr>
                <w:sz w:val="16"/>
                <w:szCs w:val="16"/>
                <w:color w:val="auto"/>
              </w:rPr>
            </w:pPr>
          </w:p>
        </w:tc>
        <w:tc>
          <w:tcPr>
            <w:tcW w:w="3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shd w:val="clear" w:color="auto" w:fill="000000"/>
          </w:tcPr>
          <w:p>
            <w:pPr>
              <w:spacing w:after="0"/>
              <w:rPr>
                <w:sz w:val="16"/>
                <w:szCs w:val="16"/>
                <w:color w:val="auto"/>
              </w:rPr>
            </w:pPr>
          </w:p>
        </w:tc>
        <w:tc>
          <w:tcPr>
            <w:tcW w:w="160" w:type="dxa"/>
            <w:vAlign w:val="bottom"/>
            <w:tcBorders>
              <w:right w:val="single" w:sz="8" w:color="B5B5B5"/>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VCXO</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w w:val="95"/>
              </w:rPr>
              <w:t>DCXO</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Network Synchronizers/</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μPower 32 kHz</w:t>
            </w:r>
          </w:p>
        </w:tc>
        <w:tc>
          <w:tcPr>
            <w:tcW w:w="0" w:type="dxa"/>
            <w:vAlign w:val="bottom"/>
          </w:tcPr>
          <w:p>
            <w:pPr>
              <w:spacing w:after="0"/>
              <w:rPr>
                <w:sz w:val="1"/>
                <w:szCs w:val="1"/>
                <w:color w:val="auto"/>
              </w:rPr>
            </w:pPr>
          </w:p>
        </w:tc>
      </w:tr>
      <w:tr>
        <w:trPr>
          <w:trHeight w:val="122"/>
        </w:trPr>
        <w:tc>
          <w:tcPr>
            <w:tcW w:w="1660" w:type="dxa"/>
            <w:vAlign w:val="bottom"/>
            <w:vMerge w:val="continue"/>
            <w:shd w:val="clear" w:color="auto" w:fill="000000"/>
          </w:tcPr>
          <w:p>
            <w:pPr>
              <w:spacing w:after="0"/>
              <w:rPr>
                <w:sz w:val="10"/>
                <w:szCs w:val="10"/>
                <w:color w:val="auto"/>
              </w:rPr>
            </w:pP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shd w:val="clear" w:color="auto" w:fill="000000"/>
          </w:tcPr>
          <w:p>
            <w:pPr>
              <w:jc w:val="center"/>
              <w:ind w:left="270"/>
              <w:spacing w:after="0" w:line="122" w:lineRule="exact"/>
              <w:rPr>
                <w:sz w:val="20"/>
                <w:szCs w:val="20"/>
                <w:color w:val="auto"/>
              </w:rPr>
            </w:pPr>
            <w:r>
              <w:rPr>
                <w:rFonts w:ascii="Calibri" w:cs="Calibri" w:eastAsia="Calibri" w:hAnsi="Calibri"/>
                <w:sz w:val="11"/>
                <w:szCs w:val="11"/>
                <w:b w:val="1"/>
                <w:bCs w:val="1"/>
                <w:color w:val="FFFFFF"/>
                <w:w w:val="96"/>
              </w:rPr>
              <w:t>In-System</w:t>
            </w:r>
          </w:p>
        </w:tc>
        <w:tc>
          <w:tcPr>
            <w:tcW w:w="3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Jiter Cleaners</w:t>
            </w:r>
          </w:p>
        </w:tc>
        <w:tc>
          <w:tcPr>
            <w:tcW w:w="160" w:type="dxa"/>
            <w:vAlign w:val="bottom"/>
            <w:tcBorders>
              <w:right w:val="single" w:sz="8" w:color="B5B5B5"/>
            </w:tcBorders>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TCXO</w:t>
            </w:r>
          </w:p>
        </w:tc>
        <w:tc>
          <w:tcPr>
            <w:tcW w:w="0" w:type="dxa"/>
            <w:vAlign w:val="bottom"/>
          </w:tcPr>
          <w:p>
            <w:pPr>
              <w:spacing w:after="0"/>
              <w:rPr>
                <w:sz w:val="1"/>
                <w:szCs w:val="1"/>
                <w:color w:val="auto"/>
              </w:rPr>
            </w:pPr>
          </w:p>
        </w:tc>
      </w:tr>
      <w:tr>
        <w:trPr>
          <w:trHeight w:val="81"/>
        </w:trPr>
        <w:tc>
          <w:tcPr>
            <w:tcW w:w="1660" w:type="dxa"/>
            <w:vAlign w:val="bottom"/>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restart"/>
            <w:shd w:val="clear" w:color="auto" w:fill="000000"/>
          </w:tcPr>
          <w:p>
            <w:pPr>
              <w:jc w:val="center"/>
              <w:ind w:left="250"/>
              <w:spacing w:after="0" w:line="127" w:lineRule="exact"/>
              <w:rPr>
                <w:sz w:val="20"/>
                <w:szCs w:val="20"/>
                <w:color w:val="auto"/>
              </w:rPr>
            </w:pPr>
            <w:r>
              <w:rPr>
                <w:rFonts w:ascii="Calibri" w:cs="Calibri" w:eastAsia="Calibri" w:hAnsi="Calibri"/>
                <w:sz w:val="11"/>
                <w:szCs w:val="11"/>
                <w:b w:val="1"/>
                <w:bCs w:val="1"/>
                <w:color w:val="FFFFFF"/>
                <w:w w:val="97"/>
              </w:rPr>
              <w:t>Programmable</w:t>
            </w: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660" w:type="dxa"/>
            <w:vAlign w:val="bottom"/>
            <w:shd w:val="clear" w:color="auto" w:fill="000000"/>
          </w:tcPr>
          <w:p>
            <w:pPr>
              <w:spacing w:after="0"/>
              <w:rPr>
                <w:sz w:val="4"/>
                <w:szCs w:val="4"/>
                <w:color w:val="auto"/>
              </w:rPr>
            </w:pPr>
          </w:p>
        </w:tc>
        <w:tc>
          <w:tcPr>
            <w:tcW w:w="160" w:type="dxa"/>
            <w:vAlign w:val="bottom"/>
            <w:tcBorders>
              <w:right w:val="single" w:sz="8" w:color="B5B5B5"/>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vMerge w:val="continue"/>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shd w:val="clear" w:color="auto" w:fill="000000"/>
          </w:tcPr>
          <w:p>
            <w:pPr>
              <w:spacing w:after="0"/>
              <w:rPr>
                <w:sz w:val="4"/>
                <w:szCs w:val="4"/>
                <w:color w:val="auto"/>
              </w:rPr>
            </w:pPr>
          </w:p>
        </w:tc>
        <w:tc>
          <w:tcPr>
            <w:tcW w:w="160" w:type="dxa"/>
            <w:vAlign w:val="bottom"/>
            <w:tcBorders>
              <w:right w:val="single" w:sz="8" w:color="B5B5B5"/>
            </w:tcBorders>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660" w:type="dxa"/>
            <w:vAlign w:val="bottom"/>
            <w:shd w:val="clear" w:color="auto" w:fill="000000"/>
          </w:tcPr>
          <w:p>
            <w:pPr>
              <w:spacing w:after="0"/>
              <w:rPr>
                <w:sz w:val="16"/>
                <w:szCs w:val="16"/>
                <w:color w:val="auto"/>
              </w:rPr>
            </w:pPr>
          </w:p>
        </w:tc>
        <w:tc>
          <w:tcPr>
            <w:tcW w:w="160" w:type="dxa"/>
            <w:vAlign w:val="bottom"/>
            <w:tcBorders>
              <w:right w:val="single" w:sz="8" w:color="B5B5B5"/>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shd w:val="clear" w:color="auto" w:fill="000000"/>
          </w:tcPr>
          <w:p>
            <w:pPr>
              <w:spacing w:after="0"/>
              <w:rPr>
                <w:sz w:val="16"/>
                <w:szCs w:val="16"/>
                <w:color w:val="auto"/>
              </w:rPr>
            </w:pPr>
          </w:p>
        </w:tc>
        <w:tc>
          <w:tcPr>
            <w:tcW w:w="3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shd w:val="clear" w:color="auto" w:fill="000000"/>
          </w:tcPr>
          <w:p>
            <w:pPr>
              <w:spacing w:after="0"/>
              <w:rPr>
                <w:sz w:val="16"/>
                <w:szCs w:val="16"/>
                <w:color w:val="auto"/>
              </w:rPr>
            </w:pPr>
          </w:p>
        </w:tc>
        <w:tc>
          <w:tcPr>
            <w:tcW w:w="160" w:type="dxa"/>
            <w:vAlign w:val="bottom"/>
            <w:tcBorders>
              <w:right w:val="single" w:sz="8" w:color="B5B5B5"/>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9"/>
              </w:rPr>
              <w:t>TCXO/VCTCXO/</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w w:val="97"/>
              </w:rPr>
              <w:t>VCXO</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Actve</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Low Power</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DCTCXO</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Resonators</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TCXO</w:t>
            </w: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vMerge w:val="continue"/>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66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OCXO/DCOCXO</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50"/>
              <w:spacing w:after="0"/>
              <w:rPr>
                <w:sz w:val="20"/>
                <w:szCs w:val="20"/>
                <w:color w:val="auto"/>
              </w:rPr>
            </w:pPr>
            <w:r>
              <w:rPr>
                <w:rFonts w:ascii="Calibri" w:cs="Calibri" w:eastAsia="Calibri" w:hAnsi="Calibri"/>
                <w:sz w:val="14"/>
                <w:szCs w:val="14"/>
                <w:b w:val="1"/>
                <w:bCs w:val="1"/>
                <w:color w:val="FFFFFF"/>
              </w:rPr>
              <w:t>Low Power</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Low Power</w:t>
            </w: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Oscillators</w:t>
            </w: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DCXO</w:t>
            </w:r>
          </w:p>
        </w:tc>
        <w:tc>
          <w:tcPr>
            <w:tcW w:w="0" w:type="dxa"/>
            <w:vAlign w:val="bottom"/>
          </w:tcPr>
          <w:p>
            <w:pPr>
              <w:spacing w:after="0"/>
              <w:rPr>
                <w:sz w:val="1"/>
                <w:szCs w:val="1"/>
                <w:color w:val="auto"/>
              </w:rPr>
            </w:pPr>
          </w:p>
        </w:tc>
      </w:tr>
      <w:tr>
        <w:trPr>
          <w:trHeight w:val="95"/>
        </w:trPr>
        <w:tc>
          <w:tcPr>
            <w:tcW w:w="1660" w:type="dxa"/>
            <w:vAlign w:val="bottom"/>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continue"/>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66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Network</w:t>
            </w:r>
          </w:p>
        </w:tc>
        <w:tc>
          <w:tcPr>
            <w:tcW w:w="160" w:type="dxa"/>
            <w:vAlign w:val="bottom"/>
            <w:tcBorders>
              <w:right w:val="single" w:sz="8" w:color="B5B5B5"/>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vMerge w:val="restart"/>
            <w:shd w:val="clear" w:color="auto" w:fill="000000"/>
          </w:tcPr>
          <w:p>
            <w:pPr>
              <w:jc w:val="center"/>
              <w:ind w:left="250"/>
              <w:spacing w:after="0"/>
              <w:rPr>
                <w:sz w:val="20"/>
                <w:szCs w:val="20"/>
                <w:color w:val="auto"/>
              </w:rPr>
            </w:pPr>
            <w:r>
              <w:rPr>
                <w:rFonts w:ascii="Calibri" w:cs="Calibri" w:eastAsia="Calibri" w:hAnsi="Calibri"/>
                <w:sz w:val="14"/>
                <w:szCs w:val="14"/>
                <w:b w:val="1"/>
                <w:bCs w:val="1"/>
                <w:color w:val="FFFFFF"/>
              </w:rPr>
              <w:t>Spread Spectrum</w:t>
            </w:r>
          </w:p>
        </w:tc>
        <w:tc>
          <w:tcPr>
            <w:tcW w:w="32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 w:type="dxa"/>
            <w:vAlign w:val="bottom"/>
            <w:tcBorders>
              <w:right w:val="single" w:sz="8" w:color="B5B5B5"/>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Actve</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Synchronizers/</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Oscillators</w:t>
            </w: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Resonators</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Jiter Cleaners</w:t>
            </w: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000000"/>
          </w:tcPr>
          <w:p>
            <w:pPr>
              <w:spacing w:after="0"/>
              <w:rPr>
                <w:sz w:val="12"/>
                <w:szCs w:val="12"/>
                <w:color w:val="auto"/>
              </w:rPr>
            </w:pPr>
          </w:p>
        </w:tc>
        <w:tc>
          <w:tcPr>
            <w:tcW w:w="160" w:type="dxa"/>
            <w:vAlign w:val="bottom"/>
            <w:tcBorders>
              <w:right w:val="single" w:sz="8" w:color="B5B5B5"/>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right w:val="single" w:sz="8" w:color="B5B5B5"/>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Clock Generators</w:t>
            </w: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TCXO/VCTCXO/</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w w:val="99"/>
              </w:rPr>
              <w:t>TCXO/VCTCXO/</w:t>
            </w: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000000"/>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DCTCXO</w:t>
            </w: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DCTCXO</w:t>
            </w:r>
          </w:p>
        </w:tc>
        <w:tc>
          <w:tcPr>
            <w:tcW w:w="0" w:type="dxa"/>
            <w:vAlign w:val="bottom"/>
          </w:tcPr>
          <w:p>
            <w:pPr>
              <w:spacing w:after="0"/>
              <w:rPr>
                <w:sz w:val="1"/>
                <w:szCs w:val="1"/>
                <w:color w:val="auto"/>
              </w:rPr>
            </w:pPr>
          </w:p>
        </w:tc>
      </w:tr>
      <w:tr>
        <w:trPr>
          <w:trHeight w:val="95"/>
        </w:trPr>
        <w:tc>
          <w:tcPr>
            <w:tcW w:w="1660" w:type="dxa"/>
            <w:vAlign w:val="bottom"/>
            <w:shd w:val="clear" w:color="auto" w:fill="000000"/>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continue"/>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660" w:type="dxa"/>
            <w:vAlign w:val="bottom"/>
            <w:shd w:val="clear" w:color="auto" w:fill="000000"/>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right w:val="single" w:sz="8" w:color="B5B5B5"/>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66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Clock Bufers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shd w:val="clear" w:color="auto" w:fill="000000"/>
          </w:tcPr>
          <w:p>
            <w:pPr>
              <w:jc w:val="center"/>
              <w:ind w:left="230"/>
              <w:spacing w:after="0"/>
              <w:rPr>
                <w:sz w:val="20"/>
                <w:szCs w:val="20"/>
                <w:color w:val="auto"/>
              </w:rPr>
            </w:pPr>
            <w:r>
              <w:rPr>
                <w:rFonts w:ascii="Calibri" w:cs="Calibri" w:eastAsia="Calibri" w:hAnsi="Calibri"/>
                <w:sz w:val="14"/>
                <w:szCs w:val="14"/>
                <w:b w:val="1"/>
                <w:bCs w:val="1"/>
                <w:color w:val="FFFFFF"/>
              </w:rPr>
              <w:t>μPower 32 kHz</w:t>
            </w:r>
          </w:p>
        </w:tc>
        <w:tc>
          <w:tcPr>
            <w:tcW w:w="3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right w:val="single" w:sz="8" w:color="B5B5B5"/>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Actve</w:t>
            </w: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restart"/>
            <w:shd w:val="clear" w:color="auto" w:fill="000000"/>
          </w:tcPr>
          <w:p>
            <w:pPr>
              <w:jc w:val="center"/>
              <w:ind w:left="270"/>
              <w:spacing w:after="0"/>
              <w:rPr>
                <w:sz w:val="20"/>
                <w:szCs w:val="20"/>
                <w:color w:val="auto"/>
              </w:rPr>
            </w:pPr>
            <w:r>
              <w:rPr>
                <w:rFonts w:ascii="Calibri" w:cs="Calibri" w:eastAsia="Calibri" w:hAnsi="Calibri"/>
                <w:sz w:val="14"/>
                <w:szCs w:val="14"/>
                <w:b w:val="1"/>
                <w:bCs w:val="1"/>
                <w:color w:val="FFFFFF"/>
              </w:rPr>
              <w:t>Oscillators</w:t>
            </w:r>
          </w:p>
        </w:tc>
        <w:tc>
          <w:tcPr>
            <w:tcW w:w="320" w:type="dxa"/>
            <w:vAlign w:val="bottom"/>
            <w:shd w:val="clear" w:color="auto" w:fill="000000"/>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Borders>
              <w:right w:val="single" w:sz="8" w:color="B5B5B5"/>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restart"/>
            <w:shd w:val="clear" w:color="auto" w:fill="000000"/>
          </w:tcPr>
          <w:p>
            <w:pPr>
              <w:jc w:val="center"/>
              <w:spacing w:after="0"/>
              <w:rPr>
                <w:sz w:val="20"/>
                <w:szCs w:val="20"/>
                <w:color w:val="auto"/>
              </w:rPr>
            </w:pPr>
            <w:r>
              <w:rPr>
                <w:rFonts w:ascii="Calibri" w:cs="Calibri" w:eastAsia="Calibri" w:hAnsi="Calibri"/>
                <w:sz w:val="14"/>
                <w:szCs w:val="14"/>
                <w:b w:val="1"/>
                <w:bCs w:val="1"/>
                <w:color w:val="FFFFFF"/>
              </w:rPr>
              <w:t>Resonators</w:t>
            </w:r>
          </w:p>
        </w:tc>
        <w:tc>
          <w:tcPr>
            <w:tcW w:w="0" w:type="dxa"/>
            <w:vAlign w:val="bottom"/>
          </w:tcPr>
          <w:p>
            <w:pPr>
              <w:spacing w:after="0"/>
              <w:rPr>
                <w:sz w:val="1"/>
                <w:szCs w:val="1"/>
                <w:color w:val="auto"/>
              </w:rPr>
            </w:pPr>
          </w:p>
        </w:tc>
      </w:tr>
      <w:tr>
        <w:trPr>
          <w:trHeight w:val="95"/>
        </w:trPr>
        <w:tc>
          <w:tcPr>
            <w:tcW w:w="166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continue"/>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right w:val="single" w:sz="8" w:color="B5B5B5"/>
            </w:tcBorders>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66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sell our Precision Timing products to distributors, who in turn sell our products to our end customers. We also sell products directly to some of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spacing w:after="0" w:line="11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Pernas Electronics Co., Ltd. (“Pernas”), Arrow Electronics, Inc. (“Arrow”), and Quantek Technology Corporation (“Quantek”), three of our distributor customers, each directly accounted for more than 10% of our revenue in the years ended December 31, 2023, 2022, and 2021. Additionally, Sabre Technologies Pte. Ltd ("Sabre") directly accounted for</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 than 10% of our revenue for the year ended December 31, 2023. Pernas directly accounted for 20%, 20%, and 24% of our revenue for the years ended December 31, 2023, 2022, and 2021, respectively, Arrow directly accounted for 18%, 17%, and 14% of our revenue for the years ended December 31, 2023, 2022, and 2021, respectively and Quantek directly accounted for 13%, 12%, and 10% of our revenue for the years ended December 31, 2023, 2022, and 2021, respectively. Sabre directly accounted for 10%, 6%, and 4% of our revenue for the years ended December 31, 2023, 2022, and 2021, respectively. Other than Pernas, Quantek, Arrow and Sabre, no other single direct customer accounted for more than 10% of our revenue in the years ended December 31, 2023, 2022, and 2021.</w:t>
      </w:r>
    </w:p>
    <w:p>
      <w:pPr>
        <w:spacing w:after="0" w:line="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Based on the sell-through information provided to us from distributors who identify end customers, we believe that the majority of our products sold to Pernas and Quantek are in turn incorporated into products of Apple Inc. (“Apple”), our largest end customer.</w:t>
      </w:r>
    </w:p>
    <w:p>
      <w:pPr>
        <w:spacing w:after="0" w:line="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a result, we believe revenue attributable to our largest end customer accounted for approximately 21%, 20%, and 22% of our revenue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for the communications markets, to anticipate end customer market needs. In some cases, we work with our end customers to better understand the end customers’ market trends and new requirements that are being placed on our customers.</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sell our products worldwide through multiple channels, including our direct sales force and a network of distributors, contract manufacturers, contracted sales representatives, and independent design houses, as well as SiTimeDirect, our self-service online store. Our global sales strategy includes direct sales and distributors covering over 15,000 end customer accounts since inception.</w:t>
      </w:r>
    </w:p>
    <w:p>
      <w:pPr>
        <w:spacing w:after="0" w:line="176"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have a strategic accounts strategy executed by our direct sales force focused on design engineers, system architects and executive decision makers for the world’s leading electronics companies. These customers lead electronics innovation for their segments, from communications, 5G, automotive, and consumer IoT, and build in SiTime Precision Timing solutions that deliver the performance required by these devices. Beyond the well established strategic account portfolio, we target a broad base of small to mid-size electronics OEMs and ODMs that accelerate growth and market expansion for SiTime. We intend to continue to expand our sales and marketing efforts through increased collaboration with our distributors. In addition, in 2022, we launched SiTimeDirect, a self-service online store supporting 24/7 sales of SiTime oscillators, shipped to over 30 countries globally. Our expert inside sales team supports a “self-service model” for customers. SiTime’s unique field programmability combined with the convenience of an online store, with rapid configuration and fulfillment, makes SiTimeDirect a unique approach in the semiconductor industry for Precision Timing solutions.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revenue has historically been subject to some seasonal variation. Based on the production schedules of key customers, our products typically see stronger revenue in the second half of our fiscal year. However, there can be no assurance that this trend will occur in future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subject our third-party manufacturing contractors to rigorous qualification requirements to meet the high quality and reliability standards required of our products. We carefully qualify each of our partners and their processes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before applying the technology to our products. Our engineers work closely with our foundries and other contractors to increase yield, lower manufacturing costs, and improve product quality.</w:t>
      </w:r>
    </w:p>
    <w:p>
      <w:pPr>
        <w:spacing w:after="0" w:line="50" w:lineRule="exact"/>
        <w:rPr>
          <w:sz w:val="20"/>
          <w:szCs w:val="20"/>
          <w:color w:val="auto"/>
        </w:rPr>
      </w:pPr>
    </w:p>
    <w:p>
      <w:pPr>
        <w:ind w:left="980" w:right="160" w:hanging="486"/>
        <w:spacing w:after="0" w:line="26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Fabrication</w:t>
      </w:r>
      <w:r>
        <w:rPr>
          <w:rFonts w:ascii="Times New Roman" w:cs="Times New Roman" w:eastAsia="Times New Roman" w:hAnsi="Times New Roman"/>
          <w:sz w:val="18"/>
          <w:szCs w:val="18"/>
          <w:color w:val="auto"/>
        </w:rPr>
        <w:t>. We currently utilize a range of semiconductor process generations to develop and manufacture our products. We use Robert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Bosch LLC (“Bosch”) in Germany and Taiwan Semiconductor Manufacturing Company (“TSMC”) in Taiwan as our primary foundries and suppliers for our MEMS timing devices and analog mixed-signal circuit ICs, respectively.</w:t>
      </w:r>
    </w:p>
    <w:p>
      <w:pPr>
        <w:spacing w:after="0" w:line="62" w:lineRule="exact"/>
        <w:rPr>
          <w:rFonts w:ascii="Times New Roman" w:cs="Times New Roman" w:eastAsia="Times New Roman" w:hAnsi="Times New Roman"/>
          <w:sz w:val="18"/>
          <w:szCs w:val="18"/>
          <w:color w:val="auto"/>
        </w:rPr>
      </w:pPr>
    </w:p>
    <w:p>
      <w:pPr>
        <w:jc w:val="both"/>
        <w:ind w:left="980" w:right="40" w:hanging="486"/>
        <w:spacing w:after="0" w:line="26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Package, Assembly and Testing</w:t>
      </w:r>
      <w:r>
        <w:rPr>
          <w:rFonts w:ascii="Times New Roman" w:cs="Times New Roman" w:eastAsia="Times New Roman" w:hAnsi="Times New Roman"/>
          <w:sz w:val="18"/>
          <w:szCs w:val="18"/>
          <w:color w:val="auto"/>
        </w:rPr>
        <w:t>. Upon the completion of processing at the foundry, we use third-party contractors for packaging, assembly,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testing, including Advanced Semiconductor Engineering, Inc. (“ASE”) in Taiwan, Carsem (M) Sdn Bhd. (“Carsem”) in Malaysia, United Test and Assembly Center Ltd. (“UTAC”) in Thailand, Hana Semiconductor (Ayutthaya) Co., Ltd in Thailand, Daishinku Corp ("Daishinku") in Japan, and STATS ChipPAC Pte Ltd. in Singapore.</w:t>
      </w:r>
    </w:p>
    <w:p>
      <w:pPr>
        <w:spacing w:after="0" w:line="68" w:lineRule="exact"/>
        <w:rPr>
          <w:rFonts w:ascii="Times New Roman" w:cs="Times New Roman" w:eastAsia="Times New Roman" w:hAnsi="Times New Roman"/>
          <w:sz w:val="18"/>
          <w:szCs w:val="18"/>
          <w:color w:val="auto"/>
        </w:rPr>
      </w:pPr>
    </w:p>
    <w:p>
      <w:pPr>
        <w:ind w:left="980" w:right="220" w:hanging="486"/>
        <w:spacing w:after="0" w:line="28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Warehousing</w:t>
      </w:r>
      <w:r>
        <w:rPr>
          <w:rFonts w:ascii="Times New Roman" w:cs="Times New Roman" w:eastAsia="Times New Roman" w:hAnsi="Times New Roman"/>
          <w:sz w:val="18"/>
          <w:szCs w:val="18"/>
          <w:color w:val="auto"/>
        </w:rPr>
        <w:t>. Our products are warehoused at our outsourced semiconductor assembly and test facilities located in Malaysia, Taiwan,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Thailand.</w:t>
      </w:r>
    </w:p>
    <w:p>
      <w:pPr>
        <w:spacing w:after="0" w:line="15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Other than Bosch, we do not have long-term supply agreements with most of our third-party manufacturing contractors, and we purchase products on a purchase order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depends on our ability to introduce enhancements to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 for Precision Timing solutions.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assembled a core team of experienced engineers and systems designers who conduct research and development activities in the United States, the Netherlands, Malaysia, Finland, Japan, Taiwan, Ukraine, and India. As of December 31, 2023, we had 181 full-time equivalent employees supporting research and development efforts worldwide (representing approximately 47% of our total employee base).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patent, copyright, trademark, and trade secret laws, as well as confidentiality and non-disclosure agreements, and other contractual protections, to protect our technologies and proprietary know-how. As of December 31, 2023, we had 119 issued U.S. patents, expiring generally between 2026 and 2040, and 42 pending U.S. patent applications (including 13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own intellectual property, we also use third-party licenses for certain technologies, including some that are embedded in our MEMS solutions. For example, we have a license to certain patents from Bosch relating to the design and manufacture of MEMS-based timing applications and a license to certain intellectual property of Aura relating to our clock products. The patent rights obtained under the license agreement with Bosch expire between 2024 and 2029, and the license agreement expires upon expiration of the last patent licensed under the agreement. We do not believe there will be any significant impact upon expiration of these patents.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timing products to smaller companies specializing in narrow market verticals. Companies that we primarily compete with include, but are not limited to, Abracon, LLC, Daishinku Corporation, Diodes Incorporated, Kyocera Corporation, Microchip Technology Inc., Murata Manufacturing Co., Ltd, Nihon Dempa Kogoyo., Ltd., Rakon Limited, Renesas Electronics Corporation, Seiko Epson Corporation, Skyworks Solutions, Inc., Texas Instruments Incorporated, and TXC Corporation.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During past periods of downturns in our industry, competition in the markets in which we operate intensified as our customers reduced their purchase orders. We maintain our competitive position through our ability to successfully design, develop, and market new and existing Precision Timing solutions in a timely manner and to retain existing customers and add new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Empowerment</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as well as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8, Stock-based Compensation, of the Notes to Consolidated Financial Statements contained in Part II, Item 8 of this Annual Report on Form 10-K.</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the health, safety, and wellness of our employees. We provide our employees and their families with access to a variety of health and wellness programs, including benefits that support their physical and mental health. We maintain an office in Lviv, Ukraine. In connection with Russia’s invasion of Ukraine in February 2022, we have prioritized the safety and welfare of our employees and their families in Ukraine. We also worked with our employees worldwide to minimize any disruption to our operations and business as a result of Russia’s invasion of Ukraine.</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regularly review our employees and assess the needs of the business to identify our talent needs. We encourage periodic and meaningful conversations between managers and employees, including discussions regarding feedback, alignment of goals, and professional development. We encourage all employees to continue learning and provide learning opportunities as well as internal opportunities for cross functional work to support this. All employees receive training, including in the prevention of sexual harassment and abusive conduct in the workplace. We regularly review succession plans and focus on promoting internal talent to help grow our employees' careers.</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382 full-time equivalent employees located in locations including the United States, France, Malaysia, the Netherlands, Taiwan, Japan, Finland, Ukraine, Germany, South Korea, and India, including 181 in research and development, 145 in sales, general, and administrative, and 56 in operations. We consider relations with our employees to be good and have never experienced a work stoppage.</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51%, 49%, and 48% of our revenue for the years ended December 31, 2023, 2022, and 2021, respectively. Based on our shipment information, we believe that revenue attributable to our ten largest end customers accounted for 49%, 47% and 49% of our revenue for the years ended December 31, 2023, 2022, and 2021, respectively. Sales attributable to Apple, our largest end customer accounted for approximately 21%, 20%, and 22% of our revenue for the years ended December 31, 2023, 2022, and 2021, respectively. We 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spacing w:after="0" w:line="72" w:lineRule="exact"/>
        <w:rPr>
          <w:sz w:val="20"/>
          <w:szCs w:val="20"/>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2360" w:right="22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60" w:hanging="1218"/>
        <w:spacing w:after="0" w:line="282" w:lineRule="auto"/>
        <w:tabs>
          <w:tab w:leader="none" w:pos="2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socioeconomic or political conditions in the countries where we operate or where our products are sold or used;</w:t>
      </w:r>
    </w:p>
    <w:p>
      <w:pPr>
        <w:spacing w:after="0" w:line="117" w:lineRule="exact"/>
        <w:rPr>
          <w:rFonts w:ascii="Times New Roman" w:cs="Times New Roman" w:eastAsia="Times New Roman" w:hAnsi="Times New Roman"/>
          <w:sz w:val="18"/>
          <w:szCs w:val="18"/>
          <w:color w:val="auto"/>
        </w:rPr>
      </w:pPr>
    </w:p>
    <w:p>
      <w:pPr>
        <w:ind w:left="2360" w:right="120" w:hanging="1218"/>
        <w:spacing w:after="0" w:line="282" w:lineRule="auto"/>
        <w:tabs>
          <w:tab w:leader="none" w:pos="2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or outbreak of disease, including the emergence of new variants of the COVID-19 pandemic, on our business, suppliers, and customers;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automatically renews. We currently rely on Bosch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unable to maintain our relationship with Bosch or TSMC, our ability to produce high-quality products could suffer, which in turn could harm our business, financial condition, and results of operations.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86%, 88%, and 94% of our revenue for the years ended December 31, 2023, 2022, and 2021,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1" w:lineRule="exact"/>
        <w:rPr>
          <w:sz w:val="20"/>
          <w:szCs w:val="20"/>
          <w:color w:val="auto"/>
        </w:rPr>
      </w:pPr>
    </w:p>
    <w:p>
      <w:pPr>
        <w:ind w:left="2360" w:right="2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60" w:hanging="1218"/>
        <w:spacing w:after="0" w:line="282"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2360" w:right="140" w:hanging="1218"/>
        <w:spacing w:after="0" w:line="266"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2360" w:right="540" w:hanging="1218"/>
        <w:spacing w:after="0" w:line="282"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 Taiwan, and Finland;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2360" w:right="600" w:hanging="1218"/>
        <w:spacing w:after="0" w:line="282"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 such as the worldwide COVID-19 pandemic;</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the COVID-19 pandemic.</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spacing w:after="0" w:line="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 grow or develop in ways that we currently expect, demand for our technology may not materialize as expected, which would also negatively impact our business, financial condition, and results of operations.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Ukraine, and India.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 have had and may in the future have an adverse impact upon our business, results of operations, and financial condition.</w:t>
      </w:r>
    </w:p>
    <w:p>
      <w:pPr>
        <w:spacing w:after="0" w:line="5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including the emergence of new COVID-19 variants, may negatively and materially impact our business, results of operations, and financial condition, due to:</w:t>
      </w:r>
    </w:p>
    <w:p>
      <w:pPr>
        <w:spacing w:after="0" w:line="54" w:lineRule="exact"/>
        <w:rPr>
          <w:sz w:val="20"/>
          <w:szCs w:val="20"/>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As a result of the COVID-19 pandemic, from time to time government authorities imposed lockdowns and other restrictions. The COVID-19 pandemic impacted our workforce and the operations of our customers and suppliers. In response to the COVID-19 pandemic and related government measures, we implemented safety measures to protect our employees and contractors at our locations around the world.</w:t>
      </w:r>
    </w:p>
    <w:p>
      <w:pPr>
        <w:spacing w:after="0" w:line="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remain unclear and difficult to predict.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previous periods may not be indicative of future performance and our revenue may fluctuate over time.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revenue has fluctuated over time. Our revenue was $144.0 million, $283.6 million, and $218.8 million for the years ended December 31, 2023, 2022, and 2021,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our products, increasing competition, a decrease in the growth of our overall market or market saturation, or our failure to capitalize on growth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from large, international companies offering a wide range of timing products to smaller companies, including start-ups, specializing in narrow market verticals. Companies that we primarily compete with include, but are not limited to, Abracon LLC, Daishinku Corporation,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2360" w:right="60" w:hanging="1218"/>
        <w:spacing w:after="0" w:line="282" w:lineRule="auto"/>
        <w:tabs>
          <w:tab w:leader="none" w:pos="2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2360" w:right="640" w:hanging="1218"/>
        <w:spacing w:after="0" w:line="282" w:lineRule="auto"/>
        <w:tabs>
          <w:tab w:leader="none" w:pos="2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2360" w:right="80" w:hanging="1218"/>
        <w:spacing w:after="0" w:line="282" w:lineRule="auto"/>
        <w:tabs>
          <w:tab w:leader="none" w:pos="2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certain assets and an exclusive license to certain intellectual property of Aura involves a number of risks.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expected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foregoing reasons, pursuit of an acquisition of other businesses, products, or technologies could adversely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December 31, 2023, substantially all of which are large distributors, OEMs, and system manufacturers, we had $0.1 million and $0.1 million in allowance for credit losses as of December 31, 2023 and December 31, 2022, respectively. If our credit losses, however,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December 31, 2023, a majority of our cash and short-term investment balances were maintained with Wells Fargo &amp; Co., Morgan Stanley, and U.S. Bancorp.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discussed elsewhere in this Annual Report on Form 10-K, we identified a material weakness in our internal control over financial reporting related to the misclassification of “interest received upon maturity of held-to-maturity securities” as an investing activity instead of as an operating activity in the respective condensed consolidated statements of cash flows for the periods ended March 31, 2023, June 30, 2023, and September 30, 2023. A material weakness is a deficiency, or 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 Management, under the oversight from the Audit Committee, is implementing additional review procedures to enhance our internal control over financial reporting with respect to the statement of cash flows in order to remediate the material weakness. These review procedures include the development of a review checklist to ensure that we will apply the applicable accounting guidance under Accounting Standards Codification ("ASC") 230, Statement of Cash Flows.</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material weakness described above or any in future periods, we face potential for adverse regulatory consequences, including investigations, penalties or suspensions by the SEC or Nasdaq, litigation or other disputes which may include, among others, claims invoking the federal and state securities laws, contractual claims, or other claims arising from the restatement and material weakness in our internal control over financial reporting and the preparation of our consolidated financial statements. Any such regulatory consequences, litigation, claim, or dispute, whether successful or not, could subject us to additional costs, divert the attention of our management, or impair our reputation. Each of these consequences could have a material adverse effect on our business, results of operations and financial condition.</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identify future material weaknesses in our internal controls over financial reporting or fail to meet the demands that will be placed upon us as a public company, including the requirements of the Sarbanes-Oxley Act of 2002,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spacing w:after="0" w:line="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as well as environmental, social, and governance initiatives, could impose substantial costs and may adversely affect our business.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Increasingly customers, regulators, investors, employees, and other stakeholders are focusing on environmental, social, and governance ("ESG") matters. While we have certain ESG initiatives, there is no assurance that customers, regulators, investors, and employees will determine that these programs are sufficient. Any actual or perceived shortcomings with respect to our ESG initiatives and reporting can impact our ability to retain certain customers or increase our customer base, reelect our board of directors, attract and retain certain types of investors, or hire and retain employees. Collecting, measuring, and reporting ESG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 adverse effect on our overall tax rate, along with increasing the complexity, burden and cost of tax compliance, all of which could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and other legal obligations related to privacy, data protection, and data security could adversely affect us.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worldwide related to privacy, data protection, and data security, such as the European Union’s General Data Protection Regulation (GDPR)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8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w:t>
      </w:r>
    </w:p>
    <w:p>
      <w:pPr>
        <w:spacing w:after="0" w:line="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attacks, exploitation of compromised commercial software, bugs and other security weaknesses and vulnerabilities,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we had U.S. federal, state and foreign net operating loss (“NOL”), carryforwards of approximately $230.2 million, $83.7 million and $1.7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that it will not prohibit us from eventually utilizing our carryforwards. We updated the Section 382 analysis through December 31, 2023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2023, we had 119 issued U.S. patents, expiring generally between 2026 and 2040 and 42 pending U.S. patent applications (including 13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2280" w:hanging="1138"/>
        <w:spacing w:after="0"/>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2280" w:right="600" w:hanging="1138"/>
        <w:spacing w:after="0" w:line="282" w:lineRule="auto"/>
        <w:tabs>
          <w:tab w:leader="none" w:pos="2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2280" w:right="180" w:hanging="1138"/>
        <w:spacing w:after="0" w:line="282" w:lineRule="auto"/>
        <w:tabs>
          <w:tab w:leader="none" w:pos="2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right="80" w:hanging="1138"/>
        <w:spacing w:after="0" w:line="282" w:lineRule="auto"/>
        <w:tabs>
          <w:tab w:leader="none" w:pos="2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MegaChips Corporation’s Ownership Position in Our Common Stock</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MegaChips owns 4,700,000 shares of our common stock, representing approximately 20.7% of our outstanding common stock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so long as MegaChips or its successors in interest continue to hold the largest ownership position in our outstanding common stock, we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MegaChips to continue to hold at least one out of eight seats on our board of directors, and to be influential in electing members of our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MegaChips continues to be our largest stockholder, it will continue to have significant influence over us.</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spacing w:after="0" w:line="68" w:lineRule="exact"/>
        <w:rPr>
          <w:sz w:val="20"/>
          <w:szCs w:val="20"/>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business opportunities that may be suitable for us and MegaChips;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MegaChips’ significant ownership position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2280" w:hanging="1138"/>
        <w:spacing w:after="0"/>
        <w:tabs>
          <w:tab w:leader="none" w:pos="2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MegaChips of all or any portion of its ownership interest in us;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may not be able to resolve any potential conflicts, and even if we do, the resolution may be less favorable than if we were dealing with an unaffiliated party.</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could be potential conflicts of interest between us and affiliates of MegaChips, which could impact our business and operating results.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6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2280" w:right="140" w:hanging="1138"/>
        <w:spacing w:after="0" w:line="282" w:lineRule="auto"/>
        <w:tabs>
          <w:tab w:leader="none" w:pos="2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2280" w:right="380" w:hanging="1138"/>
        <w:spacing w:after="0" w:line="282" w:lineRule="auto"/>
        <w:tabs>
          <w:tab w:leader="none" w:pos="2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2280" w:right="20" w:hanging="1138"/>
        <w:spacing w:after="0" w:line="282" w:lineRule="auto"/>
        <w:tabs>
          <w:tab w:leader="none" w:pos="2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280" w:right="240" w:hanging="1138"/>
        <w:spacing w:after="0" w:line="282" w:lineRule="auto"/>
        <w:tabs>
          <w:tab w:leader="none" w:pos="2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2280" w:hanging="1138"/>
        <w:spacing w:after="0"/>
        <w:tabs>
          <w:tab w:leader="none" w:pos="2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2280" w:right="580" w:hanging="1138"/>
        <w:spacing w:after="0" w:line="282" w:lineRule="auto"/>
        <w:tabs>
          <w:tab w:leader="none" w:pos="2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right="460" w:hanging="1138"/>
        <w:spacing w:after="0" w:line="282" w:lineRule="auto"/>
        <w:tabs>
          <w:tab w:leader="none" w:pos="2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2280" w:right="360" w:hanging="1138"/>
        <w:spacing w:after="0" w:line="282" w:lineRule="auto"/>
        <w:tabs>
          <w:tab w:leader="none" w:pos="2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280" w:right="160" w:hanging="1138"/>
        <w:spacing w:after="0" w:line="282" w:lineRule="auto"/>
        <w:tabs>
          <w:tab w:leader="none" w:pos="2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2280" w:right="200" w:hanging="1138"/>
        <w:spacing w:after="0" w:line="282" w:lineRule="auto"/>
        <w:tabs>
          <w:tab w:leader="none" w:pos="2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geopolitical activities, war, incidents of terrorism, natural disasters, pandemics, or responses to these events.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risks from cybersecurity threats. These policies and processes are intended to protect the confidentiality, integrity, and availability of our critical information systems and our critical data, including intellectual property and confidential information that is proprietary, strategic, or competitive in nature (“Information Systems and Data”).</w:t>
      </w:r>
    </w:p>
    <w:p>
      <w:pPr>
        <w:spacing w:after="0" w:line="6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IT management team, with oversight by our board of directors (“Board”) and audit committee of the Board (“Audit Committee”), helps identify, assess, and manage risks from cybersecurity threats by monitoring and evaluating threats through our cybersecurity risk management program, which leverages the National Institute of Standards and Technology Cybersecurity Framework.</w:t>
      </w:r>
    </w:p>
    <w:p>
      <w:pPr>
        <w:spacing w:after="0" w:line="6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incorporates a variety of methods to manage and mitigate material risks from cybersecurity threats to our Information Systems and Data, including:</w:t>
      </w:r>
    </w:p>
    <w:p>
      <w:pPr>
        <w:spacing w:after="0" w:line="54" w:lineRule="exact"/>
        <w:rPr>
          <w:sz w:val="20"/>
          <w:szCs w:val="20"/>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cybersecurity risks to our Information Systems and Data;</w:t>
      </w:r>
    </w:p>
    <w:p>
      <w:pPr>
        <w:spacing w:after="0" w:line="117" w:lineRule="exact"/>
        <w:rPr>
          <w:rFonts w:ascii="Times New Roman" w:cs="Times New Roman" w:eastAsia="Times New Roman" w:hAnsi="Times New Roman"/>
          <w:sz w:val="18"/>
          <w:szCs w:val="18"/>
          <w:color w:val="auto"/>
        </w:rPr>
      </w:pPr>
    </w:p>
    <w:p>
      <w:pPr>
        <w:ind w:left="1960" w:right="220" w:hanging="656"/>
        <w:spacing w:after="0" w:line="282" w:lineRule="auto"/>
        <w:tabs>
          <w:tab w:leader="none" w:pos="1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960" w:right="580" w:hanging="656"/>
        <w:spacing w:after="0" w:line="282" w:lineRule="auto"/>
        <w:tabs>
          <w:tab w:leader="none" w:pos="1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training of our employees at all levels and in all departments regarding cybersecurity awareness and protection of confidential information; and</w:t>
      </w:r>
    </w:p>
    <w:p>
      <w:pPr>
        <w:spacing w:after="0" w:line="5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detecting and responding to cybersecurity incidents.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Additionally, our cybersecurity risk management program incorporates a variety of tools and services to assess, identify, and manage material risks from cybersecurity threats, including regular network and endpoint monitoring, vulnerability assessments, and penetration testing.</w:t>
      </w:r>
    </w:p>
    <w:p>
      <w:pPr>
        <w:spacing w:after="0" w:line="5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 our overall enterprise risk management program. For example, our IT team works with management to prioritize our risk management processes and mitigate cybersecurity threats that are more likely to lead to a material impact on our business.</w:t>
      </w:r>
    </w:p>
    <w:p>
      <w:pPr>
        <w:spacing w:after="0" w:line="6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also seeks to manage cybersecurity risks associated with our use of third-party service providers through risk assessments and imposition of contractual obligations.</w:t>
      </w:r>
    </w:p>
    <w:p>
      <w:pPr>
        <w:spacing w:after="0" w:line="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a description of risks from cybersecurity threats that may materially affect the Company and how they may do so, see Item 1A “Risk Factors” in this annual report on form 10-K, including the risk factors entitled “</w:t>
      </w:r>
      <w:r>
        <w:rPr>
          <w:rFonts w:ascii="Times New Roman" w:cs="Times New Roman" w:eastAsia="Times New Roman" w:hAnsi="Times New Roman"/>
          <w:sz w:val="18"/>
          <w:szCs w:val="18"/>
          <w:i w:val="1"/>
          <w:iCs w:val="1"/>
          <w:color w:val="auto"/>
        </w:rPr>
        <w:t>Security breaches, cyberattacks, and other disruptions to information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owned or maintained by us or third parties, such as vendors or suppliers, could disrupt our operations, compromise the confidentiality of private customer data or our intellectual property, and adversely affect our business, reputation, operations, and financial results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may be impacted by information technology system failures or network disruptions, and lack of redundancy</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overall risk oversight function and has delegated to the Audit Committee oversight of cybersecurity matters and other policies and internal controls regarding information security risks. The Audit Committee oversees management’s implementation of our cybersecurity risk management program.</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receives quarterly reports from management on our cybersecurity risks. In addition, management will update the Audit Committee, as necessary, regarding any significant cybersecurity incidents. The Audit Committee reports to the full Board regarding its activities, including those related to cybersecurity. The full Board also receives a briefing from management on our cyber risk management program at least annually.</w:t>
      </w:r>
    </w:p>
    <w:p>
      <w:pPr>
        <w:spacing w:after="0" w:line="6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IT management team,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Legal Officer. Our IT management team supervises both our internal cybersecurity personnel and any retained external cybersecurity consultants. Our Senior Director of IT has served in various roles in information technology and information security for over 25 years.</w:t>
      </w:r>
    </w:p>
    <w:p>
      <w:pPr>
        <w:spacing w:after="0" w:line="7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a team of business leaders, including, but not limited to, our Chief Legal Officer, Executive Vice President and Chief Financial Officer, Executive Vice President of Engineering and Technology, and Executive Vice President of Operations. This team of business leaders works with our incident response team to help determine the severity of the impact of a cybersecurity incident, as well as to help mitigate and remediate cybersecurity incidents of which they are notified.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Outside of the United States, we also lease facilities in various international locations that are used for research and development, sales, business development, operations, and administrative support. These international facilities are mainly located in Japan, Malaysia, the Netherlands, Taiwan, and Ukraine. We do not own any real property. We believe that our leased facilities are adequate to meet our current needs and that additional facilities will be available on commercially reasonable terms for lease to meet future needs.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660"/>
        <w:spacing w:after="0"/>
        <w:rPr>
          <w:sz w:val="20"/>
          <w:szCs w:val="20"/>
          <w:color w:val="auto"/>
        </w:rPr>
      </w:pPr>
      <w:r>
        <w:rPr>
          <w:rFonts w:ascii="Times New Roman" w:cs="Times New Roman" w:eastAsia="Times New Roman" w:hAnsi="Times New Roman"/>
          <w:sz w:val="18"/>
          <w:szCs w:val="18"/>
          <w:color w:val="auto"/>
        </w:rPr>
        <w:t>Our common stock has been quoted on the Nasdaq Global Market under the symbol “SITM” since our initial public offering in November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15, 2024, there were 28 holders of record (not including beneficial holders of stock held in street names)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common stock. Our board of directors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line graph compares for the period beginning November 21, 2019, the initial trading date of our common stock on the Nasdaq Global Market, and ending on December 31, 2023, the last day of our fiscal year, the cumulative total stockholder return for our common stock, the Nasdaq Composite Index and Philadelphia Semiconductor Index and assumes reinvestment of any dividends.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128270</wp:posOffset>
            </wp:positionV>
            <wp:extent cx="4629150" cy="3257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4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Company Name/Index</w:t>
            </w:r>
          </w:p>
        </w:tc>
        <w:tc>
          <w:tcPr>
            <w:tcW w:w="12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11/21/2019</w:t>
            </w:r>
          </w:p>
        </w:tc>
        <w:tc>
          <w:tcPr>
            <w:tcW w:w="100" w:type="dxa"/>
            <w:vAlign w:val="bottom"/>
          </w:tcPr>
          <w:p>
            <w:pPr>
              <w:spacing w:after="0"/>
              <w:rPr>
                <w:sz w:val="13"/>
                <w:szCs w:val="13"/>
                <w:color w:val="auto"/>
              </w:rPr>
            </w:pPr>
          </w:p>
        </w:tc>
        <w:tc>
          <w:tcPr>
            <w:tcW w:w="1280" w:type="dxa"/>
            <w:vAlign w:val="bottom"/>
          </w:tcPr>
          <w:p>
            <w:pPr>
              <w:jc w:val="right"/>
              <w:ind w:right="416"/>
              <w:spacing w:after="0" w:line="14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80" w:type="dxa"/>
            <w:vAlign w:val="bottom"/>
          </w:tcPr>
          <w:p>
            <w:pPr>
              <w:jc w:val="right"/>
              <w:ind w:right="417"/>
              <w:spacing w:after="0" w:line="14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280" w:type="dxa"/>
            <w:vAlign w:val="bottom"/>
          </w:tcPr>
          <w:p>
            <w:pPr>
              <w:jc w:val="right"/>
              <w:ind w:right="417"/>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360" w:type="dxa"/>
            <w:vAlign w:val="bottom"/>
          </w:tcPr>
          <w:p>
            <w:pPr>
              <w:jc w:val="right"/>
              <w:ind w:right="497"/>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jc w:val="right"/>
              <w:ind w:right="417"/>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00" w:type="dxa"/>
            <w:vAlign w:val="bottom"/>
            <w:tcBorders>
              <w:top w:val="single" w:sz="8" w:color="auto"/>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SiTime Corporation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601.30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Pr>
          <w:p>
            <w:pPr>
              <w:spacing w:after="0"/>
              <w:rPr>
                <w:sz w:val="21"/>
                <w:szCs w:val="21"/>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122.73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Philadelphia Semiconductor index</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149.55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Part I, Item 1A.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many of humankind’s greatest inventions and technological advances. Timing technology has continued to evolve over centuries, forming a critical aspect of broader technological evolution. Timing is the heartbeat of digital electronic systems, ensuring that the system runs smoothly and reliably by providing and distributing clock signals to various critical components such as central processing units, communication and interface ICs, and radio frequency components. As electronics evolve to deliver higher performance levels, even in increasingly challenging environments, while also being more complex and size-constrained, we believe they will require more semiconductor-based sophisticated timing solutions that cannot be developed in legacy quartz crystal-based technologies. Precision timing, a category that we created (“Precision Timing”), fills this need with the performance, power, size, and cost that is required by these new applications.</w:t>
      </w:r>
    </w:p>
    <w:p>
      <w:pPr>
        <w:spacing w:after="0" w:line="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IoT and consumer.</w:t>
      </w:r>
    </w:p>
    <w:p>
      <w:pPr>
        <w:spacing w:after="0" w:line="7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current solutions include various types of oscillators, as well as clock integrated circuits ("ICs"), and resonators. Our all-silicon solutions are based on three fundamental areas of expertise: micro-electro-mechanical systems (“MEMS”), analog mixed-signal design capabilities, and advanced system-level integration expertise.</w:t>
      </w:r>
    </w:p>
    <w:p>
      <w:pPr>
        <w:spacing w:after="0" w:line="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the heart of our Precision Timing solutions are our MEMS, analog/mixed-signal, and systems technologies. We have a deep understanding of mechanical, electrical, and thermal properties of materials, which is a key requirement for developing our proprietary MEMS processes. To maximize MEMS first-silicon success, we have also developed our own MEMS simulation tools. Our analog/mixed-signal die are developed using industry-standard processes and deliver high levels of performance using programmable phase-locked loops, temperature sensors, regulators, data converters, drivers and other building blocks.</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2023, we advanced our technology and expanded our product portfolio, including with the closing of an agreement with Aura Semiconductor Pvt. Ltd. and certain of its affiliated entities (together, “Aura”) in December 2023 for the acquisition of certain assets and an exclusive license to certain intellectual property from Aura. The agreement provides that the intellectual property underlying the license from Aura will be delivered on an ongoing and periodic basis through July 2025. The purchase price for the transaction is approximately $148 million in cash, and we paid approximately $36 million at closing in December 2023. The remaining purchase price for the transaction will be paid on a periodic basis upon Aura delivering products that meet certain specified criteria and contain the licensed intellectual property. The consideration payable to Aura for the transaction also includes potential earnout payments based on agreed multiples of net revenue generated by sales by us of products containing licensed intellectual property through calendar year 2028, up to a maximum aggregate amount of $120 million. The agreement with Aura contains certain covenants and restrictions, including certain geographic restrictions providing that for five years following closing of the transaction we are prohibited from selling products containing certain intellectual property licensed from Aura to entities with group headquarters of the design win customer located in the People's Republic of China ("PRC"), and Aura is prohibited from selling products containing certain intellectual property licensed to us to entities with group headquarters of the design win customer located outside the PRC.</w:t>
      </w:r>
    </w:p>
    <w:p>
      <w:pPr>
        <w:spacing w:after="0" w:line="8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Historically, our revenue has been substantially delivered from sales of oscillator systems across our target end markets. In addition to oscillators, we have expanded our product portfolio to include clock IC and timing sync solutions. We seek to expand our presence in our end markets across all product categories.</w:t>
      </w:r>
    </w:p>
    <w:p>
      <w:pPr>
        <w:spacing w:after="0" w:line="68"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needs by working directly with our sales personnel or our distributors or by shopping on our online store, SiTimeDirect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operate a fabless business model, allowing us to focus on the design, sales, and marketing of our products, quickly scale production, and significantly reduce our capital expenditures by using the semiconductor industry manufacturing infrastructure.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spacing w:after="0" w:line="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2020 and 2021 there were a number of industry-wide supply constraints affecting the supply of analog circuits manufactured by certain foundries, including Taiwan Semiconductor Manufacturing Company, and affecting outsourced semiconductor assembly and test providers. We believe that the effects of the industry-wide supply constraints on other timing device suppliers contributed in part to our revenue and gross margin growth in 2021 and the first half of 2022. In 2022 and 2023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believe that some of our customers built up inventory of our products in 2022 to overcome the industry-wide supply constraints that occurred in the previous periods and that the macroeconomic events in 2022 and 2023 led to reduced demand for our customers' products, which led to an inventory buildup at some of our customers and their affiliates, partners and contract manufacturers, which has adversely affected sales of our products. We believe that this inventory buildup will negatively impact the sales of our products until such inventory buildup is reduced and could result in decreases in our sales and margins, and could materially harm our results of operations. The future effects of macroeconomic events on our business and results of operations, including inventory levels at our customer and their affiliates, partners, and contract manufacturers as well as demand for our products, are uncertain and difficult to predict. For additional discussion please see Part 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COVID-19 pandemic impacted our workforce and the operations of our customers and suppliers during 2022, however in 2023 it did not have a material impact on our workforce or, to our knowledge, the operations of our customers or suppliers.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Customer Orders and Forecasts</w:t>
      </w:r>
    </w:p>
    <w:p>
      <w:pPr>
        <w:spacing w:after="0" w:line="12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p>
    <w:p>
      <w:pPr>
        <w:spacing w:after="0" w:line="121"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and Product Life Cycles</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Once customers design our Precision Timing solutions into their products, we closely monitor all aspects of their demand cycle, including the initial design phase, prototype production, volume production, and inventories, as well as end-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Adoption within New Markets and Applications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Pricing, Product Cost, and Product Mix</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Cyclical Nature of the Semiconductor Industry</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and accelerated erosion of average selling prices. Any prolonged or significant downturn in the semiconductor industry generally could adversely affect our business and reduce demand for our products and otherwise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43"/>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5"/>
        </w:trPr>
        <w:tc>
          <w:tcPr>
            <w:tcW w:w="358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8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and comprehensive income</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discussion of changes in our results of operations from fiscal 2021 to fiscal 2022 has been omitted from this Annual Report on Form 10-K, but may be found in “Part II, Item 7. Management’s Discussion and Analysis of Financial Condition and Results of Operations” of our Form 10-K for fiscal 2022 filed with the SEC on February 27,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 2023 vs 2022</w:t>
            </w:r>
          </w:p>
        </w:tc>
      </w:tr>
      <w:tr>
        <w:trPr>
          <w:trHeight w:val="37"/>
        </w:trPr>
        <w:tc>
          <w:tcPr>
            <w:tcW w:w="3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7"/>
        </w:trPr>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240" w:type="dxa"/>
            <w:vAlign w:val="bottom"/>
          </w:tcPr>
          <w:p>
            <w:pPr>
              <w:spacing w:after="0"/>
              <w:rPr>
                <w:sz w:val="19"/>
                <w:szCs w:val="19"/>
                <w:color w:val="auto"/>
              </w:rPr>
            </w:pPr>
          </w:p>
        </w:tc>
      </w:tr>
      <w:tr>
        <w:trPr>
          <w:trHeight w:val="37"/>
        </w:trPr>
        <w:tc>
          <w:tcPr>
            <w:tcW w:w="3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143,993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283,605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218,808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3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Revenue decreased by $139.6 million, or 49%, for 2023 compared to 2022. The decrease was primarily related to a decrease in sales volume by 47% as well as decrease in ASPs. Lower sales volume was driven by lower demand for our products due to macroeconomic conditions, and excess inventory buildup at many of our customers and end-customers, distributors and their affiliates, partners, and contract manufacturers. Lower ASPs of our products was primarily related to change in mix of the products we shipped.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top ten direct customers, including distributors, accounted for approximately 82%, 74% and 76% of net revenues in 2023, 2022, and 2021, respectively. Four customers in 2023 and three customers each in 2022, and 2021, which are distributors of our products, each accounted for more than 10% of our net revenues. International sales represented approximately 86%, 88%, and 94% of net revenues in 2023, 2022, and 2021,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 2023 vs 2022</w:t>
            </w:r>
          </w:p>
        </w:tc>
      </w:tr>
      <w:tr>
        <w:trPr>
          <w:trHeight w:val="37"/>
        </w:trPr>
        <w:tc>
          <w:tcPr>
            <w:tcW w:w="3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7"/>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
        </w:trPr>
        <w:tc>
          <w:tcPr>
            <w:tcW w:w="3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100,643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79,346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182,962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139,462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
        </w:trPr>
        <w:tc>
          <w:tcPr>
            <w:tcW w:w="3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Gross profit decreased by $100.9 million in the year ended December 31, 2023 compared to the same period in 2022. Gross profit decreased $104.2 million mainly from lower revenue. This decrease was partially offset by lower other manufacturing and overhead costs of $3.3 million.</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Gross margin was lower by 8% in the year ended December 31, 2023 compared to the same period in 2022. Of the decrease, 6% was mainly due to lower sales volume causing an unfavorable absorption of our manufacturing overhead costs and the additional 2% decline was contributed by lower ASP for the year ended December 31, 2023.</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2023 vs 2022</w:t>
            </w:r>
          </w:p>
        </w:tc>
      </w:tr>
      <w:tr>
        <w:trPr>
          <w:trHeight w:val="37"/>
        </w:trPr>
        <w:tc>
          <w:tcPr>
            <w:tcW w:w="3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
        </w:trPr>
        <w:tc>
          <w:tcPr>
            <w:tcW w:w="3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189,288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which include stock-based compensation, as well as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$7.3 million, or 8%, for the year ended December 31, 2023 compared to the same period in 2022, primarily due to an increase in stock-based compensation expense of $7.7 million, a decrease in non-recurring engineering contra-expense recognized of $5.1 million, an increase in depreciation and amortization of lab equipment and licenses of $2.7 million, and higher personnel costs of $1.4 million due to increased headcount, partially offset by lower engineering spend towards ongoing new product development of $9.5 million.</w:t>
      </w:r>
    </w:p>
    <w:p>
      <w:pPr>
        <w:spacing w:after="0" w:line="7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we will enter into a non-recurring engineering arrangement or recognize such contra-expense in any future period. Based on our current contracts, we expect the non-recurring engineering contra-expense to decline in future periods.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8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$7.4 million, or 10%, for the year ended December 31, 2023 compared to the same period in 2022, primarily due to higher stock-based compensation expense of $10.8 million, higher personnel costs of $1.0 million related to increased headcount, partially offset by $2.4 million reduction in sales commission payouts due to lower sales, lower consulting fees of $1.0 million, and lower advertising spend of $0.7 million.</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Acquisition related costs include legal, regulatory, and other costs incurred towards the acquisition closed during the fiscal year. We expect these costs to be dependent on the occurrence of future acquisitions and to be non-recurring. The acquisition related costs incurred for the year ended December 31, 2023 were related to the completion of the Aura transaction. We may incur incremental costs in 2024 and beyond related to the Aura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Expense,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and other expense consists primarily of interest income on our cash balances, and foreign exchange gains and losses.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2023 vs 2022</w:t>
            </w:r>
          </w:p>
        </w:tc>
      </w:tr>
      <w:tr>
        <w:trPr>
          <w:trHeight w:val="37"/>
        </w:trPr>
        <w:tc>
          <w:tcPr>
            <w:tcW w:w="3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7"/>
        </w:trPr>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3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19,667</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expense,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19,623</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other expense, net increased $19.6 million for the year ended December 31, 2023 compared to the same period in 2022, primarily related to higher interest income earned on short term investments and net unrealized loss on foreign exchange rates due to increased activities in our foreign subsidiaries and unfavorable exchange rate fluctuations.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The income tax expense in foreign jurisdictions was higher due to increased operational activities in our foreign entities. We have a full valuation allowance for deferred tax assets as the realization of the full amount of our deferred tax asset is uncertain, including net operation losses (NOL), carryforwards, and tax credits related primarily to research and development. We expect to maintain this full valuation allowance until realization of the deferred tax assets becomes more likely than not. At December 31, 2023 and 2022, we had federal NOL carry-forwards of approximately $230.2 million and $213.3 million, respectively, state NOL carry-forwards of approximately $83.7 million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and $65.3 million, respectively, and foreign NOL carry-forwards of approximately $1.7 million and $1.7 million, respectively. These federal, state, and foreign net operating loss carry-forwards will expire beginning in 2028. At December 31, 2023 and 2022, we had research and development tax credit carryforwards of approximately $3.9 million and $3.9 million, respectively for U.S. federal income tax purposes and $3.6 million and $3.6 million, respectively for state income tax purposes. The research and development credit carryforwards for federal tax purposes will begin to expire in 2025, and state tax credits carry forward indefinitely.</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2023 vs 2022</w:t>
            </w:r>
          </w:p>
        </w:tc>
      </w:tr>
      <w:tr>
        <w:trPr>
          <w:trHeight w:val="37"/>
        </w:trPr>
        <w:tc>
          <w:tcPr>
            <w:tcW w:w="3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
        </w:trPr>
        <w:tc>
          <w:tcPr>
            <w:tcW w:w="3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3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As of December 31, 2023 and 2022, we had cash and cash equivalents of $9.5 million and $34.6 million, respectively. As of December 31, 2023 we also held $518.7 million of short-term investments in held-to-maturity securities which consisted of Treasury Bills. Our principal use of cash is to fund our operations, to support growth through capital investments, and to acquire complementary businesses, products, services, or technologies in the future.</w:t>
      </w:r>
    </w:p>
    <w:p>
      <w:pPr>
        <w:spacing w:after="0" w:line="50"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In February 2021, we completed a follow-on public offering, in which we issued and sold 1,500,000 shares of our common stock, resulting in net proceeds to us of $181.6 million after deducting underwriting discounts and commissions and offering costs.</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2021, we completed a follow-on public offering, in which we issued and sold 1,300,000 shares of our common stock, resulting in net proceeds to us of $279.0 million after deducting underwriting discounts and commissions and offering costs.</w:t>
      </w:r>
    </w:p>
    <w:p>
      <w:pPr>
        <w:spacing w:after="0" w:line="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The Company used the net proceeds from the shares of common stock offered and sold to replenish funds expended to satisfy tax withholding and remittance obligations related to the net settlement upon vesting of restricted stock unit awards (“RSU”) granted to employees under the equity incentive plans. During the year ended December 31, 2023, we sold 400,000 shares of our common stock under the Sales Agreement at a weighted average price of $115.06 per share resulting in net proceeds to us of $44.8 million, after deducting underwriting discounts and commissions and offering costs.</w:t>
      </w:r>
    </w:p>
    <w:p>
      <w:pPr>
        <w:spacing w:after="0" w:line="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purchase obligations primarily include design and simulation licenses. For information about our contractual obligations refer to "Note 5 - Lease" and “Note 6 – Commitments and Contingencies” of the Notes to Consolidated Financial Statements.</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7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4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4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
        </w:trPr>
        <w:tc>
          <w:tcPr>
            <w:tcW w:w="4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59,078</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w:t>
            </w: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460,646</w:t>
            </w: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485,936</w:t>
            </w:r>
          </w:p>
        </w:tc>
      </w:tr>
      <w:tr>
        <w:trPr>
          <w:trHeight w:val="21"/>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2023, net cash provided by operating activities of $8.1 million was primarily due to net loss of $80.5 million and a change in operating assets and liabilities of $4.3 million, offset by depreciation and amortization, stock-based compensation expense, net change in unrealized interest on held to maturity securities, change in fair value of sales based earnout liability and acquisition consideration payable for a total of $92.9 million. The changes in operating assets and liabilities resulted in cash provided primarily due to lower accounts receivable due to timing of shipments offset by an increase in inventories as we managed our inventory levels, higher prepaid expenses and other assets, lower accrued expenses and other liabilities due to timing of payments and a decrease in accounts payable.</w:t>
      </w:r>
    </w:p>
    <w:p>
      <w:pPr>
        <w:spacing w:after="0" w:line="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2022, net cash provided by operating activities of $39.8 million was primarily due to net income of $23.3 million and depreciation and amortization, stock-based compensation expense, and net change in unrealized interest on held to maturity investments of $67.5 million, partially offset by a change in operating assets and liabilities of $51.0 million. The changes in operating assets and liabilities resulted in cash provided primarily due to higher accounts receivable due to timing of shipments, an increase in inventories as we managed our inventory levels, higher prepaid expenses and other assets related to advance payments to suppliers for inventory and royalties, offset by an increase in accounts payable and lower accrued expenses and other liabilities due to timing of payments.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of short-term investments,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2023, cash used in investing activities was $36.7 million. We paid $1,046.4 million to purchase short-term investments in held-to-maturity securities and $39.0 million for the acquisition of certain assets and the exclusive license to certain intellectual property from Aura. We paid $8.9 million largely to purchase test and other manufacturing equipment to support our operations and other property and equipment for general business purposes. We paid $3.3 million to purchase intangible assets in software licenses. All such payments were partially offset by $1,061.0 million proceeds from the maturity of held to maturity investments.</w:t>
      </w:r>
    </w:p>
    <w:p>
      <w:pPr>
        <w:spacing w:after="0" w:line="7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2022, cash used in investing activities was $560.1 million. We paid $673.4 million to purchase short-term investments in held-to-maturity securities. We paid $31.8 million largely to purchase test and other manufacturing equipment to support the increase in demand of our products and other property and equipment for general business purposes. We paid $3.9 million to purchase intangible assets in software licenses. All such payments were offset by $149.0 million proceeds from the maturity of held to maturity investments.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financing activities have primarily consisted of proceeds from issuance of shares and withholding of taxes on restricted stock units.</w:t>
      </w:r>
    </w:p>
    <w:p>
      <w:pPr>
        <w:spacing w:after="0" w:line="11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sold 400,000 shares of our common stock under the Sales Agreement resulting in net proceeds to us of $44.8 million, after deducting underwriting discounts and commissions of $0.9 million and offering costs of $0.3 million. The net proceeds from the Sales Agreement were offset by tax withholdings paid on behalf of employees for net share settlement of $41.3 million.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sold 225,334 shares of our common stock under the Sales Agreement resulting in net proceeds to us of $33.0 million, after deducting underwriting discounts and commissions of $0.7 million and offering costs of $0.2 million. The net proceeds from the Sales Agreement were offset by tax withholdings paid on behalf of employees for net share settlement of $37.6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7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derive our revenue from product sales primarily to distributors,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We determine variable consideration at the end of each reporting period, which consists primarily of price adjustments and product returns by estimating the amount of consideration we expect to receive from our customers based on historical experience. Adjustments for the variable consideration has been in the range of 2% to 4% on a quarterly basis for the current year. Our customers have limited return rights under our contracts with them.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apply the provisions of ASC 805, Business Combinations (ASC 805), in accounting for our acquisitions. ASC 805 requires that we evaluate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us to recognize separately from goodwill the assets acquired and the liabilities assumed at the acquisition date fair values, including in-process research and development. Goodwill as of the acquisition date is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valuation of acquired assets and assumed liabilities requires significant estimates, especially with respect to intangible assets, that were derived using valuation techniques and models such as the income approach. Such models require use of significant estimates including future expected revenue, expenses, capital expenditures, and other costs, and discount rates.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w:t>
      </w:r>
    </w:p>
    <w:p>
      <w:pPr>
        <w:spacing w:after="0" w:line="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have used third-party qualified specialists to assist management in determining the fair value of assets acquired and liabilities assumed. This includes assistance with the determination of economic useful lives and valuation of identifiable intangibles.</w:t>
      </w:r>
    </w:p>
    <w:p>
      <w:pPr>
        <w:spacing w:after="0" w:line="5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estimate the fair value based upon assumptions we believe to be reasonable, but which are inherently uncertain and unpredictable and, as a result, actual results may differ from our estimates. Estimates associated with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accounting for acquisitions may change as additional information becomes available regarding the assets acquired and liabilities assumed. As a result, during the measurement period, which may be up to one year from the business acquisition date, we record certain adjustments to the assets acquired and liabilities assumed with the corresponding offset to goodwill. Contingent consideration which are compensatory will be expensed over the required service period.</w:t>
      </w:r>
    </w:p>
    <w:p>
      <w:pPr>
        <w:spacing w:after="0" w:line="7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All acquisition-related costs are accounted for as expenses in the period in which they are incurred. Contingent consideration is remeasured each reporting period using Level 3 inputs, and the change in fair value, including accretion for the passage of time, is recognized in acquisition related costs in the consolidated statements of operations and comprehensive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and are stated at the lower of standard cost, determined using first-in first out method or market net realizable value. We review and set standard costs to approximate actual manufacturing costs. We perform detailed reviews of the net realizable value of inventories, both on hand as well as for inventories that we are committed to purchase at the end of each reporting period. We write-down the inventory value for estimated deterioration, excess, obsolete and other factors based on management’s assessment of future demand of our inventory. These estimates may include uncertain elements such as our demand forecast. These forecasts are developed based on current backlogs, inputs from our customers, and internal analyses which may consist of customer historical purchasing trends and level of inventory in the distributor channel, actual and anticipated design wins, market and economic conditions, technology changes, new product introductions, changes in strategic direction and other factors. If our demand forecast for specific products is greater than actual demand and we fail to reduce manufacturing output accordingly, we could be required to write down additional inventory, which would have a negative impact on our gross margin. Once written-down, inventory write-downs are not reversed until the inventory is sold or scrapped.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consolidated financial statements under Part II, Item 8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Finland, Korea, Germany, Ukraine, and India. Our results of operations and cash flows are, therefore, subject to fluctuations due to changes in foreign currency exchange rates and may be adversely affected in the future due to changes in foreign exchange rates. As of December 31, 2023, the effect of a hypothetical 10% change in foreign currency exchanges rates applicable to our business would not have had a material impact on our historical consolidated financial statements. We do not currently have a hedging policy with respect to foreign currency exchange risk.</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$9.5 million as of December 31, 2023 consisting of bank deposits, money market funds, and Treasury Bills. We also had short-term investments in held-to-maturity securities of $518.7 million consisting of Treasury Bills as of December 31, 2023. Such interest-earning instruments carry a degree of interest rate risk. During the year ended December 31, 2023 we generated $27.0 million in interest income due to higher cash, cash equivalents and short-term investment balances, and rising interest rates.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As of December 31, 2023, a hypothetical 10% increase or decrease in market interest rates would change the fair value and related interest income on our interest-earning instruments of $518.7 million, by an increase or decrease of approximately $2.7 million for the twelve months ended December 31, 2023.</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Financial Statement Schedule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399"/>
        </w:trPr>
        <w:tc>
          <w:tcPr>
            <w:tcW w:w="20" w:type="dxa"/>
            <w:vAlign w:val="bottom"/>
          </w:tcPr>
          <w:p>
            <w:pPr>
              <w:spacing w:after="0"/>
              <w:rPr>
                <w:sz w:val="24"/>
                <w:szCs w:val="24"/>
                <w:color w:val="auto"/>
              </w:rPr>
            </w:pPr>
          </w:p>
        </w:tc>
        <w:tc>
          <w:tcPr>
            <w:tcW w:w="8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(BDO USA, P.C., San Jose, California, PCAOB ID#243)</w:t>
            </w:r>
          </w:p>
        </w:tc>
        <w:tc>
          <w:tcPr>
            <w:tcW w:w="14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66"/>
        </w:trPr>
        <w:tc>
          <w:tcPr>
            <w:tcW w:w="2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760" w:type="dxa"/>
            <w:vAlign w:val="bottom"/>
            <w:gridSpan w:val="7"/>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66"/>
        </w:trPr>
        <w:tc>
          <w:tcPr>
            <w:tcW w:w="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66"/>
        </w:trPr>
        <w:tc>
          <w:tcPr>
            <w:tcW w:w="20" w:type="dxa"/>
            <w:vAlign w:val="bottom"/>
          </w:tcPr>
          <w:p>
            <w:pPr>
              <w:spacing w:after="0"/>
              <w:rPr>
                <w:sz w:val="24"/>
                <w:szCs w:val="24"/>
                <w:color w:val="auto"/>
              </w:rPr>
            </w:pPr>
          </w:p>
        </w:tc>
        <w:tc>
          <w:tcPr>
            <w:tcW w:w="35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800" w:type="dxa"/>
            <w:vAlign w:val="bottom"/>
            <w:tcBorders>
              <w:top w:val="single" w:sz="8" w:color="0000FF"/>
            </w:tcBorders>
          </w:tcPr>
          <w:p>
            <w:pPr>
              <w:spacing w:after="0"/>
              <w:rPr>
                <w:sz w:val="24"/>
                <w:szCs w:val="24"/>
                <w:color w:val="auto"/>
              </w:rPr>
            </w:pPr>
          </w:p>
        </w:tc>
        <w:tc>
          <w:tcPr>
            <w:tcW w:w="448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66"/>
        </w:trPr>
        <w:tc>
          <w:tcPr>
            <w:tcW w:w="20" w:type="dxa"/>
            <w:vAlign w:val="bottom"/>
          </w:tcPr>
          <w:p>
            <w:pPr>
              <w:spacing w:after="0"/>
              <w:rPr>
                <w:sz w:val="24"/>
                <w:szCs w:val="24"/>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980" w:type="dxa"/>
            <w:vAlign w:val="bottom"/>
            <w:gridSpan w:val="6"/>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66"/>
        </w:trPr>
        <w:tc>
          <w:tcPr>
            <w:tcW w:w="20" w:type="dxa"/>
            <w:vAlign w:val="bottom"/>
          </w:tcPr>
          <w:p>
            <w:pPr>
              <w:spacing w:after="0"/>
              <w:rPr>
                <w:sz w:val="24"/>
                <w:szCs w:val="24"/>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0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66"/>
        </w:trPr>
        <w:tc>
          <w:tcPr>
            <w:tcW w:w="20" w:type="dxa"/>
            <w:vAlign w:val="bottom"/>
          </w:tcPr>
          <w:p>
            <w:pPr>
              <w:spacing w:after="0"/>
              <w:rPr>
                <w:sz w:val="24"/>
                <w:szCs w:val="24"/>
                <w:color w:val="auto"/>
              </w:rPr>
            </w:pPr>
          </w:p>
        </w:tc>
        <w:tc>
          <w:tcPr>
            <w:tcW w:w="3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Schedule II – Valuation and Qualifying Accounts</w:t>
            </w:r>
          </w:p>
        </w:tc>
        <w:tc>
          <w:tcPr>
            <w:tcW w:w="630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952"/>
        </w:trPr>
        <w:tc>
          <w:tcPr>
            <w:tcW w:w="8400" w:type="dxa"/>
            <w:vAlign w:val="bottom"/>
            <w:gridSpan w:val="8"/>
          </w:tcPr>
          <w:p>
            <w:pPr>
              <w:jc w:val="right"/>
              <w:ind w:right="268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SiTime Corporation (the “Company”) as of December 31, 2023 and 2022, the related consolidated statements of operations and comprehensive income (loss), stockholders’ equity, and cash flows for each of the three years in the period ended December 31, 2023,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26, 2024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Aura Acquisition – Valuation of Certain Acquired Intangible Assets and Sales Based Earnout Liability</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on December 1, 2023, the Company acquired an exclusive license to certain intellectual property relating to Aura’s timing business and clock products, and an assembled workforce for total purchase consideration of $259.2 million, which included the sales based earnout liability based upon the achievement of certain earnout conditions with an initial estimated fair value of $102.3 million. The acquisition qualified as a business combination. Accordingly, the purchase consideration was allocated to the assets acquired based on their respective estimated fair values as of the date of acquisition, including developed technology of $96.7 million and in-process research and development (“IPR&amp;D”) of $69.5 million. The Company estimated the fair values of the developed technology and IPR&amp;D using the multi-period excess earnings method, which required management to make significant assumptions including revenue projections and the selection of the discount rates. The initial fair value of the sales based earnout liability was estimated using a Monte Carlo simulation using significant unobservable inputs such as revenue projections over the term of the contingent earn-out period and discount rates.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identified the valuation of the developed technology and IPR&amp;D intangible assets and the sales based earnout liability as a critical audit matter due to the significant management judgments required to determine the fair values of the developed technology and IPR&amp;D intangible assets and the sales based earnout liability. Auditing management assumptions related to the revenue projections and discount rates for the developed technology and IPR&amp;D intangible assets, and the revenue projections over the term of the contingent earn-out period, and discount rates for the sales based earnout liability, involved especially challenging and subjective auditor judgment due to the nature and extent of audit effort required to address this matter, including the involvement of professionals with specialized skill or knowledge.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660" w:right="1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controls relating to the valuation of the developed technology and IPR&amp;D intangible assets and the sales based earnout liability, including management’s controls over revenue projections and selection of discount rates.</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significant assumptions used in the revenue projections through: (i) comparing estimates of future volume demand of the related products for certain customers against market data and historical sales of existing products, and (ii) comparing estimates of average selling prices of the related products against market data and historical selling prices of comparable products.</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 in valuation to assist in: (i) assessing the appropriateness of the valuation methodologies used by management in these fair value measurements; (ii) evaluating the reasonableness of the discount rates used for the developed technology and IPR&amp;D intangible assets, and the discount rates for the sales based earnout liability; and (iii) developing independent estimates of the discount rates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34,603</w:t>
            </w:r>
          </w:p>
        </w:tc>
      </w:tr>
      <w:tr>
        <w:trPr>
          <w:trHeight w:val="24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529,494</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41,229</w:t>
            </w:r>
          </w:p>
        </w:tc>
      </w:tr>
      <w:tr>
        <w:trPr>
          <w:trHeight w:val="24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37"/>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669,067</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58,772</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64"/>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750,616</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4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42,136</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5"/>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22,692 and 21,702 shares issued and</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716,343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708,480</w:t>
            </w:r>
          </w:p>
        </w:tc>
      </w:tr>
      <w:tr>
        <w:trPr>
          <w:trHeight w:val="26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750,616</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143,993</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32,843</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and comprehensive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net income (loss) per share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(loss) per share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98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48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48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109,880</w:t>
            </w:r>
          </w:p>
        </w:tc>
        <w:tc>
          <w:tcPr>
            <w:tcW w:w="0" w:type="dxa"/>
            <w:vAlign w:val="bottom"/>
          </w:tcPr>
          <w:p>
            <w:pPr>
              <w:spacing w:after="0"/>
              <w:rPr>
                <w:sz w:val="1"/>
                <w:szCs w:val="1"/>
                <w:color w:val="auto"/>
              </w:rPr>
            </w:pPr>
          </w:p>
        </w:tc>
      </w:tr>
      <w:tr>
        <w:trPr>
          <w:trHeight w:val="23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0" w:type="dxa"/>
            <w:vAlign w:val="bottom"/>
          </w:tcPr>
          <w:p>
            <w:pPr>
              <w:spacing w:after="0"/>
              <w:rPr>
                <w:sz w:val="1"/>
                <w:szCs w:val="1"/>
                <w:color w:val="auto"/>
              </w:rPr>
            </w:pPr>
          </w:p>
        </w:tc>
      </w:tr>
      <w:tr>
        <w:trPr>
          <w:trHeight w:val="25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follow-on public offering net of underwriting</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discounts and commissions and other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460,646</w:t>
            </w:r>
          </w:p>
        </w:tc>
        <w:tc>
          <w:tcPr>
            <w:tcW w:w="0" w:type="dxa"/>
            <w:vAlign w:val="bottom"/>
          </w:tcPr>
          <w:p>
            <w:pPr>
              <w:spacing w:after="0"/>
              <w:rPr>
                <w:sz w:val="1"/>
                <w:szCs w:val="1"/>
                <w:color w:val="auto"/>
              </w:rPr>
            </w:pPr>
          </w:p>
        </w:tc>
      </w:tr>
      <w:tr>
        <w:trPr>
          <w:trHeight w:val="25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20,825</w:t>
            </w: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663,614</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632,497</w:t>
            </w:r>
          </w:p>
        </w:tc>
        <w:tc>
          <w:tcPr>
            <w:tcW w:w="0" w:type="dxa"/>
            <w:vAlign w:val="bottom"/>
          </w:tcPr>
          <w:p>
            <w:pPr>
              <w:spacing w:after="0"/>
              <w:rPr>
                <w:sz w:val="1"/>
                <w:szCs w:val="1"/>
                <w:color w:val="auto"/>
              </w:rPr>
            </w:pPr>
          </w:p>
        </w:tc>
      </w:tr>
      <w:tr>
        <w:trPr>
          <w:trHeight w:val="25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0" w:type="dxa"/>
            <w:vAlign w:val="bottom"/>
          </w:tcPr>
          <w:p>
            <w:pPr>
              <w:spacing w:after="0"/>
              <w:rPr>
                <w:sz w:val="1"/>
                <w:szCs w:val="1"/>
                <w:color w:val="auto"/>
              </w:rPr>
            </w:pPr>
          </w:p>
        </w:tc>
      </w:tr>
      <w:tr>
        <w:trPr>
          <w:trHeight w:val="23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At-The-Market offering net of</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underwriting discounts and commissions and other offering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0" w:type="dxa"/>
            <w:vAlign w:val="bottom"/>
          </w:tcPr>
          <w:p>
            <w:pPr>
              <w:spacing w:after="0"/>
              <w:rPr>
                <w:sz w:val="1"/>
                <w:szCs w:val="1"/>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 net of tax withholdings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(37,552)</w:t>
            </w: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21,702</w:t>
            </w: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716,343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708,480</w:t>
            </w:r>
          </w:p>
        </w:tc>
        <w:tc>
          <w:tcPr>
            <w:tcW w:w="0" w:type="dxa"/>
            <w:vAlign w:val="bottom"/>
          </w:tcPr>
          <w:p>
            <w:pPr>
              <w:spacing w:after="0"/>
              <w:rPr>
                <w:sz w:val="1"/>
                <w:szCs w:val="1"/>
                <w:color w:val="auto"/>
              </w:rPr>
            </w:pPr>
          </w:p>
        </w:tc>
      </w:tr>
      <w:tr>
        <w:trPr>
          <w:trHeight w:val="23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76,638</w:t>
            </w:r>
          </w:p>
        </w:tc>
        <w:tc>
          <w:tcPr>
            <w:tcW w:w="0" w:type="dxa"/>
            <w:vAlign w:val="bottom"/>
          </w:tcPr>
          <w:p>
            <w:pPr>
              <w:spacing w:after="0"/>
              <w:rPr>
                <w:sz w:val="1"/>
                <w:szCs w:val="1"/>
                <w:color w:val="auto"/>
              </w:rPr>
            </w:pPr>
          </w:p>
        </w:tc>
      </w:tr>
      <w:tr>
        <w:trPr>
          <w:trHeight w:val="25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At-The-Market offering net of</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underwriting discounts and commissions and other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44,815</w:t>
            </w:r>
          </w:p>
        </w:tc>
        <w:tc>
          <w:tcPr>
            <w:tcW w:w="0" w:type="dxa"/>
            <w:vAlign w:val="bottom"/>
          </w:tcPr>
          <w:p>
            <w:pPr>
              <w:spacing w:after="0"/>
              <w:rPr>
                <w:sz w:val="1"/>
                <w:szCs w:val="1"/>
                <w:color w:val="auto"/>
              </w:rPr>
            </w:pPr>
          </w:p>
        </w:tc>
      </w:tr>
      <w:tr>
        <w:trPr>
          <w:trHeight w:val="24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 net of tax withholdings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(41,346)</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796,450</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(88,400)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708,052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(80,535)</w:t>
            </w:r>
          </w:p>
        </w:tc>
        <w:tc>
          <w:tcPr>
            <w:tcW w:w="44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23,254</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32,277</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6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29,992</w:t>
            </w:r>
          </w:p>
        </w:tc>
      </w:tr>
      <w:tr>
        <w:trPr>
          <w:trHeight w:val="228"/>
        </w:trPr>
        <w:tc>
          <w:tcPr>
            <w:tcW w:w="6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change in unrealized interest on held to maturity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Change in fair value of sales based earnout liability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of acquisition consideration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 write-down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r>
      <w:tr>
        <w:trPr>
          <w:trHeight w:val="227"/>
        </w:trPr>
        <w:tc>
          <w:tcPr>
            <w:tcW w:w="6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8"/>
        </w:trPr>
        <w:tc>
          <w:tcPr>
            <w:tcW w:w="6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Related party 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r>
      <w:tr>
        <w:trPr>
          <w:trHeight w:val="227"/>
        </w:trPr>
        <w:tc>
          <w:tcPr>
            <w:tcW w:w="6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w:t>
            </w:r>
          </w:p>
        </w:tc>
      </w:tr>
      <w:tr>
        <w:trPr>
          <w:trHeight w:val="228"/>
        </w:trPr>
        <w:tc>
          <w:tcPr>
            <w:tcW w:w="6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9,798</w:t>
            </w:r>
          </w:p>
        </w:tc>
      </w:tr>
      <w:tr>
        <w:trPr>
          <w:trHeight w:val="221"/>
        </w:trPr>
        <w:tc>
          <w:tcPr>
            <w:tcW w:w="66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59,078</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held to maturity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maturity of held to maturity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1,060,996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of business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(30,878)</w:t>
            </w: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intangibles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(33,788)</w:t>
            </w:r>
          </w:p>
        </w:tc>
      </w:tr>
      <w:tr>
        <w:trPr>
          <w:trHeight w:val="208"/>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withholding paid on behalf of employees for net share settlement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public offering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461,264</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for offering costs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21"/>
        </w:trPr>
        <w:tc>
          <w:tcPr>
            <w:tcW w:w="66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460,646</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485,936</w:t>
            </w: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559,461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73,525</w:t>
            </w:r>
          </w:p>
        </w:tc>
      </w:tr>
      <w:tr>
        <w:trPr>
          <w:trHeight w:val="249"/>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End of period</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34,603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559,461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Unpaid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Unpaid intangibles,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28"/>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 acquired under operating leases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pre-existing arrangement in connection with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consideration payable at acquisition date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sales based earnout liability at acquisition date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Disease ("COVID-19")</w:t>
      </w:r>
    </w:p>
    <w:p>
      <w:pPr>
        <w:spacing w:after="0" w:line="12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COVID-19 pandemic impacted the Company's workforce and the operations of its customers and suppliers during 2022, however, the COVID-19 pandemic has not had a significant impact on the Company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 The consolidated financial statements include all adjustments necessary for a fair presentation of our annual results. The Company’s fiscal year begins on January 1 of the year stated and ends on December 31 of the same year. The Company reports its results on a calendar year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accompanying notes. The significant areas requiring the use of management estimates and assumptions include revenue recognition, fair value of assets acquired and liabilities assumed in business combinations, estimate of reserve for excess and obsolete inventories, and sales reserves. Actual results could differ materially from such estimates. Management believes that the estimates, and judgments upon which they rely, are reasonable based upon information available to them at the time that these estimates and judgments are made.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Remeasurement</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wholly-owned subsidiaries use the U.S. dollar as their functional currency. Foreign currency assets and liabilities are remeasured into U.S. dollars at the end-of-period exchange rates except for non-monetary assets and liabilities, which are measured at historical exchange rates. Revenue and expenses denominated in non-U.S. dollars are remeasured using an average exchange rate in effect for the period. Gains or losses from foreign currency remeasurement and transactions are included in other expense, net. For the years ended December 31, 2023, 2022, and 2021, foreign currency remeasurement and transactions gains and losses resulting in a net charge of $0.1 million, $0.1 million, and $0.5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balances in the Company’s bank checking and savings accounts and liquid short-term investments with original maturities of 90 days or less at the date of purchase, readily convertible to known amounts of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3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Valuations based on quoted prices in active markets for identical assets or liabilities that the entity has the ability to access.</w:t>
      </w:r>
    </w:p>
    <w:p>
      <w:pPr>
        <w:spacing w:after="0" w:line="11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54"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Level 3: Valuations based on inputs that are supported by little or no market activity and that are significant to the fair value of the assets or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and 2022, highly liquid money market funds of $0.4 million and $3.0 million, respectively, were valued using Level 1, of the fair value hierarchy, quoted prices in active markets for identical assets and are included in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purchased Treasury Bills with maturities ranging from 3 to 12 months, which the Company intends to hold until maturity and has classified as held-to-maturity securities. The held-to-maturity securities are recorded at amortized cost totaling $518.7 million including gross accrued interest of $8.9 million. As of December 31, 2023, the fair value and gross unrealized gain on the held-to-maturity securities was $519.0 million and $0.3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7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purchased Treasury Bills with maturities ranging from 3 to 6 months, which the Company held until maturity and classified as held-to-maturity securities. The held-to-maturity securities were recorded at amortized cost totaling $529.5 million including gross accrued interest of $5.1 million. As of December 31, 2022, the fair value and gross unrealized loss on the held-to-maturity securities was $529.2 million and $0.3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based earnout liability</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 of the sales based earnout liability is determined using a Monte Carlo simulation model using significant unobservable fair value 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as of the date of this report could have resulted in significant adjustments to the fair value. As of the date of acquisition, the Company used a volatility rate of 25%, risk-free rate ranging from 4.10% to 5.47%, and an expected term ranging from 0.04 years to 4.96 years. There were no material changes to the assumptions as of December 31, 2023.</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January 1, 2023</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fair value of sales based earnout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102,278</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fair value during the year</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103,461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Allowances for Credit Losses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allowances for credit losses.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short-term investments and accounts receivable. Substantially all of the Company's cash and cash equivalents balances are in excess of Federal Deposit Insurance Corporation insurance limits with financial institutions. Investment policies have been implemented that limit purchases of marketable debt securities to investment-grade securities.</w:t>
      </w:r>
    </w:p>
    <w:p>
      <w:pPr>
        <w:spacing w:after="0" w:line="180"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extends credit based on an evaluation of the customer’s financial condition and collateral is not typically required. The Company primarily sells its products through third-party distributors. Four distributors directly accounted for 10% or more of the Company’s revenue for the year ended December 31, 2023. Three distributors directly accounted for 10% or more of the Company’s revenue for the years ended December 31, 2022 and 2021.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discloses these customers’ percentage of revenue for the respective periods:</w:t>
      </w:r>
    </w:p>
    <w:p>
      <w:pPr>
        <w:spacing w:after="0" w:line="273" w:lineRule="exact"/>
        <w:rPr>
          <w:sz w:val="20"/>
          <w:szCs w:val="20"/>
          <w:color w:val="auto"/>
        </w:rPr>
      </w:pPr>
    </w:p>
    <w:tbl>
      <w:tblPr>
        <w:tblLayout w:type="fixed"/>
        <w:tblInd w:w="142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140" w:type="dxa"/>
            <w:vAlign w:val="bottom"/>
          </w:tcPr>
          <w:p>
            <w:pPr>
              <w:spacing w:after="0"/>
              <w:rPr>
                <w:sz w:val="16"/>
                <w:szCs w:val="16"/>
                <w:color w:val="auto"/>
              </w:rPr>
            </w:pPr>
          </w:p>
        </w:tc>
        <w:tc>
          <w:tcPr>
            <w:tcW w:w="110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7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4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Pernas Electronics Co. Ltd.</w:t>
            </w:r>
          </w:p>
        </w:tc>
        <w:tc>
          <w:tcPr>
            <w:tcW w:w="11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20%</w:t>
            </w:r>
          </w:p>
        </w:tc>
        <w:tc>
          <w:tcPr>
            <w:tcW w:w="172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 Electronics, Inc.</w:t>
            </w:r>
          </w:p>
        </w:tc>
        <w:tc>
          <w:tcPr>
            <w:tcW w:w="1100" w:type="dxa"/>
            <w:vAlign w:val="bottom"/>
            <w:tcBorders>
              <w:bottom w:val="single" w:sz="8" w:color="CCEEFF"/>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6"/>
              </w:rPr>
              <w:t>18%</w:t>
            </w:r>
          </w:p>
        </w:tc>
        <w:tc>
          <w:tcPr>
            <w:tcW w:w="1720" w:type="dxa"/>
            <w:vAlign w:val="bottom"/>
            <w:tcBorders>
              <w:bottom w:val="single" w:sz="8" w:color="CCEEFF"/>
            </w:tcBorders>
            <w:gridSpan w:val="3"/>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Quantek Technology Corporation</w:t>
            </w:r>
          </w:p>
        </w:tc>
        <w:tc>
          <w:tcPr>
            <w:tcW w:w="11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Sabre Technologies Pte. Ltd</w:t>
            </w:r>
          </w:p>
        </w:tc>
        <w:tc>
          <w:tcPr>
            <w:tcW w:w="110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6"/>
              </w:rPr>
              <w:t>10%</w:t>
            </w:r>
          </w:p>
        </w:tc>
        <w:tc>
          <w:tcPr>
            <w:tcW w:w="1720" w:type="dxa"/>
            <w:vAlign w:val="bottom"/>
            <w:gridSpan w:val="3"/>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4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Revenue from sales to one end customer through multiple distributors accounted for 21%, 20% and 22% of consolidated revenues for the years ended December 31, 2023, 2022, and 2021, respectively. No other distributors or end customers accounted for 10% or more of the Company's consolidated revenues for the years ended December 31, 2023, 2022, and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2023 and 2022 these customers accounted for 10% or more of accounts receivable:</w:t>
      </w:r>
    </w:p>
    <w:p>
      <w:pPr>
        <w:spacing w:after="0" w:line="273" w:lineRule="exact"/>
        <w:rPr>
          <w:sz w:val="20"/>
          <w:szCs w:val="20"/>
          <w:color w:val="auto"/>
        </w:rPr>
      </w:pPr>
    </w:p>
    <w:tbl>
      <w:tblPr>
        <w:tblLayout w:type="fixed"/>
        <w:tblInd w:w="142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7"/>
        </w:trPr>
        <w:tc>
          <w:tcPr>
            <w:tcW w:w="56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56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Pernas Electronics Co. Ltd.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Quantek Technology Corporation</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Sabre Technologies Pte. Ltd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 Electronics, Inc.</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6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standard cost (which approximates actual cost on a first-in, first-out basis) or net realizable value. The Company establishes provisions for excess and obsolete inventories to reduce such inventories to their estimated net realizable value based on management’s assessment of future demand and market conditions. Inventory reserve write-downs, once established, are not released until the related inventory has been sold or scrapped. Rebates from the Company’s foundries are recorded as a reduction of inventory cost and are recognized in cost of revenue over the inventory turnover days of the Company.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200"/>
          </w:cols>
          <w:pgMar w:left="320" w:top="337" w:right="37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Lab and manufacturing equipment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63" w:lineRule="exact"/>
        <w:rPr>
          <w:sz w:val="20"/>
          <w:szCs w:val="20"/>
          <w:color w:val="auto"/>
        </w:rPr>
      </w:pPr>
    </w:p>
    <w:p>
      <w:pPr>
        <w:sectPr>
          <w:pgSz w:w="11900" w:h="16838" w:orient="portrait"/>
          <w:cols w:equalWidth="0" w:num="2">
            <w:col w:w="4920" w:space="720"/>
            <w:col w:w="5560"/>
          </w:cols>
          <w:pgMar w:left="320" w:top="337"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63" w:lineRule="exact"/>
        <w:rPr>
          <w:sz w:val="20"/>
          <w:szCs w:val="20"/>
          <w:color w:val="auto"/>
        </w:rPr>
      </w:pPr>
    </w:p>
    <w:p>
      <w:pPr>
        <w:sectPr>
          <w:pgSz w:w="11900" w:h="16838" w:orient="portrait"/>
          <w:cols w:equalWidth="0" w:num="2">
            <w:col w:w="4920" w:space="720"/>
            <w:col w:w="5560"/>
          </w:cols>
          <w:pgMar w:left="320" w:top="337"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63" w:lineRule="exact"/>
        <w:rPr>
          <w:sz w:val="20"/>
          <w:szCs w:val="20"/>
          <w:color w:val="auto"/>
        </w:rPr>
      </w:pPr>
    </w:p>
    <w:p>
      <w:pPr>
        <w:sectPr>
          <w:pgSz w:w="11900" w:h="16838" w:orient="portrait"/>
          <w:cols w:equalWidth="0" w:num="2">
            <w:col w:w="4920" w:space="720"/>
            <w:col w:w="5560"/>
          </w:cols>
          <w:pgMar w:left="320" w:top="337"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Shorter of remaining lease term or estimated useful lives of the assets</w:t>
      </w:r>
    </w:p>
    <w:p>
      <w:pPr>
        <w:spacing w:after="0" w:line="211" w:lineRule="exact"/>
        <w:rPr>
          <w:sz w:val="20"/>
          <w:szCs w:val="20"/>
          <w:color w:val="auto"/>
        </w:rPr>
      </w:pPr>
    </w:p>
    <w:p>
      <w:pPr>
        <w:sectPr>
          <w:pgSz w:w="11900" w:h="16838" w:orient="portrait"/>
          <w:cols w:equalWidth="0" w:num="2">
            <w:col w:w="4920" w:space="720"/>
            <w:col w:w="5560"/>
          </w:cols>
          <w:pgMar w:left="320" w:top="337" w:right="379" w:bottom="1440" w:gutter="0" w:footer="0" w:header="0"/>
          <w:type w:val="continuous"/>
        </w:sectPr>
      </w:pPr>
    </w:p>
    <w:p>
      <w:pPr>
        <w:spacing w:after="0" w:line="25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the costs of purchased mask sets that are utilized during the photolithography phase of manufacturing its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life of 5 to 7 years. However, if significant uncertainties exist regarding the future utility of a particular mask set, then its related costs are expensed to research and development at the time the significant uncertainties are identified.</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Purchased intangible assets with finite lives are carried at cost, less accumulated amortization. Amortization is computed using the straight-line method over the estimated useful lives of the respective assets of 3 to 10 years.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also include the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 estimated useful life of 2 to 3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classification is evaluated at commencement and, as necessary, at modification. Operating lease related balances are included in right-of-use (“ROU”), assets, accrued expenses and other current liabilities, and other non-current liabilities in the Company’s consolidated balance sheets. The Company currently does not have any finance leases.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Operating lease right-of-use assets represent the Company's right to use an underlying asset for the lease term and operating lease liabilities represent the present value of the Company’s obligation to make lease payments arising from the lease. Operating lease right-of-use assets and liabilities are recognized at the present value of the future lease payments at the lease commencement date. The interest rate used to determine the present value of the future lease payments is the incremental borrowing rate of the Company, because the interest rates implicit in most of its leases are not readily determinable. The incremental borrowing rate is estimated to approximate the interest rate on a collateralized basis with similar terms and payments, and in economic environments where the leased asset is located.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Lease terms may include periods under options to extend or terminate the lease when it is reasonably certain that the Company will exercise that option. The Company generally uses the base, non-cancelable lease term when determining the lease right-of-use assets and lease liabilities. Operating lease cost is recognized on a straight-line basis over the lease term.</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elected the practical expedient within ASC Topic 842 to account for lease and non-lease components as a single lease component. Additionally, the Company has elected the short-term lease exception for all classes of assets and does not recognize right-of-use assets and lease liabilities for leases with a term of 12 months or less and recognizes lease payments for short-term leases as expense either straight-line over the lease term or as incurred depending on whether the lease payments are fixed or variable. These elections are applied consistently for all leases. Payments under the Company's lease arrangements are primarily fixed, however, certain lease agreements contain variable payments, which are expensed as incurred and not included in the operating lease right-of-use assets and liabilities. Variable lease payments are primarily comprised of common area maintenance charges and utility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Company applies the provisions of ASC 805, Business Combinations (ASC 805), in accounting for acquisitions. ASC 805 requires that the Company evaluates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the Company to recognize separately from goodwill the assets acquired and the liabilities assumed at the acquisition date fair values. Goodwill as of the business acquisition date is measured as the excess of consideration transferred over the net of the acquisition date fair values of the assets acquired and the liabilities assumed. The Company also evaluates all contingent consideration arrangements to determine if the arrangements are compensatory in nature. No liability is recognized at the acquisition date for arrangements concluded to be compensatory. While the Company uses its best estimates and assumptions to accurately value assets acquired and liabilities assumed at the business acquisition date as well as any contingent consideration, where applicable, the estimates are inherently uncertain and subject to refinement. Estimates and assumptions relevant to the determination of the fair value of the assets acquired and liabilities assumed include, but are not limited to, revenue projections, discount rates, and other assumptions.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 As a result, during the measurement period, which may be up to one year from the business acquisition date, the Company may record certain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the consolidated statements of operations. In the event an acquisition involves an entity with which the Company has a preexisting relationship, the Company will recognize a gain or loss, if any, to settle that relationship as of the acquisition date within the consolidated statement of operations and comprehensive loss .All acquisition-related costs are accounted for as expenses in the period in which they are incurred. Changes in the fair value of contingent consideration arrangements that are not measurement period adjustments are recognized in earnings.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Intangible Assets, and Other Long-Lived Assets</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on an annual basis in the fourth quarter of the Company's fiscal year, and whenever events or changes in circumstances indicate the carrying amount of goodwill may not be recoverable. The Company has elected to first assess qualitative factors to determine whether it is more likely than not that the fair value of its single reporting unit is less than its carrying amount, including goodwill. If the Company determines that it is more likely than not that the fair value is less than its carrying amount, then the quantitative impairment test will be performed. Under the quantitative impairment test, if the carrying amount exceeds its fair value, the Company will recognize an impairment loss in an amount equal to that excess but limited to the total amount of goodwill.</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events and changes in circumstances that could indicate carrying amounts of purchased intangible assets and other long-lived assets may not be recoverable. When such events or changes in circumstances occur, it assesses the recoverability of these assets or asset groups by determining whether or not the carrying amount will be recovered through undiscounted expected future cash flows. If the total of the future undiscounted cash flows is less than the carrying amount of an asset or asset group, the Company records an impairment loss for the amount by which the carrying amount exceeds the fair value of the asset or asset group.</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impairment losses on its goodwill, intangible assets, or other long-lived assets during the years ended December 31, 2023, 2022, and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 To date, the Company has had negligible returns of any defective products, and hence the warranty reserve balances as of December 31, 2023 and 2022 were less than $0.3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revenue from its product sales primarily to distributors,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The Company determines variable consideration, which consists primarily of price adjustments and product returns by estimating the amount of consideration the Company expects to receive from its customers based on historical experience of price adjustments and product returns.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94"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a practical expedient, the Company records the incremental costs of obtaining a contract, consisting primarily of sales commissions, when incurred because the amortization period is one year or less. These costs are recorded within selling, general, and administrative expenses. The Company had a distribution agreement with MegaChips, whereby the Company appointed MegaChips as the exclusive distributor of its products in Japan. The Company recognized revenue upon shipment derived from sales of products through MegaChips in the amount of expected payments from parties which purchased the products as adjusted for estimated price concessions and product returns. In connection with the Company's efforts to contract directly with distributors in Japan, the Company and MegaChips mutually terminated the Distribution Agreement effective November 3,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in cost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engineering services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certain contracts to provide non-recurring engineering (NRE) services for research and development arrangements through 2024,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achieves the milestones of the contract. As the progress towards completion occurs, the Company uses an input method based on the ratio of costs incurred to date to total estimated costs of the project. Judgment is required to estimate the remaining effort to complete the project. These estimates are reassessed throughout the term of the arrangement. A liability of $1.0 million was recorded as accrued expenses and other current liabilities, in the consolidated balance sheet as of December 31, 2023. A liability of $2.7 million and $0.2 million was recorded as accrued expenses and other current liabilities, and other non-current liabilities, respectively, in the consolidated balance sheet as of December 31, 2022. For the years ended December 31, 2023, 2022 and 2021, the Company recorded $3.9 million, $9.0 million and $2.4 million, respectively as a reduction of research and development expenses in the consolidated statements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$1.6 million, $2.3 million and $1.5 million, for the years ended December 31, 2023,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restricted stock unit awards (“RSUs”) of its own common stock. Compensation expense related to share-based transactions is measured at fair value on the grant date. The Company recognizes share-based compensation expense for awards with only service conditions on a straight-line basis over the requisite service period.</w:t>
      </w:r>
    </w:p>
    <w:p>
      <w:pPr>
        <w:spacing w:after="0" w:line="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performance-based restricted stock unit awards ("PRSU") is recognized when it becomes probable that the performance conditions will be met. The Company amortizes stock-based compensation expense for PRSUs using the graded-vesting method over the requisite performance period. The Company recognizes the expense related to the multi-year performance based restricted stock unit awards ("MYPSU") on a graded-vesting method over the requisite service period.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by the weighted-average number of shares of common stock outstanding during the period, without consideration for potentially dilutive securities. Diluted net income (loss) per share is computed by dividing the net income (loss) attributable to common stockholders by the weighted-average number of shares of common stock and potentially dilutive securities outstanding for the period. Refer to "Note 3 - Net Income (Loss) Per Share" for further discussion regarding potentially dilutive and anti-dilutive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 components of other comprehensive income loss. Therefore, net income (loss) equals comprehensive income (loss)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new accounting pronouncements with a future effective date that are considered material, or could be material,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On October 30, 2023, the Company entered into an agreement with Aura to acquire certain assets and an exclusive license to certain intellectual property ("IP") relating to Aura's timing business and clock products, and an assembled workforce. The agreement with Aura contains certain covenants and restrictions, including certain geographic restrictions providing that for five years following December 1, 2023 the Company is prohibited from selling products containing certain IP to entities with group headquarters of the design win customer located in the People's Republic of China, the Hong Kong Special Administrative Region, or the Macau Special Administrative Region and Aura is prohibited from selling products containing certain IP to entities with group headquarters of the design win customer located outside the People's Republic of China, the Hong Kong Special Administrative Region, or the Macau Special Administrative Region. The transaction closed and had an effective date of December 1, 2023.</w:t>
      </w:r>
    </w:p>
    <w:p>
      <w:pPr>
        <w:spacing w:after="0" w:line="79"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qualified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accordingly, total consideration was first allocated to the fair value of assets acquired as of the date of acquisition, with the excess being recorded as goodwill. The acquisition date fair value of the purchase consideration was $259.2 million, which was comprised of the following:</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37"/>
        </w:trPr>
        <w:tc>
          <w:tcPr>
            <w:tcW w:w="5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consideration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139,946</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sales based earnout liability</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102,278</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pre-existing arrangement</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259,198</w:t>
            </w:r>
          </w:p>
        </w:tc>
      </w:tr>
      <w:tr>
        <w:trPr>
          <w:trHeight w:val="21"/>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fixed consideration of $148.0 million, recorded at fair value of $139.9 million, includes payments for deliverables on the closing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 million and acquisition consideration payable of $103.9 million for future deliveries of related assets. The acquisition consideration payable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within accrued expenses and other current liabilities and other non-current liabilities on the consolidated balance sheet. The accretion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consideration payable for the passage of time was recorded within acquisition related costs on the consolidated statement of operations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Contingent consideration includes earnout payments paid based on various multiples of future revenues to be generated from the acquired IP from 2023 through 2028. The range of the undiscounted amounts that the Company could pay under the contingent consideration agreement is between zero and $120.0 million. The estimated fair value of the sales based earnout liability of $102.3 million is determined using the Monte Carlo simulation mode using significant unobservable fair value inputs and is therefore classified as a Level 3 financial instrument.</w:t>
      </w:r>
    </w:p>
    <w:p>
      <w:pPr>
        <w:spacing w:after="0" w:line="7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had a royalty and supply agreement with Aura for $18.0 million prior to the acquisition. As part of the acquisition, the Company acquired the license rights to the IP associated with this royalty and supply agreement and settled this pre-existing contract. The pre-existing arrangement was determined to be carried at fair value as at December 1, 2023, for an amount of $17.0 million, which was included in the purchase consideration of the Aura acquisition. Of the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amount recorded, $10.0 million has been paid prior to the acquisition date. The fair value of the effective settlement of the pre-existing arrangement was concluded to be at market using a build vs buy approach.</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preliminary purchase consideration allocation to the assets acquired based on their respective estimated fair values as of the date of acquisition is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20" w:type="dxa"/>
            <w:vAlign w:val="bottom"/>
          </w:tcPr>
          <w:p>
            <w:pPr>
              <w:spacing w:after="0"/>
              <w:rPr>
                <w:sz w:val="15"/>
                <w:szCs w:val="15"/>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to 8 years</w:t>
            </w:r>
          </w:p>
        </w:tc>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customer agreements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259,198</w:t>
            </w:r>
          </w:p>
        </w:tc>
        <w:tc>
          <w:tcPr>
            <w:tcW w:w="1620" w:type="dxa"/>
            <w:vAlign w:val="bottom"/>
            <w:tcBorders>
              <w:bottom w:val="single" w:sz="8" w:color="CCEEFF"/>
            </w:tcBorders>
            <w:shd w:val="clear" w:color="auto" w:fill="CCEEFF"/>
          </w:tcPr>
          <w:p>
            <w:pPr>
              <w:spacing w:after="0"/>
              <w:rPr>
                <w:sz w:val="24"/>
                <w:szCs w:val="24"/>
                <w:color w:val="auto"/>
              </w:rPr>
            </w:pPr>
          </w:p>
        </w:tc>
        <w:tc>
          <w:tcPr>
            <w:tcW w:w="2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developed technology and in-process research and development was estimated under the Multi-Period Excess Earnings Method and the fair value of the assumed customer agreements was estimated under the Discounted Cash Flow method. The fair value estimates for intangible assets include significant assumptions in the prospective financial information which include, but are not limited to, the revenue projections, and the discount rates. The Company used a discount rate ranging from 20.0% to 22.0%.</w:t>
      </w: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Goodwill is primarily attributed to the assembled workforce and expected synergies from acquiring the underlying IP. Goodwill from this business combination is deductible for income tax purposes.</w:t>
      </w:r>
    </w:p>
    <w:p>
      <w:pPr>
        <w:spacing w:after="0" w:line="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addition to the assets acquired, the Company also entered into a support services agreement with Aura for a period of five years, with</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$0.4 million payable each year. Costs for the support services will be recognized in cost of sales and research and development expenses in the periods in which services are received. Company will recognize the cost of these services ratably over the five-year service period. The Company concluded that the agreement was entered at market terms using a cost buildup approach.</w:t>
      </w:r>
    </w:p>
    <w:p>
      <w:pPr>
        <w:spacing w:after="0" w:line="7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Total acquisition-related costs incurred in connection with the business combination were $5.8 million and change in the fair value of acquisition related payables and sales based earnout liability was $1.9 million. All these costs are included in acquisition related costs in the consolidated statement of operations and comprehensive loss.</w:t>
      </w:r>
    </w:p>
    <w:p>
      <w:pPr>
        <w:spacing w:after="0" w:line="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Since the date of acquisition, the net impact of the Aura acquisition on the consolidated statement of operations and comprehensive income was revenue and operating loss of $0.1 million and $2.2 million, respectively, for the year ended December 31, 2023.</w:t>
      </w:r>
    </w:p>
    <w:p>
      <w:pPr>
        <w:spacing w:after="0" w:line="5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Following are the supplemental consolidated financial results of the Company on an unaudited pro forma basis, as if the acquisition had been consummated on January 1, 2022:</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3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proforma information</w:t>
            </w: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9"/>
                <w:szCs w:val="19"/>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146,343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286,105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(91,581)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supplemental pro forma information presents the combined results of operations for the years ended December 31, 2023 and 2022, as if the acquisition was completed on January 1, 2022, the first day of the fiscal year of 2022. The supplemental pro forma financial information presented above is not necessarily indicative of the financial position or results of operations that would have been realized if the acquisition had been completed on the date indicated. The supplemental pro forma financial information does not reflect synergies that might have been achieved, nor is it indicative of future operating results or financial position. The proforma financial information includes a $5.8 million nonrecurring adjustment related to third party transaction costs.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share attributable to common stockholders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4"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shares used to compute basic 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Dilutive effect of employee equity incentive plans</w:t>
            </w:r>
          </w:p>
        </w:tc>
        <w:tc>
          <w:tcPr>
            <w:tcW w:w="3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4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 diluted net income (loss) per</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54"/>
        </w:trPr>
        <w:tc>
          <w:tcPr>
            <w:tcW w:w="5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common stockholders per share,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common stockholders per share,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2023, 2022, and 2021 the Company had 1,078,089, 309,963, and 3,955 potential shares from share-based awards that are anti-dilutive, respectively. Anti-dilutive potential shares from share-based awards are excluded from the calculation of diluted loss per share for the year ended December 31, 2023 due to the net losses reported in this period.</w:t>
      </w:r>
    </w:p>
    <w:p>
      <w:pPr>
        <w:spacing w:after="0" w:line="98" w:lineRule="exact"/>
        <w:rPr>
          <w:sz w:val="20"/>
          <w:szCs w:val="20"/>
          <w:color w:val="auto"/>
        </w:rPr>
      </w:pPr>
    </w:p>
    <w:p>
      <w:pPr>
        <w:ind w:right="8900" w:firstLine="8"/>
        <w:spacing w:after="0" w:line="449" w:lineRule="auto"/>
        <w:tabs>
          <w:tab w:leader="none" w:pos="1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Sheets Components Accounts Receivable, net</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6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41,279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38,426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41,229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38,376</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5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Borders>
              <w:bottom w:val="single" w:sz="8" w:color="auto"/>
            </w:tcBorders>
            <w:gridSpan w:val="5"/>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5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651510</wp:posOffset>
            </wp:positionV>
            <wp:extent cx="55803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03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34290</wp:posOffset>
            </wp:positionV>
            <wp:extent cx="558038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0380" cy="197485"/>
                    </a:xfrm>
                    <a:prstGeom prst="rect">
                      <a:avLst/>
                    </a:prstGeom>
                    <a:noFill/>
                  </pic:spPr>
                </pic:pic>
              </a:graphicData>
            </a:graphic>
          </wp:anchor>
        </w:drawing>
      </w:r>
    </w:p>
    <w:p>
      <w:pPr>
        <w:spacing w:after="0" w:line="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2459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r>
      <w:tr>
        <w:trPr>
          <w:trHeight w:val="227"/>
        </w:trPr>
        <w:tc>
          <w:tcPr>
            <w:tcW w:w="200" w:type="dxa"/>
            <w:vAlign w:val="bottom"/>
          </w:tcPr>
          <w:p>
            <w:pPr>
              <w:spacing w:after="0"/>
              <w:rPr>
                <w:sz w:val="19"/>
                <w:szCs w:val="19"/>
                <w:color w:val="auto"/>
              </w:rPr>
            </w:pPr>
          </w:p>
        </w:tc>
        <w:tc>
          <w:tcPr>
            <w:tcW w:w="3340" w:type="dxa"/>
            <w:vAlign w:val="bottom"/>
            <w:gridSpan w:val="4"/>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80"/>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r>
      <w:tr>
        <w:trPr>
          <w:trHeight w:val="270"/>
        </w:trPr>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7"/>
        </w:trPr>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7"/>
        </w:trPr>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2459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2" w:lineRule="exact"/>
        <w:rPr>
          <w:sz w:val="20"/>
          <w:szCs w:val="20"/>
          <w:color w:val="auto"/>
        </w:rPr>
      </w:pPr>
    </w:p>
    <w:p>
      <w:pPr>
        <w:ind w:left="28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2459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5760" w:space="720"/>
            <w:col w:w="4760"/>
          </w:cols>
          <w:pgMar w:left="320" w:top="337" w:right="339" w:bottom="1440" w:gutter="0" w:footer="0" w:header="0"/>
        </w:sectPr>
      </w:pPr>
    </w:p>
    <w:tbl>
      <w:tblPr>
        <w:tblLayout w:type="fixed"/>
        <w:tblInd w:w="124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7"/>
        </w:trPr>
        <w:tc>
          <w:tcPr>
            <w:tcW w:w="5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7"/>
        </w:trPr>
        <w:tc>
          <w:tcPr>
            <w:tcW w:w="5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r>
      <w:tr>
        <w:trPr>
          <w:trHeight w:val="237"/>
        </w:trPr>
        <w:tc>
          <w:tcPr>
            <w:tcW w:w="52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99,107</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89,995</w:t>
            </w:r>
          </w:p>
        </w:tc>
      </w:tr>
      <w:tr>
        <w:trPr>
          <w:trHeight w:val="27"/>
        </w:trPr>
        <w:tc>
          <w:tcPr>
            <w:tcW w:w="5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w:t>
            </w:r>
          </w:p>
        </w:tc>
      </w:tr>
      <w:tr>
        <w:trPr>
          <w:trHeight w:val="26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58,772</w:t>
            </w:r>
          </w:p>
        </w:tc>
      </w:tr>
      <w:tr>
        <w:trPr>
          <w:trHeight w:val="20"/>
        </w:trPr>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$13.3 million, $10.1 million, and $5.7 million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5"/>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0"/>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based royalty asset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amortizable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$2.9 million, $1.7 million, and $2.2 million, for the years ended December 31, 2023, 2022, and 2021, respectively.</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estimated aggregate future amortization expense for intangible assets and subject to amortization as of December 31, 2023 is summarized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46" w:lineRule="exact"/>
        <w:rPr>
          <w:sz w:val="20"/>
          <w:szCs w:val="20"/>
          <w:color w:val="auto"/>
        </w:rPr>
      </w:pPr>
    </w:p>
    <w:tbl>
      <w:tblPr>
        <w:tblLayout w:type="fixed"/>
        <w:tblInd w:w="246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2029 and beyond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34,997</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73"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r>
      <w:tr>
        <w:trPr>
          <w:trHeight w:val="227"/>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Revenue reserves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based earnout liability, current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consideration payable, current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non-recurring engineering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customer rebates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r>
      <w:tr>
        <w:trPr>
          <w:trHeight w:val="27"/>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and through June 30, 2022, the Company had recorded $2.7 million of accrued customer rebates as contra revenue under a customer agreement. In July 2022, the customer waived the right to the rebate and the Company recorded the $2.7 million of accrued customer rebate as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p>
      <w:pPr>
        <w:spacing w:after="0" w:line="273"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9"/>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based earnout liability, non-current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consideration payable, non-current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lease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0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real estate property under operating leases. The Company leases office space in California, Michigan, Malaysia, Japan, Taiwan, the Netherlands, Finland, and Ukraine all under non-cancellable operating leases with various expiration dates through May 2029.</w:t>
      </w:r>
    </w:p>
    <w:p>
      <w:pPr>
        <w:sectPr>
          <w:pgSz w:w="11900" w:h="16838" w:orient="portrait"/>
          <w:cols w:equalWidth="0" w:num="1">
            <w:col w:w="11080"/>
          </w:cols>
          <w:pgMar w:left="320" w:top="337" w:right="4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2021, the Company signed an amendment to its Santa Clara office space lease where the lessor provided the Company lease incentives of $0.4 million and extended the term of the lease by three months. The amendment was accounted as a single modified lease and the remaining payments were remeasured using an updated discount rate. The agreement provides for an option to renew for an additional 5 years and for monthly rent payments through the term of the lease. During the year ended December 31, 2023, the Company did not commence any new operating leases.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a few months to 6 years. For certain of its leases, the Company has options to extend the lease term for periods varying from one to 5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consolidated balance sheets as of December 31, 2023 and 2022:</w:t>
      </w:r>
    </w:p>
    <w:p>
      <w:pPr>
        <w:spacing w:after="0" w:line="273"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r>
      <w:tr>
        <w:trPr>
          <w:trHeight w:val="227"/>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5"/>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w w:val="98"/>
              </w:rPr>
              <w:t>8,262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10,848</w:t>
            </w:r>
          </w:p>
        </w:tc>
      </w:tr>
      <w:tr>
        <w:trPr>
          <w:trHeight w:val="205"/>
        </w:trPr>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Lease liabilities included in accrued expenses and other current</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480" w:type="dxa"/>
            <w:vAlign w:val="bottom"/>
          </w:tcPr>
          <w:p>
            <w:pPr>
              <w:jc w:val="center"/>
              <w:ind w:left="995"/>
              <w:spacing w:after="0"/>
              <w:rPr>
                <w:sz w:val="20"/>
                <w:szCs w:val="20"/>
                <w:color w:val="auto"/>
              </w:rPr>
            </w:pPr>
            <w:r>
              <w:rPr>
                <w:rFonts w:ascii="Times New Roman" w:cs="Times New Roman" w:eastAsia="Times New Roman" w:hAnsi="Times New Roman"/>
                <w:sz w:val="18"/>
                <w:szCs w:val="18"/>
                <w:color w:val="auto"/>
                <w:w w:val="98"/>
              </w:rPr>
              <w:t>2,601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2,485</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included in 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w w:val="98"/>
              </w:rPr>
              <w:t>5,423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8,149</w:t>
            </w: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center"/>
              <w:ind w:left="995"/>
              <w:spacing w:after="0"/>
              <w:rPr>
                <w:sz w:val="20"/>
                <w:szCs w:val="20"/>
                <w:color w:val="auto"/>
              </w:rPr>
            </w:pPr>
            <w:r>
              <w:rPr>
                <w:rFonts w:ascii="Times New Roman" w:cs="Times New Roman" w:eastAsia="Times New Roman" w:hAnsi="Times New Roman"/>
                <w:sz w:val="18"/>
                <w:szCs w:val="18"/>
                <w:color w:val="auto"/>
                <w:w w:val="98"/>
              </w:rPr>
              <w:t>8,024</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10,634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years ended December 31, 2023,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54"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37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7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7"/>
        </w:trPr>
        <w:tc>
          <w:tcPr>
            <w:tcW w:w="3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
        </w:trPr>
        <w:tc>
          <w:tcPr>
            <w:tcW w:w="3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3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6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was $3.1 million, $2.5 million, and $1.7 million for the years ended December 31, 2023, 2022, and 2021 respectively.</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Cash Flows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December 31, 2023:</w:t>
      </w:r>
    </w:p>
    <w:p>
      <w:pPr>
        <w:spacing w:after="0" w:line="209"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440" w:firstLine="8"/>
        <w:spacing w:after="0" w:line="377" w:lineRule="auto"/>
        <w:tabs>
          <w:tab w:leader="none" w:pos="1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Commitments</w:t>
      </w:r>
    </w:p>
    <w:p>
      <w:pPr>
        <w:spacing w:after="0" w:line="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December 31, 2023 were as follows:</w:t>
      </w:r>
    </w:p>
    <w:p>
      <w:pPr>
        <w:spacing w:after="0" w:line="304" w:lineRule="exact"/>
        <w:rPr>
          <w:sz w:val="20"/>
          <w:szCs w:val="20"/>
          <w:color w:val="auto"/>
        </w:rPr>
      </w:pPr>
    </w:p>
    <w:tbl>
      <w:tblPr>
        <w:tblLayout w:type="fixed"/>
        <w:tblInd w:w="27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as amended and currently in effect, authorizes the Company to issue 200,000,000 shares of common stock and 10,000,000 shares of preferred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 As of December 31, 2023 and 2022, there were no shares of preferred stock outstanding.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February 22, 2021, the Company completed a follow-on public offering, in which it issued and sold 1,500,000 shares of its common stock, resulting in net proceeds to the Company of $181.6 million after deducting underwriting discounts and commissions of $8.6 million and offering costs of $0.3 million.</w:t>
      </w:r>
    </w:p>
    <w:p>
      <w:pPr>
        <w:spacing w:after="0" w:line="6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November 10, 2021 the Company completed a follow-on public offering, in which it issued and sold 1,300,000 shares of its common stock, resulting in net proceeds to the Company of $279.0 million after deducting underwriting discounts and commissions of $13.2 million and offering costs of $0.3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Company used the net proceeds from the shares of common stock offered and sold to replenish funds expended to satisfy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During the year ended December 31, 2023, the Company sold 400,000 shares of its common stock to Stifel under the Sales Agreement at a weighted average price of $115.06 per share resulting in net proceeds to the Company of $44.8 million, after deducting underwriting discounts and commissions of $0.9 million and offering costs of $0.3 million. During the year ended December 31, 2022, the Company sold 225,334 shares of its common stock to Stifel under the Sales Agreement at a weighted average price of $150.78 per share resulting in net proceeds to the Company of $33.0 million, after deducting underwriting discounts and commissions of $0.7 million and offering costs of $0.2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SiTime Corporation 2019 Stock Incentive Plan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completion of its IPO in November 2019, the Company adopted the SiTime Corporation 2019 Stock Incentive Plan (the “2019 Plan”).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primarily within the quarter up to five years. As of December 31, 2023, 1.3 million shares were available for future issuance.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SiTime Corporation 2022 Inducement Award Plan</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February 2022, the Company adopted the SiTime Corporation 2022 Inducement Award Plan (the "2022 Plan"), which initially reserved 250,000 shares of the Company's common stock. The 2022 Plan provides for the grant of incentive stock options, non-statutory stock options, restricted stock awards, restricted stock unit awards, stock appreciation rights, and other forms of equity compensation and cash awards, all of which may be granted to employees (including officers). Awards granted under the 2022 Plan vest at the rate specified by the plan administrator, for restricted stock unit awards primarily over one to four years. In February 2023, the Company amended and restated the 2022 Plan to reserve an additional 250,000 shares of the Company's common stock. As of December 31, 2023, 204,439 shares were available for future issuance.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Bonus and Retention Plans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August 4, 2020, the Compensation Committee of the Company adopted and approved the Executive Bonus and Retention Plan (the "Bonus and Retention Plan"). In each of January and July 2021, the Compensation Committee approved target bonus amounts and performance goals for the first half and second half, respectively, of the fiscal year 2021 (the “2021 Goals”). In January and August 2022, the Compensation Committee approved target bonus amounts and performance goals for the first half and second half, respectively, of the fiscal year 2022 (the “2022 Goals”). In January 2023, the Compensation Committee approved target bonus amounts and performance goals for the fiscal year 2023 (the “2023 Goals”). The 2021 Goals, 2022 Goals, and 2023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consolidated cash flow statements. The liability of $1.0 million for the 2023 Goals was recorded as accrued expenses and other current liabilities in the consolidated balance sheet as of December 31, 2023. Actual payouts ranged from 76% to 150% of target for the 2021 Goals, ranged from 44% to 130% of target for the 2022 Goals, and ranged from 0% to 45% of target for the 2023 Goals, in each case based on performance.</w:t>
      </w:r>
    </w:p>
    <w:p>
      <w:pPr>
        <w:spacing w:after="0" w:line="82"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In April 2022, the Company adopted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table below. Such expense is included in the non-cash adjustment within stock-based compensation expense on the consolidated cash flow statements and was $2.8 million for the year ended December 31, 2023. The liability of $0.8 million was recorded as accrued expenses and other current liabilities in the consolidated balance sheet as of December 31, 2023.</w:t>
      </w:r>
    </w:p>
    <w:p>
      <w:pPr>
        <w:spacing w:after="0" w:line="7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December 2021, the Compensation Committee of the Company approved performance based restricted stock unit awards ("PRSU") with performance goals for the year 2022 (the “PRSU 2022 Goals”). The PRSU 2022 Goals were based on the achievement of a revenue goal. These grants were not earned and were cancelled in February 2023.</w:t>
      </w:r>
    </w:p>
    <w:p>
      <w:pPr>
        <w:spacing w:after="0" w:line="6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a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 To date, no MYPSUs have vested.</w:t>
      </w:r>
    </w:p>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2020, the Company granted CRSUs as part of an employee bonus plan. The Company ended this program effective April 1, 2021. Generally, such units were granted quarterly and fully vested at the end of the quarter they were granted except units granted to new hires that had a one-year cliff vesting. Such awards were classified as liability-based awards.</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a Monte Carlo simulation model. The assumptions used in the Monte Carlo simulation included expected volatility of 84.0% and 83.8%, risk free rate of 4.67% and 4.05%, no expected dividend yield, and expected term of 1.9 years and 1.8 years for the awards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below.</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PRSU, and MYPSU awards activity for the year ended December 31, 2023:</w:t>
      </w:r>
    </w:p>
    <w:p>
      <w:pPr>
        <w:spacing w:after="0" w:line="27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PRSU</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MYPSU</w:t>
            </w: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at December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1,717,994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311,872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(97,215)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(72,798)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6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at December 31, 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1,238,417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difference between the number of RSUs vested and the shares of common stock issued during the year ended December 31, 2023 and 2022 is the result of RSUs withheld in satisfaction of minimum tax withholding obligations associated with the vesting. The weighted-average grant date fair value for RSUs granted for the years ended December 31, 2023, 2022, and 2021 was $120.1, $188.3, and $128.6 per share, respectively. The weighted-average grant date fair value for PRSUs granted for the years ended December 31, 2023 and 2021 was $145.5 and $261.4 per share, respectively. The weighted-average grant date fair value for MYPSUs granted for the year ended December 31, 2022 was $88.6 per share. No PRSUs were granted for the year ended December 31, 2022. No MYPSUs were granted for the years ended December 31, 2023 and 2021. The total grant date fair value, as of the vesting date, of awards vested during the years ended December 31, 2023, 2022, and 2021 were $55.6 million, $40.8 million, and $24.4 million, respectively.</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for employees recognized in the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based awards</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w:t>
            </w:r>
          </w:p>
        </w:tc>
      </w:tr>
      <w:tr>
        <w:trPr>
          <w:trHeight w:val="237"/>
        </w:trPr>
        <w:tc>
          <w:tcPr>
            <w:tcW w:w="6600" w:type="dxa"/>
            <w:vAlign w:val="bottom"/>
          </w:tcPr>
          <w:p>
            <w:pPr>
              <w:spacing w:after="0"/>
              <w:rPr>
                <w:sz w:val="20"/>
                <w:szCs w:val="20"/>
                <w:color w:val="auto"/>
              </w:rPr>
            </w:pPr>
          </w:p>
        </w:tc>
        <w:tc>
          <w:tcPr>
            <w:tcW w:w="90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72,769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27,163</w:t>
            </w:r>
          </w:p>
        </w:tc>
      </w:tr>
      <w:tr>
        <w:trPr>
          <w:trHeight w:val="27"/>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 based awards - to be settled in equity</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6"/>
        </w:trPr>
        <w:tc>
          <w:tcPr>
            <w:tcW w:w="6600" w:type="dxa"/>
            <w:vAlign w:val="bottom"/>
          </w:tcPr>
          <w:p>
            <w:pPr>
              <w:spacing w:after="0"/>
              <w:rPr>
                <w:sz w:val="20"/>
                <w:szCs w:val="20"/>
                <w:color w:val="auto"/>
              </w:rPr>
            </w:pPr>
          </w:p>
        </w:tc>
        <w:tc>
          <w:tcPr>
            <w:tcW w:w="90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 equity and liability based</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76,753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Liability-based awards - cash settled</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6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76,753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72,769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76,638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December 31, 2023:</w:t>
      </w:r>
    </w:p>
    <w:p>
      <w:pPr>
        <w:spacing w:after="0" w:line="27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1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39370</wp:posOffset>
            </wp:positionV>
            <wp:extent cx="3094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00" w:type="dxa"/>
            <w:vAlign w:val="bottom"/>
          </w:tcPr>
          <w:p>
            <w:pPr>
              <w:spacing w:after="0"/>
              <w:rPr>
                <w:sz w:val="14"/>
                <w:szCs w:val="14"/>
                <w:color w:val="auto"/>
              </w:rPr>
            </w:pPr>
          </w:p>
        </w:tc>
        <w:tc>
          <w:tcPr>
            <w:tcW w:w="23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Weighted Average Period of</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Costs (in thousands)</w:t>
            </w:r>
          </w:p>
        </w:tc>
        <w:tc>
          <w:tcPr>
            <w:tcW w:w="100" w:type="dxa"/>
            <w:vAlign w:val="bottom"/>
          </w:tcPr>
          <w:p>
            <w:pPr>
              <w:spacing w:after="0"/>
              <w:rPr>
                <w:sz w:val="16"/>
                <w:szCs w:val="16"/>
                <w:color w:val="auto"/>
              </w:rPr>
            </w:pPr>
          </w:p>
        </w:tc>
        <w:tc>
          <w:tcPr>
            <w:tcW w:w="23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Recognition (in years)</w:t>
            </w:r>
          </w:p>
        </w:tc>
        <w:tc>
          <w:tcPr>
            <w:tcW w:w="0" w:type="dxa"/>
            <w:vAlign w:val="bottom"/>
          </w:tcPr>
          <w:p>
            <w:pPr>
              <w:spacing w:after="0"/>
              <w:rPr>
                <w:sz w:val="1"/>
                <w:szCs w:val="1"/>
                <w:color w:val="auto"/>
              </w:rPr>
            </w:pPr>
          </w:p>
        </w:tc>
      </w:tr>
      <w:tr>
        <w:trPr>
          <w:trHeight w:val="50"/>
        </w:trPr>
        <w:tc>
          <w:tcPr>
            <w:tcW w:w="420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103,995</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MYPSUs</w:t>
            </w:r>
          </w:p>
        </w:tc>
        <w:tc>
          <w:tcPr>
            <w:tcW w:w="2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costs</w:t>
            </w:r>
          </w:p>
        </w:tc>
        <w:tc>
          <w:tcPr>
            <w:tcW w:w="2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120,218</w:t>
            </w:r>
          </w:p>
        </w:tc>
        <w:tc>
          <w:tcPr>
            <w:tcW w:w="1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w:t>
      </w: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4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provision</w:t>
            </w: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 components of the deferred tax assets and liabilities consisted of net operating loss carry-forwards, Section 174 costs and tax credit carry-forwards.</w:t>
      </w: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4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4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8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write-down and other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and credits carry forwards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64,690</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70,132</w:t>
            </w:r>
          </w:p>
        </w:tc>
      </w:tr>
      <w:tr>
        <w:trPr>
          <w:trHeight w:val="243"/>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69,314</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(69,314)</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net valuation allowance increased by $23.1 million and $13.4 million for the year ended December 31, 2023 and 2022 respectively.</w:t>
      </w:r>
    </w:p>
    <w:p>
      <w:pPr>
        <w:sectPr>
          <w:pgSz w:w="11900" w:h="16838" w:orient="portrait"/>
          <w:cols w:equalWidth="0" w:num="1">
            <w:col w:w="11040"/>
          </w:cols>
          <w:pgMar w:left="320" w:top="33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p>
      <w:pPr>
        <w:spacing w:after="0" w:line="273"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80" w:type="dxa"/>
            <w:vAlign w:val="bottom"/>
          </w:tcPr>
          <w:p>
            <w:pPr>
              <w:spacing w:after="0"/>
              <w:rPr>
                <w:sz w:val="16"/>
                <w:szCs w:val="16"/>
                <w:color w:val="auto"/>
              </w:rPr>
            </w:pPr>
          </w:p>
        </w:tc>
      </w:tr>
      <w:tr>
        <w:trPr>
          <w:trHeight w:val="37"/>
        </w:trPr>
        <w:tc>
          <w:tcPr>
            <w:tcW w:w="44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444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44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50"/>
        </w:trPr>
        <w:tc>
          <w:tcPr>
            <w:tcW w:w="4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Rate</w:t>
            </w:r>
          </w:p>
        </w:tc>
        <w:tc>
          <w:tcPr>
            <w:tcW w:w="1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21.0 %</w:t>
            </w:r>
          </w:p>
        </w:tc>
        <w:tc>
          <w:tcPr>
            <w:tcW w:w="1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excess tax expense (benefit)</w:t>
            </w: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12.9</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and others</w:t>
            </w: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44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44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reported amount of income tax expense differs from an expected amount based on statutory rates primarily due to the Company’s valuation allowance.</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based on the available objective evidence, management believes it is more likely than not that the net deferred tax assets will not be realized. Accordingly, management has applied a full valuation allowance against its net deferred tax assets at December 31, 2023 and 2022.</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 has federal net operating loss carry-forwards of approximately $230.2 million and $213.3 million, respectively, and state net operating loss carry-forwards of approximately $83.7 million and $65.3 million, respectively. At December 31, 2023 and 2022, the Company has net operating loss carryforwards for foreign income tax purposes of approximately $1.7 million and $1.7 million, respectively. These federal, state, and foreign net operating loss carry-forwards will expire beginning in 2028.</w:t>
      </w:r>
    </w:p>
    <w:p>
      <w:pPr>
        <w:spacing w:after="0" w:line="9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10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$2.3 million and $2.3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2023 and 2022, the Company had immaterial amounts related to the accrual of interest and penalties.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w:t>
      </w:r>
    </w:p>
    <w:p>
      <w:pPr>
        <w:spacing w:after="0" w:line="273" w:lineRule="exact"/>
        <w:rPr>
          <w:sz w:val="20"/>
          <w:szCs w:val="20"/>
          <w:color w:val="auto"/>
        </w:rPr>
      </w:pPr>
    </w:p>
    <w:tbl>
      <w:tblPr>
        <w:tblLayout w:type="fixed"/>
        <w:tblInd w:w="196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37"/>
        </w:trPr>
        <w:tc>
          <w:tcPr>
            <w:tcW w:w="4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7"/>
        </w:trPr>
        <w:tc>
          <w:tcPr>
            <w:tcW w:w="4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r>
      <w:tr>
        <w:trPr>
          <w:trHeight w:val="37"/>
        </w:trPr>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balance related to tax position</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taken during prior periods</w:t>
            </w:r>
          </w:p>
        </w:tc>
        <w:tc>
          <w:tcPr>
            <w:tcW w:w="9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balance related to tax position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6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taken during the current period</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1"/>
        </w:trPr>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These amounts are related to certain deferred tax assets with a corresponding valuation allowance. As of December 31, 2023, the total amount of unrecognized tax benefits, if recognized, that would affect the effective tax rate is $0.7 million. The Company does not anticipate a material change to our unrecognized tax benefits over the next twelve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Unrecognized tax benefits may change during the next twelve months for items that arise in the ordinary course of business.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tax positions for which it is reasonably possible the total amount of gross unrecognized tax benefits will increase or decrease within 12 months of the years ended December 31, 2023 and 2022.</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Plan</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has a 401(k) retirement plan for the U.S. based employees that qualifies as a defined contribution plan. All U.S. based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2023, 2022, and 2021 resulted in expense of $1.3 million, $1.3 million, and $1.0 million respectively.</w:t>
      </w:r>
    </w:p>
    <w:p>
      <w:pPr>
        <w:spacing w:after="0" w:line="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addition, other eligible employees outside of the U.S. receive retirement benefits under various statutory plans. Expenses under the Company's statutory plans were not material for any of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 and Operations by Geographic Area</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silicon timing systems solutions. The chief operating decision maker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Revenue by geographic area is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9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r>
      <w:tr>
        <w:trPr>
          <w:trHeight w:val="186"/>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Pr>
          <w:p>
            <w:pPr>
              <w:spacing w:after="0"/>
              <w:rPr>
                <w:sz w:val="16"/>
                <w:szCs w:val="16"/>
                <w:color w:val="auto"/>
              </w:rPr>
            </w:pPr>
          </w:p>
        </w:tc>
      </w:tr>
      <w:tr>
        <w:trPr>
          <w:trHeight w:val="37"/>
        </w:trPr>
        <w:tc>
          <w:tcPr>
            <w:tcW w:w="9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r>
      <w:tr>
        <w:trPr>
          <w:trHeight w:val="227"/>
        </w:trPr>
        <w:tc>
          <w:tcPr>
            <w:tcW w:w="9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7"/>
        </w:trPr>
        <w:tc>
          <w:tcPr>
            <w:tcW w:w="9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66,390</w:t>
            </w:r>
          </w:p>
        </w:tc>
        <w:tc>
          <w:tcPr>
            <w:tcW w:w="94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82,503</w:t>
            </w:r>
          </w:p>
        </w:tc>
        <w:tc>
          <w:tcPr>
            <w:tcW w:w="94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94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94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9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4"/>
        </w:trPr>
        <w:tc>
          <w:tcPr>
            <w:tcW w:w="9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940" w:type="dxa"/>
            <w:vAlign w:val="bottom"/>
          </w:tcPr>
          <w:p>
            <w:pPr>
              <w:spacing w:after="0"/>
              <w:rPr>
                <w:sz w:val="21"/>
                <w:szCs w:val="21"/>
                <w:color w:val="auto"/>
              </w:rPr>
            </w:pPr>
          </w:p>
        </w:tc>
      </w:tr>
      <w:tr>
        <w:trPr>
          <w:trHeight w:val="20"/>
        </w:trPr>
        <w:tc>
          <w:tcPr>
            <w:tcW w:w="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85"/>
        </w:trPr>
        <w:tc>
          <w:tcPr>
            <w:tcW w:w="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total property and equipment attributable to operations by country for countries with 10% or more of the Company’s net property and equipment as of the periods presented:</w:t>
      </w: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37"/>
        </w:trPr>
        <w:tc>
          <w:tcPr>
            <w:tcW w:w="5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r>
      <w:tr>
        <w:trPr>
          <w:trHeight w:val="227"/>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8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an agreement with MegaChips Corporation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was recorded as commission expense and included in sales and marketing in the consolidated statements of operations and comprehensive loss. In connection with the Company's efforts to contract directly with distributors in Japan, the Company entered into a termination agreement with MegaChips pursuant to which the Company and MegaChips mutually terminated the Distribution Agreement effective November 3, 2021. The Company sold $8.2 million through the distribution agreement for the year ended December 31, 2021 and paid sales commissions of $0.3 million to MegaChips for such sales for the year ended December 31, 2021.</w:t>
      </w:r>
    </w:p>
    <w:p>
      <w:pPr>
        <w:spacing w:after="0" w:line="8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also entered into a service and secondment agreement with MegaChips LSI USA Corporation, a wholly owned subsidiary of MegaChips, in 2020 that terminated on August 31, 2021. The Company paid $0.1 million in consulting fees for such service and secondment agreement in the year ended December 31, 2021.</w:t>
      </w:r>
    </w:p>
    <w:p>
      <w:pPr>
        <w:spacing w:after="0" w:line="6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MegaChips has been the largest stockholder of the Company and held approximately 20.7% and 23.0% of the Company’s outstanding common stock as of December 31, 2023 and December 31, 2022, respectively.</w:t>
      </w:r>
    </w:p>
    <w:p>
      <w:pPr>
        <w:spacing w:after="0" w:line="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May 2021, the Company signed a consulting agreement with Akira Takata, a member of the Board of Directors of the Company. As a consultant, Mr. Takata provided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Akira Takata through December 31, 2022, for which he received monthly cash fees, reimbursement of expenses, and an equity award of 300 RSUs that fully vested on November 20, 2022.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not effective at the reasonable assurance level as a result of the material weakness in internal control over financial reporting as described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a material weakness in our internal control over financial reporting due to a deficiency in our review control over the classification of cash flows from investments within the statements of cash flows in accordance with applicable accounting guidance for the periods ended March, 31, 2023, June 30, 2023, and September 30,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management, under the oversight of the Audit Committee, has implemented additional review procedures to enhance our internal</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control over financial reporting with respect to the statement of cash flows. These review procedures include a review checklist to ensure that we apply the applicable accounting guidance under ASC 230, Statement of Cash Flows.</w:t>
      </w:r>
    </w:p>
    <w:p>
      <w:pPr>
        <w:spacing w:after="0" w:line="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Management is committed to a strong internal control environment and believes that the measures described above remediate the material weakness in our internal control over financial reporting. Based on the additional procedures, which were implemented and operated effectively for the fourth fiscal quarter, we concluded that the control operated effectively as of the fiscal 2023 year-end. However, the remediation is not considered complete until such controls operate effectively for multiple periods. Therefore, we expect the remediation of this material weakness to be completed prior to the end of fiscal year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 Attestation Report of the Registered Public Accounting Firm.</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not effective as of December 31, 2023 due to the material weakness in internal control over financial reporting described above. Our disclosure controls and procedures were not effective as of December 31, 2023.</w:t>
      </w:r>
    </w:p>
    <w:p>
      <w:pPr>
        <w:spacing w:after="0" w:line="7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BDO USA, P.C., an independent registered public accounting firm, as stated in their report and is incorporated herein by 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 other than as described above under the caption “Remediation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SiTime Corporation’s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December 31, 2023, based on the COSO criteria.</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income (loss), stockholders’ equity, and cash flows for each of the three years in the period ended December 31, 2023, and the related notes and financial statement schedule (collectively referred to as “the financial statements”) and our report dated February 26, 2024 expressed an unqualified opinion thereon.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management’s failure to design and maintain controls over the classification of cash flows from investments within the statement of cash flows, has been identified and described in management’s assessment. This material weakness was considered in determining the nature, timing, and extent of audit tests applied in our audit of the 2023 financial statements, and this report does not affect our report dated February 26, 2024 on those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Accounting Officer</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24, 2024, SiTime Corporation (the “Company”) promoted Samsheer Ahmad, 49, and appointed him Senior Vice President, Finance and Chief Accounting Officer. Mr. Ahmad joined the Company in May 2015 and has held various positions, most recently serving as Vice President of Finance and Accounting of the Company since July 2017. Prior to joining the Company, Mr. Ahmad worked at Guavus Inc. from 2014 to 2015 as Corporate Controller. From 2009 to 2014, Mr. Ahmad held various positions at TiVo Corporation, including Senior Director of Accounting. Mr. Ahmad holds a bachelor's degree in accounting and information systems from the University of the South Pacific. In connection with Mr. Ahmad’s promotion, subject to approval of the compensation committee of the board of directors, the Company will grant Mr. Ahmad a restricted stock unit award for 5,000 shares of the Company’s common stock under the Company’s 2019 Equity Incentive Plan pursuant to the Company’s standard form RSU agreement and Mr. Ahmad's salary will be increased to $330,000. Mr. Ahmad will also participate in the Bonus and Retention Plan with his annual target bonus amount set by the compensation</w:t>
      </w:r>
    </w:p>
    <w:p>
      <w:pPr>
        <w:spacing w:after="0" w:line="3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committee of the board of directors. This equity award will vest quarterly over two years subject to his continued service on each vest date. In connection with his appointment, Mr. Ahmad will enter into the Company’s standard form of Indemnification Agreement, which is attached as Exhibit 10.1 to the Company’s Annual Report on Form 10-K filed with the U.S. Securities and Exchange Commission on February 16, 2021 (File No. 001-39135).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the</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Designation of Director or</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3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Adoption/Termination Rule 10b5-</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or</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040" w:type="dxa"/>
            <w:vAlign w:val="bottom"/>
          </w:tcPr>
          <w:p>
            <w:pPr>
              <w:spacing w:after="0"/>
              <w:rPr>
                <w:sz w:val="18"/>
                <w:szCs w:val="18"/>
                <w:color w:val="auto"/>
              </w:rPr>
            </w:pPr>
          </w:p>
        </w:tc>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to be</w:t>
            </w:r>
          </w:p>
        </w:tc>
      </w:t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sold</w:t>
            </w:r>
          </w:p>
        </w:tc>
      </w:tr>
      <w:tr>
        <w:trPr>
          <w:trHeight w:val="27"/>
        </w:trPr>
        <w:tc>
          <w:tcPr>
            <w:tcW w:w="1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Lionel Bonnot</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Adoption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17, 2023</w:t>
            </w: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14,</w:t>
            </w:r>
          </w:p>
        </w:tc>
        <w:tc>
          <w:tcPr>
            <w:tcW w:w="1320" w:type="dxa"/>
            <w:vAlign w:val="bottom"/>
            <w:shd w:val="clear" w:color="auto" w:fill="CCEEFF"/>
          </w:tcPr>
          <w:p>
            <w:pPr>
              <w:jc w:val="right"/>
              <w:spacing w:after="0" w:line="224" w:lineRule="exact"/>
              <w:rPr>
                <w:sz w:val="20"/>
                <w:szCs w:val="20"/>
                <w:color w:val="auto"/>
              </w:rPr>
            </w:pPr>
            <w:r>
              <w:rPr>
                <w:rFonts w:ascii="Times New Roman" w:cs="Times New Roman" w:eastAsia="Times New Roman" w:hAnsi="Times New Roman"/>
                <w:sz w:val="18"/>
                <w:szCs w:val="18"/>
                <w:color w:val="auto"/>
              </w:rPr>
              <w:t>30,264</w:t>
            </w:r>
            <w:r>
              <w:rPr>
                <w:rFonts w:ascii="Times New Roman" w:cs="Times New Roman" w:eastAsia="Times New Roman" w:hAnsi="Times New Roman"/>
                <w:sz w:val="23"/>
                <w:szCs w:val="23"/>
                <w:color w:val="auto"/>
                <w:vertAlign w:val="superscript"/>
              </w:rPr>
              <w:t>*</w:t>
            </w:r>
          </w:p>
        </w:tc>
      </w:tr>
      <w:tr>
        <w:trPr>
          <w:trHeight w:val="216"/>
        </w:trPr>
        <w:tc>
          <w:tcPr>
            <w:tcW w:w="118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Worldwide Sales and</w:t>
            </w:r>
          </w:p>
        </w:tc>
        <w:tc>
          <w:tcPr>
            <w:tcW w:w="10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shd w:val="clear" w:color="auto" w:fill="CCEEFF"/>
          </w:tcPr>
          <w:p>
            <w:pPr>
              <w:spacing w:after="0"/>
              <w:rPr>
                <w:sz w:val="18"/>
                <w:szCs w:val="18"/>
                <w:color w:val="auto"/>
              </w:rPr>
            </w:pPr>
          </w:p>
        </w:tc>
      </w:tr>
      <w:tr>
        <w:trPr>
          <w:trHeight w:val="241"/>
        </w:trPr>
        <w:tc>
          <w:tcPr>
            <w:tcW w:w="11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Development</w:t>
            </w:r>
          </w:p>
        </w:tc>
        <w:tc>
          <w:tcPr>
            <w:tcW w:w="10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Piyush Sevalia</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27, 2023</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1320" w:type="dxa"/>
            <w:vAlign w:val="bottom"/>
          </w:tcPr>
          <w:p>
            <w:pPr>
              <w:jc w:val="right"/>
              <w:spacing w:after="0" w:line="224" w:lineRule="exact"/>
              <w:rPr>
                <w:sz w:val="20"/>
                <w:szCs w:val="20"/>
                <w:color w:val="auto"/>
              </w:rPr>
            </w:pPr>
            <w:r>
              <w:rPr>
                <w:rFonts w:ascii="Times New Roman" w:cs="Times New Roman" w:eastAsia="Times New Roman" w:hAnsi="Times New Roman"/>
                <w:sz w:val="18"/>
                <w:szCs w:val="18"/>
                <w:color w:val="auto"/>
              </w:rPr>
              <w:t>30,180</w:t>
            </w:r>
            <w:r>
              <w:rPr>
                <w:rFonts w:ascii="Times New Roman" w:cs="Times New Roman" w:eastAsia="Times New Roman" w:hAnsi="Times New Roman"/>
                <w:sz w:val="23"/>
                <w:szCs w:val="23"/>
                <w:color w:val="auto"/>
                <w:vertAlign w:val="superscript"/>
              </w:rPr>
              <w:t>*</w:t>
            </w:r>
          </w:p>
        </w:tc>
      </w:tr>
      <w:tr>
        <w:trPr>
          <w:trHeight w:val="234"/>
        </w:trPr>
        <w:tc>
          <w:tcPr>
            <w:tcW w:w="11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Adoption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 2023</w:t>
            </w: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320" w:type="dxa"/>
            <w:vAlign w:val="bottom"/>
            <w:shd w:val="clear" w:color="auto" w:fill="CCEEFF"/>
          </w:tcPr>
          <w:p>
            <w:pPr>
              <w:jc w:val="right"/>
              <w:spacing w:after="0" w:line="224" w:lineRule="exact"/>
              <w:rPr>
                <w:sz w:val="20"/>
                <w:szCs w:val="20"/>
                <w:color w:val="auto"/>
              </w:rPr>
            </w:pPr>
            <w:r>
              <w:rPr>
                <w:rFonts w:ascii="Times New Roman" w:cs="Times New Roman" w:eastAsia="Times New Roman" w:hAnsi="Times New Roman"/>
                <w:sz w:val="18"/>
                <w:szCs w:val="18"/>
                <w:color w:val="auto"/>
              </w:rPr>
              <w:t>13,211</w:t>
            </w:r>
            <w:r>
              <w:rPr>
                <w:rFonts w:ascii="Times New Roman" w:cs="Times New Roman" w:eastAsia="Times New Roman" w:hAnsi="Times New Roman"/>
                <w:sz w:val="23"/>
                <w:szCs w:val="23"/>
                <w:color w:val="auto"/>
                <w:vertAlign w:val="superscript"/>
              </w:rPr>
              <w:t>*</w:t>
            </w:r>
          </w:p>
        </w:tc>
      </w:tr>
      <w:tr>
        <w:trPr>
          <w:trHeight w:val="216"/>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Pangrazio</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Legal Officer and</w:t>
            </w:r>
          </w:p>
        </w:tc>
        <w:tc>
          <w:tcPr>
            <w:tcW w:w="10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shd w:val="clear" w:color="auto" w:fill="CCEEFF"/>
          </w:tcPr>
          <w:p>
            <w:pPr>
              <w:spacing w:after="0"/>
              <w:rPr>
                <w:sz w:val="18"/>
                <w:szCs w:val="18"/>
                <w:color w:val="auto"/>
              </w:rPr>
            </w:pPr>
          </w:p>
        </w:tc>
      </w:tr>
      <w:tr>
        <w:trPr>
          <w:trHeight w:val="241"/>
        </w:trPr>
        <w:tc>
          <w:tcPr>
            <w:tcW w:w="11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Secretary</w:t>
            </w:r>
          </w:p>
        </w:tc>
        <w:tc>
          <w:tcPr>
            <w:tcW w:w="10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Schuelke</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4, 2023</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bl>
    <w:p>
      <w:pPr>
        <w:spacing w:after="0" w:line="81" w:lineRule="exact"/>
        <w:rPr>
          <w:sz w:val="20"/>
          <w:szCs w:val="20"/>
          <w:color w:val="auto"/>
        </w:rPr>
      </w:pPr>
    </w:p>
    <w:p>
      <w:pPr>
        <w:ind w:left="660" w:right="260"/>
        <w:spacing w:after="0" w:line="280" w:lineRule="auto"/>
        <w:rPr>
          <w:sz w:val="20"/>
          <w:szCs w:val="20"/>
          <w:color w:val="auto"/>
        </w:rPr>
      </w:pPr>
      <w:r>
        <w:rPr>
          <w:rFonts w:ascii="Times New Roman" w:cs="Times New Roman" w:eastAsia="Times New Roman" w:hAnsi="Times New Roman"/>
          <w:sz w:val="16"/>
          <w:szCs w:val="16"/>
          <w:color w:val="auto"/>
        </w:rPr>
        <w:t>*The actual number of securities that will be sold under the Rule 10b5-1 trading plan will be reduced by the number of securities sold in accordance with an existing plan prior to its expiration.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2024 annual meeting of stockholders (the “Proxy Statement”), which is expected to be filed not later than 120 days after the end of our fiscal year ended December 31, 2023, and is incorporated in this report by reference.</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Section 16(a) beneficial reporting compliance, if any, will be set forth under the section entitled “Delinquent Section 16(a) Reports” in the Proxy Statement and is incorporated herein by reference.</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chief financial officer (our principal financial officer), and chief accounting officer (our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To date, there have been no waivers under our Code of Business Conduct and Ethics or Code of Ethics for Senior Financial Officers. We will disclose on our website amendments to, or waivers from, our Code of Business Conduct and Ethics, in accordance with applicable laws and regulations.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concerning our Audit Committee and Audit Committee financial expert is incorporated by reference herein to the information set forth under the caption “Corporate Governance – Board Committee – Audit Committee” in our Proxy Statement.</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procedures by which stockholders may recommend nominees to our board of directors is set forth under the caption “Corporate Governance - Director Nominations”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“Non-Employee Director Compensation,” "Corporate Governance," "Compensation Committee Interlocks and Insider Participation," and "Compensation Committee Report" in the Proxy Statement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“Security Ownership of Certain Beneficial Owners and Management” and “Equity Compensation Plan Information,” in the Proxy Statement and is incorporated herein by reference.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1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2023. Information is included for equity compensation plans approved by our stockholders as well as our 2022 Amended and Restated Inducement Award Plan (the “Inducement Plan”) adopted by our compensation committee without approval of our stockholders.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Awards under the Inducement Plan may be granted only to employees who satisfy the standards for inducement grants under Rule 5635(c)(4) of the Nasdaq Listing Rules, and only when the award is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 inducement material to such individual’s entering into employment with us, our subsidiaries or our affiliates within the meaning of Rule 5635(c)(4) of the Nasdaq Listing Rules.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w:t>
            </w:r>
          </w:p>
        </w:tc>
      </w:tr>
      <w:tr>
        <w:trPr>
          <w:trHeight w:val="176"/>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 Under Equity</w:t>
            </w: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r>
      <w:tr>
        <w:trPr>
          <w:trHeight w:val="227"/>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the first Column)</w:t>
            </w:r>
          </w:p>
        </w:tc>
      </w:t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6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3"/>
                <w:szCs w:val="23"/>
                <w:color w:val="auto"/>
                <w:vertAlign w:val="superscript"/>
              </w:rPr>
              <w:t>(1)</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1,387,465</w:t>
            </w:r>
          </w:p>
        </w:tc>
        <w:tc>
          <w:tcPr>
            <w:tcW w:w="80" w:type="dxa"/>
            <w:vAlign w:val="bottom"/>
          </w:tcPr>
          <w:p>
            <w:pPr>
              <w:spacing w:after="0"/>
              <w:rPr>
                <w:sz w:val="23"/>
                <w:szCs w:val="23"/>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1,344,878</w:t>
            </w:r>
          </w:p>
        </w:tc>
      </w:tr>
      <w:tr>
        <w:trPr>
          <w:trHeight w:val="22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6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3"/>
                <w:szCs w:val="23"/>
                <w:color w:val="auto"/>
                <w:vertAlign w:val="superscript"/>
              </w:rPr>
              <w:t>(2)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245,454</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204,439</w:t>
            </w:r>
          </w:p>
        </w:tc>
      </w:tr>
      <w:tr>
        <w:trPr>
          <w:trHeight w:val="26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1,632,919</w:t>
            </w:r>
          </w:p>
        </w:tc>
        <w:tc>
          <w:tcPr>
            <w:tcW w:w="8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1,549,317</w:t>
            </w: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980" w:hanging="486"/>
        <w:spacing w:after="0" w:line="266" w:lineRule="auto"/>
        <w:tabs>
          <w:tab w:leader="none" w:pos="97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2019 Stock Incentive Plan (the “2019 Stock Plan”). The 2019 Stock Plan contains an “evergreen” provision, pursuant to which the number of shares of common stock reserved for issuance pursuant to awards under such plan shall be increased on the first day of each year beginning in 2020, equal to the lesser of (i) 3% of the number of shares of common stock outstanding on the last day of the immediately preceding year, or (ii) if our Board acts prior to the first day of the year, such lesser amount that our Board determines for purposes of the annual increase of the year such number as determined by the plan administrator. As of January 1, 2024, the 2019 Stock Plan was increased by 680,764 shares pursuant to such evergreen provision. We have only granted RSUs from the 2019 Stock Plan, which have no exercise price.</w:t>
      </w:r>
    </w:p>
    <w:p>
      <w:pPr>
        <w:spacing w:after="0" w:line="79"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Inducement Plan. We have only granted RSUs from the Inducement Plan, which have no exercise price.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60" w:type="dxa"/>
            <w:vAlign w:val="bottom"/>
          </w:tcPr>
          <w:p>
            <w:pPr>
              <w:spacing w:after="0"/>
              <w:rPr>
                <w:sz w:val="20"/>
                <w:szCs w:val="20"/>
                <w:color w:val="auto"/>
              </w:rPr>
            </w:pPr>
          </w:p>
        </w:tc>
      </w:tr>
      <w:tr>
        <w:trPr>
          <w:trHeight w:val="432"/>
        </w:trPr>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9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918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tc>
        <w:tc>
          <w:tcPr>
            <w:tcW w:w="96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8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58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20" w:type="dxa"/>
            <w:vAlign w:val="bottom"/>
          </w:tcPr>
          <w:p>
            <w:pPr>
              <w:spacing w:after="0"/>
              <w:rPr>
                <w:sz w:val="21"/>
                <w:szCs w:val="21"/>
                <w:color w:val="auto"/>
              </w:rPr>
            </w:pPr>
          </w:p>
        </w:tc>
        <w:tc>
          <w:tcPr>
            <w:tcW w:w="10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2023, 2022, and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76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1820" w:type="dxa"/>
            <w:vAlign w:val="bottom"/>
            <w:tcBorders>
              <w:top w:val="single" w:sz="8" w:color="0000FF"/>
            </w:tcBorders>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20" w:type="dxa"/>
            <w:vAlign w:val="bottom"/>
          </w:tcPr>
          <w:p>
            <w:pPr>
              <w:spacing w:after="0"/>
              <w:rPr>
                <w:sz w:val="21"/>
                <w:szCs w:val="21"/>
                <w:color w:val="auto"/>
              </w:rPr>
            </w:pPr>
          </w:p>
        </w:tc>
        <w:tc>
          <w:tcPr>
            <w:tcW w:w="6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280" w:type="dxa"/>
            <w:vAlign w:val="bottom"/>
            <w:gridSpan w:val="3"/>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80" w:type="dxa"/>
            <w:vAlign w:val="bottom"/>
            <w:gridSpan w:val="6"/>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46" w:lineRule="exact"/>
        <w:rPr>
          <w:sz w:val="20"/>
          <w:szCs w:val="20"/>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 (Valuation and Qualifying Accounts) for the years ended December 31, 2023, 2022, and 2021:</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Schedule II—Valuation and Qualifying Accounts</w:t>
            </w:r>
          </w:p>
        </w:tc>
        <w:tc>
          <w:tcPr>
            <w:tcW w:w="7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333" w:lineRule="exact"/>
        <w:rPr>
          <w:sz w:val="20"/>
          <w:szCs w:val="20"/>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right="100"/>
        <w:spacing w:after="0" w:line="283" w:lineRule="auto"/>
        <w:rPr>
          <w:sz w:val="20"/>
          <w:szCs w:val="20"/>
          <w:color w:val="auto"/>
        </w:rPr>
      </w:pPr>
      <w:r>
        <w:rPr>
          <w:rFonts w:ascii="Times New Roman" w:cs="Times New Roman" w:eastAsia="Times New Roman" w:hAnsi="Times New Roman"/>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172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940" w:type="dxa"/>
            <w:vAlign w:val="bottom"/>
            <w:tcBorders>
              <w:bottom w:val="single" w:sz="8" w:color="auto"/>
            </w:tcBorders>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File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Exhibit/Appendix</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39"/>
        </w:trPr>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0"/>
          </w:tcPr>
          <w:p>
            <w:pPr>
              <w:ind w:left="5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Reference</w:t>
            </w:r>
          </w:p>
        </w:tc>
        <w:tc>
          <w:tcPr>
            <w:tcW w:w="80" w:type="dxa"/>
            <w:vAlign w:val="bottom"/>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405"/>
        </w:trPr>
        <w:tc>
          <w:tcPr>
            <w:tcW w:w="20" w:type="dxa"/>
            <w:vAlign w:val="bottom"/>
          </w:tcPr>
          <w:p>
            <w:pPr>
              <w:spacing w:after="0"/>
              <w:rPr>
                <w:sz w:val="24"/>
                <w:szCs w:val="24"/>
                <w:color w:val="auto"/>
              </w:rPr>
            </w:pPr>
          </w:p>
        </w:tc>
        <w:tc>
          <w:tcPr>
            <w:tcW w:w="3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Restated Certificate of Incorporation of SiTime</w:t>
              </w:r>
            </w:hyperlink>
          </w:p>
        </w:tc>
        <w:tc>
          <w:tcPr>
            <w:tcW w:w="90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Corporation</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11/26/2019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Amended and Restated Bylaws of the Company</w:t>
              </w:r>
            </w:hyperlink>
          </w:p>
        </w:tc>
        <w:tc>
          <w:tcPr>
            <w:tcW w:w="840" w:type="dxa"/>
            <w:vAlign w:val="bottom"/>
            <w:gridSpan w:val="13"/>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001-39135</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6/29/2021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of Common Stock Certificate of the Company</w:t>
              </w:r>
            </w:hyperlink>
          </w:p>
        </w:tc>
        <w:tc>
          <w:tcPr>
            <w:tcW w:w="540" w:type="dxa"/>
            <w:vAlign w:val="bottom"/>
            <w:gridSpan w:val="9"/>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40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Description of Securities Registered Pursuant to Section</w:t>
              </w:r>
            </w:hyperlink>
          </w:p>
        </w:tc>
        <w:tc>
          <w:tcPr>
            <w:tcW w:w="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12 of the Securities Exchange Act of 1934</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2/16/2021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300" w:type="dxa"/>
            <w:vAlign w:val="bottom"/>
            <w:gridSpan w:val="2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Indemnification Agreement between the</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Company and its directors and officers</w:t>
              </w:r>
            </w:hyperlink>
          </w:p>
        </w:tc>
        <w:tc>
          <w:tcPr>
            <w:tcW w:w="780" w:type="dxa"/>
            <w:vAlign w:val="bottom"/>
            <w:gridSpan w:val="12"/>
          </w:tcPr>
          <w:p>
            <w:pPr>
              <w:spacing w:after="0"/>
              <w:rPr>
                <w:sz w:val="17"/>
                <w:szCs w:val="17"/>
                <w:color w:val="auto"/>
              </w:rPr>
            </w:pPr>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2/16/2021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2019 Stock Incentive Plan and Forms of Stock Option</w:t>
              </w:r>
            </w:hyperlink>
          </w:p>
        </w:tc>
        <w:tc>
          <w:tcPr>
            <w:tcW w:w="4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Agreement, Notice of Exercise, Stock Option Grant</w:t>
              </w:r>
            </w:hyperlink>
          </w:p>
        </w:tc>
        <w:tc>
          <w:tcPr>
            <w:tcW w:w="58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Notice, Restricted Stock Unit Agreement, and Restricted</w:t>
              </w:r>
            </w:hyperlink>
          </w:p>
        </w:tc>
        <w:tc>
          <w:tcPr>
            <w:tcW w:w="2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Stock Agreement thereunder</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New Terms of Employment, dated October 21, 2014,</w:t>
              </w:r>
            </w:hyperlink>
          </w:p>
        </w:tc>
        <w:tc>
          <w:tcPr>
            <w:tcW w:w="4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between Rajesh Vashist and the Company</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300" w:type="dxa"/>
            <w:vAlign w:val="bottom"/>
            <w:gridSpan w:val="2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to Terms of Employment Letter, dated June</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14, 2016, between Rajesh Vashist and the Company</w:t>
              </w:r>
            </w:hyperlink>
          </w:p>
        </w:tc>
        <w:tc>
          <w:tcPr>
            <w:tcW w:w="260" w:type="dxa"/>
            <w:vAlign w:val="bottom"/>
            <w:gridSpan w:val="3"/>
          </w:tcPr>
          <w:p>
            <w:pPr>
              <w:spacing w:after="0"/>
              <w:rPr>
                <w:sz w:val="17"/>
                <w:szCs w:val="17"/>
                <w:color w:val="auto"/>
              </w:rPr>
            </w:pPr>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372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Offer of Employment, dated September 24, 2019,</w:t>
              </w:r>
            </w:hyperlink>
          </w:p>
        </w:tc>
        <w:tc>
          <w:tcPr>
            <w:tcW w:w="58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between Arthur D. Chadwick and the Company</w:t>
              </w:r>
            </w:hyperlink>
          </w:p>
        </w:tc>
        <w:tc>
          <w:tcPr>
            <w:tcW w:w="740" w:type="dxa"/>
            <w:vAlign w:val="bottom"/>
            <w:gridSpan w:val="11"/>
          </w:tcPr>
          <w:p>
            <w:pPr>
              <w:spacing w:after="0"/>
              <w:rPr>
                <w:sz w:val="17"/>
                <w:szCs w:val="17"/>
                <w:color w:val="auto"/>
              </w:rPr>
            </w:pPr>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0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Offer of Employment, dated January 27, 2018, between</w:t>
              </w:r>
            </w:hyperlink>
          </w:p>
        </w:tc>
        <w:tc>
          <w:tcPr>
            <w:tcW w:w="3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Lionel Bonnot and the Company</w:t>
              </w:r>
            </w:hyperlink>
          </w:p>
        </w:tc>
        <w:tc>
          <w:tcPr>
            <w:tcW w:w="1940" w:type="dxa"/>
            <w:vAlign w:val="bottom"/>
            <w:gridSpan w:val="19"/>
          </w:tcPr>
          <w:p>
            <w:pPr>
              <w:spacing w:after="0"/>
              <w:rPr>
                <w:sz w:val="17"/>
                <w:szCs w:val="17"/>
                <w:color w:val="auto"/>
              </w:rPr>
            </w:pPr>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38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New Terms of Employment, dated October 20, 2014,</w:t>
              </w:r>
            </w:hyperlink>
          </w:p>
        </w:tc>
        <w:tc>
          <w:tcPr>
            <w:tcW w:w="4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between Piyush B. Sevalia and the Company</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Change of Control and Severance Agreement, between</w:t>
              </w:r>
            </w:hyperlink>
          </w:p>
        </w:tc>
        <w:tc>
          <w:tcPr>
            <w:tcW w:w="34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00" w:type="dxa"/>
            <w:vAlign w:val="bottom"/>
            <w:gridSpan w:val="22"/>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 Company and Rajesh Vashist</w:t>
              </w:r>
            </w:hyperlink>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9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Form of Change of Control and Severance Agreement,</w:t>
              </w:r>
            </w:hyperlink>
          </w:p>
        </w:tc>
        <w:tc>
          <w:tcPr>
            <w:tcW w:w="36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0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between the Company and its Executives</w:t>
              </w:r>
            </w:hyperlink>
          </w:p>
        </w:tc>
        <w:tc>
          <w:tcPr>
            <w:tcW w:w="1300" w:type="dxa"/>
            <w:vAlign w:val="bottom"/>
            <w:gridSpan w:val="17"/>
          </w:tcPr>
          <w:p>
            <w:pPr>
              <w:spacing w:after="0"/>
              <w:rPr>
                <w:sz w:val="17"/>
                <w:szCs w:val="17"/>
                <w:color w:val="auto"/>
              </w:rPr>
            </w:pPr>
          </w:p>
        </w:tc>
        <w:tc>
          <w:tcPr>
            <w:tcW w:w="8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700" w:space="380"/>
            <w:col w:w="1016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10.12</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Integration and Purchase Agreement, dated March 15, 2019,</w:t>
              </w:r>
            </w:hyperlink>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340" w:type="dxa"/>
            <w:vAlign w:val="bottom"/>
            <w:tcBorders>
              <w:top w:val="single" w:sz="8" w:color="0000FF"/>
            </w:tcBorders>
            <w:gridSpan w:val="22"/>
            <w:vMerge w:val="restart"/>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between the Company and MegaChips Corporation</w:t>
              </w:r>
            </w:hyperlink>
          </w:p>
        </w:tc>
        <w:tc>
          <w:tcPr>
            <w:tcW w:w="200" w:type="dxa"/>
            <w:vAlign w:val="bottom"/>
            <w:gridSpan w:val="2"/>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333-234305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100" w:type="dxa"/>
            <w:vAlign w:val="bottom"/>
            <w:vMerge w:val="restart"/>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4340" w:type="dxa"/>
            <w:vAlign w:val="bottom"/>
            <w:gridSpan w:val="2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10.13</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Lease, dated April 15, 2016, between the Company and</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000" w:type="dxa"/>
            <w:vAlign w:val="bottom"/>
            <w:tcBorders>
              <w:top w:val="single" w:sz="8" w:color="0000FF"/>
            </w:tcBorders>
            <w:gridSpan w:val="16"/>
            <w:vMerge w:val="restart"/>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Batton Associates, LLC</w:t>
              </w:r>
            </w:hyperlink>
          </w:p>
        </w:tc>
        <w:tc>
          <w:tcPr>
            <w:tcW w:w="540" w:type="dxa"/>
            <w:vAlign w:val="bottom"/>
            <w:gridSpan w:val="8"/>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333-234305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100" w:type="dxa"/>
            <w:vAlign w:val="bottom"/>
            <w:vMerge w:val="restart"/>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4000" w:type="dxa"/>
            <w:vAlign w:val="bottom"/>
            <w:gridSpan w:val="16"/>
            <w:vMerge w:val="continue"/>
          </w:tcPr>
          <w:p>
            <w:pPr>
              <w:spacing w:after="0"/>
              <w:rPr>
                <w:sz w:val="5"/>
                <w:szCs w:val="5"/>
                <w:color w:val="auto"/>
              </w:rPr>
            </w:pPr>
          </w:p>
        </w:tc>
        <w:tc>
          <w:tcPr>
            <w:tcW w:w="540" w:type="dxa"/>
            <w:vAlign w:val="bottom"/>
            <w:gridSpan w:val="8"/>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10.14*</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License Agreement, dated August 1, 2018, between the</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420" w:type="dxa"/>
            <w:vAlign w:val="bottom"/>
            <w:tcBorders>
              <w:top w:val="single" w:sz="8" w:color="0000FF"/>
            </w:tcBorders>
            <w:gridSpan w:val="5"/>
            <w:vMerge w:val="restart"/>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Company and Robert Bosch LLC</w:t>
              </w:r>
            </w:hyperlink>
          </w:p>
        </w:tc>
        <w:tc>
          <w:tcPr>
            <w:tcW w:w="1560" w:type="dxa"/>
            <w:vAlign w:val="bottom"/>
            <w:tcBorders>
              <w:top w:val="single" w:sz="8" w:color="0000FF"/>
            </w:tcBorders>
            <w:gridSpan w:val="10"/>
            <w:vMerge w:val="restart"/>
          </w:tcPr>
          <w:p>
            <w:pPr>
              <w:spacing w:after="0"/>
              <w:rPr>
                <w:sz w:val="11"/>
                <w:szCs w:val="11"/>
                <w:color w:val="auto"/>
              </w:rPr>
            </w:pPr>
          </w:p>
        </w:tc>
        <w:tc>
          <w:tcPr>
            <w:tcW w:w="560" w:type="dxa"/>
            <w:vAlign w:val="bottom"/>
            <w:gridSpan w:val="9"/>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333-234305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1100" w:type="dxa"/>
            <w:vAlign w:val="bottom"/>
            <w:vMerge w:val="restart"/>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72"/>
        </w:trPr>
        <w:tc>
          <w:tcPr>
            <w:tcW w:w="860" w:type="dxa"/>
            <w:vAlign w:val="bottom"/>
          </w:tcPr>
          <w:p>
            <w:pPr>
              <w:spacing w:after="0"/>
              <w:rPr>
                <w:sz w:val="5"/>
                <w:szCs w:val="5"/>
                <w:color w:val="auto"/>
              </w:rPr>
            </w:pPr>
          </w:p>
        </w:tc>
        <w:tc>
          <w:tcPr>
            <w:tcW w:w="2420" w:type="dxa"/>
            <w:vAlign w:val="bottom"/>
            <w:tcBorders>
              <w:bottom w:val="single" w:sz="8" w:color="0000FF"/>
            </w:tcBorders>
            <w:gridSpan w:val="5"/>
            <w:vMerge w:val="continue"/>
          </w:tcPr>
          <w:p>
            <w:pPr>
              <w:spacing w:after="0"/>
              <w:rPr>
                <w:sz w:val="5"/>
                <w:szCs w:val="5"/>
                <w:color w:val="auto"/>
              </w:rPr>
            </w:pPr>
          </w:p>
        </w:tc>
        <w:tc>
          <w:tcPr>
            <w:tcW w:w="1560" w:type="dxa"/>
            <w:vAlign w:val="bottom"/>
            <w:gridSpan w:val="10"/>
            <w:vMerge w:val="continue"/>
          </w:tcPr>
          <w:p>
            <w:pPr>
              <w:spacing w:after="0"/>
              <w:rPr>
                <w:sz w:val="5"/>
                <w:szCs w:val="5"/>
                <w:color w:val="auto"/>
              </w:rPr>
            </w:pPr>
          </w:p>
        </w:tc>
        <w:tc>
          <w:tcPr>
            <w:tcW w:w="560" w:type="dxa"/>
            <w:vAlign w:val="bottom"/>
            <w:gridSpan w:val="9"/>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540" w:type="dxa"/>
            <w:vAlign w:val="bottom"/>
            <w:gridSpan w:val="2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Manufacturing Agreement, dated</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3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February 23, 2017, between the Company and Robert Bosch</w:t>
              </w:r>
            </w:hyperlink>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35">
              <w:r>
                <w:rPr>
                  <w:rFonts w:ascii="Times New Roman" w:cs="Times New Roman" w:eastAsia="Times New Roman" w:hAnsi="Times New Roman"/>
                  <w:sz w:val="18"/>
                  <w:szCs w:val="18"/>
                  <w:color w:val="0000FF"/>
                  <w:w w:val="93"/>
                </w:rPr>
                <w:t>LLC</w:t>
              </w:r>
            </w:hyperlink>
          </w:p>
        </w:tc>
        <w:tc>
          <w:tcPr>
            <w:tcW w:w="4200" w:type="dxa"/>
            <w:vAlign w:val="bottom"/>
            <w:gridSpan w:val="23"/>
          </w:tcPr>
          <w:p>
            <w:pPr>
              <w:spacing w:after="0"/>
              <w:rPr>
                <w:sz w:val="17"/>
                <w:szCs w:val="17"/>
                <w:color w:val="auto"/>
              </w:rPr>
            </w:pPr>
          </w:p>
        </w:tc>
        <w:tc>
          <w:tcPr>
            <w:tcW w:w="8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333-234305</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110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540" w:type="dxa"/>
            <w:vAlign w:val="bottom"/>
            <w:gridSpan w:val="2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1 to Amended and Restated Manufacturing</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34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dated August 1, 2018, between the Company</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Robert Bosch LLC</w:t>
              </w:r>
            </w:hyperlink>
          </w:p>
        </w:tc>
        <w:tc>
          <w:tcPr>
            <w:tcW w:w="2400" w:type="dxa"/>
            <w:vAlign w:val="bottom"/>
            <w:tcBorders>
              <w:top w:val="single" w:sz="8" w:color="0000FF"/>
            </w:tcBorders>
            <w:gridSpan w:val="15"/>
          </w:tcPr>
          <w:p>
            <w:pPr>
              <w:spacing w:after="0"/>
              <w:rPr>
                <w:sz w:val="17"/>
                <w:szCs w:val="17"/>
                <w:color w:val="auto"/>
              </w:rPr>
            </w:pPr>
          </w:p>
        </w:tc>
        <w:tc>
          <w:tcPr>
            <w:tcW w:w="420" w:type="dxa"/>
            <w:vAlign w:val="bottom"/>
            <w:gridSpan w:val="6"/>
          </w:tcPr>
          <w:p>
            <w:pPr>
              <w:spacing w:after="0"/>
              <w:rPr>
                <w:sz w:val="17"/>
                <w:szCs w:val="17"/>
                <w:color w:val="auto"/>
              </w:rPr>
            </w:pPr>
          </w:p>
        </w:tc>
        <w:tc>
          <w:tcPr>
            <w:tcW w:w="8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333-234305</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110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Asset purchase agreement dated February 20, 2020, by and</w:t>
              </w:r>
            </w:hyperlink>
          </w:p>
        </w:tc>
        <w:tc>
          <w:tcPr>
            <w:tcW w:w="28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540" w:type="dxa"/>
            <w:vAlign w:val="bottom"/>
            <w:gridSpan w:val="24"/>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among MegaChips Taiwan Corporation and SiTime</w:t>
              </w:r>
            </w:hyperlink>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72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Corporation</w:t>
              </w:r>
            </w:hyperlink>
          </w:p>
        </w:tc>
        <w:tc>
          <w:tcPr>
            <w:tcW w:w="820" w:type="dxa"/>
            <w:vAlign w:val="bottom"/>
            <w:gridSpan w:val="10"/>
          </w:tcPr>
          <w:p>
            <w:pPr>
              <w:spacing w:after="0"/>
              <w:rPr>
                <w:sz w:val="17"/>
                <w:szCs w:val="17"/>
                <w:color w:val="auto"/>
              </w:rPr>
            </w:pPr>
          </w:p>
        </w:tc>
        <w:tc>
          <w:tcPr>
            <w:tcW w:w="8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5/7/2020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10.19+</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Offer of Employment, dated June 5, 2020, between Vincent</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80" w:type="dxa"/>
            <w:vAlign w:val="bottom"/>
            <w:tcBorders>
              <w:top w:val="single" w:sz="8" w:color="0000FF"/>
            </w:tcBorders>
            <w:gridSpan w:val="7"/>
            <w:vMerge w:val="restart"/>
          </w:tcPr>
          <w:p>
            <w:pPr>
              <w:spacing w:after="0" w:line="19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P. Pangrazio and SiTime Corporation</w:t>
              </w:r>
            </w:hyperlink>
          </w:p>
        </w:tc>
        <w:tc>
          <w:tcPr>
            <w:tcW w:w="1600" w:type="dxa"/>
            <w:vAlign w:val="bottom"/>
            <w:tcBorders>
              <w:top w:val="single" w:sz="8" w:color="0000FF"/>
            </w:tcBorders>
            <w:gridSpan w:val="14"/>
            <w:vMerge w:val="restart"/>
          </w:tcPr>
          <w:p>
            <w:pPr>
              <w:spacing w:after="0"/>
              <w:rPr>
                <w:sz w:val="11"/>
                <w:szCs w:val="11"/>
                <w:color w:val="auto"/>
              </w:rPr>
            </w:pPr>
          </w:p>
        </w:tc>
        <w:tc>
          <w:tcPr>
            <w:tcW w:w="260" w:type="dxa"/>
            <w:vAlign w:val="bottom"/>
            <w:gridSpan w:val="3"/>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vMerge w:val="restart"/>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6/9/2020</w:t>
            </w:r>
          </w:p>
        </w:tc>
        <w:tc>
          <w:tcPr>
            <w:tcW w:w="0" w:type="dxa"/>
            <w:vAlign w:val="bottom"/>
          </w:tcPr>
          <w:p>
            <w:pPr>
              <w:spacing w:after="0"/>
              <w:rPr>
                <w:sz w:val="1"/>
                <w:szCs w:val="1"/>
                <w:color w:val="auto"/>
              </w:rPr>
            </w:pPr>
          </w:p>
        </w:tc>
      </w:tr>
      <w:tr>
        <w:trPr>
          <w:trHeight w:val="72"/>
        </w:trPr>
        <w:tc>
          <w:tcPr>
            <w:tcW w:w="860" w:type="dxa"/>
            <w:vAlign w:val="bottom"/>
          </w:tcPr>
          <w:p>
            <w:pPr>
              <w:spacing w:after="0"/>
              <w:rPr>
                <w:sz w:val="5"/>
                <w:szCs w:val="5"/>
                <w:color w:val="auto"/>
              </w:rPr>
            </w:pPr>
          </w:p>
        </w:tc>
        <w:tc>
          <w:tcPr>
            <w:tcW w:w="2680" w:type="dxa"/>
            <w:vAlign w:val="bottom"/>
            <w:tcBorders>
              <w:bottom w:val="single" w:sz="8" w:color="0000FF"/>
            </w:tcBorders>
            <w:gridSpan w:val="7"/>
            <w:vMerge w:val="continue"/>
          </w:tcPr>
          <w:p>
            <w:pPr>
              <w:spacing w:after="0"/>
              <w:rPr>
                <w:sz w:val="5"/>
                <w:szCs w:val="5"/>
                <w:color w:val="auto"/>
              </w:rPr>
            </w:pPr>
          </w:p>
        </w:tc>
        <w:tc>
          <w:tcPr>
            <w:tcW w:w="1600" w:type="dxa"/>
            <w:vAlign w:val="bottom"/>
            <w:gridSpan w:val="14"/>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10.20+</w:t>
            </w:r>
          </w:p>
        </w:tc>
        <w:tc>
          <w:tcPr>
            <w:tcW w:w="26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Executive Bonus and Retention Plan</w:t>
              </w:r>
            </w:hyperlink>
          </w:p>
        </w:tc>
        <w:tc>
          <w:tcPr>
            <w:tcW w:w="1900" w:type="dxa"/>
            <w:vAlign w:val="bottom"/>
            <w:gridSpan w:val="18"/>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10.21*</w:t>
            </w:r>
          </w:p>
        </w:tc>
        <w:tc>
          <w:tcPr>
            <w:tcW w:w="4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Asset Purchase Agreement dated August 4, 2020, by and</w:t>
              </w:r>
            </w:hyperlink>
          </w:p>
        </w:tc>
        <w:tc>
          <w:tcPr>
            <w:tcW w:w="4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60" w:type="dxa"/>
            <w:vAlign w:val="bottom"/>
            <w:vMerge w:val="continue"/>
          </w:tcPr>
          <w:p>
            <w:pPr>
              <w:spacing w:after="0"/>
              <w:rPr>
                <w:sz w:val="11"/>
                <w:szCs w:val="11"/>
                <w:color w:val="auto"/>
              </w:rPr>
            </w:pPr>
          </w:p>
        </w:tc>
        <w:tc>
          <w:tcPr>
            <w:tcW w:w="454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among MegaChips Corporation and SiTime Corporation</w:t>
              </w:r>
            </w:hyperlink>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00" w:type="dxa"/>
            <w:vAlign w:val="bottom"/>
            <w:vMerge w:val="restart"/>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4540" w:type="dxa"/>
            <w:vAlign w:val="bottom"/>
            <w:gridSpan w:val="24"/>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10.22+</w:t>
            </w:r>
          </w:p>
        </w:tc>
        <w:tc>
          <w:tcPr>
            <w:tcW w:w="4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Offer of Employment dated November 16, 2020, between</w:t>
              </w:r>
            </w:hyperlink>
          </w:p>
        </w:tc>
        <w:tc>
          <w:tcPr>
            <w:tcW w:w="3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302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Fari Assaderaghi and SiTime Corporation</w:t>
              </w:r>
            </w:hyperlink>
          </w:p>
        </w:tc>
        <w:tc>
          <w:tcPr>
            <w:tcW w:w="1520" w:type="dxa"/>
            <w:vAlign w:val="bottom"/>
            <w:gridSpan w:val="15"/>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100" w:type="dxa"/>
            <w:vAlign w:val="bottom"/>
            <w:vMerge w:val="restart"/>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2/16/2021</w:t>
            </w: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3020" w:type="dxa"/>
            <w:vAlign w:val="bottom"/>
            <w:tcBorders>
              <w:bottom w:val="single" w:sz="8" w:color="0000FF"/>
            </w:tcBorders>
            <w:gridSpan w:val="9"/>
            <w:vMerge w:val="continue"/>
          </w:tcPr>
          <w:p>
            <w:pPr>
              <w:spacing w:after="0"/>
              <w:rPr>
                <w:sz w:val="5"/>
                <w:szCs w:val="5"/>
                <w:color w:val="auto"/>
              </w:rPr>
            </w:pPr>
          </w:p>
        </w:tc>
        <w:tc>
          <w:tcPr>
            <w:tcW w:w="1520" w:type="dxa"/>
            <w:vAlign w:val="bottom"/>
            <w:gridSpan w:val="15"/>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10.23+</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Independent Director Compensation Policy</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5/4/2023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10.24+</w:t>
            </w:r>
          </w:p>
        </w:tc>
        <w:tc>
          <w:tcPr>
            <w:tcW w:w="454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Letter Agreement dated April 1, 2021 between Christine</w:t>
              </w:r>
            </w:hyperlink>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360" w:type="dxa"/>
            <w:vAlign w:val="bottom"/>
            <w:tcBorders>
              <w:top w:val="single" w:sz="8" w:color="0000FF"/>
            </w:tcBorders>
            <w:gridSpan w:val="4"/>
            <w:vMerge w:val="restart"/>
          </w:tcPr>
          <w:p>
            <w:pPr>
              <w:spacing w:after="0" w:line="19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Heckart and SiTime Corporation</w:t>
              </w:r>
            </w:hyperlink>
          </w:p>
        </w:tc>
        <w:tc>
          <w:tcPr>
            <w:tcW w:w="1700" w:type="dxa"/>
            <w:vAlign w:val="bottom"/>
            <w:tcBorders>
              <w:top w:val="single" w:sz="8" w:color="0000FF"/>
            </w:tcBorders>
            <w:gridSpan w:val="13"/>
            <w:vMerge w:val="restart"/>
          </w:tcPr>
          <w:p>
            <w:pPr>
              <w:spacing w:after="0"/>
              <w:rPr>
                <w:sz w:val="11"/>
                <w:szCs w:val="11"/>
                <w:color w:val="auto"/>
              </w:rPr>
            </w:pPr>
          </w:p>
        </w:tc>
        <w:tc>
          <w:tcPr>
            <w:tcW w:w="480" w:type="dxa"/>
            <w:vAlign w:val="bottom"/>
            <w:gridSpan w:val="7"/>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vMerge w:val="restart"/>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4/5/2021</w:t>
            </w: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2360" w:type="dxa"/>
            <w:vAlign w:val="bottom"/>
            <w:tcBorders>
              <w:bottom w:val="single" w:sz="8" w:color="0000FF"/>
            </w:tcBorders>
            <w:gridSpan w:val="4"/>
            <w:vMerge w:val="continue"/>
          </w:tcPr>
          <w:p>
            <w:pPr>
              <w:spacing w:after="0"/>
              <w:rPr>
                <w:sz w:val="5"/>
                <w:szCs w:val="5"/>
                <w:color w:val="auto"/>
              </w:rPr>
            </w:pPr>
          </w:p>
        </w:tc>
        <w:tc>
          <w:tcPr>
            <w:tcW w:w="1700" w:type="dxa"/>
            <w:vAlign w:val="bottom"/>
            <w:gridSpan w:val="13"/>
            <w:vMerge w:val="continue"/>
          </w:tcPr>
          <w:p>
            <w:pPr>
              <w:spacing w:after="0"/>
              <w:rPr>
                <w:sz w:val="5"/>
                <w:szCs w:val="5"/>
                <w:color w:val="auto"/>
              </w:rPr>
            </w:pPr>
          </w:p>
        </w:tc>
        <w:tc>
          <w:tcPr>
            <w:tcW w:w="480" w:type="dxa"/>
            <w:vAlign w:val="bottom"/>
            <w:gridSpan w:val="7"/>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10.25+</w:t>
            </w:r>
          </w:p>
        </w:tc>
        <w:tc>
          <w:tcPr>
            <w:tcW w:w="3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Offer of Employment dated October 31, 2023, between</w:t>
            </w:r>
          </w:p>
        </w:tc>
        <w:tc>
          <w:tcPr>
            <w:tcW w:w="56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540" w:type="dxa"/>
            <w:vAlign w:val="bottom"/>
            <w:gridSpan w:val="2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Elizabeth Howe and SiTime Corporation</w:t>
            </w: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4540" w:type="dxa"/>
            <w:vAlign w:val="bottom"/>
            <w:gridSpan w:val="24"/>
            <w:vMerge w:val="continue"/>
          </w:tcPr>
          <w:p>
            <w:pPr>
              <w:spacing w:after="0"/>
              <w:rPr>
                <w:sz w:val="5"/>
                <w:szCs w:val="5"/>
                <w:color w:val="auto"/>
              </w:rPr>
            </w:pPr>
          </w:p>
        </w:tc>
        <w:tc>
          <w:tcPr>
            <w:tcW w:w="8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10.26+</w:t>
            </w: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Retirement Agreement dated October 30, 2023, between</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60" w:type="dxa"/>
            <w:vAlign w:val="bottom"/>
            <w:vMerge w:val="continue"/>
          </w:tcPr>
          <w:p>
            <w:pPr>
              <w:spacing w:after="0"/>
              <w:rPr>
                <w:sz w:val="11"/>
                <w:szCs w:val="11"/>
                <w:color w:val="auto"/>
              </w:rPr>
            </w:pPr>
          </w:p>
        </w:tc>
        <w:tc>
          <w:tcPr>
            <w:tcW w:w="4060" w:type="dxa"/>
            <w:vAlign w:val="bottom"/>
            <w:tcBorders>
              <w:top w:val="single" w:sz="8" w:color="0000FF"/>
            </w:tcBorders>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Arthur Chadwick and SiTime Corporation</w:t>
            </w:r>
          </w:p>
        </w:tc>
        <w:tc>
          <w:tcPr>
            <w:tcW w:w="480" w:type="dxa"/>
            <w:vAlign w:val="bottom"/>
            <w:gridSpan w:val="7"/>
            <w:vMerge w:val="restart"/>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480" w:type="dxa"/>
            <w:vAlign w:val="bottom"/>
            <w:gridSpan w:val="7"/>
            <w:vMerge w:val="continue"/>
          </w:tcPr>
          <w:p>
            <w:pPr>
              <w:spacing w:after="0"/>
              <w:rPr>
                <w:sz w:val="5"/>
                <w:szCs w:val="5"/>
                <w:color w:val="auto"/>
              </w:rPr>
            </w:pPr>
          </w:p>
        </w:tc>
        <w:tc>
          <w:tcPr>
            <w:tcW w:w="8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10.27</w:t>
            </w:r>
          </w:p>
        </w:tc>
        <w:tc>
          <w:tcPr>
            <w:tcW w:w="4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First Amendment to Lease, dated January 7, 2021, between</w:t>
              </w:r>
            </w:hyperlink>
          </w:p>
        </w:tc>
        <w:tc>
          <w:tcPr>
            <w:tcW w:w="2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3520" w:type="dxa"/>
            <w:vAlign w:val="bottom"/>
            <w:gridSpan w:val="12"/>
            <w:vMerge w:val="restart"/>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Batton Associates, LLC and SiTime Corporation</w:t>
              </w:r>
            </w:hyperlink>
          </w:p>
        </w:tc>
        <w:tc>
          <w:tcPr>
            <w:tcW w:w="1020" w:type="dxa"/>
            <w:vAlign w:val="bottom"/>
            <w:gridSpan w:val="12"/>
            <w:vMerge w:val="restart"/>
          </w:tcPr>
          <w:p>
            <w:pPr>
              <w:spacing w:after="0"/>
              <w:rPr>
                <w:sz w:val="11"/>
                <w:szCs w:val="11"/>
                <w:color w:val="auto"/>
              </w:rPr>
            </w:pPr>
          </w:p>
        </w:tc>
        <w:tc>
          <w:tcPr>
            <w:tcW w:w="820" w:type="dxa"/>
            <w:vAlign w:val="bottom"/>
            <w:vMerge w:val="restart"/>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0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vMerge w:val="restart"/>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8"/>
              </w:rPr>
              <w:t>11/4/2021</w:t>
            </w: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3520" w:type="dxa"/>
            <w:vAlign w:val="bottom"/>
            <w:tcBorders>
              <w:bottom w:val="single" w:sz="8" w:color="0000FF"/>
            </w:tcBorders>
            <w:gridSpan w:val="12"/>
            <w:vMerge w:val="continue"/>
          </w:tcPr>
          <w:p>
            <w:pPr>
              <w:spacing w:after="0"/>
              <w:rPr>
                <w:sz w:val="5"/>
                <w:szCs w:val="5"/>
                <w:color w:val="auto"/>
              </w:rPr>
            </w:pPr>
          </w:p>
        </w:tc>
        <w:tc>
          <w:tcPr>
            <w:tcW w:w="1020" w:type="dxa"/>
            <w:vAlign w:val="bottom"/>
            <w:gridSpan w:val="1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040" w:space="660"/>
            <w:col w:w="140"/>
          </w:cols>
          <w:pgMar w:left="320" w:top="337" w:right="7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840"/>
          </w:cols>
          <w:pgMar w:left="320" w:top="33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10.28+</w:t>
            </w:r>
          </w:p>
        </w:tc>
        <w:tc>
          <w:tcPr>
            <w:tcW w:w="42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Letter Agreement, dated October 18, 2021, between Rajesh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60" w:type="dxa"/>
            <w:vAlign w:val="bottom"/>
            <w:vMerge w:val="continue"/>
          </w:tcPr>
          <w:p>
            <w:pPr>
              <w:spacing w:after="0"/>
              <w:rPr>
                <w:sz w:val="11"/>
                <w:szCs w:val="11"/>
                <w:color w:val="auto"/>
              </w:rPr>
            </w:pPr>
          </w:p>
        </w:tc>
        <w:tc>
          <w:tcPr>
            <w:tcW w:w="4380" w:type="dxa"/>
            <w:vAlign w:val="bottom"/>
            <w:gridSpan w:val="27"/>
            <w:vMerge w:val="restart"/>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Vashist and SiTime Corporation</w:t>
              </w:r>
            </w:hyperlink>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438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10.29+</w:t>
            </w:r>
          </w:p>
        </w:tc>
        <w:tc>
          <w:tcPr>
            <w:tcW w:w="4380" w:type="dxa"/>
            <w:vAlign w:val="bottom"/>
            <w:gridSpan w:val="2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to Letter Agreement dated October 11, 2022,</w:t>
              </w:r>
            </w:hyperlink>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160" w:type="dxa"/>
            <w:vAlign w:val="bottom"/>
            <w:tcBorders>
              <w:top w:val="single" w:sz="8" w:color="0000FF"/>
            </w:tcBorders>
            <w:gridSpan w:val="18"/>
            <w:vMerge w:val="restart"/>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between Rajesh Vashist and SiTime Corporation</w:t>
              </w:r>
            </w:hyperlink>
          </w:p>
        </w:tc>
        <w:tc>
          <w:tcPr>
            <w:tcW w:w="220" w:type="dxa"/>
            <w:vAlign w:val="bottom"/>
            <w:gridSpan w:val="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4160" w:type="dxa"/>
            <w:vAlign w:val="bottom"/>
            <w:gridSpan w:val="18"/>
            <w:vMerge w:val="continue"/>
          </w:tcPr>
          <w:p>
            <w:pPr>
              <w:spacing w:after="0"/>
              <w:rPr>
                <w:sz w:val="5"/>
                <w:szCs w:val="5"/>
                <w:color w:val="auto"/>
              </w:rPr>
            </w:pPr>
          </w:p>
        </w:tc>
        <w:tc>
          <w:tcPr>
            <w:tcW w:w="2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10.30+</w:t>
            </w:r>
          </w:p>
        </w:tc>
        <w:tc>
          <w:tcPr>
            <w:tcW w:w="4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Second Amendment to Letter Agreement dated October 11,</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3940" w:type="dxa"/>
            <w:vAlign w:val="bottom"/>
            <w:tcBorders>
              <w:top w:val="single" w:sz="8" w:color="0000FF"/>
            </w:tcBorders>
            <w:gridSpan w:val="14"/>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2022, between Rajesh Vashist and SiTime Corporation</w:t>
            </w:r>
          </w:p>
        </w:tc>
        <w:tc>
          <w:tcPr>
            <w:tcW w:w="340" w:type="dxa"/>
            <w:vAlign w:val="bottom"/>
            <w:tcBorders>
              <w:top w:val="single" w:sz="8" w:color="0000FF"/>
            </w:tcBorders>
            <w:gridSpan w:val="9"/>
            <w:vMerge w:val="restart"/>
          </w:tcPr>
          <w:p>
            <w:pPr>
              <w:spacing w:after="0"/>
              <w:rPr>
                <w:sz w:val="11"/>
                <w:szCs w:val="11"/>
                <w:color w:val="auto"/>
              </w:rPr>
            </w:pPr>
          </w:p>
        </w:tc>
        <w:tc>
          <w:tcPr>
            <w:tcW w:w="10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3940" w:type="dxa"/>
            <w:vAlign w:val="bottom"/>
            <w:tcBorders>
              <w:bottom w:val="single" w:sz="8" w:color="0000FF"/>
            </w:tcBorders>
            <w:gridSpan w:val="14"/>
            <w:vMerge w:val="continue"/>
          </w:tcPr>
          <w:p>
            <w:pPr>
              <w:spacing w:after="0"/>
              <w:rPr>
                <w:sz w:val="5"/>
                <w:szCs w:val="5"/>
                <w:color w:val="auto"/>
              </w:rPr>
            </w:pPr>
          </w:p>
        </w:tc>
        <w:tc>
          <w:tcPr>
            <w:tcW w:w="340" w:type="dxa"/>
            <w:vAlign w:val="bottom"/>
            <w:gridSpan w:val="9"/>
            <w:vMerge w:val="continue"/>
          </w:tcPr>
          <w:p>
            <w:pPr>
              <w:spacing w:after="0"/>
              <w:rPr>
                <w:sz w:val="5"/>
                <w:szCs w:val="5"/>
                <w:color w:val="auto"/>
              </w:rPr>
            </w:pPr>
          </w:p>
        </w:tc>
        <w:tc>
          <w:tcPr>
            <w:tcW w:w="1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35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SiTime Corporation Amended and Restated 2022</w:t>
              </w:r>
            </w:hyperlink>
          </w:p>
        </w:tc>
        <w:tc>
          <w:tcPr>
            <w:tcW w:w="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4380" w:type="dxa"/>
            <w:vAlign w:val="bottom"/>
            <w:gridSpan w:val="2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Inducement Award Plan and Form of Restricted Stock Unit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Agreement</w:t>
              </w:r>
            </w:hyperlink>
          </w:p>
        </w:tc>
        <w:tc>
          <w:tcPr>
            <w:tcW w:w="3460" w:type="dxa"/>
            <w:vAlign w:val="bottom"/>
            <w:tcBorders>
              <w:top w:val="single" w:sz="8" w:color="0000FF"/>
            </w:tcBorders>
            <w:gridSpan w:val="20"/>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10.32</w:t>
            </w:r>
          </w:p>
        </w:tc>
        <w:tc>
          <w:tcPr>
            <w:tcW w:w="38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Sales Agreement dated May 4, 2022 between SiTime</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380" w:type="dxa"/>
            <w:vAlign w:val="bottom"/>
            <w:gridSpan w:val="27"/>
            <w:vMerge w:val="restart"/>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Corporation and Stifel, Nicolaus &amp; Company, Incorporated</w:t>
              </w:r>
            </w:hyperlink>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438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26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Master Framework Agreement, dated as of October 30,</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2023, by and between SiTime Corporation, Ningbo Aura</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ind w:right="29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40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Semiconductor Co., Ltd., Aura Semiconductor Pvt. Ltd.,</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Shaoxing Yuanfang Semiconductor Co Ltd., Aura</w:t>
              </w:r>
            </w:hyperlink>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1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Semiconductor Limited, and Aim Core Holdings Limited.</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10.34+</w:t>
            </w:r>
          </w:p>
        </w:tc>
        <w:tc>
          <w:tcPr>
            <w:tcW w:w="4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Offer of Employment dated April 21, 2015 between SiTime</w:t>
            </w:r>
          </w:p>
        </w:tc>
        <w:tc>
          <w:tcPr>
            <w:tcW w:w="0" w:type="dxa"/>
            <w:vAlign w:val="bottom"/>
          </w:tcPr>
          <w:p>
            <w:pPr>
              <w:spacing w:after="0"/>
              <w:rPr>
                <w:sz w:val="1"/>
                <w:szCs w:val="1"/>
                <w:color w:val="auto"/>
              </w:rPr>
            </w:pPr>
          </w:p>
        </w:tc>
      </w:tr>
      <w:tr>
        <w:trPr>
          <w:trHeight w:val="128"/>
        </w:trPr>
        <w:tc>
          <w:tcPr>
            <w:tcW w:w="860" w:type="dxa"/>
            <w:vAlign w:val="bottom"/>
            <w:vMerge w:val="continue"/>
          </w:tcPr>
          <w:p>
            <w:pPr>
              <w:spacing w:after="0"/>
              <w:rPr>
                <w:sz w:val="11"/>
                <w:szCs w:val="11"/>
                <w:color w:val="auto"/>
              </w:rPr>
            </w:pPr>
          </w:p>
        </w:tc>
        <w:tc>
          <w:tcPr>
            <w:tcW w:w="2500" w:type="dxa"/>
            <w:vAlign w:val="bottom"/>
            <w:tcBorders>
              <w:top w:val="single" w:sz="8" w:color="0000FF"/>
            </w:tcBorders>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Corporation and Samsheer Ahmad</w:t>
            </w:r>
          </w:p>
        </w:tc>
        <w:tc>
          <w:tcPr>
            <w:tcW w:w="1800" w:type="dxa"/>
            <w:vAlign w:val="bottom"/>
            <w:tcBorders>
              <w:top w:val="single" w:sz="8" w:color="0000FF"/>
            </w:tcBorders>
            <w:gridSpan w:val="17"/>
            <w:vMerge w:val="restart"/>
          </w:tcPr>
          <w:p>
            <w:pPr>
              <w:spacing w:after="0"/>
              <w:rPr>
                <w:sz w:val="11"/>
                <w:szCs w:val="11"/>
                <w:color w:val="auto"/>
              </w:rPr>
            </w:pPr>
          </w:p>
        </w:tc>
        <w:tc>
          <w:tcPr>
            <w:tcW w:w="8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2500" w:type="dxa"/>
            <w:vAlign w:val="bottom"/>
            <w:tcBorders>
              <w:bottom w:val="single" w:sz="8" w:color="0000FF"/>
            </w:tcBorders>
            <w:gridSpan w:val="7"/>
            <w:vMerge w:val="continue"/>
          </w:tcPr>
          <w:p>
            <w:pPr>
              <w:spacing w:after="0"/>
              <w:rPr>
                <w:sz w:val="5"/>
                <w:szCs w:val="5"/>
                <w:color w:val="auto"/>
              </w:rPr>
            </w:pPr>
          </w:p>
        </w:tc>
        <w:tc>
          <w:tcPr>
            <w:tcW w:w="1800" w:type="dxa"/>
            <w:vAlign w:val="bottom"/>
            <w:gridSpan w:val="17"/>
            <w:vMerge w:val="continue"/>
          </w:tcPr>
          <w:p>
            <w:pPr>
              <w:spacing w:after="0"/>
              <w:rPr>
                <w:sz w:val="5"/>
                <w:szCs w:val="5"/>
                <w:color w:val="auto"/>
              </w:rPr>
            </w:pPr>
          </w:p>
        </w:tc>
        <w:tc>
          <w:tcPr>
            <w:tcW w:w="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0"/>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21.1</w:t>
            </w:r>
          </w:p>
        </w:tc>
        <w:tc>
          <w:tcPr>
            <w:tcW w:w="4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5"/>
              </w:rPr>
              <w:t>23.1</w:t>
            </w:r>
          </w:p>
        </w:tc>
        <w:tc>
          <w:tcPr>
            <w:tcW w:w="43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Consent of BDO USA, P.C., Independent Registered Public</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12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3140" w:type="dxa"/>
            <w:vAlign w:val="bottom"/>
            <w:gridSpan w:val="2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1240" w:type="dxa"/>
            <w:vAlign w:val="bottom"/>
            <w:tcBorders>
              <w:bottom w:val="single" w:sz="8" w:color="0000FF"/>
            </w:tcBorders>
            <w:gridSpan w:val="3"/>
            <w:vMerge w:val="continue"/>
          </w:tcPr>
          <w:p>
            <w:pPr>
              <w:spacing w:after="0"/>
              <w:rPr>
                <w:sz w:val="5"/>
                <w:szCs w:val="5"/>
                <w:color w:val="auto"/>
              </w:rPr>
            </w:pPr>
          </w:p>
        </w:tc>
        <w:tc>
          <w:tcPr>
            <w:tcW w:w="314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24.1</w:t>
            </w:r>
          </w:p>
        </w:tc>
        <w:tc>
          <w:tcPr>
            <w:tcW w:w="3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 hereto)</w:t>
            </w:r>
          </w:p>
        </w:tc>
        <w:tc>
          <w:tcPr>
            <w:tcW w:w="10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5"/>
              </w:rPr>
              <w:t>31.1</w:t>
            </w:r>
          </w:p>
        </w:tc>
        <w:tc>
          <w:tcPr>
            <w:tcW w:w="42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Rules 13a-14(a) and 15d-14(a) under the Exchange Act, as</w:t>
            </w: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60" w:type="dxa"/>
            <w:vAlign w:val="bottom"/>
            <w:vMerge w:val="continue"/>
          </w:tcPr>
          <w:p>
            <w:pPr>
              <w:spacing w:after="0"/>
              <w:rPr>
                <w:sz w:val="11"/>
                <w:szCs w:val="11"/>
                <w:color w:val="auto"/>
              </w:rPr>
            </w:pPr>
          </w:p>
        </w:tc>
        <w:tc>
          <w:tcPr>
            <w:tcW w:w="4360" w:type="dxa"/>
            <w:vAlign w:val="bottom"/>
            <w:gridSpan w:val="2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5"/>
                <w:szCs w:val="5"/>
                <w:color w:val="auto"/>
              </w:rPr>
            </w:pPr>
          </w:p>
        </w:tc>
        <w:tc>
          <w:tcPr>
            <w:tcW w:w="4360" w:type="dxa"/>
            <w:vAlign w:val="bottom"/>
            <w:tcBorders>
              <w:bottom w:val="single" w:sz="8" w:color="0000FF"/>
            </w:tcBorders>
            <w:gridSpan w:val="26"/>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8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3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w:t>
            </w:r>
          </w:p>
        </w:tc>
        <w:tc>
          <w:tcPr>
            <w:tcW w:w="0" w:type="dxa"/>
            <w:vAlign w:val="bottom"/>
          </w:tcPr>
          <w:p>
            <w:pPr>
              <w:spacing w:after="0"/>
              <w:rPr>
                <w:sz w:val="1"/>
                <w:szCs w:val="1"/>
                <w:color w:val="auto"/>
              </w:rPr>
            </w:pPr>
          </w:p>
        </w:tc>
      </w:tr>
      <w:tr>
        <w:trPr>
          <w:trHeight w:val="196"/>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5"/>
              </w:rPr>
              <w:t>31.2</w:t>
            </w:r>
          </w:p>
        </w:tc>
        <w:tc>
          <w:tcPr>
            <w:tcW w:w="37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under the Exchange Act, as</w:t>
            </w:r>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4360" w:type="dxa"/>
            <w:vAlign w:val="bottom"/>
            <w:gridSpan w:val="2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5"/>
                <w:szCs w:val="5"/>
                <w:color w:val="auto"/>
              </w:rPr>
            </w:pPr>
          </w:p>
        </w:tc>
        <w:tc>
          <w:tcPr>
            <w:tcW w:w="4360" w:type="dxa"/>
            <w:vAlign w:val="bottom"/>
            <w:tcBorders>
              <w:bottom w:val="single" w:sz="8" w:color="0000FF"/>
            </w:tcBorders>
            <w:gridSpan w:val="26"/>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8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4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1880" w:type="dxa"/>
            <w:vAlign w:val="bottom"/>
            <w:gridSpan w:val="14"/>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ind w:right="29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43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001-39135</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2/25/2022</w:t>
            </w:r>
          </w:p>
        </w:tc>
      </w:tr>
      <w:tr>
        <w:trPr>
          <w:trHeight w:val="70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001-39145</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2/27/2023</w:t>
            </w:r>
          </w:p>
        </w:tc>
      </w:tr>
    </w:tbl>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001-39145</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2/27/2023</w:t>
            </w:r>
          </w:p>
        </w:tc>
      </w:tr>
      <w:tr>
        <w:trPr>
          <w:trHeight w:val="702"/>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001-39135</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940" w:val="left"/>
          <w:tab w:leader="none" w:pos="2440" w:val="left"/>
          <w:tab w:leader="none" w:pos="3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001-39135</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11/1/2023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20" w:space="120"/>
            <w:col w:w="5000"/>
          </w:cols>
          <w:pgMar w:left="320" w:top="337" w:right="7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4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w:t>
            </w:r>
          </w:p>
        </w:tc>
        <w:tc>
          <w:tcPr>
            <w:tcW w:w="280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3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00" w:type="dxa"/>
            <w:vAlign w:val="bottom"/>
            <w:tcBorders>
              <w:top w:val="single" w:sz="8" w:color="0000FF"/>
            </w:tcBorders>
            <w:gridSpan w:val="3"/>
          </w:tcPr>
          <w:p>
            <w:pPr>
              <w:spacing w:after="0"/>
              <w:rPr>
                <w:sz w:val="17"/>
                <w:szCs w:val="17"/>
                <w:color w:val="auto"/>
              </w:rPr>
            </w:pPr>
          </w:p>
        </w:tc>
        <w:tc>
          <w:tcPr>
            <w:tcW w:w="2640" w:type="dxa"/>
            <w:vAlign w:val="bottom"/>
          </w:tcPr>
          <w:p>
            <w:pPr>
              <w:spacing w:after="0"/>
              <w:rPr>
                <w:sz w:val="17"/>
                <w:szCs w:val="17"/>
                <w:color w:val="auto"/>
              </w:rPr>
            </w:pPr>
          </w:p>
        </w:tc>
        <w:tc>
          <w:tcPr>
            <w:tcW w:w="2740" w:type="dxa"/>
            <w:vAlign w:val="bottom"/>
          </w:tcPr>
          <w:p>
            <w:pPr>
              <w:ind w:left="260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66"/>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97.1</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0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3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760" w:type="dxa"/>
            <w:vAlign w:val="bottom"/>
            <w:gridSpan w:val="3"/>
          </w:tcPr>
          <w:p>
            <w:pPr>
              <w:spacing w:after="0"/>
              <w:rPr>
                <w:sz w:val="24"/>
                <w:szCs w:val="24"/>
                <w:color w:val="auto"/>
              </w:rPr>
            </w:pP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101.SCH</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101.CAL</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6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274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6960" w:type="dxa"/>
            <w:vAlign w:val="bottom"/>
            <w:gridSpan w:val="5"/>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101.DEF</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101.LAB</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9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101.PRE</w:t>
            </w:r>
          </w:p>
        </w:tc>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6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274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6960" w:type="dxa"/>
            <w:vAlign w:val="bottom"/>
            <w:gridSpan w:val="5"/>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the table above to previously filed documents or descriptions are incorporating those documents and descriptions by reference thereto.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documents filed as exhibits to periodic reports are to periodic reports of SiTime Corporation, SEC File No. 001-39135.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in accordance with Item 601 of Regulation S-K.</w:t>
      </w:r>
    </w:p>
    <w:p>
      <w:pPr>
        <w:spacing w:after="0" w:line="4" w:lineRule="exact"/>
        <w:rPr>
          <w:sz w:val="20"/>
          <w:szCs w:val="20"/>
          <w:color w:val="auto"/>
        </w:rPr>
      </w:pPr>
    </w:p>
    <w:p>
      <w:pPr>
        <w:ind w:firstLine="8"/>
        <w:spacing w:after="0" w:line="217" w:lineRule="exact"/>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3"/>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7"/>
        </w:trPr>
        <w:tc>
          <w:tcPr>
            <w:tcW w:w="5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r>
      <w:tr>
        <w:trPr>
          <w:trHeight w:val="158"/>
        </w:trPr>
        <w:tc>
          <w:tcPr>
            <w:tcW w:w="5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260" w:type="dxa"/>
            <w:vAlign w:val="bottom"/>
          </w:tcPr>
          <w:p>
            <w:pPr>
              <w:spacing w:after="0"/>
              <w:rPr>
                <w:sz w:val="13"/>
                <w:szCs w:val="13"/>
                <w:color w:val="auto"/>
              </w:rPr>
            </w:pPr>
          </w:p>
        </w:tc>
        <w:tc>
          <w:tcPr>
            <w:tcW w:w="1320" w:type="dxa"/>
            <w:vAlign w:val="bottom"/>
          </w:tcPr>
          <w:p>
            <w:pPr>
              <w:jc w:val="center"/>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5"/>
        </w:trPr>
        <w:tc>
          <w:tcPr>
            <w:tcW w:w="5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5"/>
                <w:szCs w:val="15"/>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60" w:type="dxa"/>
            <w:vAlign w:val="bottom"/>
          </w:tcPr>
          <w:p>
            <w:pPr>
              <w:spacing w:after="0"/>
              <w:rPr>
                <w:sz w:val="15"/>
                <w:szCs w:val="15"/>
                <w:color w:val="auto"/>
              </w:rPr>
            </w:pPr>
          </w:p>
        </w:tc>
        <w:tc>
          <w:tcPr>
            <w:tcW w:w="13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Credited to</w:t>
            </w:r>
          </w:p>
        </w:tc>
        <w:tc>
          <w:tcPr>
            <w:tcW w:w="340" w:type="dxa"/>
            <w:vAlign w:val="bottom"/>
          </w:tcPr>
          <w:p>
            <w:pPr>
              <w:spacing w:after="0"/>
              <w:rPr>
                <w:sz w:val="15"/>
                <w:szCs w:val="15"/>
                <w:color w:val="auto"/>
              </w:rPr>
            </w:pPr>
          </w:p>
        </w:tc>
        <w:tc>
          <w:tcPr>
            <w:tcW w:w="1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6"/>
        </w:trPr>
        <w:tc>
          <w:tcPr>
            <w:tcW w:w="5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5"/>
                <w:szCs w:val="15"/>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Expenses or</w:t>
            </w:r>
          </w:p>
        </w:tc>
        <w:tc>
          <w:tcPr>
            <w:tcW w:w="260" w:type="dxa"/>
            <w:vAlign w:val="bottom"/>
          </w:tcPr>
          <w:p>
            <w:pPr>
              <w:spacing w:after="0"/>
              <w:rPr>
                <w:sz w:val="15"/>
                <w:szCs w:val="15"/>
                <w:color w:val="auto"/>
              </w:rPr>
            </w:pPr>
          </w:p>
        </w:tc>
        <w:tc>
          <w:tcPr>
            <w:tcW w:w="13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Expenses or</w:t>
            </w:r>
          </w:p>
        </w:tc>
        <w:tc>
          <w:tcPr>
            <w:tcW w:w="340" w:type="dxa"/>
            <w:vAlign w:val="bottom"/>
          </w:tcPr>
          <w:p>
            <w:pPr>
              <w:spacing w:after="0"/>
              <w:rPr>
                <w:sz w:val="15"/>
                <w:szCs w:val="15"/>
                <w:color w:val="auto"/>
              </w:rPr>
            </w:pP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End of</w:t>
            </w:r>
          </w:p>
        </w:tc>
      </w:tr>
      <w:tr>
        <w:trPr>
          <w:trHeight w:val="190"/>
        </w:trPr>
        <w:tc>
          <w:tcPr>
            <w:tcW w:w="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260" w:type="dxa"/>
            <w:vAlign w:val="bottom"/>
          </w:tcPr>
          <w:p>
            <w:pPr>
              <w:spacing w:after="0"/>
              <w:rPr>
                <w:sz w:val="16"/>
                <w:szCs w:val="16"/>
                <w:color w:val="auto"/>
              </w:rPr>
            </w:pPr>
          </w:p>
        </w:tc>
        <w:tc>
          <w:tcPr>
            <w:tcW w:w="13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340" w:type="dxa"/>
            <w:vAlign w:val="bottom"/>
          </w:tcPr>
          <w:p>
            <w:pPr>
              <w:spacing w:after="0"/>
              <w:rPr>
                <w:sz w:val="16"/>
                <w:szCs w:val="16"/>
                <w:color w:val="auto"/>
              </w:rPr>
            </w:pPr>
          </w:p>
        </w:tc>
        <w:tc>
          <w:tcPr>
            <w:tcW w:w="1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37"/>
        </w:trPr>
        <w:tc>
          <w:tcPr>
            <w:tcW w:w="5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r>
      <w:tr>
        <w:trPr>
          <w:trHeight w:val="186"/>
        </w:trPr>
        <w:tc>
          <w:tcPr>
            <w:tcW w:w="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3"/>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7"/>
        </w:trPr>
        <w:tc>
          <w:tcPr>
            <w:tcW w:w="5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50"/>
        </w:trPr>
        <w:tc>
          <w:tcPr>
            <w:tcW w:w="5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21"/>
                <w:szCs w:val="21"/>
                <w:color w:val="auto"/>
              </w:rPr>
            </w:pPr>
          </w:p>
        </w:tc>
      </w:tr>
      <w:tr>
        <w:trPr>
          <w:trHeight w:val="27"/>
        </w:trPr>
        <w:tc>
          <w:tcPr>
            <w:tcW w:w="5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21"/>
                <w:szCs w:val="21"/>
                <w:color w:val="auto"/>
              </w:rPr>
            </w:pPr>
          </w:p>
        </w:tc>
      </w:tr>
      <w:tr>
        <w:trPr>
          <w:trHeight w:val="27"/>
        </w:trPr>
        <w:tc>
          <w:tcPr>
            <w:tcW w:w="5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520" w:type="dxa"/>
            <w:vAlign w:val="bottom"/>
          </w:tcPr>
          <w:p>
            <w:pPr>
              <w:spacing w:after="0"/>
              <w:rPr>
                <w:sz w:val="21"/>
                <w:szCs w:val="21"/>
                <w:color w:val="auto"/>
              </w:rPr>
            </w:pPr>
          </w:p>
        </w:tc>
      </w:tr>
      <w:tr>
        <w:trPr>
          <w:trHeight w:val="27"/>
        </w:trPr>
        <w:tc>
          <w:tcPr>
            <w:tcW w:w="5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520" w:type="dxa"/>
            <w:vAlign w:val="bottom"/>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520" w:type="dxa"/>
            <w:vAlign w:val="bottom"/>
          </w:tcPr>
          <w:p>
            <w:pPr>
              <w:spacing w:after="0"/>
              <w:rPr>
                <w:sz w:val="21"/>
                <w:szCs w:val="21"/>
                <w:color w:val="auto"/>
              </w:rPr>
            </w:pPr>
          </w:p>
        </w:tc>
      </w:tr>
      <w:tr>
        <w:trPr>
          <w:trHeight w:val="918"/>
        </w:trPr>
        <w:tc>
          <w:tcPr>
            <w:tcW w:w="5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333" w:lineRule="exact"/>
        <w:rPr>
          <w:sz w:val="20"/>
          <w:szCs w:val="20"/>
          <w:color w:val="auto"/>
        </w:rPr>
      </w:pPr>
    </w:p>
    <w:p>
      <w:pPr>
        <w:ind w:left="2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20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3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Rajesh Vashist and Elizabeth A. Howe,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9" w:lineRule="exact"/>
        <w:rPr>
          <w:sz w:val="20"/>
          <w:szCs w:val="20"/>
          <w:color w:val="auto"/>
        </w:rPr>
      </w:pPr>
    </w:p>
    <w:p>
      <w:pPr>
        <w:ind w:left="1280"/>
        <w:spacing w:after="0"/>
        <w:tabs>
          <w:tab w:leader="none" w:pos="5440" w:val="left"/>
          <w:tab w:leader="none" w:pos="96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spacing w:after="0"/>
              <w:rPr>
                <w:sz w:val="20"/>
                <w:szCs w:val="20"/>
                <w:color w:val="auto"/>
              </w:rPr>
            </w:pPr>
          </w:p>
        </w:tc>
      </w:tr>
      <w:tr>
        <w:trPr>
          <w:trHeight w:val="270"/>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Rajesh Vashist</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Rajesh Vashist</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spacing w:after="0"/>
              <w:rPr>
                <w:sz w:val="24"/>
                <w:szCs w:val="2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760" w:type="dxa"/>
            <w:vAlign w:val="bottom"/>
          </w:tcPr>
          <w:p>
            <w:pPr>
              <w:spacing w:after="0"/>
              <w:rPr>
                <w:sz w:val="24"/>
                <w:szCs w:val="24"/>
                <w:color w:val="auto"/>
              </w:rPr>
            </w:pPr>
          </w:p>
        </w:tc>
      </w:tr>
      <w:tr>
        <w:trPr>
          <w:trHeight w:val="270"/>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Elizabeth A. Howe</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Elizabeth A. Howe</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spacing w:after="0"/>
              <w:rPr>
                <w:sz w:val="24"/>
                <w:szCs w:val="2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c>
          <w:tcPr>
            <w:tcW w:w="1760" w:type="dxa"/>
            <w:vAlign w:val="bottom"/>
          </w:tcPr>
          <w:p>
            <w:pPr>
              <w:spacing w:after="0"/>
              <w:rPr>
                <w:sz w:val="24"/>
                <w:szCs w:val="24"/>
                <w:color w:val="auto"/>
              </w:rPr>
            </w:pPr>
          </w:p>
        </w:tc>
      </w:tr>
      <w:tr>
        <w:trPr>
          <w:trHeight w:val="270"/>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Samsheer Ahmad</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Samsheer Ahmad</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Raman K. Chitkara</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Raman K. Chitkara</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Edward H. Frank</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H. Frank</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Torsten G. Kreindl</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Torsten G. Kreindl</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Katherine E. Schuelke</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Katherine E. Schuelke</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Akira Takata</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Akira Takata</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Christine Heckart</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Christine Heckart</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88"/>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Tom D. Yiu</w:t>
            </w: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February 26, 2024</w:t>
            </w:r>
          </w:p>
        </w:tc>
      </w:tr>
      <w:tr>
        <w:trPr>
          <w:trHeight w:val="27"/>
        </w:trPr>
        <w:tc>
          <w:tcPr>
            <w:tcW w:w="2920" w:type="dxa"/>
            <w:vAlign w:val="bottom"/>
            <w:tcBorders>
              <w:bottom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Tom D. Yiu</w:t>
            </w:r>
          </w:p>
        </w:tc>
        <w:tc>
          <w:tcPr>
            <w:tcW w:w="49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941"/>
        </w:trPr>
        <w:tc>
          <w:tcPr>
            <w:tcW w:w="2920" w:type="dxa"/>
            <w:vAlign w:val="bottom"/>
          </w:tcPr>
          <w:p>
            <w:pPr>
              <w:spacing w:after="0"/>
              <w:rPr>
                <w:sz w:val="24"/>
                <w:szCs w:val="24"/>
                <w:color w:val="auto"/>
              </w:rPr>
            </w:pPr>
          </w:p>
        </w:tc>
        <w:tc>
          <w:tcPr>
            <w:tcW w:w="4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tcPr>
          <w:p>
            <w:pPr>
              <w:spacing w:after="0"/>
              <w:rPr>
                <w:sz w:val="24"/>
                <w:szCs w:val="24"/>
                <w:color w:val="auto"/>
              </w:rPr>
            </w:pPr>
          </w:p>
        </w:tc>
      </w:tr>
    </w:tbl>
    <w:p>
      <w:pPr>
        <w:sectPr>
          <w:pgSz w:w="11900" w:h="16838" w:orient="portrait"/>
          <w:cols w:equalWidth="0" w:num="1">
            <w:col w:w="11080"/>
          </w:cols>
          <w:pgMar w:left="320" w:top="337" w:right="4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Beth Howe</w:t>
      </w: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4C4D4F"/>
        </w:rPr>
        <w:t>Re:</w:t>
      </w:r>
      <w:r>
        <w:rPr>
          <w:sz w:val="20"/>
          <w:szCs w:val="20"/>
          <w:color w:val="auto"/>
        </w:rPr>
        <w:tab/>
      </w:r>
      <w:r>
        <w:rPr>
          <w:rFonts w:ascii="Times New Roman" w:cs="Times New Roman" w:eastAsia="Times New Roman" w:hAnsi="Times New Roman"/>
          <w:sz w:val="17"/>
          <w:szCs w:val="17"/>
          <w:color w:val="4C4D4F"/>
        </w:rPr>
        <w:t>Offer of Employment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Dear Beth:</w:t>
      </w:r>
    </w:p>
    <w:p>
      <w:pPr>
        <w:spacing w:after="0" w:line="90"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4C4D4F"/>
        </w:rPr>
        <w:t>SiTime Corporation (“SiTime” or the “Company”) is pleased to offer you a regular full-time position as Executive Vice President, Chief Financial Officer, reporting to me. Congratulations!</w:t>
      </w:r>
    </w:p>
    <w:p>
      <w:pPr>
        <w:spacing w:after="0" w:line="5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4C4D4F"/>
        </w:rPr>
        <w:t>At SiTime, we believe in the principles of being creative, courageous, relentless, authentic, leaders, and a team. We believe employees who practice behaviors that align with these principles contribute greatly to the company’s success.</w:t>
      </w:r>
    </w:p>
    <w:p>
      <w:pPr>
        <w:spacing w:after="0" w:line="5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4C4D4F"/>
        </w:rPr>
        <w:t>In your role as Executive Vice President, Chief Financial Officer, you will be responsible for performing such duties as are assigned to you from time to time by me. You will initially work at our office located at Santa Clara, though you may be required to perform services from other locations from time to time as necessitated by your job duties or as requested by the Company. Of course, the Company may change your position, duties, and work location from time to time in its discretion, subject to your Change of Control and Severance Agreement (as discussed below).</w:t>
      </w:r>
    </w:p>
    <w:p>
      <w:pPr>
        <w:spacing w:after="0" w:line="7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4C4D4F"/>
        </w:rPr>
        <w:t>Your compensation will include an initial annual base salary of $441,000, (paid semi-monthly at a rate of $18,375), less applicable payroll deductions and all required withholdings. As an exempt salaried employee, you will be expected to work the Company’s normal business hours as well as additional hours as required by the nature of your work assignments, and you will not be eligible for overtime compensation.</w:t>
      </w:r>
    </w:p>
    <w:p>
      <w:pPr>
        <w:spacing w:after="0" w:line="6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4C4D4F"/>
        </w:rPr>
        <w:t>Beginning January 1, 2024, you will be eligible to participate in our Executive Bonus and Retention Plan with a target bonus amount of 75% of base salary (equivalent to $330,750). Whether you earn a bonus, and the amount of such bonus, and all other terms with respect to your eligibility for receipt of such a bonus will be pursuant to the terms and conditions of the Executive Bonus and Retention Plan, a copy of which is attached as Exhibit A. You will also be eligible to participate in the future in the Company’s executive compensation program, as determined by the Board of Directors of the Company (the “Board”) or the Compensation Committee of the Board (the “Compensation Committee”) in its discretion.</w:t>
      </w:r>
    </w:p>
    <w:p>
      <w:pPr>
        <w:spacing w:after="0" w:line="7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4C4D4F"/>
        </w:rPr>
        <w:t>Subject to approval of the Board or the Compensation Committee, as a material inducement to you entering into employment with the Company, the Company will grant you (i) an award of Restricted Stock Units (“RSUs”) valued at $400,000 as of the grant date (the “Sign On Bonus RSU”) and (ii) an award of RSUs valued at $5,400,000 as of the grant date (the “Initial RSU”). The actual number of RSUs granted will be determined by dividing the award value by the average closing stock price per share of the Company’s common stock for the last twenty (20) trading days prior to the grant date. The grant date of the award is the date the Board or the Compensation Committee approves the award. The awards will be granted under, and subject to the terms and conditions of, the Company’s 2019 Stock Incentive Plan or 2022 Inducement Award Plan (each, the “Plan”) and standard form of time-based RSU agreement under the applicable Plan.</w:t>
      </w:r>
    </w:p>
    <w:p>
      <w:pPr>
        <w:spacing w:after="0" w:line="8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4C4D4F"/>
        </w:rPr>
        <w:t>The Sign On Bonus RSU will settle on November 20, 2023, subject to your continued Service (as defined in the applicable Plan) through such date; provided, however, the RSUs will not be considered earned until the date that is twelve (12) months following your start date. Therefore, if you voluntarily terminate your employment with the Company for any reason prior to the date that is twelve (12) months following your start date, you agree that the grant date value of the Sign On Bonus RSUs (net of taxes) will be forfeitable to the Company on a pro-rated basis. Any repayment obligation with respect to the Sign On Bonus RSU may be satisfied in shares of the Company’s common stock or cash or a combination thereof (based upon the fair market value of the shares of the Company’s common stock on the date of repayment) and the Company may provide for an offset to any future payments owed by the Company to you if necessary to satisfy the repayment obligation; provided, however, that if any such offset is prohibited under applicable law, the Company shall not permit any offsets and may require immediate repayment by you.</w:t>
      </w:r>
    </w:p>
    <w:p>
      <w:pPr>
        <w:sectPr>
          <w:pgSz w:w="11900" w:h="16838" w:orient="portrait"/>
          <w:cols w:equalWidth="0" w:num="1">
            <w:col w:w="11240"/>
          </w:cols>
          <w:pgMar w:left="320" w:top="104" w:right="339" w:bottom="1440" w:gutter="0" w:footer="0" w:header="0"/>
        </w:sectPr>
      </w:pPr>
    </w:p>
    <w:bookmarkStart w:id="103" w:name="page104"/>
    <w:bookmarkEnd w:id="103"/>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C4D4F"/>
        </w:rPr>
        <w:t>For the Initial RSU, twenty-five percent (25%) of the total number of RSUs subject to the Initial RSU will vest on November 20,2024, and 1/16 of the total number of RSUs subject to the Initial RSU will vest in equal quarterly installments on each February 20, May 20, August 20, and November 20 thereafter, in each case subject to your continued Service (as defined in the applicable Plan) through the applicable vesting dates. Upon vesting, the RSUs are paid in shares of the Company’s common stock on a one-for-one basis, subject to applicable withholding taxes.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4C4D4F"/>
        </w:rPr>
        <w:t>You will also be eligible for change in control severance benefits under the terms of a Change of Control and Severance Agreement substantially in the form attached to this offer letter as Exhibit B, subject to approval of the Board and the terms of an approved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C4D4F"/>
        </w:rPr>
        <w:t>As a full time, regular employee of SiTime, you will be eligible to participate in our benefits programs offered to similarly situated employees by SiTime from time to time, subject to plan terms and generally applicable Company policies. Benefits become effective on the first day of the month following date of hire. These programs will be outlined for you when you begin your employment.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C4D4F"/>
        </w:rPr>
        <w:t>SiTime helps employees reach their financial retirement goals by offering a 401 (k) Plan with an employer match that vest immediately. Eligibility, enrollment timeframe, and other plan information will be provided during orientation. The Company may change compensation and benefits from time to time in its discretion.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C4D4F"/>
        </w:rPr>
        <w:t>As a Company employee, you will be expected to abide by Company rules and policies. As a condition of employment, you must sign and comply with the Employee Confidential Information and Invention Assignment Agreement attached as Exhibit C which prohibits unauthorized use or disclosure of the Company’s proprietary information, among other obligations.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4C4D4F"/>
        </w:rPr>
        <w:t>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C4D4F"/>
        </w:rPr>
        <w:t>Your employment with the Company will be “at-will.” You may terminate your employment with the Company at any time and for any reason whatsoever simply by notifying the Company. Likewise, the Company may terminate your employment at any time, with or without cause or advance notice. Your employment at-will status can only be modified in a written agreement signed by you and by an executive officer of the Company.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4C4D4F"/>
        </w:rPr>
        <w:t>This offer is contingent upon successfully passing a background check clearance and reference check, and providing satisfactory proof of your right to work in the United States. You agree to assist as needed and to complete any documentation at the Company’s request to meet these conditions. Pursuant to the Immigration Reform and Control Act of 1986, the Company is required to verify within the first three days of employment an individual’s employment eligibility in the United States. Documentation acceptable by the Immigration and Naturalization Service is listed on the attached I- 9 Employment Eligibility Verification Form. To ensure compliance with the Act, please bring original copies of your documentation on your first day of employment. All job offers are contingent upon successful completion of the I-9 verification process.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4C4D4F"/>
        </w:rPr>
        <w:t>To ensure the rapid and economical resolution of disputes that may arise in connection with your employment with the Company, by signing below, you and the Company agree to the arbitration agreement attached to this offer letter agreement as Exhibit 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4C4D4F"/>
        </w:rPr>
        <w:t>This letter, including the exhibits,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executive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w:t>
      </w:r>
    </w:p>
    <w:p>
      <w:pPr>
        <w:sectPr>
          <w:pgSz w:w="11900" w:h="16838" w:orient="portrait"/>
          <w:cols w:equalWidth="0" w:num="1">
            <w:col w:w="11120"/>
          </w:cols>
          <w:pgMar w:left="440" w:top="1440" w:right="339" w:bottom="1440" w:gutter="0" w:footer="0" w:header="0"/>
        </w:sectPr>
      </w:pPr>
    </w:p>
    <w:bookmarkStart w:id="104" w:name="page105"/>
    <w:bookmarkEnd w:id="104"/>
    <w:p>
      <w:pPr>
        <w:spacing w:after="0" w:line="200" w:lineRule="exact"/>
        <w:rPr>
          <w:sz w:val="20"/>
          <w:szCs w:val="20"/>
          <w:color w:val="auto"/>
        </w:rPr>
      </w:pPr>
    </w:p>
    <w:p>
      <w:pPr>
        <w:spacing w:after="0" w:line="22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4C4D4F"/>
        </w:rPr>
        <w:t>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6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4C4D4F"/>
        </w:rPr>
        <w:t>Please sign and date this letter, and the enclosed Employee Confidential Information and Invention Assignment Agreement and return them to me. This offer will expire on November 1, 2023 if both the letter and Employee Confidential Information and Invention Assignment Agreement are not accepted, signed and returned to SiTime Corporation by this date.</w:t>
      </w:r>
    </w:p>
    <w:p>
      <w:pPr>
        <w:spacing w:after="0" w:line="6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4C4D4F"/>
        </w:rPr>
        <w:t>We are excited to offer you the challenge of contributing to SiTime’s growth. It is our sincere wish and intention that you find your experience here exciting and rewarding.</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Sincerely,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/s/ Rajesh Vashist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Rajesh Vashist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CEO</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I have read and accept the above offer of employment: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Accepted by: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/s/ Beth Howe</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4D4F"/>
        </w:rPr>
        <w:t>Start Date: November 8, 2023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C4D4F"/>
        </w:rPr>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C4D4F"/>
        </w:rPr>
        <w:t>Executive Bonus and Retention Plan</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C4D4F"/>
        </w:rPr>
        <w:t>Exhibit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C4D4F"/>
        </w:rPr>
        <w:t>Change of Control and Severance Agreement</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C4D4F"/>
        </w:rPr>
        <w:t>Exhibit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C4D4F"/>
        </w:rPr>
        <w:t>Employee Confidential Information and Invention Assignment Agreement</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4C4D4F"/>
        </w:rPr>
        <w:t>Exhibit D Arbitration Agreement</w:t>
      </w: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4C4D4F"/>
        </w:rPr>
        <w:t>To aid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 w:cs="Times New Roman" w:eastAsia="Times New Roman" w:hAnsi="Times New Roman"/>
          <w:sz w:val="18"/>
          <w:szCs w:val="18"/>
          <w:b w:val="1"/>
          <w:bCs w:val="1"/>
          <w:i w:val="1"/>
          <w:iCs w:val="1"/>
          <w:color w:val="4C4D4F"/>
        </w:rPr>
        <w:t>JAMS</w:t>
      </w:r>
      <w:r>
        <w:rPr>
          <w:rFonts w:ascii="Times New Roman" w:cs="Times New Roman" w:eastAsia="Times New Roman" w:hAnsi="Times New Roman"/>
          <w:sz w:val="18"/>
          <w:szCs w:val="18"/>
          <w:color w:val="4C4D4F"/>
        </w:rPr>
        <w:t xml:space="preserve">”) or its successor, under JAMS’ then applicable rules and procedures appropriate to the relief being sought (available upon request and also currently available at the following web address: (i) </w:t>
      </w:r>
      <w:r>
        <w:rPr>
          <w:rFonts w:ascii="Times New Roman" w:cs="Times New Roman" w:eastAsia="Times New Roman" w:hAnsi="Times New Roman"/>
          <w:sz w:val="18"/>
          <w:szCs w:val="18"/>
          <w:u w:val="single" w:color="auto"/>
          <w:color w:val="5477BB"/>
        </w:rPr>
        <w:t>https://www.jamsadr.com/rules-employment-arbitration/)</w:t>
      </w:r>
      <w:r>
        <w:rPr>
          <w:rFonts w:ascii="Times New Roman" w:cs="Times New Roman" w:eastAsia="Times New Roman" w:hAnsi="Times New Roman"/>
          <w:sz w:val="18"/>
          <w:szCs w:val="18"/>
          <w:color w:val="5477BB"/>
        </w:rPr>
        <w:t xml:space="preserve"> </w:t>
      </w:r>
      <w:r>
        <w:rPr>
          <w:rFonts w:ascii="Times New Roman" w:cs="Times New Roman" w:eastAsia="Times New Roman" w:hAnsi="Times New Roman"/>
          <w:sz w:val="18"/>
          <w:szCs w:val="18"/>
          <w:color w:val="4C4D4F"/>
        </w:rPr>
        <w:t>and (ii)</w:t>
      </w:r>
      <w:r>
        <w:rPr>
          <w:rFonts w:ascii="Times New Roman" w:cs="Times New Roman" w:eastAsia="Times New Roman" w:hAnsi="Times New Roman"/>
          <w:sz w:val="18"/>
          <w:szCs w:val="18"/>
          <w:color w:val="5477BB"/>
        </w:rPr>
        <w:t xml:space="preserve"> </w:t>
      </w:r>
      <w:r>
        <w:rPr>
          <w:rFonts w:ascii="Times New Roman" w:cs="Times New Roman" w:eastAsia="Times New Roman" w:hAnsi="Times New Roman"/>
          <w:sz w:val="18"/>
          <w:szCs w:val="18"/>
          <w:u w:val="single" w:color="auto"/>
          <w:color w:val="5477BB"/>
        </w:rPr>
        <w:t>https://www.jamsadr.com/rules- comprehensive-arbitration/</w:t>
      </w:r>
      <w:r>
        <w:rPr>
          <w:rFonts w:ascii="Times New Roman" w:cs="Times New Roman" w:eastAsia="Times New Roman" w:hAnsi="Times New Roman"/>
          <w:sz w:val="18"/>
          <w:szCs w:val="18"/>
          <w:color w:val="4C4D4F"/>
        </w:rPr>
        <w:t>) at a location closest to where you last worked for the Company or</w:t>
      </w:r>
      <w:r>
        <w:rPr>
          <w:rFonts w:ascii="Times New Roman" w:cs="Times New Roman" w:eastAsia="Times New Roman" w:hAnsi="Times New Roman"/>
          <w:sz w:val="18"/>
          <w:szCs w:val="18"/>
          <w:color w:val="5477BB"/>
        </w:rPr>
        <w:t xml:space="preserve"> </w:t>
      </w:r>
      <w:r>
        <w:rPr>
          <w:rFonts w:ascii="Times New Roman" w:cs="Times New Roman" w:eastAsia="Times New Roman" w:hAnsi="Times New Roman"/>
          <w:sz w:val="18"/>
          <w:szCs w:val="18"/>
          <w:color w:val="4C4D4F"/>
        </w:rPr>
        <w:t xml:space="preserve">another mutually agreeable location. Notwithstanding the foregoing, if JAMS is unavailable due to location or otherwise, or if the parties mutually agree, then the arbitration shall be conducted by the American Arbitration Association (“AAA”) or its successor, under AAA’s then applicable rules and procedures appropriate to the relief being sought (available upon request and also currently available at the following web address: </w:t>
      </w:r>
      <w:r>
        <w:rPr>
          <w:rFonts w:ascii="Times New Roman" w:cs="Times New Roman" w:eastAsia="Times New Roman" w:hAnsi="Times New Roman"/>
          <w:sz w:val="18"/>
          <w:szCs w:val="18"/>
          <w:u w:val="single" w:color="auto"/>
          <w:color w:val="5477BB"/>
        </w:rPr>
        <w:t>https://www.adr.org/sites/default/files/EmploymentRules-Web.pdf</w:t>
      </w:r>
      <w:r>
        <w:rPr>
          <w:rFonts w:ascii="Times New Roman" w:cs="Times New Roman" w:eastAsia="Times New Roman" w:hAnsi="Times New Roman"/>
          <w:sz w:val="18"/>
          <w:szCs w:val="18"/>
          <w:color w:val="4C4D4F"/>
        </w:rPr>
        <w:t>), at a location closest to where you last worked for the Company or another mutually</w:t>
      </w:r>
      <w:r>
        <w:rPr>
          <w:rFonts w:ascii="Times New Roman" w:cs="Times New Roman" w:eastAsia="Times New Roman" w:hAnsi="Times New Roman"/>
          <w:sz w:val="18"/>
          <w:szCs w:val="18"/>
          <w:color w:val="5477BB"/>
        </w:rPr>
        <w:t xml:space="preserve"> </w:t>
      </w:r>
      <w:r>
        <w:rPr>
          <w:rFonts w:ascii="Times New Roman" w:cs="Times New Roman" w:eastAsia="Times New Roman" w:hAnsi="Times New Roman"/>
          <w:sz w:val="18"/>
          <w:szCs w:val="18"/>
          <w:color w:val="4C4D4F"/>
        </w:rPr>
        <w:t xml:space="preserve">agreeable location. </w:t>
      </w:r>
      <w:r>
        <w:rPr>
          <w:rFonts w:ascii="Times New Roman" w:cs="Times New Roman" w:eastAsia="Times New Roman" w:hAnsi="Times New Roman"/>
          <w:sz w:val="18"/>
          <w:szCs w:val="18"/>
          <w:b w:val="1"/>
          <w:bCs w:val="1"/>
          <w:color w:val="4C4D4F"/>
        </w:rPr>
        <w:t>You acknowledge that by agreeing to this arbitration procedure, both you and the Company waive the right to resolve any</w:t>
      </w:r>
      <w:r>
        <w:rPr>
          <w:rFonts w:ascii="Times New Roman" w:cs="Times New Roman" w:eastAsia="Times New Roman" w:hAnsi="Times New Roman"/>
          <w:sz w:val="18"/>
          <w:szCs w:val="18"/>
          <w:color w:val="4C4D4F"/>
        </w:rPr>
        <w:t xml:space="preserve"> </w:t>
      </w:r>
      <w:r>
        <w:rPr>
          <w:rFonts w:ascii="Times New Roman" w:cs="Times New Roman" w:eastAsia="Times New Roman" w:hAnsi="Times New Roman"/>
          <w:sz w:val="18"/>
          <w:szCs w:val="18"/>
          <w:b w:val="1"/>
          <w:bCs w:val="1"/>
          <w:color w:val="4C4D4F"/>
        </w:rPr>
        <w:t xml:space="preserve">such dispute through a trial by jury or judge. </w:t>
      </w:r>
      <w:r>
        <w:rPr>
          <w:rFonts w:ascii="Times New Roman" w:cs="Times New Roman" w:eastAsia="Times New Roman" w:hAnsi="Times New Roman"/>
          <w:sz w:val="18"/>
          <w:szCs w:val="18"/>
          <w:color w:val="4C4D4F"/>
        </w:rPr>
        <w:t>The Federal Arbitration Act, 9 U.S.C. § 1 et seq., will, to the fullest extent permitted by law, govern the</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cs="Times New Roman" w:eastAsia="Times New Roman" w:hAnsi="Times New Roman"/>
          <w:sz w:val="18"/>
          <w:szCs w:val="18"/>
          <w:b w:val="1"/>
          <w:bCs w:val="1"/>
          <w:i w:val="1"/>
          <w:iCs w:val="1"/>
          <w:color w:val="4C4D4F"/>
        </w:rPr>
        <w:t>Excluded Claims</w:t>
      </w:r>
      <w:r>
        <w:rPr>
          <w:rFonts w:ascii="Times New Roman" w:cs="Times New Roman" w:eastAsia="Times New Roman" w:hAnsi="Times New Roman"/>
          <w:sz w:val="18"/>
          <w:szCs w:val="18"/>
          <w:color w:val="4C4D4F"/>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(“PAGA”)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cs="Times New Roman" w:eastAsia="Times New Roman" w:hAnsi="Times New Roman"/>
          <w:sz w:val="18"/>
          <w:szCs w:val="18"/>
          <w:b w:val="1"/>
          <w:bCs w:val="1"/>
          <w:color w:val="4C4D4F"/>
        </w:rPr>
        <w:t>You acknowledge that by agreeing to this arbitration procedure,</w:t>
      </w:r>
      <w:r>
        <w:rPr>
          <w:rFonts w:ascii="Times New Roman" w:cs="Times New Roman" w:eastAsia="Times New Roman" w:hAnsi="Times New Roman"/>
          <w:sz w:val="18"/>
          <w:szCs w:val="18"/>
          <w:color w:val="4C4D4F"/>
        </w:rPr>
        <w:t xml:space="preserve"> </w:t>
      </w:r>
      <w:r>
        <w:rPr>
          <w:rFonts w:ascii="Times New Roman" w:cs="Times New Roman" w:eastAsia="Times New Roman" w:hAnsi="Times New Roman"/>
          <w:sz w:val="18"/>
          <w:szCs w:val="18"/>
          <w:b w:val="1"/>
          <w:bCs w:val="1"/>
          <w:color w:val="4C4D4F"/>
        </w:rPr>
        <w:t>both you and the Company waive all rights to have any dispute be brought, heard, administered, resolved, or arbitrated on a class, representative, or collective action basis</w:t>
      </w:r>
      <w:r>
        <w:rPr>
          <w:rFonts w:ascii="Times New Roman" w:cs="Times New Roman" w:eastAsia="Times New Roman" w:hAnsi="Times New Roman"/>
          <w:sz w:val="18"/>
          <w:szCs w:val="18"/>
          <w:color w:val="4C4D4F"/>
        </w:rPr>
        <w:t>. The arbitrator may not consolidate the claims of more than one person or entity, and may not preside over any</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w:t>
      </w:r>
    </w:p>
    <w:p>
      <w:pPr>
        <w:sectPr>
          <w:pgSz w:w="11900" w:h="16838" w:orient="portrait"/>
          <w:cols w:equalWidth="0" w:num="1">
            <w:col w:w="11120"/>
          </w:cols>
          <w:pgMar w:left="440" w:top="1440" w:right="339" w:bottom="1440" w:gutter="0" w:footer="0" w:header="0"/>
        </w:sectPr>
      </w:pPr>
    </w:p>
    <w:bookmarkStart w:id="109" w:name="page110"/>
    <w:bookmarkEnd w:id="109"/>
    <w:p>
      <w:pPr>
        <w:spacing w:after="0" w:line="200" w:lineRule="exact"/>
        <w:rPr>
          <w:sz w:val="20"/>
          <w:szCs w:val="20"/>
          <w:color w:val="auto"/>
        </w:rPr>
      </w:pP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4C4D4F"/>
        </w:rPr>
        <w:t>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ectPr>
          <w:pgSz w:w="11900" w:h="16838" w:orient="portrait"/>
          <w:cols w:equalWidth="0" w:num="1">
            <w:col w:w="11120"/>
          </w:cols>
          <w:pgMar w:left="440" w:top="144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 xml:space="preserve">October </w:t>
      </w:r>
      <w:r>
        <w:rPr>
          <w:rFonts w:ascii="Times New Roman" w:cs="Times New Roman" w:eastAsia="Times New Roman" w:hAnsi="Times New Roman"/>
          <w:sz w:val="23"/>
          <w:szCs w:val="23"/>
          <w:u w:val="single" w:color="auto"/>
          <w:color w:val="4C4D4F"/>
          <w:vertAlign w:val="superscript"/>
        </w:rPr>
        <w:t>30</w:t>
      </w:r>
      <w:r>
        <w:rPr>
          <w:rFonts w:ascii="Times New Roman" w:cs="Times New Roman" w:eastAsia="Times New Roman" w:hAnsi="Times New Roman"/>
          <w:sz w:val="18"/>
          <w:szCs w:val="18"/>
          <w:color w:val="4C4D4F"/>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Dear Art:</w:t>
      </w:r>
    </w:p>
    <w:p>
      <w:pPr>
        <w:spacing w:after="0" w:line="117" w:lineRule="exact"/>
        <w:rPr>
          <w:sz w:val="20"/>
          <w:szCs w:val="20"/>
          <w:color w:val="auto"/>
        </w:rPr>
      </w:pPr>
    </w:p>
    <w:p>
      <w:pPr>
        <w:ind w:right="4280"/>
        <w:spacing w:after="0" w:line="395" w:lineRule="auto"/>
        <w:rPr>
          <w:sz w:val="20"/>
          <w:szCs w:val="20"/>
          <w:color w:val="auto"/>
        </w:rPr>
      </w:pPr>
      <w:r>
        <w:rPr>
          <w:rFonts w:ascii="Times New Roman" w:cs="Times New Roman" w:eastAsia="Times New Roman" w:hAnsi="Times New Roman"/>
          <w:sz w:val="17"/>
          <w:szCs w:val="17"/>
          <w:color w:val="4C4D4F"/>
        </w:rPr>
        <w:t>This letter sets forth the substance of the agreement regarding the terms of your retirement (this “</w:t>
      </w:r>
      <w:r>
        <w:rPr>
          <w:rFonts w:ascii="Times New Roman" w:cs="Times New Roman" w:eastAsia="Times New Roman" w:hAnsi="Times New Roman"/>
          <w:sz w:val="17"/>
          <w:szCs w:val="17"/>
          <w:b w:val="1"/>
          <w:bCs w:val="1"/>
          <w:i w:val="1"/>
          <w:iCs w:val="1"/>
          <w:color w:val="4C4D4F"/>
        </w:rPr>
        <w:t>Retirement Agreement</w:t>
      </w:r>
      <w:r>
        <w:rPr>
          <w:rFonts w:ascii="Times New Roman" w:cs="Times New Roman" w:eastAsia="Times New Roman" w:hAnsi="Times New Roman"/>
          <w:sz w:val="17"/>
          <w:szCs w:val="17"/>
          <w:color w:val="4C4D4F"/>
        </w:rPr>
        <w:t>”) from SiTime Corporation (the “</w:t>
      </w:r>
      <w:r>
        <w:rPr>
          <w:rFonts w:ascii="Times New Roman" w:cs="Times New Roman" w:eastAsia="Times New Roman" w:hAnsi="Times New Roman"/>
          <w:sz w:val="17"/>
          <w:szCs w:val="17"/>
          <w:b w:val="1"/>
          <w:bCs w:val="1"/>
          <w:i w:val="1"/>
          <w:iCs w:val="1"/>
          <w:color w:val="4C4D4F"/>
        </w:rPr>
        <w:t>Company</w:t>
      </w:r>
      <w:r>
        <w:rPr>
          <w:rFonts w:ascii="Times New Roman" w:cs="Times New Roman" w:eastAsia="Times New Roman" w:hAnsi="Times New Roman"/>
          <w:sz w:val="17"/>
          <w:szCs w:val="17"/>
          <w:color w:val="4C4D4F"/>
        </w:rPr>
        <w:t>”) and its subsidiaries.</w:t>
      </w:r>
    </w:p>
    <w:p>
      <w:pPr>
        <w:spacing w:after="0" w:line="1" w:lineRule="exact"/>
        <w:rPr>
          <w:sz w:val="20"/>
          <w:szCs w:val="20"/>
          <w:color w:val="auto"/>
        </w:rPr>
      </w:pPr>
    </w:p>
    <w:p>
      <w:pPr>
        <w:ind w:right="20" w:firstLine="645"/>
        <w:spacing w:after="0" w:line="262" w:lineRule="auto"/>
        <w:tabs>
          <w:tab w:leader="none" w:pos="962" w:val="left"/>
        </w:tabs>
        <w:numPr>
          <w:ilvl w:val="1"/>
          <w:numId w:val="36"/>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RETIREMENT DATE. </w:t>
      </w:r>
      <w:r>
        <w:rPr>
          <w:rFonts w:ascii="Times New Roman" w:cs="Times New Roman" w:eastAsia="Times New Roman" w:hAnsi="Times New Roman"/>
          <w:sz w:val="18"/>
          <w:szCs w:val="18"/>
          <w:color w:val="4C4D4F"/>
        </w:rPr>
        <w:t>Your retirement will be effective on, and your last day of employment with the Company will be November 7,</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2023 (the “</w:t>
      </w:r>
      <w:r>
        <w:rPr>
          <w:rFonts w:ascii="Times New Roman" w:cs="Times New Roman" w:eastAsia="Times New Roman" w:hAnsi="Times New Roman"/>
          <w:sz w:val="18"/>
          <w:szCs w:val="18"/>
          <w:b w:val="1"/>
          <w:bCs w:val="1"/>
          <w:i w:val="1"/>
          <w:iCs w:val="1"/>
          <w:color w:val="4C4D4F"/>
        </w:rPr>
        <w:t>Retirement Date</w:t>
      </w:r>
      <w:r>
        <w:rPr>
          <w:rFonts w:ascii="Times New Roman" w:cs="Times New Roman" w:eastAsia="Times New Roman" w:hAnsi="Times New Roman"/>
          <w:sz w:val="18"/>
          <w:szCs w:val="18"/>
          <w:color w:val="4C4D4F"/>
        </w:rPr>
        <w:t>”). On the Retirement Date or on such later date as permitted by applicable law, the Company will pay you accrued salary, and accrued but unused vacation (if any), earned through the Retirement Date, subject to standard payroll deductions and withholdings. You are entitled to these payments regardless of whether you sign this Retirement Agreement.</w:t>
      </w:r>
    </w:p>
    <w:p>
      <w:pPr>
        <w:spacing w:after="0" w:line="68" w:lineRule="exact"/>
        <w:rPr>
          <w:rFonts w:ascii="Times New Roman" w:cs="Times New Roman" w:eastAsia="Times New Roman" w:hAnsi="Times New Roman"/>
          <w:sz w:val="18"/>
          <w:szCs w:val="18"/>
          <w:b w:val="1"/>
          <w:bCs w:val="1"/>
          <w:color w:val="4C4D4F"/>
        </w:rPr>
      </w:pPr>
    </w:p>
    <w:p>
      <w:pPr>
        <w:ind w:firstLine="646"/>
        <w:spacing w:after="0" w:line="253" w:lineRule="auto"/>
        <w:tabs>
          <w:tab w:leader="none" w:pos="963" w:val="left"/>
        </w:tabs>
        <w:numPr>
          <w:ilvl w:val="1"/>
          <w:numId w:val="36"/>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Compensation and Benefits. </w:t>
      </w:r>
      <w:r>
        <w:rPr>
          <w:rFonts w:ascii="Times New Roman" w:cs="Times New Roman" w:eastAsia="Times New Roman" w:hAnsi="Times New Roman"/>
          <w:sz w:val="18"/>
          <w:szCs w:val="18"/>
          <w:color w:val="4C4D4F"/>
        </w:rPr>
        <w:t>Vesting of your outstanding restricted stock unit awards (“</w:t>
      </w:r>
      <w:r>
        <w:rPr>
          <w:rFonts w:ascii="Times New Roman" w:cs="Times New Roman" w:eastAsia="Times New Roman" w:hAnsi="Times New Roman"/>
          <w:sz w:val="18"/>
          <w:szCs w:val="18"/>
          <w:b w:val="1"/>
          <w:bCs w:val="1"/>
          <w:i w:val="1"/>
          <w:iCs w:val="1"/>
          <w:color w:val="4C4D4F"/>
        </w:rPr>
        <w:t>RSUs</w:t>
      </w:r>
      <w:r>
        <w:rPr>
          <w:rFonts w:ascii="Times New Roman" w:cs="Times New Roman" w:eastAsia="Times New Roman" w:hAnsi="Times New Roman"/>
          <w:sz w:val="18"/>
          <w:szCs w:val="18"/>
          <w:color w:val="4C4D4F"/>
        </w:rPr>
        <w:t>”) and other equity awards (if any) will cease</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on the Retirement Date and any unvested equity interests will be terminated on that date. If you timely return this Retirement Agreement fully signed to the Company, allow the releases contained herein to become effective, and comply fully with your obligations hereunder, then notwithstanding anything to the contrary in this Retirement Agreement or your equity agreements or the Company’s applicable equity plan(s), subject to approval by the Company’s Compensation Committee of the Board of Directors, the Company will accelerate 6,286 shares of your RSUs. The underlying shares will be settled as soon as practicable, but no later than two and one-half (2-1/2) months after the end of the taxable year of your Retirement Date or at such earlier time as may be required by applicable law. Except as expressly modified herein, your equity interests will continue to be governed by the terms of your operative agreements with the Company and the applicable equity plan. You acknowledge that, except as expressly provided in this Retirement Agreement, you have not earned, and will not receive from the Company, any additional compensation, severance, or benefits on or after the Retirement Date, including but not limited to pursuant to the Executive Bonus and Retention Plan or your Change of Control and Severance Agreement, with the exception of any vested right you may have under the express terms of a written ERISA-qualified benefit plan (e.g., 401(k) account). By way of example, you acknowledge that you have not earned and are not owed any equity, bonus, incentive compensation, severance benefits, or commissions.</w:t>
      </w:r>
    </w:p>
    <w:p>
      <w:pPr>
        <w:spacing w:after="0" w:line="81" w:lineRule="exact"/>
        <w:rPr>
          <w:rFonts w:ascii="Times New Roman" w:cs="Times New Roman" w:eastAsia="Times New Roman" w:hAnsi="Times New Roman"/>
          <w:sz w:val="18"/>
          <w:szCs w:val="18"/>
          <w:b w:val="1"/>
          <w:bCs w:val="1"/>
          <w:color w:val="4C4D4F"/>
        </w:rPr>
      </w:pPr>
    </w:p>
    <w:p>
      <w:pPr>
        <w:ind w:right="460" w:firstLine="646"/>
        <w:spacing w:after="0" w:line="317" w:lineRule="auto"/>
        <w:tabs>
          <w:tab w:leader="none" w:pos="963" w:val="left"/>
        </w:tabs>
        <w:numPr>
          <w:ilvl w:val="1"/>
          <w:numId w:val="36"/>
        </w:numPr>
        <w:rPr>
          <w:rFonts w:ascii="Times New Roman" w:cs="Times New Roman" w:eastAsia="Times New Roman" w:hAnsi="Times New Roman"/>
          <w:sz w:val="17"/>
          <w:szCs w:val="17"/>
          <w:b w:val="1"/>
          <w:bCs w:val="1"/>
          <w:color w:val="4C4D4F"/>
        </w:rPr>
      </w:pPr>
      <w:r>
        <w:rPr>
          <w:rFonts w:ascii="Times New Roman" w:cs="Times New Roman" w:eastAsia="Times New Roman" w:hAnsi="Times New Roman"/>
          <w:sz w:val="17"/>
          <w:szCs w:val="17"/>
          <w:b w:val="1"/>
          <w:bCs w:val="1"/>
          <w:color w:val="4C4D4F"/>
        </w:rPr>
        <w:t xml:space="preserve">Proprietary Information Obligations. </w:t>
      </w:r>
      <w:r>
        <w:rPr>
          <w:rFonts w:ascii="Times New Roman" w:cs="Times New Roman" w:eastAsia="Times New Roman" w:hAnsi="Times New Roman"/>
          <w:sz w:val="17"/>
          <w:szCs w:val="17"/>
          <w:color w:val="4C4D4F"/>
        </w:rPr>
        <w:t>You acknowledge and reaffirm your continuing obligations under your Employee Confidential</w:t>
      </w:r>
      <w:r>
        <w:rPr>
          <w:rFonts w:ascii="Times New Roman" w:cs="Times New Roman" w:eastAsia="Times New Roman" w:hAnsi="Times New Roman"/>
          <w:sz w:val="17"/>
          <w:szCs w:val="17"/>
          <w:b w:val="1"/>
          <w:bCs w:val="1"/>
          <w:color w:val="4C4D4F"/>
        </w:rPr>
        <w:t xml:space="preserve"> </w:t>
      </w:r>
      <w:r>
        <w:rPr>
          <w:rFonts w:ascii="Times New Roman" w:cs="Times New Roman" w:eastAsia="Times New Roman" w:hAnsi="Times New Roman"/>
          <w:sz w:val="17"/>
          <w:szCs w:val="17"/>
          <w:color w:val="4C4D4F"/>
        </w:rPr>
        <w:t>Information and Invention Assignment Agreement, a copy of which is attached hereto as Exhibit A and incorporated herein by reference.</w:t>
      </w:r>
    </w:p>
    <w:p>
      <w:pPr>
        <w:spacing w:after="0" w:line="23" w:lineRule="exact"/>
        <w:rPr>
          <w:rFonts w:ascii="Times New Roman" w:cs="Times New Roman" w:eastAsia="Times New Roman" w:hAnsi="Times New Roman"/>
          <w:sz w:val="17"/>
          <w:szCs w:val="17"/>
          <w:b w:val="1"/>
          <w:bCs w:val="1"/>
          <w:color w:val="4C4D4F"/>
        </w:rPr>
      </w:pPr>
    </w:p>
    <w:p>
      <w:pPr>
        <w:ind w:left="120" w:right="100" w:firstLine="478"/>
        <w:spacing w:after="0" w:line="268" w:lineRule="auto"/>
        <w:tabs>
          <w:tab w:leader="none" w:pos="92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Reimbursements. </w:t>
      </w:r>
      <w:r>
        <w:rPr>
          <w:rFonts w:ascii="Times New Roman" w:cs="Times New Roman" w:eastAsia="Times New Roman" w:hAnsi="Times New Roman"/>
          <w:sz w:val="18"/>
          <w:szCs w:val="18"/>
          <w:color w:val="auto"/>
        </w:rPr>
        <w:t>You agree that, within fifteen (15) days after the Retirement Date, you will submit your final documented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reimbursement statement reflecting all business expenses you incurred through the Retirement Date, if any, for which you seek reimbursement. The Company will reimburse you for reasonable business expenses pursuant to its regular business practice.</w:t>
      </w:r>
    </w:p>
    <w:p>
      <w:pPr>
        <w:spacing w:after="0" w:line="62" w:lineRule="exact"/>
        <w:rPr>
          <w:rFonts w:ascii="Times New Roman" w:cs="Times New Roman" w:eastAsia="Times New Roman" w:hAnsi="Times New Roman"/>
          <w:sz w:val="18"/>
          <w:szCs w:val="18"/>
          <w:b w:val="1"/>
          <w:bCs w:val="1"/>
          <w:color w:val="auto"/>
        </w:rPr>
      </w:pPr>
    </w:p>
    <w:p>
      <w:pPr>
        <w:ind w:right="220" w:firstLine="646"/>
        <w:spacing w:after="0" w:line="253" w:lineRule="auto"/>
        <w:tabs>
          <w:tab w:leader="none" w:pos="963"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By no later than the close of business on the Retirement Date, you agree to return to the Company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documents (and all copies thereof) and other Company property which you have in your possession or control, including, but not limited to, Company files, notes, drawings, records, plans, forecasts, reports, studies, analyses, proposals, agreements, financial information, research and development information, sales and marketing information, customer lists, prospect information, pipeline reports, sales reports, operational and </w:t>
      </w:r>
      <w:r>
        <w:rPr>
          <w:rFonts w:ascii="Times New Roman" w:cs="Times New Roman" w:eastAsia="Times New Roman" w:hAnsi="Times New Roman"/>
          <w:sz w:val="18"/>
          <w:szCs w:val="18"/>
          <w:color w:val="4C4D4F"/>
        </w:rPr>
        <w:t>personnel information, specifications, code, software, databases, computer-recorded information, tangible property and equipment (including, but not limited to, computers, printers, mobile telephones, servers), credit cards, entry cards, identification badges and keys; and any materials of any kind which contain or embody any proprietary or confidential information of the Company (and all reproductions thereof in whole or in part). You agree that you will make a diligent search to locate any such documents, property and information by the Retirement Date. If you have used any personally owned computer, server, or e-mail system to receive, store, review, prepare or transmit any Company confidential or proprietary data, materials or information, within five (5) business days after the Retirement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done.</w:t>
      </w:r>
    </w:p>
    <w:p>
      <w:pPr>
        <w:sectPr>
          <w:pgSz w:w="11900" w:h="16838" w:orient="portrait"/>
          <w:cols w:equalWidth="0" w:num="1">
            <w:col w:w="11140"/>
          </w:cols>
          <w:pgMar w:left="420" w:top="78" w:right="339" w:bottom="1440" w:gutter="0" w:footer="0" w:header="0"/>
        </w:sectPr>
      </w:pPr>
    </w:p>
    <w:bookmarkStart w:id="111" w:name="page112"/>
    <w:bookmarkEnd w:id="111"/>
    <w:p>
      <w:pPr>
        <w:spacing w:after="0" w:line="1" w:lineRule="exact"/>
        <w:rPr>
          <w:sz w:val="20"/>
          <w:szCs w:val="20"/>
          <w:color w:val="auto"/>
        </w:rPr>
      </w:pPr>
    </w:p>
    <w:p>
      <w:pPr>
        <w:ind w:left="2" w:right="440" w:firstLine="646"/>
        <w:spacing w:after="0" w:line="286" w:lineRule="auto"/>
        <w:tabs>
          <w:tab w:leader="none" w:pos="965" w:val="left"/>
        </w:tabs>
        <w:numPr>
          <w:ilvl w:val="1"/>
          <w:numId w:val="38"/>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Release of Claims and Dispute Resolution</w:t>
      </w:r>
      <w:r>
        <w:rPr>
          <w:rFonts w:ascii="Times New Roman" w:cs="Times New Roman" w:eastAsia="Times New Roman" w:hAnsi="Times New Roman"/>
          <w:sz w:val="18"/>
          <w:szCs w:val="18"/>
          <w:color w:val="4C4D4F"/>
        </w:rPr>
        <w:t>. You hereby agree to the release of claims and dispute resolution provisions set forth in</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Exhibit B to this Retirement Agreement.</w:t>
      </w:r>
    </w:p>
    <w:p>
      <w:pPr>
        <w:spacing w:after="0" w:line="46" w:lineRule="exact"/>
        <w:rPr>
          <w:rFonts w:ascii="Times New Roman" w:cs="Times New Roman" w:eastAsia="Times New Roman" w:hAnsi="Times New Roman"/>
          <w:sz w:val="18"/>
          <w:szCs w:val="18"/>
          <w:b w:val="1"/>
          <w:bCs w:val="1"/>
          <w:color w:val="4C4D4F"/>
        </w:rPr>
      </w:pPr>
    </w:p>
    <w:p>
      <w:pPr>
        <w:ind w:left="2" w:right="560" w:firstLine="645"/>
        <w:spacing w:after="0" w:line="262" w:lineRule="auto"/>
        <w:tabs>
          <w:tab w:leader="none" w:pos="964" w:val="left"/>
        </w:tabs>
        <w:numPr>
          <w:ilvl w:val="1"/>
          <w:numId w:val="38"/>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REPRESENTATIONS. </w:t>
      </w:r>
      <w:r>
        <w:rPr>
          <w:rFonts w:ascii="Times New Roman" w:cs="Times New Roman" w:eastAsia="Times New Roman" w:hAnsi="Times New Roman"/>
          <w:sz w:val="18"/>
          <w:szCs w:val="18"/>
          <w:color w:val="4C4D4F"/>
        </w:rPr>
        <w:t>You hereby represent that you have been paid all compensation owed and for all hours worked, you have</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received all the leave and leave benefits and protections for which you are eligible pursuant to the federal Family and Medical Leave Act, the California Family Rights Act, or otherwise, and you have not suffered any on-the-job injury for which you have not already filed a workers’ compensation claim.</w:t>
      </w:r>
    </w:p>
    <w:p>
      <w:pPr>
        <w:spacing w:after="0" w:line="68" w:lineRule="exact"/>
        <w:rPr>
          <w:rFonts w:ascii="Times New Roman" w:cs="Times New Roman" w:eastAsia="Times New Roman" w:hAnsi="Times New Roman"/>
          <w:sz w:val="18"/>
          <w:szCs w:val="18"/>
          <w:b w:val="1"/>
          <w:bCs w:val="1"/>
          <w:color w:val="4C4D4F"/>
        </w:rPr>
      </w:pPr>
    </w:p>
    <w:p>
      <w:pPr>
        <w:ind w:left="2" w:firstLine="646"/>
        <w:spacing w:after="0" w:line="252" w:lineRule="auto"/>
        <w:tabs>
          <w:tab w:leader="none" w:pos="965" w:val="left"/>
        </w:tabs>
        <w:numPr>
          <w:ilvl w:val="1"/>
          <w:numId w:val="38"/>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SECTION 409A</w:t>
      </w:r>
      <w:r>
        <w:rPr>
          <w:rFonts w:ascii="Times New Roman" w:cs="Times New Roman" w:eastAsia="Times New Roman" w:hAnsi="Times New Roman"/>
          <w:sz w:val="18"/>
          <w:szCs w:val="18"/>
          <w:color w:val="4C4D4F"/>
        </w:rPr>
        <w:t>. It is intended that the Retirement Agreement will comply with Section 409A of the Internal Revenue Code of 1986, as</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amended (the “Code”) and any regulations and guidelines promulgated thereunder (collectively, “Section 409A”), to the extent the Retirement Agreement is subject thereto, and the Retirement Agreement shall be interpreted on a basis consistent with such intent. Notwithstanding any provision to the contrary in this Retirement Agreement, if you are deemed on the date of your “separation from service” (within the meaning of Treas. Reg. Section 1.409A-1(h)) with the Company to be a “specified employee” (within the meaning of Treas. Reg. Section 1.409A-1(i)), then with regard to any payment that is considered deferred compensation under Section 409A payable on account of a “separation from service” that is required to be delayed pursuant to Section 409A(a)(2)(B) of the Code (after taking into account any applicable exceptions to such requirement), such payment or benefit shall be made or provided on the date that is the earlier of (i) the expiration of the six (6)- month period measured from the date of your “separation from service,” or (ii) the date of your death (the “Delay Period”). Upon the expiration of the Delay Period, all payments and benefits delayed pursuant to this Section (whether they would have otherwise been payable in a single sum or in installments in the absence of such delay) shall be paid or reimbursed to you in a lump sum and any remaining payments due under the Retirement Agreement shall be paid or provided in accordance with the normal payment dates specified for them herein. Notwithstanding any provision of the Retirement Agreement to the contrary, for purposes of any provision of the Retirement Agreement providing for the payment of any amounts upon or following a termination of service that are considered deferred compensation under Section 409A, references to your “termination of service” (and corollary terms) with the Company shall be construed to refer to your “separation from service” (within the meaning of Treas. Reg. Section 1.409A-1(h)) with the Company. Whenever payments under the Retirement Agreement are to be made in installments, each such installment shall be deemed to be a separate payment for purposes of Section 409A. The Retirement Agreement may be amended in any respect deemed necessary by the Company in order to preserve compliance with Section 409A of the Code.</w:t>
      </w:r>
    </w:p>
    <w:p>
      <w:pPr>
        <w:spacing w:after="0" w:line="83" w:lineRule="exact"/>
        <w:rPr>
          <w:rFonts w:ascii="Times New Roman" w:cs="Times New Roman" w:eastAsia="Times New Roman" w:hAnsi="Times New Roman"/>
          <w:sz w:val="18"/>
          <w:szCs w:val="18"/>
          <w:b w:val="1"/>
          <w:bCs w:val="1"/>
          <w:color w:val="4C4D4F"/>
        </w:rPr>
      </w:pPr>
    </w:p>
    <w:p>
      <w:pPr>
        <w:ind w:left="2" w:right="20" w:firstLine="646"/>
        <w:spacing w:after="0" w:line="253" w:lineRule="auto"/>
        <w:tabs>
          <w:tab w:leader="none" w:pos="965" w:val="left"/>
        </w:tabs>
        <w:numPr>
          <w:ilvl w:val="1"/>
          <w:numId w:val="38"/>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MISCELLANEOUS. </w:t>
      </w:r>
      <w:r>
        <w:rPr>
          <w:rFonts w:ascii="Times New Roman" w:cs="Times New Roman" w:eastAsia="Times New Roman" w:hAnsi="Times New Roman"/>
          <w:sz w:val="18"/>
          <w:szCs w:val="18"/>
          <w:color w:val="4C4D4F"/>
        </w:rPr>
        <w:t>This Retirement Agreement, including the exhibits, constitutes the complete, final and exclusive embodiment of</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the entire agreement between you and the Company with regard to the subject matter hereof. It is entered into without reliance on any promise or representation, written or oral, other than those expressly contained herein, and it supersedes any other agreements, promises, warranties or representations concerning its subject matter. This Retirement Agreement may not be modified or amended except in a writing signed by both you and a duly authorized officer of the Company. This Retirement Agreement will bind the heirs, personal representatives, successors and assigns of both you and the Company, and inure to the benefit of both you and the Company, their heirs, successors and assigns. Any ambiguity in this Retirement Agreement shall not be construed against either party as the drafter. Any waiver of a breach of this Retirement Agreement, or rights hereunder, shall be in writing and shall not be deemed to be a waiver of any successive breach or rights hereunder. This Retirement Agreement will be deemed to have been entered into and will be construed and enforced in accordance with the laws of the State of California, as applied to contracts made and to be performed entirely within California, without regard to conflicts of law principles. If any provision of this Retirement Agreement is determined to be invalid or unenforceable, in whole or in part, this determination shall not affect any other provision of this Retirement Agreement and the provision in question shall be modified so as to be rendered enforceable in a manner consistent with the intent of the parties insofar as possible under applicable law. This Retirement Agreement may be executed in counterparts which shall be deemed to be part of one original, and facsimile and electronic signatures shall be equivalent to original signatures. If this Retirement Agreement is acceptable to you, please sign and date below within forty-five</w:t>
      </w:r>
    </w:p>
    <w:p>
      <w:pPr>
        <w:spacing w:after="0" w:line="81" w:lineRule="exact"/>
        <w:rPr>
          <w:rFonts w:ascii="Times New Roman" w:cs="Times New Roman" w:eastAsia="Times New Roman" w:hAnsi="Times New Roman"/>
          <w:sz w:val="18"/>
          <w:szCs w:val="18"/>
          <w:b w:val="1"/>
          <w:bCs w:val="1"/>
          <w:color w:val="4C4D4F"/>
        </w:rPr>
      </w:pPr>
    </w:p>
    <w:p>
      <w:pPr>
        <w:ind w:left="2" w:right="200" w:hanging="2"/>
        <w:spacing w:after="0" w:line="282" w:lineRule="auto"/>
        <w:tabs>
          <w:tab w:leader="none" w:pos="347" w:val="left"/>
        </w:tabs>
        <w:numPr>
          <w:ilvl w:val="0"/>
          <w:numId w:val="39"/>
        </w:numPr>
        <w:rPr>
          <w:rFonts w:ascii="Times New Roman" w:cs="Times New Roman" w:eastAsia="Times New Roman" w:hAnsi="Times New Roman"/>
          <w:sz w:val="18"/>
          <w:szCs w:val="18"/>
          <w:color w:val="4C4D4F"/>
        </w:rPr>
      </w:pPr>
      <w:r>
        <w:rPr>
          <w:rFonts w:ascii="Times New Roman" w:cs="Times New Roman" w:eastAsia="Times New Roman" w:hAnsi="Times New Roman"/>
          <w:sz w:val="18"/>
          <w:szCs w:val="18"/>
          <w:color w:val="4C4D4F"/>
        </w:rPr>
        <w:t>days, and send me the fully signed Retirement Agreement. The Company’s offer contained herein will automatically expire if we do not receive the fully signed Retirement Agreement within this timeframe.</w:t>
      </w:r>
    </w:p>
    <w:p>
      <w:pPr>
        <w:sectPr>
          <w:pgSz w:w="11900" w:h="16838" w:orient="portrait"/>
          <w:cols w:equalWidth="0" w:num="1">
            <w:col w:w="10902"/>
          </w:cols>
          <w:pgMar w:left="418" w:top="1440" w:right="57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4C4D4F"/>
        </w:rPr>
        <w:t>We wish you the best in your future endeavors.</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4C4D4F"/>
        </w:rPr>
        <w:t>Sincerely,</w:t>
      </w:r>
    </w:p>
    <w:p>
      <w:pPr>
        <w:spacing w:after="0" w:line="1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4C4D4F"/>
        </w:rPr>
        <w:t>SiTime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Rajesh Vashist</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Rajesh Vashist</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right="3419"/>
        <w:spacing w:after="0" w:line="412" w:lineRule="auto"/>
        <w:rPr>
          <w:sz w:val="20"/>
          <w:szCs w:val="20"/>
          <w:color w:val="auto"/>
        </w:rPr>
      </w:pPr>
      <w:r>
        <w:rPr>
          <w:rFonts w:ascii="Times New Roman" w:cs="Times New Roman" w:eastAsia="Times New Roman" w:hAnsi="Times New Roman"/>
          <w:sz w:val="18"/>
          <w:szCs w:val="18"/>
          <w:b w:val="1"/>
          <w:bCs w:val="1"/>
          <w:color w:val="auto"/>
        </w:rPr>
        <w:t>Exhibit A – Employee Confidential Information and Invention Assignment Agreement Exhibit B – Release of Claims and Dispute Resolution</w:t>
      </w: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Arthur Chadwick</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Arthur Chadwick</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October 30, 2023</w:t>
      </w:r>
    </w:p>
    <w:p>
      <w:pPr>
        <w:sectPr>
          <w:pgSz w:w="11900" w:h="16838" w:orient="portrait"/>
          <w:cols w:equalWidth="0" w:num="1">
            <w:col w:w="10139"/>
          </w:cols>
          <w:pgMar w:left="32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C4D4F"/>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4C4D4F"/>
        </w:rPr>
        <w:t>EMPLOYEE CONFIDENTIAL INFORMATION AND INVENTION ASSIGNMENT AGREEMENT</w:t>
      </w:r>
    </w:p>
    <w:p>
      <w:pPr>
        <w:sectPr>
          <w:pgSz w:w="11900" w:h="16838" w:orient="portrait"/>
          <w:cols w:equalWidth="0" w:num="1">
            <w:col w:w="9420"/>
          </w:cols>
          <w:pgMar w:left="1240" w:top="1440" w:right="1239" w:bottom="1440" w:gutter="0" w:footer="0" w:header="0"/>
        </w:sectPr>
      </w:pPr>
    </w:p>
    <w:bookmarkStart w:id="114" w:name="page115"/>
    <w:bookmarkEnd w:id="11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C4D4F"/>
        </w:rPr>
        <w:t>Exhibit B</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C4D4F"/>
        </w:rPr>
        <w:t>RELEASE OF CLAIMS AND DISPUTE RESOLUTION</w:t>
      </w:r>
    </w:p>
    <w:p>
      <w:pPr>
        <w:spacing w:after="0" w:line="200" w:lineRule="exact"/>
        <w:rPr>
          <w:sz w:val="20"/>
          <w:szCs w:val="20"/>
          <w:color w:val="auto"/>
        </w:rPr>
      </w:pPr>
    </w:p>
    <w:p>
      <w:pPr>
        <w:spacing w:after="0" w:line="2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4C4D4F"/>
        </w:rPr>
        <w:t>Release of Claims</w:t>
      </w:r>
    </w:p>
    <w:p>
      <w:pPr>
        <w:spacing w:after="0" w:line="117" w:lineRule="exact"/>
        <w:rPr>
          <w:sz w:val="20"/>
          <w:szCs w:val="20"/>
          <w:color w:val="auto"/>
        </w:rPr>
      </w:pPr>
    </w:p>
    <w:p>
      <w:pPr>
        <w:ind w:left="100" w:right="40" w:firstLine="1293"/>
        <w:spacing w:after="0" w:line="257" w:lineRule="auto"/>
        <w:tabs>
          <w:tab w:leader="none" w:pos="1785" w:val="left"/>
        </w:tabs>
        <w:numPr>
          <w:ilvl w:val="1"/>
          <w:numId w:val="40"/>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General Release. </w:t>
      </w:r>
      <w:r>
        <w:rPr>
          <w:rFonts w:ascii="Times New Roman" w:cs="Times New Roman" w:eastAsia="Times New Roman" w:hAnsi="Times New Roman"/>
          <w:sz w:val="18"/>
          <w:szCs w:val="18"/>
          <w:color w:val="4C4D4F"/>
        </w:rPr>
        <w:t>In exchange for the consideration provided to you under this Retirement Agreement to which you would not</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Times New Roman" w:cs="Times New Roman" w:eastAsia="Times New Roman" w:hAnsi="Times New Roman"/>
          <w:sz w:val="18"/>
          <w:szCs w:val="18"/>
          <w:b w:val="1"/>
          <w:bCs w:val="1"/>
          <w:i w:val="1"/>
          <w:iCs w:val="1"/>
          <w:color w:val="4C4D4F"/>
        </w:rPr>
        <w:t>Released Parties</w:t>
      </w:r>
      <w:r>
        <w:rPr>
          <w:rFonts w:ascii="Times New Roman" w:cs="Times New Roman" w:eastAsia="Times New Roman" w:hAnsi="Times New Roman"/>
          <w:sz w:val="18"/>
          <w:szCs w:val="18"/>
          <w:color w:val="4C4D4F"/>
        </w:rPr>
        <w:t>”) from any and all claims, liabilities and obligations, both known and unknown, that arise out of or are in any way related to events, acts, conduct, or omissions occurring prior to or on the date you sign this Retirement Agreement (collectively, the “</w:t>
      </w:r>
      <w:r>
        <w:rPr>
          <w:rFonts w:ascii="Times New Roman" w:cs="Times New Roman" w:eastAsia="Times New Roman" w:hAnsi="Times New Roman"/>
          <w:sz w:val="18"/>
          <w:szCs w:val="18"/>
          <w:b w:val="1"/>
          <w:bCs w:val="1"/>
          <w:i w:val="1"/>
          <w:iCs w:val="1"/>
          <w:color w:val="4C4D4F"/>
        </w:rPr>
        <w:t>Released</w:t>
      </w:r>
      <w:r>
        <w:rPr>
          <w:rFonts w:ascii="Times New Roman" w:cs="Times New Roman" w:eastAsia="Times New Roman" w:hAnsi="Times New Roman"/>
          <w:sz w:val="18"/>
          <w:szCs w:val="18"/>
          <w:color w:val="4C4D4F"/>
        </w:rPr>
        <w:t xml:space="preserve"> </w:t>
      </w:r>
      <w:r>
        <w:rPr>
          <w:rFonts w:ascii="Times New Roman" w:cs="Times New Roman" w:eastAsia="Times New Roman" w:hAnsi="Times New Roman"/>
          <w:sz w:val="18"/>
          <w:szCs w:val="18"/>
          <w:b w:val="1"/>
          <w:bCs w:val="1"/>
          <w:i w:val="1"/>
          <w:iCs w:val="1"/>
          <w:color w:val="4C4D4F"/>
        </w:rPr>
        <w:t>Claims</w:t>
      </w:r>
      <w:r>
        <w:rPr>
          <w:rFonts w:ascii="Times New Roman" w:cs="Times New Roman" w:eastAsia="Times New Roman" w:hAnsi="Times New Roman"/>
          <w:sz w:val="18"/>
          <w:szCs w:val="18"/>
          <w:color w:val="4C4D4F"/>
        </w:rPr>
        <w:t>”).</w:t>
      </w:r>
    </w:p>
    <w:p>
      <w:pPr>
        <w:spacing w:after="0" w:line="74" w:lineRule="exact"/>
        <w:rPr>
          <w:rFonts w:ascii="Times New Roman" w:cs="Times New Roman" w:eastAsia="Times New Roman" w:hAnsi="Times New Roman"/>
          <w:sz w:val="18"/>
          <w:szCs w:val="18"/>
          <w:b w:val="1"/>
          <w:bCs w:val="1"/>
          <w:color w:val="4C4D4F"/>
        </w:rPr>
      </w:pPr>
    </w:p>
    <w:p>
      <w:pPr>
        <w:ind w:left="1800" w:hanging="406"/>
        <w:spacing w:after="0"/>
        <w:tabs>
          <w:tab w:leader="none" w:pos="1800" w:val="left"/>
        </w:tabs>
        <w:numPr>
          <w:ilvl w:val="1"/>
          <w:numId w:val="40"/>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Scope of Release. </w:t>
      </w:r>
      <w:r>
        <w:rPr>
          <w:rFonts w:ascii="Times New Roman" w:cs="Times New Roman" w:eastAsia="Times New Roman" w:hAnsi="Times New Roman"/>
          <w:sz w:val="18"/>
          <w:szCs w:val="18"/>
          <w:color w:val="4C4D4F"/>
        </w:rPr>
        <w:t>The Released Claims include, but are not limited to:</w:t>
      </w:r>
    </w:p>
    <w:p>
      <w:pPr>
        <w:spacing w:after="0" w:line="121" w:lineRule="exact"/>
        <w:rPr>
          <w:rFonts w:ascii="Times New Roman" w:cs="Times New Roman" w:eastAsia="Times New Roman" w:hAnsi="Times New Roman"/>
          <w:sz w:val="18"/>
          <w:szCs w:val="18"/>
          <w:b w:val="1"/>
          <w:bCs w:val="1"/>
          <w:color w:val="4C4D4F"/>
        </w:rPr>
      </w:pPr>
    </w:p>
    <w:p>
      <w:pPr>
        <w:ind w:left="100" w:right="160" w:hanging="2"/>
        <w:spacing w:after="0" w:line="252" w:lineRule="auto"/>
        <w:tabs>
          <w:tab w:leader="none" w:pos="315" w:val="left"/>
        </w:tabs>
        <w:numPr>
          <w:ilvl w:val="0"/>
          <w:numId w:val="41"/>
        </w:numPr>
        <w:rPr>
          <w:rFonts w:ascii="Times New Roman" w:cs="Times New Roman" w:eastAsia="Times New Roman" w:hAnsi="Times New Roman"/>
          <w:sz w:val="18"/>
          <w:szCs w:val="18"/>
          <w:color w:val="4C4D4F"/>
        </w:rPr>
      </w:pPr>
      <w:r>
        <w:rPr>
          <w:rFonts w:ascii="Times New Roman" w:cs="Times New Roman" w:eastAsia="Times New Roman" w:hAnsi="Times New Roman"/>
          <w:sz w:val="18"/>
          <w:szCs w:val="18"/>
          <w:color w:val="4C4D4F"/>
        </w:rPr>
        <w:t>all claims arising out of or in any way related to your employment with the Company, or the termination of that employment; (ii) all claims related to your compensation or benefits from the Company, including salary, bonuses, commissions, vacation, paid time off, expense reimbursements, severance pay, fringe benefits, stock, stock options, restricted stock units,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Times New Roman" w:cs="Times New Roman" w:eastAsia="Times New Roman" w:hAnsi="Times New Roman"/>
          <w:sz w:val="18"/>
          <w:szCs w:val="18"/>
          <w:b w:val="1"/>
          <w:bCs w:val="1"/>
          <w:i w:val="1"/>
          <w:iCs w:val="1"/>
          <w:color w:val="4C4D4F"/>
        </w:rPr>
        <w:t>ADEA</w:t>
      </w:r>
      <w:r>
        <w:rPr>
          <w:rFonts w:ascii="Times New Roman" w:cs="Times New Roman" w:eastAsia="Times New Roman" w:hAnsi="Times New Roman"/>
          <w:sz w:val="18"/>
          <w:szCs w:val="18"/>
          <w:color w:val="4C4D4F"/>
        </w:rPr>
        <w:t xml:space="preserve">”), the California Labor Code (as amended), the California Family Rights Act, and the California Fair Employment and Housing Act (as amended). </w:t>
      </w:r>
      <w:r>
        <w:rPr>
          <w:rFonts w:ascii="Times New Roman" w:cs="Times New Roman" w:eastAsia="Times New Roman" w:hAnsi="Times New Roman"/>
          <w:sz w:val="18"/>
          <w:szCs w:val="18"/>
          <w:b w:val="1"/>
          <w:bCs w:val="1"/>
          <w:color w:val="4C4D4F"/>
        </w:rPr>
        <w:t>You acknowledge that you have been advised, pursuant to California Government Code Section 12964.5(b)(4), that you have the</w:t>
      </w:r>
      <w:r>
        <w:rPr>
          <w:rFonts w:ascii="Times New Roman" w:cs="Times New Roman" w:eastAsia="Times New Roman" w:hAnsi="Times New Roman"/>
          <w:sz w:val="18"/>
          <w:szCs w:val="18"/>
          <w:color w:val="4C4D4F"/>
        </w:rPr>
        <w:t xml:space="preserve"> </w:t>
      </w:r>
      <w:r>
        <w:rPr>
          <w:rFonts w:ascii="Times New Roman" w:cs="Times New Roman" w:eastAsia="Times New Roman" w:hAnsi="Times New Roman"/>
          <w:sz w:val="18"/>
          <w:szCs w:val="18"/>
          <w:b w:val="1"/>
          <w:bCs w:val="1"/>
          <w:color w:val="4C4D4F"/>
        </w:rPr>
        <w:t xml:space="preserve">right to consult an attorney regarding this Retirement Agreement and that you were given a reasonable time period of not less than five business days in which to do so. </w:t>
      </w:r>
      <w:r>
        <w:rPr>
          <w:rFonts w:ascii="Times New Roman" w:cs="Times New Roman" w:eastAsia="Times New Roman" w:hAnsi="Times New Roman"/>
          <w:sz w:val="18"/>
          <w:szCs w:val="18"/>
          <w:color w:val="4C4D4F"/>
        </w:rPr>
        <w:t>You further acknowledge and agree that, in the event you sign this Retirement Agreement prior to the end of the</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85" w:lineRule="exact"/>
        <w:rPr>
          <w:rFonts w:ascii="Times New Roman" w:cs="Times New Roman" w:eastAsia="Times New Roman" w:hAnsi="Times New Roman"/>
          <w:sz w:val="18"/>
          <w:szCs w:val="18"/>
          <w:color w:val="4C4D4F"/>
        </w:rPr>
      </w:pPr>
    </w:p>
    <w:p>
      <w:pPr>
        <w:jc w:val="both"/>
        <w:ind w:left="100" w:firstLine="1294"/>
        <w:spacing w:after="0" w:line="262" w:lineRule="auto"/>
        <w:tabs>
          <w:tab w:leader="none" w:pos="1765" w:val="left"/>
        </w:tabs>
        <w:numPr>
          <w:ilvl w:val="1"/>
          <w:numId w:val="41"/>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ADEA Waiver. </w:t>
      </w:r>
      <w:r>
        <w:rPr>
          <w:rFonts w:ascii="Times New Roman" w:cs="Times New Roman" w:eastAsia="Times New Roman" w:hAnsi="Times New Roman"/>
          <w:sz w:val="18"/>
          <w:szCs w:val="18"/>
          <w:color w:val="4C4D4F"/>
        </w:rPr>
        <w:t>You acknowledge that you are knowingly and voluntarily waiving and releasing any rights you may have under</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the ADEA, and that the consideration given for the waiver and releases you have given in this Retirement Agreement is in addition to anything of value to which you were already entitled. You further acknowledge that you have been advised, as required by the ADEA, that: (i) your waiver and release does not apply to any rights or claims that may arise after the date you sign this Retirement Agreement;</w:t>
      </w:r>
    </w:p>
    <w:p>
      <w:pPr>
        <w:sectPr>
          <w:pgSz w:w="11900" w:h="16838" w:orient="portrait"/>
          <w:cols w:equalWidth="0" w:num="1">
            <w:col w:w="11020"/>
          </w:cols>
          <w:pgMar w:left="320" w:top="1440" w:right="559" w:bottom="1440" w:gutter="0" w:footer="0" w:header="0"/>
        </w:sectPr>
      </w:pPr>
    </w:p>
    <w:bookmarkStart w:id="115" w:name="page116"/>
    <w:bookmarkEnd w:id="115"/>
    <w:p>
      <w:pPr>
        <w:spacing w:after="0" w:line="5" w:lineRule="exact"/>
        <w:rPr>
          <w:sz w:val="20"/>
          <w:szCs w:val="20"/>
          <w:color w:val="auto"/>
        </w:rPr>
      </w:pPr>
    </w:p>
    <w:p>
      <w:pPr>
        <w:jc w:val="both"/>
        <w:ind w:firstLine="646"/>
        <w:spacing w:after="0" w:line="258" w:lineRule="auto"/>
        <w:tabs>
          <w:tab w:leader="none" w:pos="921" w:val="left"/>
        </w:tabs>
        <w:numPr>
          <w:ilvl w:val="0"/>
          <w:numId w:val="42"/>
        </w:numPr>
        <w:rPr>
          <w:rFonts w:ascii="Times New Roman" w:cs="Times New Roman" w:eastAsia="Times New Roman" w:hAnsi="Times New Roman"/>
          <w:sz w:val="18"/>
          <w:szCs w:val="18"/>
          <w:color w:val="4C4D4F"/>
        </w:rPr>
      </w:pPr>
      <w:r>
        <w:rPr>
          <w:rFonts w:ascii="Times New Roman" w:cs="Times New Roman" w:eastAsia="Times New Roman" w:hAnsi="Times New Roman"/>
          <w:sz w:val="18"/>
          <w:szCs w:val="18"/>
          <w:color w:val="4C4D4F"/>
        </w:rPr>
        <w:t>you should consult with an attorney prior to signing this Retirement Agreement (although you may choose voluntarily not to do so); (iii) you have forty-five (45) days to consider this Retirement Agreement (although you may choose voluntarily to sign it sooner); (iv) you have seven (7) days following the date you sign this Retirement Agreement to revoke this Retirement Agreement (in a written revocation sent to me); and (v) this Retirement Agreement will not be effective until the date upon which the revocation period has expired, which will be the eighth day after you sign this Retirement Agreement provided that you do not revoke it (the “</w:t>
      </w:r>
      <w:r>
        <w:rPr>
          <w:rFonts w:ascii="Times New Roman" w:cs="Times New Roman" w:eastAsia="Times New Roman" w:hAnsi="Times New Roman"/>
          <w:sz w:val="18"/>
          <w:szCs w:val="18"/>
          <w:b w:val="1"/>
          <w:bCs w:val="1"/>
          <w:i w:val="1"/>
          <w:iCs w:val="1"/>
          <w:color w:val="4C4D4F"/>
        </w:rPr>
        <w:t>Effective Date</w:t>
      </w:r>
      <w:r>
        <w:rPr>
          <w:rFonts w:ascii="Times New Roman" w:cs="Times New Roman" w:eastAsia="Times New Roman" w:hAnsi="Times New Roman"/>
          <w:sz w:val="18"/>
          <w:szCs w:val="18"/>
          <w:color w:val="4C4D4F"/>
        </w:rPr>
        <w:t>”).</w:t>
      </w:r>
    </w:p>
    <w:p>
      <w:pPr>
        <w:spacing w:after="0" w:line="71" w:lineRule="exact"/>
        <w:rPr>
          <w:sz w:val="20"/>
          <w:szCs w:val="20"/>
          <w:color w:val="auto"/>
        </w:rPr>
      </w:pPr>
    </w:p>
    <w:p>
      <w:pPr>
        <w:ind w:firstLine="646"/>
        <w:spacing w:after="0" w:line="286" w:lineRule="auto"/>
        <w:tabs>
          <w:tab w:leader="none" w:pos="1202" w:val="left"/>
        </w:tabs>
        <w:numPr>
          <w:ilvl w:val="0"/>
          <w:numId w:val="43"/>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Section 1542 Waiver. </w:t>
      </w:r>
      <w:r>
        <w:rPr>
          <w:rFonts w:ascii="Times New Roman" w:cs="Times New Roman" w:eastAsia="Times New Roman" w:hAnsi="Times New Roman"/>
          <w:sz w:val="18"/>
          <w:szCs w:val="18"/>
          <w:color w:val="4C4D4F"/>
        </w:rPr>
        <w:t>YOU UNDERSTAND THAT THIS AGREEMENT INCLUDES A RELEASE OF ALL KNOWN AND</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UNKNOWN CLAIMS. In</w:t>
      </w:r>
    </w:p>
    <w:p>
      <w:pPr>
        <w:spacing w:after="0" w:line="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4C4D4F"/>
        </w:rPr>
        <w:t>giving the release herein, which includes claims which may be unknown to you at present, you acknowledge that you have read and understand Section 1542 of the California Civil Code, which reads as follows:</w:t>
      </w:r>
    </w:p>
    <w:p>
      <w:pPr>
        <w:spacing w:after="0" w:line="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4C4D4F"/>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4C4D4F"/>
        </w:rPr>
        <w:t>You hereby expressly waive and relinquish all rights and benefits under that section and any law of any other jurisdiction of similar effect with respect to your release of any unknown or unsuspected claims herein.</w:t>
      </w:r>
    </w:p>
    <w:p>
      <w:pPr>
        <w:spacing w:after="0" w:line="50" w:lineRule="exact"/>
        <w:rPr>
          <w:sz w:val="20"/>
          <w:szCs w:val="20"/>
          <w:color w:val="auto"/>
        </w:rPr>
      </w:pPr>
    </w:p>
    <w:p>
      <w:pPr>
        <w:jc w:val="both"/>
        <w:ind w:firstLine="646"/>
        <w:spacing w:after="0" w:line="262" w:lineRule="auto"/>
        <w:tabs>
          <w:tab w:leader="none" w:pos="1136" w:val="left"/>
        </w:tabs>
        <w:numPr>
          <w:ilvl w:val="0"/>
          <w:numId w:val="44"/>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Exceptions</w:t>
      </w:r>
      <w:r>
        <w:rPr>
          <w:rFonts w:ascii="Times New Roman" w:cs="Times New Roman" w:eastAsia="Times New Roman" w:hAnsi="Times New Roman"/>
          <w:sz w:val="18"/>
          <w:szCs w:val="18"/>
          <w:color w:val="4C4D4F"/>
        </w:rPr>
        <w:t>. Notwithstanding the foregoing, you are not releasing the Company hereby from: (i) any obligation to indemnify you</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pursuant to the Articles and Bylaws of the Company, any valid fully executed indemnification agreement with the Company, applicable law, or applicable directors and officers liability insurance; (ii) any claims that cannot be waived by law; or (iii) any claims for breach of this Retirement Agreement.</w:t>
      </w:r>
    </w:p>
    <w:p>
      <w:pPr>
        <w:spacing w:after="0" w:line="68" w:lineRule="exact"/>
        <w:rPr>
          <w:rFonts w:ascii="Times New Roman" w:cs="Times New Roman" w:eastAsia="Times New Roman" w:hAnsi="Times New Roman"/>
          <w:sz w:val="18"/>
          <w:szCs w:val="18"/>
          <w:b w:val="1"/>
          <w:bCs w:val="1"/>
          <w:color w:val="4C4D4F"/>
        </w:rPr>
      </w:pPr>
    </w:p>
    <w:p>
      <w:pPr>
        <w:jc w:val="both"/>
        <w:ind w:firstLine="646"/>
        <w:spacing w:after="0" w:line="254" w:lineRule="auto"/>
        <w:tabs>
          <w:tab w:leader="none" w:pos="1053" w:val="left"/>
        </w:tabs>
        <w:numPr>
          <w:ilvl w:val="0"/>
          <w:numId w:val="44"/>
        </w:numPr>
        <w:rPr>
          <w:rFonts w:ascii="Times New Roman" w:cs="Times New Roman" w:eastAsia="Times New Roman" w:hAnsi="Times New Roman"/>
          <w:sz w:val="18"/>
          <w:szCs w:val="18"/>
          <w:b w:val="1"/>
          <w:bCs w:val="1"/>
          <w:color w:val="4C4D4F"/>
        </w:rPr>
      </w:pPr>
      <w:r>
        <w:rPr>
          <w:rFonts w:ascii="Times New Roman" w:cs="Times New Roman" w:eastAsia="Times New Roman" w:hAnsi="Times New Roman"/>
          <w:sz w:val="18"/>
          <w:szCs w:val="18"/>
          <w:b w:val="1"/>
          <w:bCs w:val="1"/>
          <w:color w:val="4C4D4F"/>
        </w:rPr>
        <w:t xml:space="preserve">Protected Rights. </w:t>
      </w:r>
      <w:r>
        <w:rPr>
          <w:rFonts w:ascii="Times New Roman" w:cs="Times New Roman" w:eastAsia="Times New Roman" w:hAnsi="Times New Roman"/>
          <w:sz w:val="18"/>
          <w:szCs w:val="18"/>
          <w:color w:val="4C4D4F"/>
        </w:rPr>
        <w:t>You understand that nothing in this Retirement Agreement limits your ability to file a charge or complaint with the</w:t>
      </w:r>
      <w:r>
        <w:rPr>
          <w:rFonts w:ascii="Times New Roman" w:cs="Times New Roman" w:eastAsia="Times New Roman" w:hAnsi="Times New Roman"/>
          <w:sz w:val="18"/>
          <w:szCs w:val="18"/>
          <w:b w:val="1"/>
          <w:bCs w:val="1"/>
          <w:color w:val="4C4D4F"/>
        </w:rPr>
        <w:t xml:space="preserve"> </w:t>
      </w:r>
      <w:r>
        <w:rPr>
          <w:rFonts w:ascii="Times New Roman" w:cs="Times New Roman" w:eastAsia="Times New Roman" w:hAnsi="Times New Roman"/>
          <w:sz w:val="18"/>
          <w:szCs w:val="18"/>
          <w:color w:val="4C4D4F"/>
        </w:rPr>
        <w:t>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Times New Roman" w:cs="Times New Roman" w:eastAsia="Times New Roman" w:hAnsi="Times New Roman"/>
          <w:sz w:val="18"/>
          <w:szCs w:val="18"/>
          <w:b w:val="1"/>
          <w:bCs w:val="1"/>
          <w:i w:val="1"/>
          <w:iCs w:val="1"/>
          <w:color w:val="4C4D4F"/>
        </w:rPr>
        <w:t>Government Agencies</w:t>
      </w:r>
      <w:r>
        <w:rPr>
          <w:rFonts w:ascii="Times New Roman" w:cs="Times New Roman" w:eastAsia="Times New Roman" w:hAnsi="Times New Roman"/>
          <w:sz w:val="18"/>
          <w:szCs w:val="18"/>
          <w:color w:val="4C4D4F"/>
        </w:rPr>
        <w:t>”). You further understand this Retirement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Retirement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Retirement Agreement. Nothing in this Retirement Agreement (i) prevents you from discussing or disclosing information about unlawful acts in the workplace, such as harassment or discrimination or any other conduct that you have reason to believe is</w:t>
      </w:r>
    </w:p>
    <w:p>
      <w:pPr>
        <w:sectPr>
          <w:pgSz w:w="11900" w:h="16838" w:orient="portrait"/>
          <w:cols w:equalWidth="0" w:num="1">
            <w:col w:w="10920"/>
          </w:cols>
          <w:pgMar w:left="420" w:top="1440" w:right="559" w:bottom="1440" w:gutter="0" w:footer="0" w:header="0"/>
        </w:sectPr>
      </w:pPr>
    </w:p>
    <w:bookmarkStart w:id="116" w:name="page117"/>
    <w:bookmarkEnd w:id="11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D4F"/>
        </w:rPr>
        <w:t>unlawful; or (ii) waives any rights you may have under Section 7 of the National Labor Relations Act (subject to the release of claims set forth herein).</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4C4D4F"/>
        </w:rPr>
        <w:t>Dispute Resolution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4C4D4F"/>
        </w:rPr>
        <w:t>To ensure the timely and economical resolution of disputes that may arise in connection with your employment with the Company, you and the Company agree that any and all disputes, claims, or causes of action, in law or equity arising from or relating to the enforcement, breach, performance, negotiation, execution, or interpretation of this Retirement Agreement, your employment, or the termination of your employment, including but not limited to statutory claims, shall be resolved pursuant to the Federal Arbitration Act, 9 U.S.C. §1-16, and to the fullest extent permitted by law by final, binding and confidential arbitration, by a single arbitrator, conducted by JAMS, Inc. (“JAMS”) under the then applicable JAMS rules (which can be found at the following web address: https://www.jamsadr.com/rules-employment- arbitration/). By agreeing to this arbitration procedure, both you and the Company waive the right to resolve any such dispute through a trial by jury or judge or administrative proceeding. The Company acknowledges that you will have the right to be represented by legal counsel at any arbitration proceeding. In addition, all claims, disputes, or causes of action under this paragraph,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“Excluded Claims”). In the event you intend to bring multiple claims, including one of the Excluded Claims listed above, the Excluded Claims may be filed with a court, while any other claims will remain subject to mandatory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Retirement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ectPr>
          <w:pgSz w:w="11900" w:h="16838" w:orient="portrait"/>
          <w:cols w:equalWidth="0" w:num="1">
            <w:col w:w="10920"/>
          </w:cols>
          <w:pgMar w:left="420" w:top="1440" w:right="5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Rajesh Vashist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30,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 Extension of temporary assignment to SiTime Netherlands, B.V.</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Dear Rajesh Vashist,</w:t>
      </w:r>
    </w:p>
    <w:p>
      <w:pPr>
        <w:spacing w:after="0" w:line="320" w:lineRule="exact"/>
        <w:rPr>
          <w:sz w:val="20"/>
          <w:szCs w:val="20"/>
          <w:color w:val="auto"/>
        </w:rPr>
      </w:pPr>
    </w:p>
    <w:p>
      <w:pPr>
        <w:jc w:val="both"/>
        <w:ind w:left="60" w:right="120"/>
        <w:spacing w:after="0" w:line="313" w:lineRule="auto"/>
        <w:rPr>
          <w:sz w:val="20"/>
          <w:szCs w:val="20"/>
          <w:color w:val="auto"/>
        </w:rPr>
      </w:pPr>
      <w:r>
        <w:rPr>
          <w:rFonts w:ascii="Times New Roman" w:cs="Times New Roman" w:eastAsia="Times New Roman" w:hAnsi="Times New Roman"/>
          <w:sz w:val="18"/>
          <w:szCs w:val="18"/>
          <w:color w:val="auto"/>
        </w:rPr>
        <w:t>Kindly be informed that your temporary assignment to SiTime Netherlands, B.V., in Delft, the Netherlands, ending on November 30, 2022, will be extended.</w:t>
      </w:r>
    </w:p>
    <w:p>
      <w:pPr>
        <w:spacing w:after="0" w:line="203" w:lineRule="exact"/>
        <w:rPr>
          <w:sz w:val="20"/>
          <w:szCs w:val="20"/>
          <w:color w:val="auto"/>
        </w:rPr>
      </w:pPr>
    </w:p>
    <w:p>
      <w:pPr>
        <w:jc w:val="both"/>
        <w:ind w:left="60" w:right="100"/>
        <w:spacing w:after="0" w:line="285" w:lineRule="auto"/>
        <w:rPr>
          <w:sz w:val="20"/>
          <w:szCs w:val="20"/>
          <w:color w:val="auto"/>
        </w:rPr>
      </w:pPr>
      <w:r>
        <w:rPr>
          <w:rFonts w:ascii="Times New Roman" w:cs="Times New Roman" w:eastAsia="Times New Roman" w:hAnsi="Times New Roman"/>
          <w:sz w:val="18"/>
          <w:szCs w:val="18"/>
          <w:color w:val="auto"/>
        </w:rPr>
        <w:t>Subject to your ability to reside and work in the Netherlands (i.e., you are in possession of the necessary residence and work permit), your temporary transfer to SiTime Netherlands, B.V. shall be extended for another fixed term of 12 months, commencing the day after the date that your current assignment ends, December 1, 2023. Your temporary assignment will therefore terminate 12 months after commencement, on November 30, 2024. Upon completion or early termination of your temporary assignment, you will return to the United States to resume your previous duties.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details in your original agreement will remain in place, this letter is only to extend your assignment date to November 30,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remain available to answer any questions you may have regarding the content of this letter.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Art Chadwick</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 Chadwick</w:t>
      </w:r>
    </w:p>
    <w:p>
      <w:pPr>
        <w:sectPr>
          <w:pgSz w:w="11900" w:h="16838" w:orient="portrait"/>
          <w:cols w:equalWidth="0" w:num="1">
            <w:col w:w="10120"/>
          </w:cols>
          <w:pgMar w:left="1440" w:top="10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April 21, 2015</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1C1C1C"/>
        </w:rPr>
        <w:t>Subject: Offer of Employment</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1C1C1C"/>
        </w:rPr>
        <w:t>Dear Samsheer,</w:t>
      </w:r>
    </w:p>
    <w:p>
      <w:pPr>
        <w:spacing w:after="0" w:line="239" w:lineRule="exact"/>
        <w:rPr>
          <w:sz w:val="20"/>
          <w:szCs w:val="20"/>
          <w:color w:val="auto"/>
        </w:rPr>
      </w:pPr>
    </w:p>
    <w:p>
      <w:pPr>
        <w:jc w:val="both"/>
        <w:ind w:left="240" w:right="680"/>
        <w:spacing w:after="0" w:line="255" w:lineRule="auto"/>
        <w:rPr>
          <w:sz w:val="20"/>
          <w:szCs w:val="20"/>
          <w:color w:val="auto"/>
        </w:rPr>
      </w:pPr>
      <w:r>
        <w:rPr>
          <w:rFonts w:ascii="Times New Roman" w:cs="Times New Roman" w:eastAsia="Times New Roman" w:hAnsi="Times New Roman"/>
          <w:sz w:val="18"/>
          <w:szCs w:val="18"/>
          <w:color w:val="1C1C1C"/>
        </w:rPr>
        <w:t>Welcome to SiTime, a Mega Chips Corporation Company. We are delighted that you have accepted the offer to join us as a regular full time employee in the position of Corporate Controller. Your compensation will include a base salary paid at the rate of $16,666.66 per month (which is equivalent to $200,000 per year), less payroll deductions and all required withholdings, paid semi-monthly.</w:t>
      </w:r>
    </w:p>
    <w:p>
      <w:pPr>
        <w:spacing w:after="0" w:line="214" w:lineRule="exact"/>
        <w:rPr>
          <w:sz w:val="20"/>
          <w:szCs w:val="20"/>
          <w:color w:val="auto"/>
        </w:rPr>
      </w:pPr>
    </w:p>
    <w:p>
      <w:pPr>
        <w:jc w:val="both"/>
        <w:ind w:left="240" w:right="700"/>
        <w:spacing w:after="0" w:line="261" w:lineRule="auto"/>
        <w:rPr>
          <w:sz w:val="20"/>
          <w:szCs w:val="20"/>
          <w:color w:val="auto"/>
        </w:rPr>
      </w:pPr>
      <w:r>
        <w:rPr>
          <w:rFonts w:ascii="Times New Roman" w:cs="Times New Roman" w:eastAsia="Times New Roman" w:hAnsi="Times New Roman"/>
          <w:sz w:val="18"/>
          <w:szCs w:val="18"/>
          <w:color w:val="1C1C1C"/>
        </w:rPr>
        <w:t xml:space="preserve">You will be eligible to participate in our Exemplary Performance Bonus Plan. Under this plan, you will be eligible to receive an annual bonus of up to $75,000, to be paid out on a quarterly basis during the month following the end of each quarter; </w:t>
      </w:r>
      <w:r>
        <w:rPr>
          <w:rFonts w:ascii="Arial" w:cs="Arial" w:eastAsia="Arial" w:hAnsi="Arial"/>
          <w:sz w:val="16"/>
          <w:szCs w:val="16"/>
          <w:i w:val="1"/>
          <w:iCs w:val="1"/>
          <w:color w:val="1C1C1C"/>
        </w:rPr>
        <w:t>provided,</w:t>
      </w:r>
      <w:r>
        <w:rPr>
          <w:rFonts w:ascii="Times New Roman" w:cs="Times New Roman" w:eastAsia="Times New Roman" w:hAnsi="Times New Roman"/>
          <w:sz w:val="18"/>
          <w:szCs w:val="18"/>
          <w:color w:val="1C1C1C"/>
        </w:rPr>
        <w:t xml:space="preserve"> that you (1) meet your pre-determined MBO objectives and goals for the applicable quarter, and (2) are an employee in good standing on the applicable payment date.</w:t>
      </w:r>
    </w:p>
    <w:p>
      <w:pPr>
        <w:spacing w:after="0" w:line="207" w:lineRule="exact"/>
        <w:rPr>
          <w:sz w:val="20"/>
          <w:szCs w:val="20"/>
          <w:color w:val="auto"/>
        </w:rPr>
      </w:pPr>
    </w:p>
    <w:p>
      <w:pPr>
        <w:jc w:val="both"/>
        <w:ind w:left="240" w:right="680" w:hanging="1"/>
        <w:spacing w:after="0" w:line="253" w:lineRule="auto"/>
        <w:rPr>
          <w:sz w:val="20"/>
          <w:szCs w:val="20"/>
          <w:color w:val="auto"/>
        </w:rPr>
      </w:pPr>
      <w:r>
        <w:rPr>
          <w:rFonts w:ascii="Times New Roman" w:cs="Times New Roman" w:eastAsia="Times New Roman" w:hAnsi="Times New Roman"/>
          <w:sz w:val="18"/>
          <w:szCs w:val="18"/>
          <w:color w:val="1C1C1C"/>
        </w:rPr>
        <w:t>Subject to the approval of the Board of Directors of MegaChips (the "MegaChips Board"), you will be granted an option to purchase 16,000 shares of MegaChips common stock (the "MegaChips Option"). The MegaChips Option will be granted under the MegaChips Equity Plan (the "MegaChips Equity Plan") and will be governed by and subject to the terms and conditions of the MegaChips Equity Plan and the applicable stock option grant notice and option agreement thereunder ("Option Documents"). Subject to applicable laws, the MegaChips Option will be subject to a four-year vesting schedule with no cliff, provided that you are continuously employed with the Company and/or MegaChips on each applicable vesting date.</w:t>
      </w:r>
    </w:p>
    <w:p>
      <w:pPr>
        <w:spacing w:after="0" w:line="203" w:lineRule="exact"/>
        <w:rPr>
          <w:sz w:val="20"/>
          <w:szCs w:val="20"/>
          <w:color w:val="auto"/>
        </w:rPr>
      </w:pPr>
    </w:p>
    <w:p>
      <w:pPr>
        <w:ind w:left="260" w:right="960" w:hanging="3"/>
        <w:spacing w:after="0" w:line="254" w:lineRule="auto"/>
        <w:rPr>
          <w:sz w:val="20"/>
          <w:szCs w:val="20"/>
          <w:color w:val="auto"/>
        </w:rPr>
      </w:pPr>
      <w:r>
        <w:rPr>
          <w:rFonts w:ascii="Times New Roman" w:cs="Times New Roman" w:eastAsia="Times New Roman" w:hAnsi="Times New Roman"/>
          <w:sz w:val="18"/>
          <w:szCs w:val="18"/>
          <w:color w:val="1C1C1C"/>
        </w:rPr>
        <w:t>The Company plans to adopt a profit sharing plan for 2017 and 2018. If you are an employee in good standing at the time it is adopted and otherwise meet the eligibility criteria for participation in the plan at such time, you will be eligible to participate in such plan. Based on current projections, which may change based on business operating results in the future, it is expected that your interest in such plan would be 3%. The Company may change such percentage in its discretion. Further details regarding this plan will be communicated to you at a later date.</w:t>
      </w:r>
    </w:p>
    <w:p>
      <w:pPr>
        <w:spacing w:after="0" w:line="214" w:lineRule="exact"/>
        <w:rPr>
          <w:sz w:val="20"/>
          <w:szCs w:val="20"/>
          <w:color w:val="auto"/>
        </w:rPr>
      </w:pPr>
    </w:p>
    <w:p>
      <w:pPr>
        <w:jc w:val="both"/>
        <w:ind w:left="260" w:right="680"/>
        <w:spacing w:after="0" w:line="266" w:lineRule="auto"/>
        <w:rPr>
          <w:sz w:val="20"/>
          <w:szCs w:val="20"/>
          <w:color w:val="auto"/>
        </w:rPr>
      </w:pPr>
      <w:r>
        <w:rPr>
          <w:rFonts w:ascii="Times New Roman" w:cs="Times New Roman" w:eastAsia="Times New Roman" w:hAnsi="Times New Roman"/>
          <w:sz w:val="18"/>
          <w:szCs w:val="18"/>
          <w:color w:val="1C1C1C"/>
        </w:rPr>
        <w:t>Your employment is contingent upon completion of your 1-9 form and on providing SiTime with the appropriate documentation to establish your identity and authorization to legally work in the United States. Please bring any of the appropriate documents as listed on the enclosed 1-9 document on your first day of employment.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1C1C1C"/>
        </w:rPr>
        <w:t>Your continued employment is also contingent upon reading and signing the Proprietary Information and Invention Assignment Agreement.</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1C1C1C"/>
        </w:rPr>
        <w:t>Please review and sign this document within your first week of employment with SiTime.</w:t>
      </w:r>
    </w:p>
    <w:p>
      <w:pPr>
        <w:spacing w:after="0" w:line="274" w:lineRule="exact"/>
        <w:rPr>
          <w:sz w:val="20"/>
          <w:szCs w:val="20"/>
          <w:color w:val="auto"/>
        </w:rPr>
      </w:pPr>
    </w:p>
    <w:p>
      <w:pPr>
        <w:jc w:val="both"/>
        <w:ind w:left="260" w:right="980" w:hanging="5"/>
        <w:spacing w:after="0" w:line="266" w:lineRule="auto"/>
        <w:rPr>
          <w:sz w:val="20"/>
          <w:szCs w:val="20"/>
          <w:color w:val="auto"/>
        </w:rPr>
      </w:pPr>
      <w:r>
        <w:rPr>
          <w:rFonts w:ascii="Times New Roman" w:cs="Times New Roman" w:eastAsia="Times New Roman" w:hAnsi="Times New Roman"/>
          <w:sz w:val="18"/>
          <w:szCs w:val="18"/>
          <w:color w:val="1C1C1C"/>
        </w:rPr>
        <w:t xml:space="preserve">SiTime is an at-will employer and this offer of employment does not constitute a contract of employment. </w:t>
      </w:r>
      <w:r>
        <w:rPr>
          <w:rFonts w:ascii="Arial" w:cs="Arial" w:eastAsia="Arial" w:hAnsi="Arial"/>
          <w:sz w:val="17"/>
          <w:szCs w:val="17"/>
          <w:color w:val="1C1C1C"/>
        </w:rPr>
        <w:t>If</w:t>
      </w:r>
      <w:r>
        <w:rPr>
          <w:rFonts w:ascii="Times New Roman" w:cs="Times New Roman" w:eastAsia="Times New Roman" w:hAnsi="Times New Roman"/>
          <w:sz w:val="18"/>
          <w:szCs w:val="18"/>
          <w:color w:val="1C1C1C"/>
        </w:rPr>
        <w:t xml:space="preserve"> employed by SiTime, your employment is for no definite or determinable period and may be terminated at any time, with or without prior notice, at the option of either you or the company.</w:t>
      </w:r>
    </w:p>
    <w:p>
      <w:pPr>
        <w:spacing w:after="0" w:line="243" w:lineRule="exact"/>
        <w:rPr>
          <w:sz w:val="20"/>
          <w:szCs w:val="20"/>
          <w:color w:val="auto"/>
        </w:rPr>
      </w:pPr>
    </w:p>
    <w:p>
      <w:pPr>
        <w:ind w:left="260" w:right="1160" w:hanging="6"/>
        <w:spacing w:after="0" w:line="282" w:lineRule="auto"/>
        <w:rPr>
          <w:sz w:val="20"/>
          <w:szCs w:val="20"/>
          <w:color w:val="auto"/>
        </w:rPr>
      </w:pPr>
      <w:r>
        <w:rPr>
          <w:rFonts w:ascii="Times New Roman" w:cs="Times New Roman" w:eastAsia="Times New Roman" w:hAnsi="Times New Roman"/>
          <w:sz w:val="18"/>
          <w:szCs w:val="18"/>
          <w:color w:val="1C1C1C"/>
        </w:rPr>
        <w:t>As a full time, regular employee of SiTime, you will be eligible to participate in our benefits programs. These programs will be outlined for you when you begin your employment.</w:t>
      </w:r>
    </w:p>
    <w:p>
      <w:pPr>
        <w:spacing w:after="0" w:line="189" w:lineRule="exact"/>
        <w:rPr>
          <w:sz w:val="20"/>
          <w:szCs w:val="20"/>
          <w:color w:val="auto"/>
        </w:rPr>
      </w:pPr>
    </w:p>
    <w:p>
      <w:pPr>
        <w:ind w:left="260" w:right="880" w:hanging="1"/>
        <w:spacing w:after="0" w:line="266" w:lineRule="auto"/>
        <w:rPr>
          <w:sz w:val="20"/>
          <w:szCs w:val="20"/>
          <w:color w:val="auto"/>
        </w:rPr>
      </w:pPr>
      <w:r>
        <w:rPr>
          <w:rFonts w:ascii="Times New Roman" w:cs="Times New Roman" w:eastAsia="Times New Roman" w:hAnsi="Times New Roman"/>
          <w:sz w:val="18"/>
          <w:szCs w:val="18"/>
          <w:color w:val="1C1C1C"/>
        </w:rPr>
        <w:t>Samsheer, we are excited to offer you the challenge of contributing to SiTime's growth. It is our sincere wish and intention that you find your experience here exciting and rewarding.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This offer will expire 4/27/15 if not </w:t>
      </w:r>
      <w:r>
        <w:rPr>
          <w:rFonts w:ascii="Times New Roman" w:cs="Times New Roman" w:eastAsia="Times New Roman" w:hAnsi="Times New Roman"/>
          <w:sz w:val="18"/>
          <w:szCs w:val="18"/>
          <w:color w:val="2F2F2F"/>
        </w:rPr>
        <w:t>accepted,</w:t>
      </w:r>
      <w:r>
        <w:rPr>
          <w:rFonts w:ascii="Times New Roman" w:cs="Times New Roman" w:eastAsia="Times New Roman" w:hAnsi="Times New Roman"/>
          <w:sz w:val="18"/>
          <w:szCs w:val="18"/>
          <w:color w:val="1F1F1F"/>
        </w:rPr>
        <w:t xml:space="preserve"> signed </w:t>
      </w:r>
      <w:r>
        <w:rPr>
          <w:rFonts w:ascii="Times New Roman" w:cs="Times New Roman" w:eastAsia="Times New Roman" w:hAnsi="Times New Roman"/>
          <w:sz w:val="18"/>
          <w:szCs w:val="18"/>
          <w:color w:val="2F2F2F"/>
        </w:rPr>
        <w:t>and</w:t>
      </w:r>
      <w:r>
        <w:rPr>
          <w:rFonts w:ascii="Times New Roman" w:cs="Times New Roman" w:eastAsia="Times New Roman" w:hAnsi="Times New Roman"/>
          <w:sz w:val="18"/>
          <w:szCs w:val="18"/>
          <w:color w:val="1F1F1F"/>
        </w:rPr>
        <w:t xml:space="preserve"> returned to SiTime Corporation by this date.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1F1F1F"/>
        </w:rPr>
        <w:t>/s/ Rajesh Vashist</w:t>
      </w:r>
    </w:p>
    <w:p>
      <w:pPr>
        <w:ind w:left="300"/>
        <w:spacing w:after="0" w:line="215" w:lineRule="auto"/>
        <w:rPr>
          <w:sz w:val="20"/>
          <w:szCs w:val="20"/>
          <w:color w:val="auto"/>
        </w:rPr>
      </w:pPr>
      <w:r>
        <w:rPr>
          <w:rFonts w:ascii="Times New Roman" w:cs="Times New Roman" w:eastAsia="Times New Roman" w:hAnsi="Times New Roman"/>
          <w:sz w:val="18"/>
          <w:szCs w:val="18"/>
          <w:color w:val="1F1F1F"/>
        </w:rPr>
        <w:t>Rajesh Vashist</w:t>
      </w:r>
    </w:p>
    <w:p>
      <w:pPr>
        <w:ind w:left="280"/>
        <w:spacing w:after="0"/>
        <w:rPr>
          <w:sz w:val="20"/>
          <w:szCs w:val="20"/>
          <w:color w:val="auto"/>
        </w:rPr>
      </w:pPr>
      <w:r>
        <w:rPr>
          <w:rFonts w:ascii="Times New Roman" w:cs="Times New Roman" w:eastAsia="Times New Roman" w:hAnsi="Times New Roman"/>
          <w:sz w:val="17"/>
          <w:szCs w:val="17"/>
          <w:color w:val="1F1F1F"/>
        </w:rPr>
        <w:t>CEO</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1F1F1F"/>
        </w:rPr>
        <w:t xml:space="preserve">I have </w:t>
      </w:r>
      <w:r>
        <w:rPr>
          <w:rFonts w:ascii="Times New Roman" w:cs="Times New Roman" w:eastAsia="Times New Roman" w:hAnsi="Times New Roman"/>
          <w:sz w:val="18"/>
          <w:szCs w:val="18"/>
          <w:color w:val="2F2F2F"/>
        </w:rPr>
        <w:t>read and</w:t>
      </w:r>
      <w:r>
        <w:rPr>
          <w:rFonts w:ascii="Times New Roman" w:cs="Times New Roman" w:eastAsia="Times New Roman" w:hAnsi="Times New Roman"/>
          <w:sz w:val="18"/>
          <w:szCs w:val="18"/>
          <w:color w:val="1F1F1F"/>
        </w:rPr>
        <w:t xml:space="preserve"> accept the </w:t>
      </w:r>
      <w:r>
        <w:rPr>
          <w:rFonts w:ascii="Times New Roman" w:cs="Times New Roman" w:eastAsia="Times New Roman" w:hAnsi="Times New Roman"/>
          <w:sz w:val="18"/>
          <w:szCs w:val="18"/>
          <w:color w:val="2F2F2F"/>
        </w:rPr>
        <w:t>above</w:t>
      </w:r>
      <w:r>
        <w:rPr>
          <w:rFonts w:ascii="Times New Roman" w:cs="Times New Roman" w:eastAsia="Times New Roman" w:hAnsi="Times New Roman"/>
          <w:sz w:val="18"/>
          <w:szCs w:val="18"/>
          <w:color w:val="1F1F1F"/>
        </w:rPr>
        <w:t xml:space="preserve"> offer </w:t>
      </w:r>
      <w:r>
        <w:rPr>
          <w:rFonts w:ascii="Times New Roman" w:cs="Times New Roman" w:eastAsia="Times New Roman" w:hAnsi="Times New Roman"/>
          <w:sz w:val="18"/>
          <w:szCs w:val="18"/>
          <w:color w:val="2F2F2F"/>
        </w:rPr>
        <w:t>of employment:</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Samsheer Ahmad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4/21/15</w:t>
            </w: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1F1F1F"/>
              </w:rPr>
              <w:t xml:space="preserve">Samsheer </w:t>
            </w:r>
            <w:r>
              <w:rPr>
                <w:rFonts w:ascii="Times New Roman" w:cs="Times New Roman" w:eastAsia="Times New Roman" w:hAnsi="Times New Roman"/>
                <w:sz w:val="18"/>
                <w:szCs w:val="18"/>
                <w:color w:val="2F2F2F"/>
              </w:rPr>
              <w:t>Ahmad</w:t>
            </w:r>
            <w:r>
              <w:rPr>
                <w:rFonts w:ascii="Times New Roman" w:cs="Times New Roman" w:eastAsia="Times New Roman" w:hAnsi="Times New Roman"/>
                <w:sz w:val="18"/>
                <w:szCs w:val="18"/>
                <w:color w:val="1F1F1F"/>
              </w:rPr>
              <w:t xml:space="preserve">  Date</w:t>
            </w:r>
          </w:p>
        </w:tc>
        <w:tc>
          <w:tcPr>
            <w:tcW w:w="600" w:type="dxa"/>
            <w:vAlign w:val="bottom"/>
          </w:tcPr>
          <w:p>
            <w:pPr>
              <w:spacing w:after="0"/>
              <w:rPr>
                <w:sz w:val="20"/>
                <w:szCs w:val="20"/>
                <w:color w:val="auto"/>
              </w:rPr>
            </w:pPr>
          </w:p>
        </w:tc>
      </w:tr>
    </w:tbl>
    <w:p>
      <w:pPr>
        <w:sectPr>
          <w:pgSz w:w="11900" w:h="16838" w:orient="portrait"/>
          <w:cols w:equalWidth="0" w:num="1">
            <w:col w:w="10580"/>
          </w:cols>
          <w:pgMar w:left="980" w:top="10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512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Subsidiaries of SiTime Corporation</w:t>
            </w:r>
          </w:p>
        </w:tc>
        <w:tc>
          <w:tcPr>
            <w:tcW w:w="2140" w:type="dxa"/>
            <w:vAlign w:val="bottom"/>
          </w:tcPr>
          <w:p>
            <w:pPr>
              <w:spacing w:after="0"/>
              <w:rPr>
                <w:sz w:val="20"/>
                <w:szCs w:val="20"/>
                <w:color w:val="auto"/>
              </w:rPr>
            </w:pPr>
          </w:p>
        </w:tc>
      </w:tr>
      <w:tr>
        <w:trPr>
          <w:trHeight w:val="270"/>
        </w:trPr>
        <w:tc>
          <w:tcPr>
            <w:tcW w:w="512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SiTime Ukraine, LLC</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Ukraine</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SiTime Netherlands, B.V.</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SiTime Japan GK</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SiTime France</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SiTime Malaysia SDN. BHD.</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SiTime Finland Oy</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SiTime Korea Ltd.</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w:t>
            </w:r>
          </w:p>
        </w:tc>
      </w:tr>
      <w:tr>
        <w:trPr>
          <w:trHeight w:val="23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SiTime Taiwan Ltd.</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SiTime Germany GmbH</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SiTime India Semiconductor Private Limited</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0120"/>
          </w:cols>
          <w:pgMar w:left="144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333-253139) and Form S-8 (Nos. 333-235255, 333-236847, 333-253140, 333-262490, 333-263039 and 333-270048) of SiTime Corporation (the Company) of our reports dated February 26, 2024, relating to the consolidated financial statements and financial statement schedule, and the effectiveness of the Company’s internal control over financial reporting, which appear in this Annual Report on Form 10-K. Our report on the effectiveness of internal control over financial reporting expresses an adverse opinion on the effectiveness of the Company’s internal control over financial reporting as of December 31,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SiTime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400" w:val="left"/>
          <w:tab w:leader="none" w:pos="790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A. Howe,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SiTime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03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SiTime Corporation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400" w:val="left"/>
          <w:tab w:leader="none" w:pos="790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14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Recoupment Policy</w:t>
      </w:r>
    </w:p>
    <w:p>
      <w:pPr>
        <w:spacing w:after="0" w:line="19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1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SiTime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6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Incentive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57"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12"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 Board.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 Officer.</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w:t>
      </w:r>
    </w:p>
    <w:p>
      <w:pPr>
        <w:sectPr>
          <w:pgSz w:w="11900" w:h="16838" w:orient="portrait"/>
          <w:cols w:equalWidth="0" w:num="1">
            <w:col w:w="11240"/>
          </w:cols>
          <w:pgMar w:left="320" w:top="94" w:right="339" w:bottom="1440" w:gutter="0" w:footer="0" w:header="0"/>
        </w:sectPr>
      </w:pPr>
    </w:p>
    <w:bookmarkStart w:id="126" w:name="page127"/>
    <w:bookmarkEnd w:id="12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4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1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p>
    <w:p>
      <w:pPr>
        <w:spacing w:after="0" w:line="211"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Applicability of Policy. </w:t>
      </w:r>
      <w:r>
        <w:rPr>
          <w:rFonts w:ascii="Times New Roman" w:cs="Times New Roman" w:eastAsia="Times New Roman" w:hAnsi="Times New Roman"/>
          <w:sz w:val="18"/>
          <w:szCs w:val="18"/>
          <w:color w:val="auto"/>
        </w:rPr>
        <w:t>This Policy applies to Incentive Compensation received by a Covered Officer (i) after beginning services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3"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8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Generally. </w:t>
      </w:r>
      <w:r>
        <w:rPr>
          <w:rFonts w:ascii="Times New Roman" w:cs="Times New Roman" w:eastAsia="Times New Roman" w:hAnsi="Times New Roman"/>
          <w:sz w:val="18"/>
          <w:szCs w:val="18"/>
          <w:color w:val="auto"/>
        </w:rPr>
        <w:t>Pursuant to the provisions of this Policy, if there is an Accounting Restatement, the Company must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Impracticability of Recovery. </w:t>
      </w:r>
      <w:r>
        <w:rPr>
          <w:rFonts w:ascii="Times New Roman" w:cs="Times New Roman" w:eastAsia="Times New Roman" w:hAnsi="Times New Roman"/>
          <w:sz w:val="18"/>
          <w:szCs w:val="18"/>
          <w:color w:val="auto"/>
        </w:rPr>
        <w:t>Recoupment may be determined to be impracticable if, and only if:</w:t>
      </w:r>
    </w:p>
    <w:p>
      <w:pPr>
        <w:spacing w:after="0" w:line="215" w:lineRule="exact"/>
        <w:rPr>
          <w:rFonts w:ascii="Times New Roman" w:cs="Times New Roman" w:eastAsia="Times New Roman" w:hAnsi="Times New Roman"/>
          <w:sz w:val="18"/>
          <w:szCs w:val="18"/>
          <w:b w:val="1"/>
          <w:bCs w:val="1"/>
          <w:color w:val="auto"/>
        </w:rPr>
      </w:pPr>
    </w:p>
    <w:p>
      <w:pPr>
        <w:ind w:left="660" w:right="20" w:firstLine="644"/>
        <w:spacing w:after="0" w:line="282" w:lineRule="auto"/>
        <w:tabs>
          <w:tab w:leader="none" w:pos="195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of the applicable Recoverable Incentive Compensation; provided that, before concluding that it</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62" w:lineRule="exact"/>
        <w:rPr>
          <w:sz w:val="20"/>
          <w:szCs w:val="20"/>
          <w:color w:val="auto"/>
        </w:rPr>
      </w:pPr>
    </w:p>
    <w:p>
      <w:pPr>
        <w:jc w:val="both"/>
        <w:ind w:left="660" w:firstLine="644"/>
        <w:spacing w:after="0" w:line="266" w:lineRule="auto"/>
        <w:tabs>
          <w:tab w:leader="none" w:pos="194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6"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Recoupment. </w:t>
      </w:r>
      <w:r>
        <w:rPr>
          <w:rFonts w:ascii="Times New Roman" w:cs="Times New Roman" w:eastAsia="Times New Roman" w:hAnsi="Times New Roman"/>
          <w:sz w:val="18"/>
          <w:szCs w:val="18"/>
          <w:color w:val="auto"/>
        </w:rPr>
        <w:t>To the extent permitted by applicable law, the Administrator shall, in its sole discretion, determine the timing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8"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3"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of Covered Officers. </w:t>
      </w:r>
      <w:r>
        <w:rPr>
          <w:rFonts w:ascii="Times New Roman" w:cs="Times New Roman" w:eastAsia="Times New Roman" w:hAnsi="Times New Roman"/>
          <w:sz w:val="18"/>
          <w:szCs w:val="18"/>
          <w:color w:val="auto"/>
        </w:rPr>
        <w:t>Notwithstanding any indemnification agreement, applicable insurance policy,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18"/>
          <w:szCs w:val="18"/>
          <w:b w:val="1"/>
          <w:bCs w:val="1"/>
          <w:color w:val="auto"/>
        </w:rPr>
      </w:pPr>
    </w:p>
    <w:p>
      <w:pPr>
        <w:jc w:val="both"/>
        <w:ind w:firstLine="656"/>
        <w:spacing w:after="0" w:line="260" w:lineRule="auto"/>
        <w:tabs>
          <w:tab w:leader="none" w:pos="1287"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Administrator. </w:t>
      </w:r>
      <w:r>
        <w:rPr>
          <w:rFonts w:ascii="Times New Roman" w:cs="Times New Roman" w:eastAsia="Times New Roman" w:hAnsi="Times New Roman"/>
          <w:sz w:val="18"/>
          <w:szCs w:val="18"/>
          <w:color w:val="auto"/>
        </w:rPr>
        <w:t>Any members of the Administrator, and any other members of the Board who assist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37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“Good Reason” for Covered Officers. </w:t>
      </w:r>
      <w:r>
        <w:rPr>
          <w:rFonts w:ascii="Times New Roman" w:cs="Times New Roman" w:eastAsia="Times New Roman" w:hAnsi="Times New Roman"/>
          <w:sz w:val="18"/>
          <w:szCs w:val="18"/>
          <w:color w:val="auto"/>
        </w:rPr>
        <w:t>Any action by the Company to recoup or any recoupment of Recoverable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6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1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specifically set forth herein, this Policy shall be administered by the Administrator. The Administrator shall have full and final authority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deems necessary or appropriate to carry out the purpose and intent of this Policy (other than with respect to any recovery under this Policy involving such officer or employee).</w:t>
      </w:r>
    </w:p>
    <w:p>
      <w:pPr>
        <w:spacing w:after="0" w:line="144"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Other Remedies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8"/>
          <w:szCs w:val="18"/>
          <w:b w:val="1"/>
          <w:bCs w:val="1"/>
          <w:i w:val="1"/>
          <w:iCs w:val="1"/>
          <w:color w:val="auto"/>
        </w:rPr>
        <w:t>SOX 304</w:t>
      </w:r>
      <w:r>
        <w:rPr>
          <w:rFonts w:ascii="Times New Roman" w:cs="Times New Roman" w:eastAsia="Times New Roman" w:hAnsi="Times New Roman"/>
          <w:sz w:val="18"/>
          <w:szCs w:val="18"/>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5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4"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Required Filings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4"/>
    </w:lvl>
  </w:abstractNum>
  <w:abstractNum w:abstractNumId="30">
    <w:nsid w:val="57E4CCAF"/>
    <w:multiLevelType w:val="hybridMultilevel"/>
    <w:lvl w:ilvl="0">
      <w:lvlJc w:val="left"/>
      <w:lvlText w:val="%1."/>
      <w:numFmt w:val="decimal"/>
      <w:start w:val="6"/>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2"/>
    </w:lvl>
  </w:abstractNum>
  <w:abstractNum w:abstractNumId="33">
    <w:nsid w:val="542289EC"/>
    <w:multiLevelType w:val="hybridMultilevel"/>
    <w:lvl w:ilvl="0">
      <w:lvlJc w:val="left"/>
      <w:lvlText w:val="%1."/>
      <w:numFmt w:val="decimal"/>
      <w:start w:val="3"/>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lvl w:ilvl="1">
      <w:lvlJc w:val="left"/>
      <w:lvlText w:val="%2."/>
      <w:numFmt w:val="decimal"/>
      <w:start w:val="1"/>
    </w:lvl>
  </w:abstractNum>
  <w:abstractNum w:abstractNumId="36">
    <w:nsid w:val="7644A45C"/>
    <w:multiLevelType w:val="hybridMultilevel"/>
    <w:lvl w:ilvl="0">
      <w:lvlJc w:val="left"/>
      <w:lvlText w:val="%1."/>
      <w:numFmt w:val="decimal"/>
      <w:start w:val="4"/>
    </w:lvl>
    <w:lvl w:ilvl="1">
      <w:lvlJc w:val="left"/>
      <w:lvlText w:val="%2."/>
      <w:numFmt w:val="decimal"/>
      <w:start w:val="5"/>
    </w:lvl>
  </w:abstractNum>
  <w:abstractNum w:abstractNumId="37">
    <w:nsid w:val="32FFF902"/>
    <w:multiLevelType w:val="hybridMultilevel"/>
    <w:lvl w:ilvl="0">
      <w:lvlJc w:val="left"/>
      <w:lvlText w:val="%1"/>
      <w:numFmt w:val="decimal"/>
      <w:start w:val="1"/>
    </w:lvl>
    <w:lvl w:ilvl="1">
      <w:lvlJc w:val="left"/>
      <w:lvlText w:val="%2."/>
      <w:numFmt w:val="decimal"/>
      <w:start w:val="6"/>
    </w:lvl>
  </w:abstractNum>
  <w:abstractNum w:abstractNumId="38">
    <w:nsid w:val="684A481A"/>
    <w:multiLevelType w:val="hybridMultilevel"/>
    <w:lvl w:ilvl="0">
      <w:lvlJc w:val="left"/>
      <w:lvlText w:val="(%1)"/>
      <w:numFmt w:val="decimal"/>
      <w:start w:val="45"/>
    </w:lvl>
    <w:lvl w:ilvl="1">
      <w:lvlJc w:val="left"/>
      <w:lvlText w:val="%2"/>
      <w:numFmt w:val="decimal"/>
      <w:start w:val="1"/>
    </w:lvl>
  </w:abstractNum>
  <w:abstractNum w:abstractNumId="39">
    <w:nsid w:val="579478FE"/>
    <w:multiLevelType w:val="hybridMultilevel"/>
    <w:lvl w:ilvl="0">
      <w:lvlJc w:val="left"/>
      <w:lvlText w:val="%1"/>
      <w:numFmt w:val="lowerLetter"/>
      <w:start w:val="1"/>
    </w:lvl>
    <w:lvl w:ilvl="1">
      <w:lvlJc w:val="left"/>
      <w:lvlText w:val="(%2)"/>
      <w:numFmt w:val="lowerLetter"/>
      <w:start w:val="1"/>
    </w:lvl>
  </w:abstractNum>
  <w:abstractNum w:abstractNumId="40">
    <w:nsid w:val="749ABB43"/>
    <w:multiLevelType w:val="hybridMultilevel"/>
    <w:lvl w:ilvl="0">
      <w:lvlJc w:val="left"/>
      <w:lvlText w:val="(%1)"/>
      <w:numFmt w:val="lowerLetter"/>
      <w:start w:val="9"/>
    </w:lvl>
    <w:lvl w:ilvl="1">
      <w:lvlJc w:val="left"/>
      <w:lvlText w:val="(%2)"/>
      <w:numFmt w:val="lowerLetter"/>
      <w:start w:val="3"/>
    </w:lvl>
  </w:abstractNum>
  <w:abstractNum w:abstractNumId="41">
    <w:nsid w:val="3DC240FB"/>
    <w:multiLevelType w:val="hybridMultilevel"/>
    <w:lvl w:ilvl="0">
      <w:lvlJc w:val="left"/>
      <w:lvlText w:val="(%1)"/>
      <w:numFmt w:val="lowerRoman"/>
      <w:start w:val="2"/>
    </w:lvl>
  </w:abstractNum>
  <w:abstractNum w:abstractNumId="42">
    <w:nsid w:val="1BA026FA"/>
    <w:multiLevelType w:val="hybridMultilevel"/>
    <w:lvl w:ilvl="0">
      <w:lvlJc w:val="left"/>
      <w:lvlText w:val="(%1)"/>
      <w:numFmt w:val="lowerLetter"/>
      <w:start w:val="4"/>
    </w:lvl>
  </w:abstractNum>
  <w:abstractNum w:abstractNumId="43">
    <w:nsid w:val="79A1DEAA"/>
    <w:multiLevelType w:val="hybridMultilevel"/>
    <w:lvl w:ilvl="0">
      <w:lvlJc w:val="left"/>
      <w:lvlText w:val="(%1)"/>
      <w:numFmt w:val="lowerLetter"/>
      <w:start w:val="5"/>
    </w:lvl>
  </w:abstractNum>
  <w:abstractNum w:abstractNumId="44">
    <w:nsid w:val="75C6C33A"/>
    <w:multiLevelType w:val="hybridMultilevel"/>
    <w:lvl w:ilvl="0">
      <w:lvlJc w:val="left"/>
      <w:lvlText w:val="%1."/>
      <w:numFmt w:val="decimal"/>
      <w:start w:val="1"/>
    </w:lvl>
    <w:lvl w:ilvl="1">
      <w:lvlJc w:val="left"/>
      <w:lvlText w:val="(%2)"/>
      <w:numFmt w:val="lowerLetter"/>
      <w:start w:val="1"/>
    </w:lvl>
  </w:abstractNum>
  <w:abstractNum w:abstractNumId="45">
    <w:nsid w:val="12E685FB"/>
    <w:multiLevelType w:val="hybridMultilevel"/>
    <w:lvl w:ilvl="0">
      <w:lvlJc w:val="left"/>
      <w:lvlText w:val="%1."/>
      <w:numFmt w:val="decimal"/>
      <w:start w:val="1"/>
    </w:lvl>
    <w:lvl w:ilvl="1">
      <w:lvlJc w:val="left"/>
      <w:lvlText w:val="(%2)"/>
      <w:numFmt w:val="lowerLetter"/>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decimal"/>
      <w:start w:val="3"/>
    </w:lvl>
  </w:abstractNum>
  <w:abstractNum w:abstractNumId="51">
    <w:nsid w:val="649BB77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2">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3">
    <w:nsid w:val="3938657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4">
    <w:nsid w:val="1CF10FD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5">
    <w:nsid w:val="180115BE"/>
    <w:multiLevelType w:val="hybridMultilevel"/>
    <w:lvl w:ilvl="0">
      <w:lvlJc w:val="left"/>
      <w:lvlText w:val="%1."/>
      <w:numFmt w:val="decimal"/>
      <w:start w:val="6"/>
    </w:lvl>
  </w:abstractNum>
  <w:abstractNum w:abstractNumId="56">
    <w:nsid w:val="235BA861"/>
    <w:multiLevelType w:val="hybridMultilevel"/>
    <w:lvl w:ilvl="0">
      <w:lvlJc w:val="left"/>
      <w:lvlText w:val="%1."/>
      <w:numFmt w:val="decimal"/>
      <w:start w:val="7"/>
    </w:lvl>
  </w:abstractNum>
  <w:abstractNum w:abstractNumId="57">
    <w:nsid w:val="47398C89"/>
    <w:multiLevelType w:val="hybridMultilevel"/>
    <w:lvl w:ilvl="0">
      <w:lvlJc w:val="left"/>
      <w:lvlText w:val="%1."/>
      <w:numFmt w:val="decimal"/>
      <w:start w:val="8"/>
    </w:lvl>
  </w:abstractNum>
  <w:abstractNum w:abstractNumId="58">
    <w:nsid w:val="354FE9F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1" Type="http://schemas.openxmlformats.org/officeDocument/2006/relationships/image" Target="media/image111.png"/><Relationship Id="rId145"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18" Type="http://schemas.openxmlformats.org/officeDocument/2006/relationships/hyperlink" Target="https://www.sec.gov/Archives/edgar/data/1451809/000119312519301287/d630610dex31.htm" TargetMode="External"/><Relationship Id="rId119" Type="http://schemas.openxmlformats.org/officeDocument/2006/relationships/hyperlink" Target="https://www.sec.gov/Archives/edgar/data/1451809/000119312520164650/d920552dex32.htm" TargetMode="External"/><Relationship Id="rId120" Type="http://schemas.openxmlformats.org/officeDocument/2006/relationships/hyperlink" Target="https://www.sec.gov/Archives/edgar/data/0001451809/000119312519272678/d701682dex41.htm" TargetMode="External"/><Relationship Id="rId121" Type="http://schemas.openxmlformats.org/officeDocument/2006/relationships/hyperlink" Target="https://www.sec.gov/Archives/edgar/data/1451809/000156459021005867/sitm-ex42_644.htm" TargetMode="External"/><Relationship Id="rId122" Type="http://schemas.openxmlformats.org/officeDocument/2006/relationships/hyperlink" Target="https://www.sec.gov/Archives/edgar/data/1451809/000156459021005867/sitm-ex101_291.htm" TargetMode="External"/><Relationship Id="rId123" Type="http://schemas.openxmlformats.org/officeDocument/2006/relationships/hyperlink" Target="https://www.sec.gov/Archives/edgar/data/1451809/000119312519287290/d701682dex102.htm" TargetMode="External"/><Relationship Id="rId124" Type="http://schemas.openxmlformats.org/officeDocument/2006/relationships/hyperlink" Target="https://www.sec.gov/Archives/edgar/data/0001451809/000119312519272678/d701682dex103.htm" TargetMode="External"/><Relationship Id="rId125" Type="http://schemas.openxmlformats.org/officeDocument/2006/relationships/hyperlink" Target="https://www.sec.gov/Archives/edgar/data/0001451809/000119312519272678/d701682dex104.htm" TargetMode="External"/><Relationship Id="rId126" Type="http://schemas.openxmlformats.org/officeDocument/2006/relationships/hyperlink" Target="https://www.sec.gov/Archives/edgar/data/0001451809/000119312519272678/d701682dex105.htm" TargetMode="External"/><Relationship Id="rId127" Type="http://schemas.openxmlformats.org/officeDocument/2006/relationships/hyperlink" Target="https://www.sec.gov/Archives/edgar/data/1451809/000119312519272678/d701682dex106.htm" TargetMode="External"/><Relationship Id="rId128" Type="http://schemas.openxmlformats.org/officeDocument/2006/relationships/hyperlink" Target="https://www.sec.gov/Archives/edgar/data/0001451809/000119312519272678/d701682dex107.htm" TargetMode="External"/><Relationship Id="rId129" Type="http://schemas.openxmlformats.org/officeDocument/2006/relationships/hyperlink" Target="https://www.sec.gov/Archives/edgar/data/1451809/000119312519272678/d701682dex108.htm" TargetMode="External"/><Relationship Id="rId130" Type="http://schemas.openxmlformats.org/officeDocument/2006/relationships/hyperlink" Target="https://www.sec.gov/Archives/edgar/data/1451809/000119312519287290/d701682dex109.htm" TargetMode="External"/><Relationship Id="rId132" Type="http://schemas.openxmlformats.org/officeDocument/2006/relationships/hyperlink" Target="https://www.sec.gov/Archives/edgar/data/0001451809/000119312519272678/d701682dex1016.htm" TargetMode="External"/><Relationship Id="rId133" Type="http://schemas.openxmlformats.org/officeDocument/2006/relationships/hyperlink" Target="https://www.sec.gov/Archives/edgar/data/1451809/000119312519272678/d701682dex1017.htm" TargetMode="External"/><Relationship Id="rId134" Type="http://schemas.openxmlformats.org/officeDocument/2006/relationships/hyperlink" Target="https://www.sec.gov/Archives/edgar/data/0001451809/000119312519272678/d701682dex1018.htm" TargetMode="External"/><Relationship Id="rId135" Type="http://schemas.openxmlformats.org/officeDocument/2006/relationships/hyperlink" Target="https://www.sec.gov/Archives/edgar/data/1451809/000119312519272678/d701682dex1019.htm" TargetMode="External"/><Relationship Id="rId136" Type="http://schemas.openxmlformats.org/officeDocument/2006/relationships/hyperlink" Target="https://www.sec.gov/Archives/edgar/data/0001451809/000119312519272678/d701682dex1020.htm" TargetMode="External"/><Relationship Id="rId137" Type="http://schemas.openxmlformats.org/officeDocument/2006/relationships/hyperlink" Target="https://www.sec.gov/Archives/edgar/data/1451809/000156459020022872/sitm-ex102_82.htm" TargetMode="External"/><Relationship Id="rId138" Type="http://schemas.openxmlformats.org/officeDocument/2006/relationships/hyperlink" Target="https://www.sec.gov/Archives/edgar/data/1451809/000119312520164650/d920552dex101.htm" TargetMode="External"/><Relationship Id="rId139" Type="http://schemas.openxmlformats.org/officeDocument/2006/relationships/hyperlink" Target="https://www.sec.gov/Archives/edgar/data/1451809/000156459020037732/sitm-ex102_208.htm" TargetMode="External"/><Relationship Id="rId140" Type="http://schemas.openxmlformats.org/officeDocument/2006/relationships/hyperlink" Target="https://www.sec.gov/Archives/edgar/data/1451809/000156459020037732/sitm-ex103_91.htm" TargetMode="External"/><Relationship Id="rId141" Type="http://schemas.openxmlformats.org/officeDocument/2006/relationships/hyperlink" Target="https://www.sec.gov/Archives/edgar/data/1451809/000156459021005867/sitm-ex1022_292.htm" TargetMode="External"/><Relationship Id="rId142" Type="http://schemas.openxmlformats.org/officeDocument/2006/relationships/hyperlink" Target="https://www.sec.gov/Archives/edgar/data/1451809/000095017023017841/sitm-ex10_2.htm" TargetMode="External"/><Relationship Id="rId143" Type="http://schemas.openxmlformats.org/officeDocument/2006/relationships/hyperlink" Target="https://www.sec.gov/Archives/edgar/data/0001451809/000156459021017612/sitm-ex101_6.htm" TargetMode="External"/><Relationship Id="rId144" Type="http://schemas.openxmlformats.org/officeDocument/2006/relationships/hyperlink" Target="https://www.sec.gov/Archives/edgar/data/0001451809/000095017021003060/sitm-ex10_1.htm" TargetMode="External"/><Relationship Id="rId146" Type="http://schemas.openxmlformats.org/officeDocument/2006/relationships/hyperlink" Target="https://www.sec.gov/Archives/edgar/data/1451809/000095017022002096/sitm-ex10_28.htm" TargetMode="External"/><Relationship Id="rId147" Type="http://schemas.openxmlformats.org/officeDocument/2006/relationships/hyperlink" Target="https://www.sec.gov/Archives/edgar/data/1451809/000095017023004647/sitm-ex10_29.htm" TargetMode="External"/><Relationship Id="rId148" Type="http://schemas.openxmlformats.org/officeDocument/2006/relationships/hyperlink" Target="https://www.sec.gov/Archives/edgar/data/1451809/000095017022002096/sitm-ex10_29.htm" TargetMode="External"/><Relationship Id="rId149" Type="http://schemas.openxmlformats.org/officeDocument/2006/relationships/hyperlink" Target="https://www.sec.gov/Archives/edgar/data/1451809/000095017022007391/sitm-ex1_1.htm" TargetMode="External"/><Relationship Id="rId150" Type="http://schemas.openxmlformats.org/officeDocument/2006/relationships/hyperlink" Target="https://www.sec.gov/Archives/edgar/data/1451809/000145180923000085/sitm-q323x8kx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2024-02-26T15:19:20Z</dcterms:created>
  <dcterms:modified xsi:type="dcterms:W3CDTF">2024-02-26T15:19:20Z</dcterms:modified>
</cp:coreProperties>
</file>