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52070</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60325</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2020</w:t>
      </w:r>
    </w:p>
    <w:p>
      <w:pPr>
        <w:spacing w:after="0" w:line="45"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-401320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460"/>
        <w:spacing w:after="0"/>
        <w:tabs>
          <w:tab w:leader="none" w:pos="3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60325</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86" w:lineRule="exact"/>
        <w:rPr>
          <w:sz w:val="24"/>
          <w:szCs w:val="24"/>
          <w:color w:val="auto"/>
        </w:rPr>
      </w:pPr>
    </w:p>
    <w:tbl>
      <w:tblPr>
        <w:tblLayout w:type="fixed"/>
        <w:tblInd w:w="1620" w:type="dxa"/>
        <w:tblCellMar>
          <w:top w:w="0" w:type="dxa"/>
          <w:left w:w="0" w:type="dxa"/>
          <w:bottom w:w="0" w:type="dxa"/>
          <w:right w:w="0" w:type="dxa"/>
        </w:tblCellMar>
      </w:tblPr>
      <w:tr>
        <w:trPr>
          <w:trHeight w:val="461"/>
        </w:trPr>
        <w:tc>
          <w:tcPr>
            <w:tcW w:w="6040" w:type="dxa"/>
            <w:vAlign w:val="bottom"/>
            <w:gridSpan w:val="3"/>
          </w:tcPr>
          <w:p>
            <w:pPr>
              <w:jc w:val="center"/>
              <w:ind w:left="1888"/>
              <w:spacing w:after="0"/>
              <w:rPr>
                <w:sz w:val="20"/>
                <w:szCs w:val="20"/>
                <w:color w:val="auto"/>
              </w:rPr>
            </w:pPr>
            <w:r>
              <w:rPr>
                <w:rFonts w:ascii="Arial" w:cs="Arial" w:eastAsia="Arial" w:hAnsi="Arial"/>
                <w:sz w:val="38"/>
                <w:szCs w:val="38"/>
                <w:b w:val="1"/>
                <w:bCs w:val="1"/>
                <w:color w:val="auto"/>
                <w:w w:val="92"/>
              </w:rPr>
              <w:t>SiTime Corporation</w:t>
            </w:r>
          </w:p>
        </w:tc>
        <w:tc>
          <w:tcPr>
            <w:tcW w:w="1340" w:type="dxa"/>
            <w:vAlign w:val="bottom"/>
          </w:tcPr>
          <w:p>
            <w:pPr>
              <w:spacing w:after="0"/>
              <w:rPr>
                <w:sz w:val="24"/>
                <w:szCs w:val="24"/>
                <w:color w:val="auto"/>
              </w:rPr>
            </w:pPr>
          </w:p>
        </w:tc>
      </w:tr>
      <w:tr>
        <w:trPr>
          <w:trHeight w:val="210"/>
        </w:trPr>
        <w:tc>
          <w:tcPr>
            <w:tcW w:w="6040" w:type="dxa"/>
            <w:vAlign w:val="bottom"/>
            <w:gridSpan w:val="3"/>
          </w:tcPr>
          <w:p>
            <w:pPr>
              <w:jc w:val="center"/>
              <w:ind w:left="1868"/>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340" w:type="dxa"/>
            <w:vAlign w:val="bottom"/>
          </w:tcPr>
          <w:p>
            <w:pPr>
              <w:spacing w:after="0"/>
              <w:rPr>
                <w:sz w:val="18"/>
                <w:szCs w:val="18"/>
                <w:color w:val="auto"/>
              </w:rPr>
            </w:pPr>
          </w:p>
        </w:tc>
      </w:tr>
      <w:tr>
        <w:trPr>
          <w:trHeight w:val="60"/>
        </w:trPr>
        <w:tc>
          <w:tcPr>
            <w:tcW w:w="2960" w:type="dxa"/>
            <w:vAlign w:val="bottom"/>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27"/>
        </w:trPr>
        <w:tc>
          <w:tcPr>
            <w:tcW w:w="6040" w:type="dxa"/>
            <w:vAlign w:val="bottom"/>
            <w:gridSpan w:val="3"/>
          </w:tcPr>
          <w:p>
            <w:pPr>
              <w:jc w:val="center"/>
              <w:ind w:right="3640"/>
              <w:spacing w:after="0"/>
              <w:rPr>
                <w:sz w:val="20"/>
                <w:szCs w:val="20"/>
                <w:color w:val="auto"/>
              </w:rPr>
            </w:pPr>
            <w:r>
              <w:rPr>
                <w:rFonts w:ascii="Arial" w:cs="Arial" w:eastAsia="Arial" w:hAnsi="Arial"/>
                <w:sz w:val="18"/>
                <w:szCs w:val="18"/>
                <w:b w:val="1"/>
                <w:bCs w:val="1"/>
                <w:color w:val="auto"/>
                <w:w w:val="91"/>
              </w:rPr>
              <w:t>Delaware</w:t>
            </w:r>
          </w:p>
        </w:tc>
        <w:tc>
          <w:tcPr>
            <w:tcW w:w="1340" w:type="dxa"/>
            <w:vAlign w:val="bottom"/>
          </w:tcPr>
          <w:p>
            <w:pPr>
              <w:jc w:val="right"/>
              <w:ind w:right="63"/>
              <w:spacing w:after="0"/>
              <w:rPr>
                <w:sz w:val="20"/>
                <w:szCs w:val="20"/>
                <w:color w:val="auto"/>
              </w:rPr>
            </w:pPr>
            <w:r>
              <w:rPr>
                <w:rFonts w:ascii="Arial" w:cs="Arial" w:eastAsia="Arial" w:hAnsi="Arial"/>
                <w:sz w:val="18"/>
                <w:szCs w:val="18"/>
                <w:b w:val="1"/>
                <w:bCs w:val="1"/>
                <w:color w:val="auto"/>
              </w:rPr>
              <w:t>02-0713868</w:t>
            </w:r>
          </w:p>
        </w:tc>
      </w:tr>
      <w:tr>
        <w:trPr>
          <w:trHeight w:val="148"/>
        </w:trPr>
        <w:tc>
          <w:tcPr>
            <w:tcW w:w="6040" w:type="dxa"/>
            <w:vAlign w:val="bottom"/>
            <w:gridSpan w:val="3"/>
          </w:tcPr>
          <w:p>
            <w:pPr>
              <w:jc w:val="center"/>
              <w:ind w:right="36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7"/>
        </w:trPr>
        <w:tc>
          <w:tcPr>
            <w:tcW w:w="6040" w:type="dxa"/>
            <w:vAlign w:val="bottom"/>
            <w:gridSpan w:val="3"/>
          </w:tcPr>
          <w:p>
            <w:pPr>
              <w:jc w:val="center"/>
              <w:ind w:right="3640"/>
              <w:spacing w:after="0" w:line="157" w:lineRule="exact"/>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3"/>
              <w:spacing w:after="0" w:line="157" w:lineRule="exact"/>
              <w:rPr>
                <w:sz w:val="20"/>
                <w:szCs w:val="20"/>
                <w:color w:val="auto"/>
              </w:rPr>
            </w:pPr>
            <w:r>
              <w:rPr>
                <w:rFonts w:ascii="Arial" w:cs="Arial" w:eastAsia="Arial" w:hAnsi="Arial"/>
                <w:sz w:val="14"/>
                <w:szCs w:val="14"/>
                <w:b w:val="1"/>
                <w:bCs w:val="1"/>
                <w:color w:val="auto"/>
                <w:w w:val="96"/>
              </w:rPr>
              <w:t>Identification No.)</w:t>
            </w:r>
          </w:p>
        </w:tc>
      </w:tr>
      <w:tr>
        <w:trPr>
          <w:trHeight w:val="203"/>
        </w:trPr>
        <w:tc>
          <w:tcPr>
            <w:tcW w:w="6040" w:type="dxa"/>
            <w:vAlign w:val="bottom"/>
            <w:gridSpan w:val="3"/>
          </w:tcPr>
          <w:p>
            <w:pPr>
              <w:jc w:val="center"/>
              <w:ind w:right="3660"/>
              <w:spacing w:after="0"/>
              <w:rPr>
                <w:sz w:val="20"/>
                <w:szCs w:val="20"/>
                <w:color w:val="auto"/>
              </w:rPr>
            </w:pPr>
            <w:r>
              <w:rPr>
                <w:rFonts w:ascii="Arial" w:cs="Arial" w:eastAsia="Arial" w:hAnsi="Arial"/>
                <w:sz w:val="16"/>
                <w:szCs w:val="16"/>
                <w:b w:val="1"/>
                <w:bCs w:val="1"/>
                <w:color w:val="auto"/>
                <w:w w:val="94"/>
              </w:rPr>
              <w:t>5451 Patrick Henry Drive</w:t>
            </w:r>
          </w:p>
        </w:tc>
        <w:tc>
          <w:tcPr>
            <w:tcW w:w="1340" w:type="dxa"/>
            <w:vAlign w:val="bottom"/>
          </w:tcPr>
          <w:p>
            <w:pPr>
              <w:spacing w:after="0"/>
              <w:rPr>
                <w:sz w:val="17"/>
                <w:szCs w:val="17"/>
                <w:color w:val="auto"/>
              </w:rPr>
            </w:pPr>
          </w:p>
        </w:tc>
      </w:tr>
      <w:tr>
        <w:trPr>
          <w:trHeight w:val="194"/>
        </w:trPr>
        <w:tc>
          <w:tcPr>
            <w:tcW w:w="6040" w:type="dxa"/>
            <w:vAlign w:val="bottom"/>
            <w:gridSpan w:val="3"/>
          </w:tcPr>
          <w:p>
            <w:pPr>
              <w:jc w:val="center"/>
              <w:ind w:right="3660"/>
              <w:spacing w:after="0"/>
              <w:rPr>
                <w:sz w:val="20"/>
                <w:szCs w:val="20"/>
                <w:color w:val="auto"/>
              </w:rPr>
            </w:pPr>
            <w:r>
              <w:rPr>
                <w:rFonts w:ascii="Arial" w:cs="Arial" w:eastAsia="Arial" w:hAnsi="Arial"/>
                <w:sz w:val="16"/>
                <w:szCs w:val="16"/>
                <w:b w:val="1"/>
                <w:bCs w:val="1"/>
                <w:color w:val="auto"/>
                <w:w w:val="94"/>
              </w:rPr>
              <w:t>Santa Clara, CA</w:t>
            </w:r>
          </w:p>
        </w:tc>
        <w:tc>
          <w:tcPr>
            <w:tcW w:w="1340" w:type="dxa"/>
            <w:vAlign w:val="bottom"/>
          </w:tcPr>
          <w:p>
            <w:pPr>
              <w:jc w:val="right"/>
              <w:ind w:right="283"/>
              <w:spacing w:after="0"/>
              <w:rPr>
                <w:sz w:val="20"/>
                <w:szCs w:val="20"/>
                <w:color w:val="auto"/>
              </w:rPr>
            </w:pPr>
            <w:r>
              <w:rPr>
                <w:rFonts w:ascii="Arial" w:cs="Arial" w:eastAsia="Arial" w:hAnsi="Arial"/>
                <w:sz w:val="16"/>
                <w:szCs w:val="16"/>
                <w:b w:val="1"/>
                <w:bCs w:val="1"/>
                <w:color w:val="auto"/>
              </w:rPr>
              <w:t>95054</w:t>
            </w:r>
          </w:p>
        </w:tc>
      </w:tr>
      <w:tr>
        <w:trPr>
          <w:trHeight w:val="186"/>
        </w:trPr>
        <w:tc>
          <w:tcPr>
            <w:tcW w:w="604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3"/>
              <w:spacing w:after="0"/>
              <w:rPr>
                <w:sz w:val="20"/>
                <w:szCs w:val="20"/>
                <w:color w:val="auto"/>
              </w:rPr>
            </w:pPr>
            <w:r>
              <w:rPr>
                <w:rFonts w:ascii="Arial" w:cs="Arial" w:eastAsia="Arial" w:hAnsi="Arial"/>
                <w:sz w:val="14"/>
                <w:szCs w:val="14"/>
                <w:b w:val="1"/>
                <w:bCs w:val="1"/>
                <w:color w:val="auto"/>
                <w:w w:val="95"/>
              </w:rPr>
              <w:t>(Zip Code)</w:t>
            </w: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60325</wp:posOffset>
            </wp:positionV>
            <wp:extent cx="1337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7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500" w:type="dxa"/>
            <w:vAlign w:val="bottom"/>
          </w:tcPr>
          <w:p>
            <w:pPr>
              <w:jc w:val="center"/>
              <w:spacing w:after="0"/>
              <w:rPr>
                <w:sz w:val="20"/>
                <w:szCs w:val="20"/>
                <w:color w:val="auto"/>
              </w:rPr>
            </w:pPr>
            <w:r>
              <w:rPr>
                <w:rFonts w:ascii="Arial" w:cs="Arial" w:eastAsia="Arial" w:hAnsi="Arial"/>
                <w:sz w:val="14"/>
                <w:szCs w:val="14"/>
                <w:color w:val="auto"/>
                <w:w w:val="91"/>
              </w:rPr>
              <w:t>Common Stock, $0.0001 par value per share</w:t>
            </w: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rPr>
              <w:t>SITM</w:t>
            </w:r>
          </w:p>
        </w:tc>
        <w:tc>
          <w:tcPr>
            <w:tcW w:w="448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9"/>
        </w:trPr>
        <w:tc>
          <w:tcPr>
            <w:tcW w:w="46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r>
    </w:tbl>
    <w:p>
      <w:pPr>
        <w:ind w:right="3540"/>
        <w:spacing w:after="0" w:line="21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571" w:right="339" w:bottom="1440" w:gutter="0" w:footer="0" w:header="0"/>
        </w:sectPr>
      </w:pPr>
    </w:p>
    <w:p>
      <w:pPr>
        <w:spacing w:after="0" w:line="5"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3020"/>
              <w:spacing w:after="0"/>
              <w:rPr>
                <w:sz w:val="20"/>
                <w:szCs w:val="20"/>
                <w:color w:val="auto"/>
              </w:rPr>
            </w:pPr>
            <w:r>
              <w:rPr>
                <w:rFonts w:ascii="Arial" w:cs="Arial" w:eastAsia="Arial" w:hAnsi="Arial"/>
                <w:sz w:val="14"/>
                <w:szCs w:val="14"/>
                <w:color w:val="auto"/>
              </w:rPr>
              <w:t>Accelerated filer</w:t>
            </w: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3020"/>
              <w:spacing w:after="0"/>
              <w:rPr>
                <w:sz w:val="20"/>
                <w:szCs w:val="20"/>
                <w:color w:val="auto"/>
              </w:rPr>
            </w:pPr>
            <w:r>
              <w:rPr>
                <w:rFonts w:ascii="Arial" w:cs="Arial" w:eastAsia="Arial" w:hAnsi="Arial"/>
                <w:sz w:val="14"/>
                <w:szCs w:val="14"/>
                <w:color w:val="auto"/>
                <w:w w:val="93"/>
              </w:rPr>
              <w:t>Smaller reporting company</w:t>
            </w:r>
          </w:p>
        </w:tc>
      </w:t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5" w:lineRule="exact"/>
        <w:rPr>
          <w:sz w:val="24"/>
          <w:szCs w:val="24"/>
          <w:color w:val="auto"/>
        </w:rPr>
      </w:pPr>
    </w:p>
    <w:p>
      <w:pPr>
        <w:sectPr>
          <w:pgSz w:w="11900" w:h="16838" w:orient="portrait"/>
          <w:cols w:equalWidth="0" w:num="2">
            <w:col w:w="10700" w:space="240"/>
            <w:col w:w="300"/>
          </w:cols>
          <w:pgMar w:left="320" w:top="571" w:right="339" w:bottom="1440" w:gutter="0" w:footer="0" w:header="0"/>
          <w:type w:val="continuous"/>
        </w:sect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400"/>
        <w:spacing w:after="0" w:line="239"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based on the last reported sale of the common stock on June 30, 2020, on the Nasdaq Global Market, was $431,489,077 based on the closing price of the registrant’s common stock on such date of $47.41 per share.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10, 2021 was 17,150,278.</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340"/>
        <w:spacing w:after="0" w:line="243"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for the 2021 Annual Meeting of Stockholders to be filed no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left="8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87" w:lineRule="exact"/>
        <w:rPr>
          <w:sz w:val="20"/>
          <w:szCs w:val="20"/>
          <w:color w:val="auto"/>
        </w:rPr>
      </w:pPr>
    </w:p>
    <w:p>
      <w:pPr>
        <w:ind w:left="880" w:right="14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focus on oscillators, clock ICs, resonators and timing synchronization solutions and to aggressively expand our presence in these markets;</w:t>
      </w:r>
    </w:p>
    <w:p>
      <w:pPr>
        <w:spacing w:after="0" w:line="62"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address market and customer demands and to timely develop new or enhanced solutions to meet those demands;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impact of new legislation and IRS guidance issued in response to the COVID-19 pandemic;</w:t>
      </w:r>
    </w:p>
    <w:p>
      <w:pPr>
        <w:spacing w:after="0" w:line="117" w:lineRule="exact"/>
        <w:rPr>
          <w:rFonts w:ascii="Arial" w:cs="Arial" w:eastAsia="Arial" w:hAnsi="Arial"/>
          <w:sz w:val="18"/>
          <w:szCs w:val="18"/>
          <w:color w:val="auto"/>
        </w:rPr>
      </w:pPr>
    </w:p>
    <w:p>
      <w:pPr>
        <w:jc w:val="both"/>
        <w:ind w:left="880" w:right="20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117" w:lineRule="exact"/>
        <w:rPr>
          <w:rFonts w:ascii="Arial" w:cs="Arial" w:eastAsia="Arial" w:hAnsi="Arial"/>
          <w:sz w:val="18"/>
          <w:szCs w:val="18"/>
          <w:color w:val="auto"/>
        </w:rPr>
      </w:pPr>
    </w:p>
    <w:p>
      <w:pPr>
        <w:ind w:left="880" w:right="180" w:hanging="440"/>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15"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enable the smallest footprints in the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future markets;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relationships with, our third-party suppliers and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 w:name="page4"/>
    <w:bookmarkEnd w:id="3"/>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accuracy of our estimates regarding capital requirements, expectations regarding renewal of loans, and needs for additional financing.</w:t>
      </w:r>
    </w:p>
    <w:p>
      <w:pPr>
        <w:spacing w:after="0" w:line="248"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the “Risk Factor Summary” below and under Item 1.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95"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161"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Our business is subject to numerous risks, as more fully described in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89" w:lineRule="exact"/>
        <w:rPr>
          <w:sz w:val="20"/>
          <w:szCs w:val="20"/>
          <w:color w:val="auto"/>
        </w:rPr>
      </w:pPr>
    </w:p>
    <w:p>
      <w:pPr>
        <w:ind w:left="880" w:right="640" w:hanging="440"/>
        <w:spacing w:after="0" w:line="25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downturn in the worldwide economy may harm our business;</w:t>
      </w:r>
    </w:p>
    <w:p>
      <w:pPr>
        <w:spacing w:after="0" w:line="9" w:lineRule="exact"/>
        <w:rPr>
          <w:rFonts w:ascii="Arial" w:cs="Arial" w:eastAsia="Arial" w:hAnsi="Arial"/>
          <w:sz w:val="18"/>
          <w:szCs w:val="18"/>
          <w:color w:val="auto"/>
        </w:rPr>
      </w:pPr>
    </w:p>
    <w:p>
      <w:pPr>
        <w:ind w:left="880" w:right="800" w:hanging="440"/>
        <w:spacing w:after="0" w:line="281"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1"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expand or further diversify our customer base, our business, financial condition, and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operations could suffer;</w:t>
      </w:r>
    </w:p>
    <w:p>
      <w:pPr>
        <w:spacing w:after="0" w:line="9" w:lineRule="exact"/>
        <w:rPr>
          <w:rFonts w:ascii="Arial" w:cs="Arial" w:eastAsia="Arial" w:hAnsi="Arial"/>
          <w:sz w:val="18"/>
          <w:szCs w:val="18"/>
          <w:color w:val="auto"/>
        </w:rPr>
      </w:pPr>
    </w:p>
    <w:p>
      <w:pPr>
        <w:ind w:left="880" w:right="320" w:hanging="440"/>
        <w:spacing w:after="0" w:line="25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ind w:left="880" w:hanging="440"/>
        <w:spacing w:after="0" w:line="25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an accumulated deficit and have incurred net losses in the past, and we may continue to incur net losses in the future;</w:t>
      </w:r>
    </w:p>
    <w:p>
      <w:pPr>
        <w:spacing w:after="0" w:line="9" w:lineRule="exact"/>
        <w:rPr>
          <w:rFonts w:ascii="Arial" w:cs="Arial" w:eastAsia="Arial" w:hAnsi="Arial"/>
          <w:sz w:val="18"/>
          <w:szCs w:val="18"/>
          <w:color w:val="auto"/>
        </w:rPr>
      </w:pPr>
    </w:p>
    <w:p>
      <w:pPr>
        <w:ind w:left="880" w:right="160" w:hanging="440"/>
        <w:spacing w:after="0" w:line="290"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 w:name="page5"/>
    <w:bookmarkEnd w:id="4"/>
    <w:p>
      <w:pPr>
        <w:ind w:left="440" w:right="300" w:hanging="440"/>
        <w:spacing w:after="0" w:line="25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 w:lineRule="exact"/>
        <w:rPr>
          <w:rFonts w:ascii="Arial" w:cs="Arial" w:eastAsia="Arial" w:hAnsi="Arial"/>
          <w:sz w:val="18"/>
          <w:szCs w:val="18"/>
          <w:color w:val="auto"/>
        </w:rPr>
      </w:pPr>
    </w:p>
    <w:p>
      <w:pPr>
        <w:ind w:left="440" w:hanging="440"/>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not able to successfully introduce and ship in volume new products in a timely manner, our business and revenue will suffer;</w:t>
      </w:r>
    </w:p>
    <w:p>
      <w:pPr>
        <w:spacing w:after="0" w:line="20" w:lineRule="exact"/>
        <w:rPr>
          <w:rFonts w:ascii="Arial" w:cs="Arial" w:eastAsia="Arial" w:hAnsi="Arial"/>
          <w:sz w:val="17"/>
          <w:szCs w:val="17"/>
          <w:color w:val="auto"/>
        </w:rPr>
      </w:pPr>
    </w:p>
    <w:p>
      <w:pPr>
        <w:ind w:left="440" w:right="76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gross margins may fluctuate due to a variety of factors, which could negatively impact our results of operations and our financial condition;</w:t>
      </w:r>
    </w:p>
    <w:p>
      <w:pPr>
        <w:ind w:left="440" w:hanging="440"/>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9" w:lineRule="exact"/>
        <w:rPr>
          <w:rFonts w:ascii="Arial" w:cs="Arial" w:eastAsia="Arial" w:hAnsi="Arial"/>
          <w:sz w:val="18"/>
          <w:szCs w:val="18"/>
          <w:color w:val="auto"/>
        </w:rPr>
      </w:pPr>
    </w:p>
    <w:p>
      <w:pPr>
        <w:jc w:val="both"/>
        <w:ind w:left="440" w:right="24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rFonts w:ascii="Arial" w:cs="Arial" w:eastAsia="Arial" w:hAnsi="Arial"/>
          <w:sz w:val="18"/>
          <w:szCs w:val="18"/>
          <w:color w:val="auto"/>
        </w:rPr>
      </w:pPr>
    </w:p>
    <w:p>
      <w:pPr>
        <w:ind w:left="440" w:right="24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ind w:left="440" w:hanging="440"/>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9" w:lineRule="exact"/>
        <w:rPr>
          <w:rFonts w:ascii="Arial" w:cs="Arial" w:eastAsia="Arial" w:hAnsi="Arial"/>
          <w:sz w:val="18"/>
          <w:szCs w:val="18"/>
          <w:color w:val="auto"/>
        </w:rPr>
      </w:pPr>
    </w:p>
    <w:p>
      <w:pPr>
        <w:ind w:left="44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parties we rely upon for our raw materials, wafer fabrication and supply, assembly,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1" w:lineRule="exact"/>
        <w:rPr>
          <w:rFonts w:ascii="Arial" w:cs="Arial" w:eastAsia="Arial" w:hAnsi="Arial"/>
          <w:sz w:val="18"/>
          <w:szCs w:val="18"/>
          <w:color w:val="auto"/>
        </w:rPr>
      </w:pPr>
    </w:p>
    <w:p>
      <w:pPr>
        <w:ind w:left="440" w:hanging="440"/>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9" w:lineRule="exact"/>
        <w:rPr>
          <w:rFonts w:ascii="Arial" w:cs="Arial" w:eastAsia="Arial" w:hAnsi="Arial"/>
          <w:sz w:val="18"/>
          <w:szCs w:val="18"/>
          <w:color w:val="auto"/>
        </w:rPr>
      </w:pPr>
    </w:p>
    <w:p>
      <w:pPr>
        <w:ind w:left="440" w:hanging="440"/>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not be able to accurately predict our future capital needs, and we may not be able to obtain additional financing to fund our operations;</w:t>
      </w:r>
    </w:p>
    <w:p>
      <w:pPr>
        <w:spacing w:after="0" w:line="32" w:lineRule="exact"/>
        <w:rPr>
          <w:rFonts w:ascii="Arial" w:cs="Arial" w:eastAsia="Arial" w:hAnsi="Arial"/>
          <w:sz w:val="16"/>
          <w:szCs w:val="16"/>
          <w:color w:val="auto"/>
        </w:rPr>
      </w:pPr>
    </w:p>
    <w:p>
      <w:pPr>
        <w:ind w:left="440" w:right="30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recently repaid all of our outstanding indebtedness under our revolving line of credit and may seek, or be required to seek, alternative or additional debt financing in the immediate or near term;</w:t>
      </w:r>
    </w:p>
    <w:p>
      <w:pPr>
        <w:ind w:left="440" w:right="28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ind w:left="440" w:right="30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significant tariffs or other restrictions are placed on Chinese imports or any related counter-measures are taken by China, our revenue and results of operations may be materially harmed;</w:t>
      </w:r>
    </w:p>
    <w:p>
      <w:pPr>
        <w:ind w:left="440" w:right="54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ind w:left="440" w:right="10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ind w:left="440" w:right="30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ind w:left="440" w:hanging="440"/>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9" w:lineRule="exact"/>
        <w:rPr>
          <w:rFonts w:ascii="Arial" w:cs="Arial" w:eastAsia="Arial" w:hAnsi="Arial"/>
          <w:sz w:val="18"/>
          <w:szCs w:val="18"/>
          <w:color w:val="auto"/>
        </w:rPr>
      </w:pPr>
    </w:p>
    <w:p>
      <w:pPr>
        <w:jc w:val="both"/>
        <w:ind w:left="440" w:right="32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1" w:lineRule="exact"/>
        <w:rPr>
          <w:rFonts w:ascii="Arial" w:cs="Arial" w:eastAsia="Arial" w:hAnsi="Arial"/>
          <w:sz w:val="18"/>
          <w:szCs w:val="18"/>
          <w:color w:val="auto"/>
        </w:rPr>
      </w:pPr>
    </w:p>
    <w:p>
      <w:pPr>
        <w:ind w:left="440" w:right="120" w:hanging="440"/>
        <w:spacing w:after="0" w:line="281"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1" w:lineRule="exact"/>
        <w:rPr>
          <w:rFonts w:ascii="Arial" w:cs="Arial" w:eastAsia="Arial" w:hAnsi="Arial"/>
          <w:sz w:val="16"/>
          <w:szCs w:val="16"/>
          <w:color w:val="auto"/>
        </w:rPr>
      </w:pPr>
    </w:p>
    <w:p>
      <w:pPr>
        <w:ind w:left="440" w:hanging="440"/>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9" w:lineRule="exact"/>
        <w:rPr>
          <w:rFonts w:ascii="Arial" w:cs="Arial" w:eastAsia="Arial" w:hAnsi="Arial"/>
          <w:sz w:val="18"/>
          <w:szCs w:val="18"/>
          <w:color w:val="auto"/>
        </w:rPr>
      </w:pPr>
    </w:p>
    <w:p>
      <w:pPr>
        <w:ind w:left="440" w:right="260" w:hanging="440"/>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ind w:left="4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341"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We are a leading provider of silicon timing solutions. Our timing solutions are the heartbeat of our customers’ electronic systems,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Internet of Thing (“IoT”), and consumer. Our current solutions include various types of oscillators, as well as resonators and clock integrated circuits (“ICs”). Our all-silicon solutions are based on three fundamental areas of expertise: micro-electro-mechanical systems (“MEMS”), analog mixed-signal design capabilities, and advanced system-level integration expertise. This expertise allows us to design MEMS resonators, analog circuits, as well as systems and packaging, and put these all together to deliver a system level solution that solves customers’ complex timing problems. In this aspect, we are different than quartz-based providers, who typically have expertise in designing and manufacturing resonators, but typically outsource the analog and packaging. We are also different in that our MEMS resonators are made with silicon, while the quartz suppliers use quartz crystal technology. Our timing solutions are designed to be resilient to environmental stresses. For the communications and enterprise market, our timing solutions provide high performance and resilience in dense, less-controlled environments that experience harsh conditions–an advantage as equipment moves closer to the customer with the rollout of 5G. For the automotive market, our solutions can be utilized in automotive electronics, as well as advanced driver assistance systems (“ADAS”) for self-driving cars, which require increased timing accuracy. For the industrial market, our products offer high reliability for the diverse operating conditions of industrial equipment, including high temperatures, rapidly changing temperatures, mechanical shock and vibration. For the aerospace market, our solutions provide lower acceleration sensitivity for end products that operate in rugged conditions. For the mobile, IoT and consumer market, our silicon-based timing solutions have the advantage of offering high performance at optimal power consumption and size, as our customers fit more functionality into smaller devices.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Timing Solutions Enable Innovation and are Rapidly Evolving</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ability to accurately measure and reference time has been essential to many of humankind’s greatest inventions and technological progress. Timing technology has continued to evolve over centuries, forming a critical aspect of broader technological advancement. Timing is the heartbeat of every digital electronic system, ensuring that the system runs smoothly and reliably by providing and distributing clock signals to various critical components such as CPUs, communication and interface chips, and radio frequency components. As electronics are expected to operate at higher performance levels in increasingly challenging environments, while also being more complex and footprint-constrained, we believe they will require more sophisticated timing solutions. For example, as 5G communications networks evolve, we expect that they will require higher precision from a greater number of oscillators and timing devices.</w:t>
      </w:r>
    </w:p>
    <w:p>
      <w:pPr>
        <w:spacing w:after="0" w:line="30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Key Building Blocks of Timing Solutions</w:t>
      </w:r>
    </w:p>
    <w:p>
      <w:pPr>
        <w:spacing w:after="0" w:line="117"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Timing solutions comprise three key building blocks: resonators, oscillators, and clock ICs. While simpler systems generally require only an external resonator coupled with a basic embedded oscillator circuit, more complex systems require advanced timing solutions that may integrate a variety of resonators, oscillators, and clock ICs in a single chip package. The complexity of these timing solutions increases significantly when the performance requirements of the systems that use them increase, such as electronic systems required to support the 5G communication network infrastructure.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ind w:left="600"/>
        <w:spacing w:after="0"/>
        <w:rPr>
          <w:sz w:val="20"/>
          <w:szCs w:val="20"/>
          <w:color w:val="auto"/>
        </w:rPr>
      </w:pPr>
      <w:r>
        <w:rPr>
          <w:rFonts w:ascii="Arial" w:cs="Arial" w:eastAsia="Arial" w:hAnsi="Arial"/>
          <w:sz w:val="18"/>
          <w:szCs w:val="18"/>
          <w:color w:val="auto"/>
        </w:rPr>
        <w:t>The key building blocks of SiTime’s timing solutions are:</w:t>
      </w:r>
    </w:p>
    <w:p>
      <w:pPr>
        <w:spacing w:after="0" w:line="117"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Resonators – mechanical silicon structures that vibrate at a precise frequency and provide the core accuracy and stability in oscillator systems;</w:t>
      </w:r>
    </w:p>
    <w:p>
      <w:pPr>
        <w:spacing w:after="0" w:line="140" w:lineRule="exact"/>
        <w:rPr>
          <w:rFonts w:ascii="Arial" w:cs="Arial" w:eastAsia="Arial" w:hAnsi="Arial"/>
          <w:sz w:val="16"/>
          <w:szCs w:val="16"/>
          <w:color w:val="auto"/>
        </w:rPr>
      </w:pPr>
    </w:p>
    <w:p>
      <w:pPr>
        <w:ind w:left="880" w:right="10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Oscillators – active systems that combine resonators with analog mixed-signal ICs that cause the resonators to vibrate, generating accurate and stable clock signals; and</w:t>
      </w:r>
    </w:p>
    <w:p>
      <w:pPr>
        <w:spacing w:after="0" w:line="62" w:lineRule="exact"/>
        <w:rPr>
          <w:rFonts w:ascii="Arial" w:cs="Arial" w:eastAsia="Arial" w:hAnsi="Arial"/>
          <w:sz w:val="18"/>
          <w:szCs w:val="18"/>
          <w:color w:val="auto"/>
        </w:rPr>
      </w:pPr>
    </w:p>
    <w:p>
      <w:pPr>
        <w:jc w:val="both"/>
        <w:ind w:left="880" w:right="80" w:hanging="440"/>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Clock ICs – integrated analog mixed-signal circuits that use phase-locked loops (“PLLs”), clock dividers, and drivers, and have multiple clock signals on the output of the system. Clock ICs require resonators and oscillators for timing references and may integrate these components into complex systems.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These three building blocks may be used individually or in combination, depending on the end product’s performance, price, and size requirements.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Limitations of Legacy Quartz-based Solutions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For the past 70 years, quartz crystal has been the predominant technology of choice for resonators and will continue to play a role in the timing market. In a quartz oscillator, a quartz crystal resonator is paired with a silicon-based clock IC in a ceramic package. However, quartz timing devices, largely unchanged in decades, have many inherent limitations, including limited frequency ranges, sensitivity to rapid temperature changes, vibration and mechanical shock, susceptibility to frequency jumps at particular temperatures, and limited programmability. Quartz devices must be housed in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resonators, oscillators, and clock ICs in various system-level combinations. This seamless integration is more difficult with legacy quartz systems.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Silicon Timing Solutions Poised to Disrupt the Market</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recent years, advances in silicon-based manufacturing and packaging techniques have allowed the development of alternatives to quartz crystal technology. We believe that silicon MEMS is an ideal technology for resonator design. Specifically, its ability to integrate with other circuits in standard semiconductor packages has made scalable standard silicon manufacturing possible for resonators and broader timing technology. MEMS and silicon-based technologies can operate in a wide range of frequencies, are more resistant to vibration, mechanical shock, and temperature changes, and are less susceptible to frequency jumps. These technologies are also inherently well-suited to produce timing solutions that are small, and offer high performance, robustness and programmability. Timing solutions based on these technologies are manufactured using semiconductor processes in fabrication plants with high capacity, allowing for cost-effective high-volume manufacturing.</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Significant Market Opportunity for Timing Solutions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According to Dedalus Consulting - 2019 Frequency Control Components Global Markets, End-Users, Applications &amp; Competitors: Analysis &amp; Forecasts and our estimates, the global timing market was over $7.7 billion as of 2018 and is expected to grow to $10.1 billion by 2024. Dedalus Consulting estimates that oscillators and standalone resonators represented approximately $3.8 billion and $2.9 billion total addressable markets, respectively, as of 2018. Based on our internal estimates, we believe clock ICs represent an approximate $1.0 billion total addressable market. As a subset of the broader timing market, the market for MEMS oscillators is projected to grow from $0.1 billion in 2018 to $0.6 billion by 2024, representing a CAGR of 35.2%, according to Yole Développement’s report “Status of MEMS Industry 2019.”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Opportunity for Advanced Solutions</w:t>
      </w:r>
    </w:p>
    <w:p>
      <w:pPr>
        <w:spacing w:after="0" w:line="12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From high-performance network infrastructure equipment to low-power battery-operated devices, precise timing solutions enable virtually all electronics.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Telecommunications, Enterprise, and Cloud Infrastructure</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Communications infrastructure equipment used in wireless base stations, wired infrastructure equipment, enterprise networks, and cloud data centers must provide high performance and stability in demanding environments, which may include temperature fluctuations, mechanical shocks, and vibration. If the timing solution within the equipment fails, networks can shut down, leading to service disruptions and higher operating costs. According to Gartner, “Recent reports on 5G pilots and testing have identified a wide range of projected data throughput speeds ranging from 10 times up to 1,000 times faster than 4G. Other reports estimate ranges of one to 10 gigabytes per second.”</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Industrial</w:t>
      </w:r>
    </w:p>
    <w:p>
      <w:pPr>
        <w:spacing w:after="0" w:line="117" w:lineRule="exact"/>
        <w:rPr>
          <w:sz w:val="20"/>
          <w:szCs w:val="20"/>
          <w:color w:val="auto"/>
        </w:rPr>
      </w:pPr>
    </w:p>
    <w:p>
      <w:pPr>
        <w:ind w:right="460" w:firstLine="589"/>
        <w:spacing w:after="0" w:line="311" w:lineRule="auto"/>
        <w:rPr>
          <w:sz w:val="20"/>
          <w:szCs w:val="20"/>
          <w:color w:val="auto"/>
        </w:rPr>
      </w:pPr>
      <w:r>
        <w:rPr>
          <w:rFonts w:ascii="Arial" w:cs="Arial" w:eastAsia="Arial" w:hAnsi="Arial"/>
          <w:sz w:val="16"/>
          <w:szCs w:val="16"/>
          <w:color w:val="auto"/>
        </w:rPr>
        <w:t>Industrial equipment, ranging from factory machinery to medical devices, is often exposed to environments characterized by temperature fluctuation, mechanical shocks, vibration, and electromagnetic interference. We believe silicon-based timing solutions can perform better than legacy quartz-based solutions in demanding industrial environments at comparable cost and with lower power consumption and higher reliability.</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For automotive applications, timing technology must perform reliably over the life of an automobile in an environment characterized by vibration, mechanical shocks, electromagnetic interference, wide temperature ranges, and rapid temperature change. The AECC (Automotive Edge Computing Consortium) estimated in 2020 that “data traffic from connected vehicles will exceed 1,000 times the present volume, surpassing 10 exabytes per month by 2025.” These communication systems will require precise timing. We believe silicon-based timing can address many of the challenges associated with this demanding automotive ecosystem.</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IoT and Mobile</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IoT revolution will enable the proliferation of billions of internet-connected devices in industrial and consumer applications. These devices can range from personal wearable devices to electronics embedded in appliances and industrial machinery. Many of these devices need to package a significant amount of electronics in a limited battery-powered and size-constrained form factor, while still requiring high performance and high accuracy. Due to the ability to integrate with ICs, we believe silicon-based timing solutions are well-suited to optimize footprint, reliability, and power consumption of the overall system within IoT and mobile devices.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Aerospace and Defense</w:t>
      </w:r>
    </w:p>
    <w:p>
      <w:pPr>
        <w:spacing w:after="0" w:line="117"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Timing devices used in aerospace and defense applications such as rockets and satellites need to withstand extreme vibration forces and temperature gradients during operation. Quartz-based solutions can be impacted by vibrating forces acting on the whole system. MEMS timing devices are well-suited for these applications, as they provide up to 40 times better stability under vibration than comparable quartz-based solutions.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Technology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silicon timing solutions comprise:</w:t>
      </w:r>
    </w:p>
    <w:p>
      <w:pPr>
        <w:spacing w:after="0" w:line="113" w:lineRule="exact"/>
        <w:rPr>
          <w:sz w:val="20"/>
          <w:szCs w:val="20"/>
          <w:color w:val="auto"/>
        </w:rPr>
      </w:pPr>
    </w:p>
    <w:p>
      <w:pPr>
        <w:ind w:left="880" w:right="360" w:hanging="440"/>
        <w:spacing w:after="0" w:line="282"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MEMS resonators</w:t>
      </w:r>
      <w:r>
        <w:rPr>
          <w:rFonts w:ascii="Arial" w:cs="Arial" w:eastAsia="Arial" w:hAnsi="Arial"/>
          <w:sz w:val="18"/>
          <w:szCs w:val="18"/>
          <w:color w:val="auto"/>
        </w:rPr>
        <w:t>: We pioneered the silicon MEMS-based timing industry with the MEMS First®, EpiSeal®, and TempFlat® 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manufacturing processes have allowed the hermetically-sealed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 w:name="page9"/>
    <w:bookmarkEnd w:id="8"/>
    <w:p>
      <w:pPr>
        <w:ind w:left="880" w:right="160"/>
        <w:spacing w:after="0" w:line="263" w:lineRule="auto"/>
        <w:rPr>
          <w:sz w:val="20"/>
          <w:szCs w:val="20"/>
          <w:color w:val="auto"/>
        </w:rPr>
      </w:pPr>
      <w:r>
        <w:rPr>
          <w:rFonts w:ascii="Arial" w:cs="Arial" w:eastAsia="Arial" w:hAnsi="Arial"/>
          <w:sz w:val="18"/>
          <w:szCs w:val="18"/>
          <w:color w:val="auto"/>
        </w:rPr>
        <w:t>resonator die to be housed in industry-standard, low-cost plastic packages. These processes improve resonator stability, increase quality and reliability, and decrease aging effects. We believe our MEMS resonators are easy to integrate into silicon-based oscillators and clock ICs, and allow us to develop tightly-integrated high performance timing solutions.</w:t>
      </w:r>
    </w:p>
    <w:p>
      <w:pPr>
        <w:spacing w:after="0" w:line="72" w:lineRule="exact"/>
        <w:rPr>
          <w:sz w:val="20"/>
          <w:szCs w:val="20"/>
          <w:color w:val="auto"/>
        </w:rPr>
      </w:pPr>
    </w:p>
    <w:p>
      <w:pPr>
        <w:ind w:left="880" w:right="20" w:hanging="440"/>
        <w:spacing w:after="0" w:line="294"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Oscillators and Clock ICs</w:t>
      </w:r>
      <w:r>
        <w:rPr>
          <w:rFonts w:ascii="Arial" w:cs="Arial" w:eastAsia="Arial" w:hAnsi="Arial"/>
          <w:sz w:val="16"/>
          <w:szCs w:val="16"/>
          <w:color w:val="auto"/>
        </w:rPr>
        <w:t>: We have a dedicated analog and mixed-signal engineering team focused on the most complex challenges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oscillators and clock ICs.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 micro-kelvin-resolution sensing technologies stabilize our timing solutions despite rapid temperature changes. We also offer what we consider to be leading solutions across a range of attributes, including Allan deviation, power supply noise rejection, temperature-sensing resolution, and integrated phase jitter.</w:t>
      </w:r>
    </w:p>
    <w:p>
      <w:pPr>
        <w:spacing w:after="0" w:line="51" w:lineRule="exact"/>
        <w:rPr>
          <w:rFonts w:ascii="Arial" w:cs="Arial" w:eastAsia="Arial" w:hAnsi="Arial"/>
          <w:sz w:val="16"/>
          <w:szCs w:val="16"/>
          <w:color w:val="auto"/>
        </w:rPr>
      </w:pPr>
    </w:p>
    <w:p>
      <w:pPr>
        <w:ind w:left="880" w:right="80" w:hanging="440"/>
        <w:spacing w:after="0" w:line="26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Advanced system-level integration</w:t>
      </w:r>
      <w:r>
        <w:rPr>
          <w:rFonts w:ascii="Arial" w:cs="Arial" w:eastAsia="Arial" w:hAnsi="Arial"/>
          <w:sz w:val="18"/>
          <w:szCs w:val="18"/>
          <w:color w:val="auto"/>
        </w:rPr>
        <w:t>: We have extensive know-how in integrating various timing components into elegant system-level</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Our ability to integrate MEMS-based resonators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184"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design each key building block of the timing system, from MEMS resonators to oscillator circuits to clock ICs. Our ability to combine our MEMS resonators with analog-mixed signal components in a fabless semiconductor supply chain allows us to build full timing solutions from the ground up, enabling our customers to focus on their core expertise.</w:t>
      </w:r>
    </w:p>
    <w:p>
      <w:pPr>
        <w:spacing w:after="0" w:line="184"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Our solutions are programmable across multiple characteristics including frequencies, stability metrics, voltage parameters, and temperature ranges, among others, and offer the following benefits:</w:t>
      </w:r>
    </w:p>
    <w:p>
      <w:pPr>
        <w:spacing w:after="0" w:line="58" w:lineRule="exact"/>
        <w:rPr>
          <w:sz w:val="20"/>
          <w:szCs w:val="20"/>
          <w:color w:val="auto"/>
        </w:rPr>
      </w:pPr>
    </w:p>
    <w:p>
      <w:pPr>
        <w:ind w:left="880" w:hanging="440"/>
        <w:spacing w:after="0" w:line="312"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High performance</w:t>
      </w:r>
      <w:r>
        <w:rPr>
          <w:rFonts w:ascii="Arial" w:cs="Arial" w:eastAsia="Arial" w:hAnsi="Arial"/>
          <w:sz w:val="17"/>
          <w:szCs w:val="17"/>
          <w:color w:val="auto"/>
        </w:rPr>
        <w:t>: Our portfolio of silicon-based MEMS timing products allows us to provide our customers with high performance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across a wide range of attributes including stability over temperature, vibration, phase jitter, and other metrics.</w:t>
      </w:r>
    </w:p>
    <w:p>
      <w:pPr>
        <w:spacing w:after="0" w:line="31" w:lineRule="exact"/>
        <w:rPr>
          <w:rFonts w:ascii="Arial" w:cs="Arial" w:eastAsia="Arial" w:hAnsi="Arial"/>
          <w:sz w:val="17"/>
          <w:szCs w:val="17"/>
          <w:color w:val="auto"/>
        </w:rPr>
      </w:pPr>
    </w:p>
    <w:p>
      <w:pPr>
        <w:ind w:left="880" w:right="600" w:hanging="440"/>
        <w:spacing w:after="0" w:line="28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Small size</w:t>
      </w:r>
      <w:r>
        <w:rPr>
          <w:rFonts w:ascii="Arial" w:cs="Arial" w:eastAsia="Arial" w:hAnsi="Arial"/>
          <w:sz w:val="18"/>
          <w:szCs w:val="18"/>
          <w:color w:val="auto"/>
        </w:rPr>
        <w:t>: Our solutions have a small footprint and package size, optimizing the end customer’s board area. Additionally, many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have a lower package height which is important for many systems.</w:t>
      </w:r>
    </w:p>
    <w:p>
      <w:pPr>
        <w:spacing w:after="0" w:line="53"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Low power</w:t>
      </w:r>
      <w:r>
        <w:rPr>
          <w:rFonts w:ascii="Arial" w:cs="Arial" w:eastAsia="Arial" w:hAnsi="Arial"/>
          <w:sz w:val="18"/>
          <w:szCs w:val="18"/>
          <w:color w:val="auto"/>
        </w:rPr>
        <w:t>: Our solutions operate at low power levels and are well-suited for portable battery-operated applications.</w:t>
      </w:r>
    </w:p>
    <w:p>
      <w:pPr>
        <w:spacing w:after="0" w:line="117" w:lineRule="exact"/>
        <w:rPr>
          <w:rFonts w:ascii="Arial" w:cs="Arial" w:eastAsia="Arial" w:hAnsi="Arial"/>
          <w:sz w:val="18"/>
          <w:szCs w:val="18"/>
          <w:color w:val="auto"/>
        </w:rPr>
      </w:pPr>
    </w:p>
    <w:p>
      <w:pPr>
        <w:ind w:left="880" w:right="100" w:hanging="440"/>
        <w:spacing w:after="0" w:line="26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Programmability</w:t>
      </w:r>
      <w:r>
        <w:rPr>
          <w:rFonts w:ascii="Arial" w:cs="Arial" w:eastAsia="Arial" w:hAnsi="Arial"/>
          <w:sz w:val="18"/>
          <w:szCs w:val="18"/>
          <w:color w:val="auto"/>
        </w:rPr>
        <w:t>: Our devices are configurable across a wide range of parameters, including frequency, stability metrics, voltage parameters,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temperature ranges, among others, resulting in design flexibility for the customer, and enabling us to produce a vast number of custom timing products on demand with short lead times.</w:t>
      </w:r>
    </w:p>
    <w:p>
      <w:pPr>
        <w:spacing w:after="0" w:line="67" w:lineRule="exact"/>
        <w:rPr>
          <w:rFonts w:ascii="Arial" w:cs="Arial" w:eastAsia="Arial" w:hAnsi="Arial"/>
          <w:sz w:val="18"/>
          <w:szCs w:val="18"/>
          <w:color w:val="auto"/>
        </w:rPr>
      </w:pPr>
    </w:p>
    <w:p>
      <w:pPr>
        <w:ind w:left="880" w:right="280" w:hanging="440"/>
        <w:spacing w:after="0" w:line="26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High quality and reliability</w:t>
      </w:r>
      <w:r>
        <w:rPr>
          <w:rFonts w:ascii="Arial" w:cs="Arial" w:eastAsia="Arial" w:hAnsi="Arial"/>
          <w:sz w:val="18"/>
          <w:szCs w:val="18"/>
          <w:color w:val="auto"/>
        </w:rPr>
        <w:t>: The combination of our design and manufacturing processes enables us to produce high quality products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reliability. Our solutions offer low sensitivity to electromagnetic energy, mechanical shock, vibration, airflow, and temperature gradients.</w:t>
      </w:r>
    </w:p>
    <w:p>
      <w:pPr>
        <w:spacing w:after="0" w:line="67" w:lineRule="exact"/>
        <w:rPr>
          <w:rFonts w:ascii="Arial" w:cs="Arial" w:eastAsia="Arial" w:hAnsi="Arial"/>
          <w:sz w:val="18"/>
          <w:szCs w:val="18"/>
          <w:color w:val="auto"/>
        </w:rPr>
      </w:pPr>
    </w:p>
    <w:p>
      <w:pPr>
        <w:ind w:left="880" w:right="100" w:hanging="440"/>
        <w:spacing w:after="0" w:line="28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Flexible integration</w:t>
      </w:r>
      <w:r>
        <w:rPr>
          <w:rFonts w:ascii="Arial" w:cs="Arial" w:eastAsia="Arial" w:hAnsi="Arial"/>
          <w:sz w:val="18"/>
          <w:szCs w:val="18"/>
          <w:color w:val="auto"/>
        </w:rPr>
        <w:t>: Our MEMS resonators and clock ICs allow a wide range of packaging and integration methodologies to support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levels of size, cost, and electrical, thermal, and mechanical performance.</w:t>
      </w:r>
    </w:p>
    <w:p>
      <w:pPr>
        <w:spacing w:after="0" w:line="53" w:lineRule="exact"/>
        <w:rPr>
          <w:rFonts w:ascii="Arial" w:cs="Arial" w:eastAsia="Arial" w:hAnsi="Arial"/>
          <w:sz w:val="18"/>
          <w:szCs w:val="18"/>
          <w:color w:val="auto"/>
        </w:rPr>
      </w:pPr>
    </w:p>
    <w:p>
      <w:pPr>
        <w:ind w:left="880" w:right="160" w:hanging="440"/>
        <w:spacing w:after="0" w:line="347"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Leveraged product development</w:t>
      </w:r>
      <w:r>
        <w:rPr>
          <w:rFonts w:ascii="Arial" w:cs="Arial" w:eastAsia="Arial" w:hAnsi="Arial"/>
          <w:sz w:val="16"/>
          <w:szCs w:val="16"/>
          <w:color w:val="auto"/>
        </w:rPr>
        <w:t>: Our solutions employ different combinations of MEMS and circuit components, enabling us to generate a</w:t>
      </w:r>
      <w:r>
        <w:rPr>
          <w:rFonts w:ascii="Arial" w:cs="Arial" w:eastAsia="Arial" w:hAnsi="Arial"/>
          <w:sz w:val="16"/>
          <w:szCs w:val="16"/>
          <w:b w:val="1"/>
          <w:bCs w:val="1"/>
          <w:color w:val="auto"/>
        </w:rPr>
        <w:t xml:space="preserve"> </w:t>
      </w:r>
      <w:r>
        <w:rPr>
          <w:rFonts w:ascii="Arial" w:cs="Arial" w:eastAsia="Arial" w:hAnsi="Arial"/>
          <w:sz w:val="16"/>
          <w:szCs w:val="16"/>
          <w:color w:val="auto"/>
        </w:rPr>
        <w:t>vast number of custom part numbers, including over 30,000 uniquely programmable part numbers shipped as of December 31, 2020.</w:t>
      </w:r>
    </w:p>
    <w:p>
      <w:pPr>
        <w:spacing w:after="0" w:line="7" w:lineRule="exact"/>
        <w:rPr>
          <w:rFonts w:ascii="Arial" w:cs="Arial" w:eastAsia="Arial" w:hAnsi="Arial"/>
          <w:sz w:val="16"/>
          <w:szCs w:val="16"/>
          <w:color w:val="auto"/>
        </w:rPr>
      </w:pPr>
    </w:p>
    <w:p>
      <w:pPr>
        <w:ind w:left="880" w:hanging="440"/>
        <w:spacing w:after="0" w:line="28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Rapid time to market</w:t>
      </w:r>
      <w:r>
        <w:rPr>
          <w:rFonts w:ascii="Arial" w:cs="Arial" w:eastAsia="Arial" w:hAnsi="Arial"/>
          <w:sz w:val="18"/>
          <w:szCs w:val="18"/>
          <w:color w:val="auto"/>
        </w:rPr>
        <w:t>: Our solutions can typically be delivered within weeks of initial customer order and configuration, enabling us to reduce</w:t>
      </w:r>
      <w:r>
        <w:rPr>
          <w:rFonts w:ascii="Arial" w:cs="Arial" w:eastAsia="Arial" w:hAnsi="Arial"/>
          <w:sz w:val="18"/>
          <w:szCs w:val="18"/>
          <w:b w:val="1"/>
          <w:bCs w:val="1"/>
          <w:color w:val="auto"/>
        </w:rPr>
        <w:t xml:space="preserve"> </w:t>
      </w:r>
      <w:r>
        <w:rPr>
          <w:rFonts w:ascii="Arial" w:cs="Arial" w:eastAsia="Arial" w:hAnsi="Arial"/>
          <w:sz w:val="18"/>
          <w:szCs w:val="18"/>
          <w:color w:val="auto"/>
        </w:rPr>
        <w:t>our end customers’ time to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Our objective is to be the leading timing solution provider for advanced and challenging applications. Our solutions not only displace existing products by providing improved performance across a range of operational attributes, but also enable next-generation devices by providing high performance at affordable price points. Key elements of our strategy include:</w:t>
      </w:r>
    </w:p>
    <w:p>
      <w:pPr>
        <w:spacing w:after="0" w:line="72" w:lineRule="exact"/>
        <w:rPr>
          <w:sz w:val="20"/>
          <w:szCs w:val="20"/>
          <w:color w:val="auto"/>
        </w:rPr>
      </w:pPr>
    </w:p>
    <w:p>
      <w:pPr>
        <w:jc w:val="both"/>
        <w:ind w:left="880" w:right="40" w:hanging="440"/>
        <w:spacing w:after="0" w:line="289"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Extend our silicon-based timing leadership</w:t>
      </w:r>
      <w:r>
        <w:rPr>
          <w:rFonts w:ascii="Arial" w:cs="Arial" w:eastAsia="Arial" w:hAnsi="Arial"/>
          <w:sz w:val="17"/>
          <w:szCs w:val="17"/>
          <w:color w:val="auto"/>
        </w:rPr>
        <w:t>. We intend to continue driving innovation in the timing market and working with our ecosystem</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to help set the timing standards of the future. We plan to improve the performance of our current solution suite across a variety of key metrics, including size, power, frequency stability, phase noise, and signal quality, while adding new functionality.</w:t>
      </w:r>
    </w:p>
    <w:p>
      <w:pPr>
        <w:spacing w:after="0" w:line="49" w:lineRule="exact"/>
        <w:rPr>
          <w:rFonts w:ascii="Arial" w:cs="Arial" w:eastAsia="Arial" w:hAnsi="Arial"/>
          <w:sz w:val="17"/>
          <w:szCs w:val="17"/>
          <w:color w:val="auto"/>
        </w:rPr>
      </w:pPr>
    </w:p>
    <w:p>
      <w:pPr>
        <w:ind w:left="880" w:right="40" w:hanging="440"/>
        <w:spacing w:after="0" w:line="282"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Advocate benefits of silicon technology</w:t>
      </w:r>
      <w:r>
        <w:rPr>
          <w:rFonts w:ascii="Arial" w:cs="Arial" w:eastAsia="Arial" w:hAnsi="Arial"/>
          <w:sz w:val="18"/>
          <w:szCs w:val="18"/>
          <w:color w:val="auto"/>
        </w:rPr>
        <w:t>. We intend to continue to educate current and prospective customers about the benefits of our silicon</w:t>
      </w:r>
      <w:r>
        <w:rPr>
          <w:rFonts w:ascii="Arial" w:cs="Arial" w:eastAsia="Arial" w:hAnsi="Arial"/>
          <w:sz w:val="18"/>
          <w:szCs w:val="18"/>
          <w:b w:val="1"/>
          <w:bCs w:val="1"/>
          <w:color w:val="auto"/>
        </w:rPr>
        <w:t xml:space="preserve"> </w:t>
      </w:r>
      <w:r>
        <w:rPr>
          <w:rFonts w:ascii="Arial" w:cs="Arial" w:eastAsia="Arial" w:hAnsi="Arial"/>
          <w:sz w:val="18"/>
          <w:szCs w:val="18"/>
          <w:color w:val="auto"/>
        </w:rPr>
        <w:t>timing systems solutions relative to their existing and future products.</w:t>
      </w:r>
    </w:p>
    <w:p>
      <w:pPr>
        <w:spacing w:after="0" w:line="53" w:lineRule="exact"/>
        <w:rPr>
          <w:rFonts w:ascii="Arial" w:cs="Arial" w:eastAsia="Arial" w:hAnsi="Arial"/>
          <w:sz w:val="18"/>
          <w:szCs w:val="18"/>
          <w:color w:val="auto"/>
        </w:rPr>
      </w:pPr>
    </w:p>
    <w:p>
      <w:pPr>
        <w:ind w:left="880" w:right="40" w:hanging="440"/>
        <w:spacing w:after="0" w:line="347"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Identify and promote new and emerging applications for our technologies</w:t>
      </w:r>
      <w:r>
        <w:rPr>
          <w:rFonts w:ascii="Arial" w:cs="Arial" w:eastAsia="Arial" w:hAnsi="Arial"/>
          <w:sz w:val="16"/>
          <w:szCs w:val="16"/>
          <w:color w:val="auto"/>
        </w:rPr>
        <w:t>. We intend to continue to collaborate with our end customers to</w:t>
      </w:r>
      <w:r>
        <w:rPr>
          <w:rFonts w:ascii="Arial" w:cs="Arial" w:eastAsia="Arial" w:hAnsi="Arial"/>
          <w:sz w:val="16"/>
          <w:szCs w:val="16"/>
          <w:b w:val="1"/>
          <w:bCs w:val="1"/>
          <w:color w:val="auto"/>
        </w:rPr>
        <w:t xml:space="preserve"> </w:t>
      </w:r>
      <w:r>
        <w:rPr>
          <w:rFonts w:ascii="Arial" w:cs="Arial" w:eastAsia="Arial" w:hAnsi="Arial"/>
          <w:sz w:val="16"/>
          <w:szCs w:val="16"/>
          <w:color w:val="auto"/>
        </w:rPr>
        <w:t>identify timing challenges related to their product roadmaps and to develop innovative solutions to help them realize these products.</w:t>
      </w:r>
    </w:p>
    <w:p>
      <w:pPr>
        <w:spacing w:after="0" w:line="7" w:lineRule="exact"/>
        <w:rPr>
          <w:rFonts w:ascii="Arial" w:cs="Arial" w:eastAsia="Arial" w:hAnsi="Arial"/>
          <w:sz w:val="16"/>
          <w:szCs w:val="16"/>
          <w:color w:val="auto"/>
        </w:rPr>
      </w:pPr>
    </w:p>
    <w:p>
      <w:pPr>
        <w:ind w:left="880" w:right="200" w:hanging="440"/>
        <w:spacing w:after="0" w:line="282"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Enable future technology innovation</w:t>
      </w:r>
      <w:r>
        <w:rPr>
          <w:rFonts w:ascii="Arial" w:cs="Arial" w:eastAsia="Arial" w:hAnsi="Arial"/>
          <w:sz w:val="18"/>
          <w:szCs w:val="18"/>
          <w:color w:val="auto"/>
        </w:rPr>
        <w:t>. We plan to continue to apply our MEMS analog and mixed-signal, and systems expertise,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with leading technology companies to develop innovative products.</w:t>
      </w:r>
    </w:p>
    <w:p>
      <w:pPr>
        <w:spacing w:after="0" w:line="53" w:lineRule="exact"/>
        <w:rPr>
          <w:rFonts w:ascii="Arial" w:cs="Arial" w:eastAsia="Arial" w:hAnsi="Arial"/>
          <w:sz w:val="18"/>
          <w:szCs w:val="18"/>
          <w:color w:val="auto"/>
        </w:rPr>
      </w:pPr>
    </w:p>
    <w:p>
      <w:pPr>
        <w:ind w:left="880" w:right="620" w:hanging="440"/>
        <w:spacing w:after="0" w:line="282"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Broaden our product portfolio</w:t>
      </w:r>
      <w:r>
        <w:rPr>
          <w:rFonts w:ascii="Arial" w:cs="Arial" w:eastAsia="Arial" w:hAnsi="Arial"/>
          <w:sz w:val="18"/>
          <w:szCs w:val="18"/>
          <w:color w:val="auto"/>
        </w:rPr>
        <w:t>. We intend to continue to broaden our product portfolio by offering additional varieties of oscillators,</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our business in standalone resonators, and expanding into the clock IC market.</w:t>
      </w:r>
    </w:p>
    <w:p>
      <w:pPr>
        <w:spacing w:after="0" w:line="53" w:lineRule="exact"/>
        <w:rPr>
          <w:rFonts w:ascii="Arial" w:cs="Arial" w:eastAsia="Arial" w:hAnsi="Arial"/>
          <w:sz w:val="18"/>
          <w:szCs w:val="18"/>
          <w:color w:val="auto"/>
        </w:rPr>
      </w:pPr>
    </w:p>
    <w:p>
      <w:pPr>
        <w:ind w:left="880" w:right="340" w:hanging="440"/>
        <w:spacing w:after="0" w:line="26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Continue to attract and acquire new customers</w:t>
      </w:r>
      <w:r>
        <w:rPr>
          <w:rFonts w:ascii="Arial" w:cs="Arial" w:eastAsia="Arial" w:hAnsi="Arial"/>
          <w:sz w:val="18"/>
          <w:szCs w:val="18"/>
          <w:color w:val="auto"/>
        </w:rPr>
        <w:t>. We intend to expand our end customer base by focusing on direct dialogue with large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accounts as well as partnerships with large distributors and resellers. We believe this multi-track strategy will allow us to provide differentiated solutions to a broad array of customers.</w:t>
      </w:r>
    </w:p>
    <w:p>
      <w:pPr>
        <w:spacing w:after="0" w:line="67" w:lineRule="exact"/>
        <w:rPr>
          <w:rFonts w:ascii="Arial" w:cs="Arial" w:eastAsia="Arial" w:hAnsi="Arial"/>
          <w:sz w:val="18"/>
          <w:szCs w:val="18"/>
          <w:color w:val="auto"/>
        </w:rPr>
      </w:pPr>
    </w:p>
    <w:p>
      <w:pPr>
        <w:ind w:left="880" w:hanging="440"/>
        <w:spacing w:after="0" w:line="347"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Drive margin expansion of our products</w:t>
      </w:r>
      <w:r>
        <w:rPr>
          <w:rFonts w:ascii="Arial" w:cs="Arial" w:eastAsia="Arial" w:hAnsi="Arial"/>
          <w:sz w:val="16"/>
          <w:szCs w:val="16"/>
          <w:color w:val="auto"/>
        </w:rPr>
        <w:t>. We intend to use our technological expertise to deliver higher value and higher margin products.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we intend to continue to reduce our costs through operational improvements and supply-chain management initiatives.</w:t>
      </w:r>
    </w:p>
    <w:p>
      <w:pPr>
        <w:spacing w:after="0" w:line="7" w:lineRule="exact"/>
        <w:rPr>
          <w:rFonts w:ascii="Arial" w:cs="Arial" w:eastAsia="Arial" w:hAnsi="Arial"/>
          <w:sz w:val="16"/>
          <w:szCs w:val="16"/>
          <w:color w:val="auto"/>
        </w:rPr>
      </w:pPr>
    </w:p>
    <w:p>
      <w:pPr>
        <w:ind w:left="880" w:right="140" w:hanging="440"/>
        <w:spacing w:after="0" w:line="289"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Offer value on business metrics</w:t>
      </w:r>
      <w:r>
        <w:rPr>
          <w:rFonts w:ascii="Arial" w:cs="Arial" w:eastAsia="Arial" w:hAnsi="Arial"/>
          <w:sz w:val="17"/>
          <w:szCs w:val="17"/>
          <w:color w:val="auto"/>
        </w:rPr>
        <w:t>. In addition to differentiating our solutions based on technical features and value, we also intend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value to our customers on business metrics by leveraging our fabless semiconductor infrastructure. These benefits may include shorter lead times, higher quality and reliability, and therefore lower cost of ownership for the end customer.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Our silicon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0" w:name="page11"/>
    <w:bookmarkEnd w:id="10"/>
    <w:p>
      <w:pPr>
        <w:ind w:left="600"/>
        <w:spacing w:after="0"/>
        <w:rPr>
          <w:sz w:val="20"/>
          <w:szCs w:val="20"/>
          <w:color w:val="auto"/>
        </w:rPr>
      </w:pPr>
      <w:r>
        <w:rPr>
          <w:rFonts w:ascii="Arial" w:cs="Arial" w:eastAsia="Arial" w:hAnsi="Arial"/>
          <w:sz w:val="16"/>
          <w:szCs w:val="16"/>
          <w:color w:val="auto"/>
        </w:rPr>
        <w:t>Today, we primarily supply oscillator products that comprise a MEMS resonator and an analog mixed-signal IC that are integrated into a package.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our current portfolio of promoted products by target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142875</wp:posOffset>
            </wp:positionV>
            <wp:extent cx="4568825" cy="4406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882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primarily sell our timing products to distributors and resellers, who in turn sell our products to our end customers. We work closely with our end customers throughout their design cycles and are able to develop long-term relationships as our technology becomes embedded in their products. As a result, we believe our products are well-positioned to be designed into their current systems and we are well-positioned to develop next generation solutions for their future products.</w:t>
      </w:r>
    </w:p>
    <w:p>
      <w:pPr>
        <w:spacing w:after="0" w:line="1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Pernas Electronics Co., Ltd. (“Pernas”) directly accounted for 26% and 17% of our revenue for the years ended December 31, 2020 and 2019, respectively, Quantek Technology Corporation (“Quantek”) directly accounted for 18% and 22% of our revenue for the years ended December 31, 2020 and 2019, respectively and Arrow Electronics, Inc. (“Arrow”) directly accounted for 15% and 19% of our revenue for the years ended December 31, 2020 and 2019, respectively. Other than Pernas, Quantek, and Arrow, no other single customer accounted for more than 10% of our revenue in the years ended December 31, 2020 and December 31, 2019.</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1" w:name="page12"/>
    <w:bookmarkEnd w:id="11"/>
    <w:p>
      <w:pPr>
        <w:ind w:firstLine="589"/>
        <w:spacing w:after="0" w:line="259" w:lineRule="auto"/>
        <w:rPr>
          <w:sz w:val="20"/>
          <w:szCs w:val="20"/>
          <w:color w:val="auto"/>
        </w:rPr>
      </w:pPr>
      <w:r>
        <w:rPr>
          <w:rFonts w:ascii="Arial" w:cs="Arial" w:eastAsia="Arial" w:hAnsi="Arial"/>
          <w:sz w:val="18"/>
          <w:szCs w:val="18"/>
          <w:color w:val="auto"/>
        </w:rPr>
        <w:t>Based on the sell-through information provided to us from distributors and resellers who identify end customers, we believe that the majority of our products sold to Pernas and Quantek are in turn incorporated into products of Apple Inc. (“Apple”), our largest end customer. As a result, we believe revenue attributable to our largest end customer accounted for approximately 40% and 35% of our revenue for the years ended December 31,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such as Nokia for the communications markets, to anticipate end customer market needs. In some cases, we work with our end customers to better understand the end customers’ market trends and new requirements that are being placed on our customers.</w:t>
      </w:r>
    </w:p>
    <w:p>
      <w:pPr>
        <w:spacing w:after="0" w:line="178"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sell our products worldwide through multiple channels, including our direct sales force and a network of distributors, contract manufacturers, contracted sales representatives, resellers, and independent design houses. Our global sales strategy includes direct sales and distributors covering over 10,000 end customer accounts since inception.</w:t>
      </w:r>
    </w:p>
    <w:p>
      <w:pPr>
        <w:spacing w:after="0" w:line="1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have a strategic accounts strategy with dedicated account owners and our direct sales force focused on key decision-makers to provide high-value solutions for unique customer requirements. We intend to continue to expand our sales and marketing efforts through increased collaboration with our distributors, resellers, and contracted sales representatives. In addition, we intend to introduce a self-service web portal, which will support 24/7 availability and leverage an inside sales team to support a “self-service model” for customers.</w:t>
      </w:r>
    </w:p>
    <w:p>
      <w:pPr>
        <w:spacing w:after="0" w:line="187"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We promote our products and brand through various means including digital marketing and online advertising, press releases, contributed articles, speaking opportunities, trade events, customer events, public relations and industry analyst relations.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Our revenue is subject to some seasonal variation. Based on the production schedules of key customers, our products typically see stronger revenue in the second half of our fiscal year. However, there can be no assurance that this trend will continue.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60" w:firstLine="589"/>
        <w:spacing w:after="0" w:line="286" w:lineRule="auto"/>
        <w:rPr>
          <w:sz w:val="20"/>
          <w:szCs w:val="20"/>
          <w:color w:val="auto"/>
        </w:rPr>
      </w:pPr>
      <w:r>
        <w:rPr>
          <w:rFonts w:ascii="Arial" w:cs="Arial" w:eastAsia="Arial" w:hAnsi="Arial"/>
          <w:sz w:val="17"/>
          <w:szCs w:val="17"/>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53" w:lineRule="exact"/>
        <w:rPr>
          <w:sz w:val="20"/>
          <w:szCs w:val="20"/>
          <w:color w:val="auto"/>
        </w:rPr>
      </w:pPr>
    </w:p>
    <w:p>
      <w:pPr>
        <w:ind w:left="880" w:right="280" w:hanging="440"/>
        <w:spacing w:after="0" w:line="26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Fabrication</w:t>
      </w:r>
      <w:r>
        <w:rPr>
          <w:rFonts w:ascii="Arial" w:cs="Arial" w:eastAsia="Arial" w:hAnsi="Arial"/>
          <w:sz w:val="18"/>
          <w:szCs w:val="18"/>
          <w:color w:val="auto"/>
        </w:rPr>
        <w:t>. We currently utilize a range of semiconductor process generations to develop and manufacture our products. We use Robert</w:t>
      </w:r>
      <w:r>
        <w:rPr>
          <w:rFonts w:ascii="Arial" w:cs="Arial" w:eastAsia="Arial" w:hAnsi="Arial"/>
          <w:sz w:val="18"/>
          <w:szCs w:val="18"/>
          <w:b w:val="1"/>
          <w:bCs w:val="1"/>
          <w:color w:val="auto"/>
        </w:rPr>
        <w:t xml:space="preserve"> </w:t>
      </w:r>
      <w:r>
        <w:rPr>
          <w:rFonts w:ascii="Arial" w:cs="Arial" w:eastAsia="Arial" w:hAnsi="Arial"/>
          <w:sz w:val="18"/>
          <w:szCs w:val="18"/>
          <w:color w:val="auto"/>
        </w:rPr>
        <w:t>Bosch LLC (“Bosch”) in Germany and Taiwan Semiconductor Manufacturing Company (“TSMC”) in Taiwan as our primary foundries and suppliers for our MEMS timing devices and analog mixed-signal circuit ICs, respectively.</w:t>
      </w:r>
    </w:p>
    <w:p>
      <w:pPr>
        <w:spacing w:after="0" w:line="67" w:lineRule="exact"/>
        <w:rPr>
          <w:rFonts w:ascii="Arial" w:cs="Arial" w:eastAsia="Arial" w:hAnsi="Arial"/>
          <w:sz w:val="18"/>
          <w:szCs w:val="18"/>
          <w:color w:val="auto"/>
        </w:rPr>
      </w:pPr>
    </w:p>
    <w:p>
      <w:pPr>
        <w:ind w:left="880" w:right="80" w:hanging="440"/>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Package, Assembly and Testing</w:t>
      </w:r>
      <w:r>
        <w:rPr>
          <w:rFonts w:ascii="Arial" w:cs="Arial" w:eastAsia="Arial" w:hAnsi="Arial"/>
          <w:sz w:val="18"/>
          <w:szCs w:val="18"/>
          <w:color w:val="auto"/>
        </w:rPr>
        <w:t>. Upon the completion of processing at the foundry, we use third-party contractors for packaging, assembly</w:t>
      </w:r>
      <w:r>
        <w:rPr>
          <w:rFonts w:ascii="Arial" w:cs="Arial" w:eastAsia="Arial" w:hAnsi="Arial"/>
          <w:sz w:val="18"/>
          <w:szCs w:val="18"/>
          <w:b w:val="1"/>
          <w:bCs w:val="1"/>
          <w:color w:val="auto"/>
        </w:rPr>
        <w:t xml:space="preserve"> </w:t>
      </w:r>
      <w:r>
        <w:rPr>
          <w:rFonts w:ascii="Arial" w:cs="Arial" w:eastAsia="Arial" w:hAnsi="Arial"/>
          <w:sz w:val="18"/>
          <w:szCs w:val="18"/>
          <w:color w:val="auto"/>
        </w:rPr>
        <w:t>and testing, including Advanced Semiconductor Engineering, Inc. (“ASE”), Carsem (M) Sdn Bhd. (“Carsem”), and United Test and Assembly Center Ltd. (“UTAC”) in Taiwan, Malaysia, and Thailand, respectively, as well as Daishinku Corp. (“Daishinku”) and UTAC for ceramic packaging for some of our products.</w:t>
      </w:r>
    </w:p>
    <w:p>
      <w:pPr>
        <w:spacing w:after="0" w:line="71" w:lineRule="exact"/>
        <w:rPr>
          <w:rFonts w:ascii="Arial" w:cs="Arial" w:eastAsia="Arial" w:hAnsi="Arial"/>
          <w:sz w:val="18"/>
          <w:szCs w:val="18"/>
          <w:color w:val="auto"/>
        </w:rPr>
      </w:pPr>
    </w:p>
    <w:p>
      <w:pPr>
        <w:ind w:left="880" w:right="340" w:hanging="440"/>
        <w:spacing w:after="0" w:line="282"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Warehousing</w:t>
      </w:r>
      <w:r>
        <w:rPr>
          <w:rFonts w:ascii="Arial" w:cs="Arial" w:eastAsia="Arial" w:hAnsi="Arial"/>
          <w:sz w:val="18"/>
          <w:szCs w:val="18"/>
          <w:color w:val="auto"/>
        </w:rPr>
        <w:t>. Our products are warehoused at our outsourced semiconductor assembly and test facilities located in Malaysia, Taiwan,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Thailand.</w:t>
      </w:r>
    </w:p>
    <w:p>
      <w:pPr>
        <w:spacing w:after="0" w:line="16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unless terminated by either party with three years’ advance notice beginning in February 2024. Other than Bosch, we do not have long-term supply agreements with most of our third-party manufacturing contractors, and we purchase products on a purchase order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4" w:lineRule="exact"/>
        <w:rPr>
          <w:sz w:val="20"/>
          <w:szCs w:val="20"/>
          <w:color w:val="auto"/>
        </w:rPr>
      </w:pPr>
    </w:p>
    <w:p>
      <w:pPr>
        <w:ind w:right="320" w:firstLine="589"/>
        <w:spacing w:after="0" w:line="256" w:lineRule="auto"/>
        <w:rPr>
          <w:sz w:val="20"/>
          <w:szCs w:val="20"/>
          <w:color w:val="auto"/>
        </w:rPr>
      </w:pPr>
      <w:r>
        <w:rPr>
          <w:rFonts w:ascii="Arial" w:cs="Arial" w:eastAsia="Arial" w:hAnsi="Arial"/>
          <w:sz w:val="21"/>
          <w:szCs w:val="21"/>
          <w:color w:val="auto"/>
        </w:rPr>
        <w:t xml:space="preserve">We </w:t>
      </w:r>
      <w:r>
        <w:rPr>
          <w:rFonts w:ascii="Arial" w:cs="Arial" w:eastAsia="Arial" w:hAnsi="Arial"/>
          <w:sz w:val="16"/>
          <w:szCs w:val="16"/>
          <w:color w:val="auto"/>
        </w:rPr>
        <w:t>believe that our future success depends on our ability to introduce enhancements on our existing products and to develop new products for</w:t>
      </w:r>
      <w:r>
        <w:rPr>
          <w:rFonts w:ascii="Arial" w:cs="Arial" w:eastAsia="Arial" w:hAnsi="Arial"/>
          <w:sz w:val="21"/>
          <w:szCs w:val="21"/>
          <w:color w:val="auto"/>
        </w:rPr>
        <w:t xml:space="preserve"> </w:t>
      </w:r>
      <w:r>
        <w:rPr>
          <w:rFonts w:ascii="Arial" w:cs="Arial" w:eastAsia="Arial" w:hAnsi="Arial"/>
          <w:sz w:val="16"/>
          <w:szCs w:val="16"/>
          <w:color w:val="auto"/>
        </w:rPr>
        <w:t>both existing and new markets. As a result, a significant majority of our operating expenses has been allocated towards this effort. Our research and development efforts are focused primarily on MEMS and advanced clock IC design and advanced system-level integration for timing solutions.</w:t>
      </w:r>
    </w:p>
    <w:p>
      <w:pPr>
        <w:spacing w:after="0" w:line="187"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We have assembled a core team of experienced engineers and systems designers who conduct research and development activities in the United States, the Netherlands, Japan and Ukraine. As of December 31, 2020, we had 86 engineers worldwide (representing approximately 46% of our total employee base)</w:t>
      </w:r>
      <w:r>
        <w:rPr>
          <w:rFonts w:ascii="Arial" w:cs="Arial" w:eastAsia="Arial" w:hAnsi="Arial"/>
          <w:sz w:val="21"/>
          <w:szCs w:val="21"/>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non-disclosure agreements, and other contractual protections, to protect our technologies and proprietary know-how. As of December 31, 2020, we had 73 issued U.S. patents, expiring generally between 2026 and 2039, and 27 pending U.S. patent applications. We also had one foreign issued patent expiring in 2039 and four pending foreign patent applications. Our issued patents and pending patent applications generally relate to our MEMS fabrication process, MEMS resonators, circuits, packaging, and oscillator systems.</w:t>
      </w:r>
    </w:p>
    <w:p>
      <w:pPr>
        <w:spacing w:after="0" w:line="1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addition to our own intellectual property, we also use third-party licenses for certain technologies embedded in our MEMS solutions. For example, we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88"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generally control access to and use of our confidential information and trade secrets through the use of internal and external controls, including contractual protections with employees, contractors, and customers. We rely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40"/>
        <w:spacing w:after="0" w:line="289" w:lineRule="auto"/>
        <w:rPr>
          <w:sz w:val="20"/>
          <w:szCs w:val="20"/>
          <w:color w:val="auto"/>
        </w:rPr>
      </w:pPr>
      <w:r>
        <w:rPr>
          <w:rFonts w:ascii="Arial" w:cs="Arial" w:eastAsia="Arial" w:hAnsi="Arial"/>
          <w:sz w:val="16"/>
          <w:szCs w:val="16"/>
          <w:color w:val="auto"/>
        </w:rPr>
        <w:t>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66"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For example, in March 2019, VTT Technical Research Centre of Finland, Ltd. filed suit in the United States District Court for the Northern District of California alleging infringement by us of a U.S. patent.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 global semiconductor market in general, and the timing market in particular, is highly competitive. We compete in different target markets based on a number of competitive factors. We expect competition to increase and intensify as additional companies enter our markets and as internal resources of large original equipment manufacturers (“OEMs”) grow. Increased competition could result in price pressure, reduced gross margins, and loss of market share, any of which could harm our business, financial condition, and results of operations.</w:t>
      </w:r>
    </w:p>
    <w:p>
      <w:pPr>
        <w:spacing w:after="0" w:line="17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competitors range from large, international companies offering a wide range of timing products to smaller companies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Silicon Laboratories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These quartz crystal suppliers typically own their own quartz manufacturing facilities.</w:t>
      </w:r>
    </w:p>
    <w:p>
      <w:pPr>
        <w:spacing w:after="0" w:line="192"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Our ability to compete successfully depends on elements both within and outside of our control, including industry and general economic trends. During past periods of downturns in our industry, competition in the markets in which we operate intensified as our customers reduced their purchase orders.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better withstand similar adverse economic or market conditions in the future. Any such development may materially and adversely affect our current and future target markets and our ability to compete successfully in those markets. We maintain our competitive position through our ability to successfully design, develop, and market complex timing solutions for the customers we serve.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Our business activities are worldwide and subject to various federal, state, local and foreign regulations and our products are governed by a number of rules and regulations. To date, we have not incurred material expenses related to compliance with these regulations.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and Empowerment</w:t>
      </w:r>
    </w:p>
    <w:p>
      <w:pPr>
        <w:spacing w:after="0" w:line="121"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and our sales and marketing team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spacing w:after="0" w:line="178"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We use a combination of fixed and variable pay including base salary, 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 incentive plans, see Note 9, Stock-based Compensation, of the Notes to Consolidated Financial Statements contained in Part II, Item 8 of this Annual Report on Form 10-K.</w:t>
      </w:r>
    </w:p>
    <w:p>
      <w:pPr>
        <w:spacing w:after="0" w:line="166"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We are committed to the health, safety and wellness of our employees. We provide our employees and their families with access to a variety of health and wellness programs, including benefits that support their physical and mental health. In response to the COVID-19 pandemic, we implemented changes that we consider to be in the best interest of our employees. As a result of the COVID-19 pandemic, the majority of our employees are working from home. We have implemented additional safety measures for employees continuing critical on-site work. We believe we have been able to preserve our business continuity without sacrificing our commitment to keeping our employees safe during the COVID-19 pandemic.</w:t>
      </w:r>
    </w:p>
    <w:p>
      <w:pPr>
        <w:spacing w:after="0" w:line="16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We regularly review our employees and assess the needs of the business to identify our talent needs. We encourage all employees to continue learning and provide internal opportunities for cross functional work to support this. We regularly review succession plans and focus on promoting internal talent to help grow our employees' careers.</w:t>
      </w:r>
    </w:p>
    <w:p>
      <w:pPr>
        <w:spacing w:after="0" w:line="18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conducted a survey in fiscal 2020 and had a participation rate of over 80% of all our employees and the survey results indicated that we excel in areas including initiative, empowerment, opportunities to learn and grow and overall culture.</w:t>
      </w:r>
    </w:p>
    <w:p>
      <w:pPr>
        <w:spacing w:after="0" w:line="170"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As of December 31, 2020, we had 187 full-time equivalent employees located in the United States, France, Malaysia, the Netherlands, Taiwan, Japan and Ukraine, including 99 in research and development, 69 in sales, general and administrative, and 19 in operations. We consider relations with our employees to be good and have never experienced a work stoppage. None of our employees are either represented by a labor union or subject to a collective bargaining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200" w:firstLine="589"/>
        <w:spacing w:after="0" w:line="257" w:lineRule="auto"/>
        <w:rPr>
          <w:sz w:val="20"/>
          <w:szCs w:val="20"/>
          <w:color w:val="auto"/>
        </w:rPr>
      </w:pPr>
      <w:r>
        <w:rPr>
          <w:rFonts w:ascii="Arial" w:cs="Arial" w:eastAsia="Arial" w:hAnsi="Arial"/>
          <w:sz w:val="18"/>
          <w:szCs w:val="18"/>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regarding our executive officers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7080" w:type="dxa"/>
            <w:vAlign w:val="bottom"/>
            <w:tcBorders>
              <w:bottom w:val="single" w:sz="8" w:color="auto"/>
            </w:tcBorders>
          </w:tcPr>
          <w:p>
            <w:pPr>
              <w:ind w:left="3300"/>
              <w:spacing w:after="0"/>
              <w:rPr>
                <w:sz w:val="20"/>
                <w:szCs w:val="20"/>
                <w:color w:val="auto"/>
              </w:rPr>
            </w:pPr>
            <w:r>
              <w:rPr>
                <w:rFonts w:ascii="Arial" w:cs="Arial" w:eastAsia="Arial" w:hAnsi="Arial"/>
                <w:sz w:val="14"/>
                <w:szCs w:val="14"/>
                <w:b w:val="1"/>
                <w:bCs w:val="1"/>
                <w:color w:val="auto"/>
              </w:rPr>
              <w:t>Position</w:t>
            </w:r>
          </w:p>
        </w:tc>
      </w:tr>
      <w:tr>
        <w:trPr>
          <w:trHeight w:val="411"/>
        </w:trPr>
        <w:tc>
          <w:tcPr>
            <w:tcW w:w="3500" w:type="dxa"/>
            <w:vAlign w:val="bottom"/>
            <w:gridSpan w:val="2"/>
          </w:tcPr>
          <w:p>
            <w:pPr>
              <w:spacing w:after="0"/>
              <w:rPr>
                <w:sz w:val="20"/>
                <w:szCs w:val="20"/>
                <w:color w:val="auto"/>
              </w:rPr>
            </w:pPr>
            <w:r>
              <w:rPr>
                <w:rFonts w:ascii="Arial" w:cs="Arial" w:eastAsia="Arial" w:hAnsi="Arial"/>
                <w:sz w:val="18"/>
                <w:szCs w:val="18"/>
                <w:color w:val="auto"/>
              </w:rPr>
              <w:t>Rajesh Vashist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Arthur D. Chadwick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Lionel Bonnot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Executive Vice President, Worldwide Sales and Business Development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Piyush B. Sevalia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Executive Vice President, Marketing</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Vincent P. Pangrazio</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Executive Vice President, Chief Legal Officer &amp; Corporate Secretary</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Fariborz Assaderaghi</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Executive Vice President, Technology &amp; Engineering</w:t>
            </w:r>
          </w:p>
        </w:tc>
      </w:tr>
    </w:tbl>
    <w:p>
      <w:pPr>
        <w:spacing w:after="0" w:line="200" w:lineRule="exact"/>
        <w:rPr>
          <w:sz w:val="20"/>
          <w:szCs w:val="20"/>
          <w:color w:val="auto"/>
        </w:rPr>
      </w:pPr>
    </w:p>
    <w:p>
      <w:pPr>
        <w:spacing w:after="0" w:line="258"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i w:val="1"/>
          <w:iCs w:val="1"/>
          <w:color w:val="auto"/>
        </w:rPr>
        <w:t xml:space="preserve">Rajesh Vashist </w:t>
      </w:r>
      <w:r>
        <w:rPr>
          <w:rFonts w:ascii="Arial" w:cs="Arial" w:eastAsia="Arial" w:hAnsi="Arial"/>
          <w:sz w:val="18"/>
          <w:szCs w:val="18"/>
          <w:color w:val="auto"/>
        </w:rPr>
        <w:t>has served as our Chief Executive Officer and as a member of our board of directors since September 2007 and as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since November 2019. Prior to joining SiTime, Mr. Vashist served as chief executive officer and chairman of the board of directors of Ikanos Communications, Inc., a semiconductor and software development company, from July 1999 to October 2006. Mr. Vashist holds a B.S. in engineering from NIT Rourkela in India and a MBA from Marquette University.</w:t>
      </w:r>
    </w:p>
    <w:p>
      <w:pPr>
        <w:spacing w:after="0" w:line="18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i w:val="1"/>
          <w:iCs w:val="1"/>
          <w:color w:val="auto"/>
        </w:rPr>
        <w:t xml:space="preserve">Arthur D. Chadwick </w:t>
      </w:r>
      <w:r>
        <w:rPr>
          <w:rFonts w:ascii="Arial" w:cs="Arial" w:eastAsia="Arial" w:hAnsi="Arial"/>
          <w:sz w:val="16"/>
          <w:szCs w:val="16"/>
          <w:color w:val="auto"/>
        </w:rPr>
        <w:t>has served as our Executive Vice President, Chief Financial Officer since September 2019. Prior to joining SiTime,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2004 to July 2018, Mr. Chadwick served as vice president of finance and administration, and chief financial officer of Cavium, Inc., a fabless semiconductor company that was listed on Nasdaq and subsequently acquired by Marvell Technology Group Ltd. in July 2018, where he was responsible for financial strategy, planning, accounting and reporting, and treasury and tax. From January 1989 to October 2004, Mr. Chadwick served as senior vice president of finance and administration, and chief financial officer of Pinnacle Systems Inc., a digital video editing company that was listed on Nasdaq and acquired by Avid Technology, Inc. in August 2005. Prior to 1989, Mr. Chadwick has held positions at Gould Semiconductor, ams AG, and American Microsystems. Mr. Chadwick holds a B.S. in Mathematics and Physics and a MBA in finance, both from the University of Michigan.</w:t>
      </w:r>
    </w:p>
    <w:p>
      <w:pPr>
        <w:spacing w:after="0" w:line="16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i w:val="1"/>
          <w:iCs w:val="1"/>
          <w:color w:val="auto"/>
        </w:rPr>
        <w:t xml:space="preserve">Lionel Bonnot </w:t>
      </w:r>
      <w:r>
        <w:rPr>
          <w:rFonts w:ascii="Arial" w:cs="Arial" w:eastAsia="Arial" w:hAnsi="Arial"/>
          <w:sz w:val="18"/>
          <w:szCs w:val="18"/>
          <w:color w:val="auto"/>
        </w:rPr>
        <w:t>has served as our Executive Vice President of Worldwide Sales and Business Development since July 2019 and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Business Development from February 2018 to July 2019. Prior to joining SiTime, Mr. Bonnot was at Quantenna Communications (Nasdaq: QTNA), a wireless communication solution company that designs and develops radio frequency and digital Wi-Fi chips, from December 2007 to December 2017. During his 10-year tenure at Quantenna, Mr. Bonnot served as vice president of worldwide sales, senior vice president of business development, and most recently as senior vice president of marketing and business development where he was responsible for product strategy and roadmap, corporate strategy, partnerships and mergers and acquisitions. Mr. Bonnot also held various positions at Ikanos Communications, Inc., a semiconductor and software development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ind w:right="220"/>
        <w:spacing w:after="0" w:line="308" w:lineRule="auto"/>
        <w:rPr>
          <w:sz w:val="20"/>
          <w:szCs w:val="20"/>
          <w:color w:val="auto"/>
        </w:rPr>
      </w:pPr>
      <w:r>
        <w:rPr>
          <w:rFonts w:ascii="Arial" w:cs="Arial" w:eastAsia="Arial" w:hAnsi="Arial"/>
          <w:sz w:val="17"/>
          <w:szCs w:val="17"/>
          <w:color w:val="auto"/>
        </w:rPr>
        <w:t>company, from December 2001 to December 2007, including vice president of Europe, vice president of sales for North America and EMEA, and senior director of worldwide sales. Mr. Bonnot holds a M.S. in Computer Science from Ecole Nationale Supérieure d’Informatique in Paris, France.</w:t>
      </w:r>
    </w:p>
    <w:p>
      <w:pPr>
        <w:spacing w:after="0" w:line="14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i w:val="1"/>
          <w:iCs w:val="1"/>
          <w:color w:val="auto"/>
        </w:rPr>
        <w:t xml:space="preserve">Piyush B. Sevalia </w:t>
      </w:r>
      <w:r>
        <w:rPr>
          <w:rFonts w:ascii="Arial" w:cs="Arial" w:eastAsia="Arial" w:hAnsi="Arial"/>
          <w:sz w:val="17"/>
          <w:szCs w:val="17"/>
          <w:color w:val="auto"/>
        </w:rPr>
        <w:t>has served as our Executive Vice President of Marketing since April 2012. Mr. Sevalia previously served as our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from March 2008 to April 2012. Prior to joining SiTime, Mr. Sevalia held various marketing positions at Ikanos Communications, a semiconductor and software development company, including vice president of access infrastructure products from October 2006 to March 2008, marketing head of access products from April 2006 to September 2006, and director of product marketing from September 2000 to March 2006. From July 1991 to September 2000, Mr. Sevalia held various positions at Cypress Semiconductor, a semiconductor company, including senior marketing manager, strategic marketing manager, senior / staff applications engineer, and applications engineer. Mr. Sevalia holds a bachelor’s degree in electrical engineering from the University of Mumbai, a master’s degree in electrical engineering from the University of Michigan, and a master’s degree in business administration from the University of California, Berkeley.</w:t>
      </w:r>
    </w:p>
    <w:p>
      <w:pPr>
        <w:spacing w:after="0" w:line="17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i w:val="1"/>
          <w:iCs w:val="1"/>
          <w:color w:val="auto"/>
        </w:rPr>
        <w:t xml:space="preserve">Vincent P. Pangrazio </w:t>
      </w:r>
      <w:r>
        <w:rPr>
          <w:rFonts w:ascii="Arial" w:cs="Arial" w:eastAsia="Arial" w:hAnsi="Arial"/>
          <w:sz w:val="17"/>
          <w:szCs w:val="17"/>
          <w:color w:val="auto"/>
        </w:rPr>
        <w:t>has served as our Executive Vice President, Chief Legal Officer &amp; Corporate Secretary since June 2020. Mr. Pangrazio</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our acting General Counsel in a consultant capacity from March 2020 to June 2020 and had a private law practice from December 2019 until he joined SiTime. From July 2018 to September 2019, Mr. Pangrazio served as Chief Administrative and Legal Officer of HealthTap, Inc., a provider of online access to primary healthcare, where he was responsible for all legal matters. From March 2011 to July 2018, Mr. Pangrazio served as Senior Vice President and General Counsel of Cavium, Inc., a fabless semiconductor company that was listed on Nasdaq and subsequently acquired by Marvell Technology Group Ltd. in July 2018, where he was responsible for management of corporate legal compliance as well as the IT and facilities departments. From January 2000 to March 2011, Mr. Pangrazio was a partner in the business department at the law firm of Cooley LLP. From 1999 to 2000, Mr. Pangrazio served as Vice President and General Counsel for Women.com Networks, Inc., a network of online sites featuring content and services for women. From 1993 to 1999, Mr. Pangrazio was an associate in the business department at Cooley LLP. Mr. Pangrazio received a BS degree in Electrical Engineering from Loyola Marymount University and a J.D. degree from Loyola Law School.</w:t>
      </w:r>
    </w:p>
    <w:p>
      <w:pPr>
        <w:spacing w:after="0" w:line="185" w:lineRule="exact"/>
        <w:rPr>
          <w:sz w:val="20"/>
          <w:szCs w:val="20"/>
          <w:color w:val="auto"/>
        </w:rPr>
      </w:pPr>
    </w:p>
    <w:p>
      <w:pPr>
        <w:ind w:right="80" w:firstLine="589"/>
        <w:spacing w:after="0" w:line="284" w:lineRule="auto"/>
        <w:rPr>
          <w:sz w:val="20"/>
          <w:szCs w:val="20"/>
          <w:color w:val="auto"/>
        </w:rPr>
      </w:pPr>
      <w:r>
        <w:rPr>
          <w:rFonts w:ascii="Arial" w:cs="Arial" w:eastAsia="Arial" w:hAnsi="Arial"/>
          <w:sz w:val="16"/>
          <w:szCs w:val="16"/>
          <w:i w:val="1"/>
          <w:iCs w:val="1"/>
          <w:color w:val="auto"/>
        </w:rPr>
        <w:t xml:space="preserve">Fariborz Assaderaghi </w:t>
      </w:r>
      <w:r>
        <w:rPr>
          <w:rFonts w:ascii="Arial" w:cs="Arial" w:eastAsia="Arial" w:hAnsi="Arial"/>
          <w:sz w:val="16"/>
          <w:szCs w:val="16"/>
          <w:color w:val="auto"/>
        </w:rPr>
        <w:t>has served as our Executive Vice President, Technology &amp; Engineering since December 2020. Prior to joining SiTime, he</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Senior Vice President, Engineering, at Sunrise Memory Corporation from March 2020 until December 2020, where he was responsible for technology and product development. Prior to that, from February 2019 until March 2020, he was the Senior Vice President, Innovation and Advanced Technologies at NXP Semiconductors where he was responsible for technical roadmaps and innovation funnels, and before that held the position of Senior Vice President, Chief Technology Officer for IoT and Security division of NXP Semiconductors from February 2016 until February 2019 where he was jointly responsible for leading research and development. Prior to that, from June 2012 until February 2016, he was the Vice President of the Advanced Technology Development at InvenSense Inc. Prior to that Mr. Assaderaghi has held various engineering positions at SiTime, Rambus, and IBM.</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Mr. Assaderaghi has a Master of Science in Electrical Engineering and a Ph. D. in Electrical Engineering and Computer Science both from the University of California in Berkeley.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effects of the ongoing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are restricting business operations and travel and requiring individuals to work from home (“WFH”), which has impacted all aspects of our business as well as those of the third-parties we rely upon for our manufacturing, assembly, testing, shipping and other operations. The continuation of WFH and other restrictions for an extended period of time may negatively impact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productivity, product development, operations, sales and support, business and financial results. Among other things, the continued COVID-19 pandemic may result in:</w:t>
      </w:r>
    </w:p>
    <w:p>
      <w:pPr>
        <w:spacing w:after="0" w:line="62"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225" w:lineRule="exact"/>
        <w:rPr>
          <w:sz w:val="20"/>
          <w:szCs w:val="20"/>
          <w:color w:val="auto"/>
        </w:rPr>
      </w:pPr>
    </w:p>
    <w:p>
      <w:pPr>
        <w:jc w:val="both"/>
        <w:ind w:right="60" w:firstLine="589"/>
        <w:spacing w:after="0" w:line="279"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171"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184"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As a result of the COVID pandemic, we believe we have experienced some delay and disruption in the manufacture, shipment, and sales of, and overall demand for, our products. In addition, we believe the production capabilities of our suppliers has been, and will likely continue to be, impacted as a result of quarantines, closures of production facilities, lack of supplies, or delays caused by restrictions on travel or WFH orders. 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17"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COVID-19 pandemic could cause a further downturn in the worldwide economy, which would likely result in reduced demand for our products and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30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8" w:lineRule="exact"/>
        <w:rPr>
          <w:sz w:val="20"/>
          <w:szCs w:val="20"/>
          <w:color w:val="auto"/>
        </w:rPr>
      </w:pPr>
    </w:p>
    <w:p>
      <w:pPr>
        <w:ind w:firstLine="572"/>
        <w:spacing w:after="0" w:line="275" w:lineRule="auto"/>
        <w:rPr>
          <w:sz w:val="20"/>
          <w:szCs w:val="20"/>
          <w:color w:val="auto"/>
        </w:rPr>
      </w:pPr>
      <w:r>
        <w:rPr>
          <w:rFonts w:ascii="Arial" w:cs="Arial" w:eastAsia="Arial" w:hAnsi="Arial"/>
          <w:sz w:val="17"/>
          <w:szCs w:val="17"/>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40% and 35% of our revenue for the years ended December 31, 2020 and 2019, respectively. Revenue attributable to this end customer increased in absolute dollars and as a percentage of revenue from 2019 to 2020. We anticipate revenue attributable to this customer will fluctuate from period to period, although we expect to remain dependent on this end customer for a substantial portion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8" w:name="page19"/>
    <w:bookmarkEnd w:id="18"/>
    <w:p>
      <w:pPr>
        <w:spacing w:after="0" w:line="289" w:lineRule="auto"/>
        <w:rPr>
          <w:sz w:val="20"/>
          <w:szCs w:val="20"/>
          <w:color w:val="auto"/>
        </w:rPr>
      </w:pPr>
      <w:r>
        <w:rPr>
          <w:rFonts w:ascii="Arial" w:cs="Arial" w:eastAsia="Arial" w:hAnsi="Arial"/>
          <w:sz w:val="16"/>
          <w:szCs w:val="16"/>
          <w:color w:val="auto"/>
        </w:rPr>
        <w:t>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166" w:lineRule="exact"/>
        <w:rPr>
          <w:sz w:val="20"/>
          <w:szCs w:val="20"/>
          <w:color w:val="auto"/>
        </w:rPr>
      </w:pPr>
    </w:p>
    <w:p>
      <w:pPr>
        <w:ind w:right="380" w:firstLine="572"/>
        <w:spacing w:after="0" w:line="259" w:lineRule="auto"/>
        <w:rPr>
          <w:sz w:val="20"/>
          <w:szCs w:val="20"/>
          <w:color w:val="auto"/>
        </w:rPr>
      </w:pPr>
      <w:r>
        <w:rPr>
          <w:rFonts w:ascii="Arial" w:cs="Arial" w:eastAsia="Arial" w:hAnsi="Arial"/>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187" w:lineRule="exact"/>
        <w:rPr>
          <w:sz w:val="20"/>
          <w:szCs w:val="20"/>
          <w:color w:val="auto"/>
        </w:rPr>
      </w:pPr>
    </w:p>
    <w:p>
      <w:pPr>
        <w:ind w:right="260" w:firstLine="572"/>
        <w:spacing w:after="0" w:line="301"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29" w:lineRule="exact"/>
        <w:rPr>
          <w:sz w:val="20"/>
          <w:szCs w:val="20"/>
          <w:color w:val="auto"/>
        </w:rPr>
      </w:pPr>
    </w:p>
    <w:p>
      <w:pPr>
        <w:ind w:right="180" w:firstLine="572"/>
        <w:spacing w:after="0" w:line="271" w:lineRule="auto"/>
        <w:rPr>
          <w:sz w:val="20"/>
          <w:szCs w:val="20"/>
          <w:color w:val="auto"/>
        </w:rPr>
      </w:pPr>
      <w:r>
        <w:rPr>
          <w:rFonts w:ascii="Arial" w:cs="Arial" w:eastAsia="Arial" w:hAnsi="Arial"/>
          <w:sz w:val="17"/>
          <w:szCs w:val="17"/>
          <w:color w:val="auto"/>
        </w:rPr>
        <w:t>We sell our products primarily through distributors and resellers, who in turn sell to our end customers. For both the years ended December 31, 2020 and 2019, our top three distributors by revenue together accounted for approximately 59% of our revenue. Based on our shipment information, we believe that revenue attributable to our ten largest end customers accounted for 58%, and 57% of our revenue for the years ended December 31, 2020 and 2019, respectively. Sales attributable to our largest end customer accounted for approximately 40%, and 35%, of our revenue for the years ended December 31, 2020 and 2019,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2" w:lineRule="exact"/>
        <w:rPr>
          <w:sz w:val="20"/>
          <w:szCs w:val="20"/>
          <w:color w:val="auto"/>
        </w:rPr>
      </w:pPr>
    </w:p>
    <w:p>
      <w:pPr>
        <w:ind w:right="60" w:firstLine="572"/>
        <w:spacing w:after="0" w:line="271" w:lineRule="auto"/>
        <w:rPr>
          <w:sz w:val="20"/>
          <w:szCs w:val="20"/>
          <w:color w:val="auto"/>
        </w:rPr>
      </w:pPr>
      <w:r>
        <w:rPr>
          <w:rFonts w:ascii="Arial" w:cs="Arial" w:eastAsia="Arial" w:hAnsi="Arial"/>
          <w:sz w:val="17"/>
          <w:szCs w:val="17"/>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line="342" w:lineRule="auto"/>
        <w:rPr>
          <w:sz w:val="20"/>
          <w:szCs w:val="20"/>
          <w:color w:val="auto"/>
        </w:rPr>
      </w:pPr>
      <w:r>
        <w:rPr>
          <w:rFonts w:ascii="Arial" w:cs="Arial" w:eastAsia="Arial" w:hAnsi="Arial"/>
          <w:sz w:val="16"/>
          <w:szCs w:val="16"/>
          <w:color w:val="auto"/>
        </w:rPr>
        <w:t>portion of our expenses are fixed at least in the short term. In addition, changes in forecasts or the timing of orders expose us to the risks of inventory shortages or excess inventory. Any of the foregoing events could materially and adversely affect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ind w:right="40" w:firstLine="572"/>
        <w:spacing w:after="0" w:line="263"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76" w:lineRule="exact"/>
        <w:rPr>
          <w:sz w:val="20"/>
          <w:szCs w:val="20"/>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COVID-19 pandemic or other reasons;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840" w:right="200" w:hanging="414"/>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28" w:lineRule="exact"/>
        <w:rPr>
          <w:rFonts w:ascii="Arial" w:cs="Arial" w:eastAsia="Arial" w:hAnsi="Arial"/>
          <w:sz w:val="17"/>
          <w:szCs w:val="17"/>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225" w:lineRule="exact"/>
        <w:rPr>
          <w:sz w:val="20"/>
          <w:szCs w:val="20"/>
          <w:color w:val="auto"/>
        </w:rPr>
      </w:pPr>
    </w:p>
    <w:p>
      <w:pPr>
        <w:jc w:val="both"/>
        <w:ind w:right="40" w:firstLine="572"/>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accumulated deficit and have incurred net losses in the past, and we may continue to incur net losses in the future.</w:t>
      </w:r>
    </w:p>
    <w:p>
      <w:pPr>
        <w:spacing w:after="0" w:line="117" w:lineRule="exact"/>
        <w:rPr>
          <w:sz w:val="20"/>
          <w:szCs w:val="20"/>
          <w:color w:val="auto"/>
        </w:rPr>
      </w:pPr>
    </w:p>
    <w:p>
      <w:pPr>
        <w:jc w:val="both"/>
        <w:ind w:right="180" w:firstLine="572"/>
        <w:spacing w:after="0" w:line="259" w:lineRule="auto"/>
        <w:rPr>
          <w:sz w:val="20"/>
          <w:szCs w:val="20"/>
          <w:color w:val="auto"/>
        </w:rPr>
      </w:pPr>
      <w:r>
        <w:rPr>
          <w:rFonts w:ascii="Arial" w:cs="Arial" w:eastAsia="Arial" w:hAnsi="Arial"/>
          <w:sz w:val="18"/>
          <w:szCs w:val="18"/>
          <w:color w:val="auto"/>
        </w:rPr>
        <w:t>As of December 31, 2020 and 2019, we had an accumulated deficit of $63.4 million, and $54.0 million, respectively. We generated net losses of $9.4 million, and $6.6 million in the years ended December 31, 2020 and 2019, respectively. The loss in 2019 was primarily due to a decrease in revenue from customers in Asia primarily as a result of lower sales volume, as well as a reduction in revenue from our largest end customer. The loss in 2020 was primarily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due to increased stock-based compensation expenses in connection with our initial public offering in late 2019 and additional costs related to being a public company. We may continue to incur net losses in the future.</w:t>
      </w:r>
    </w:p>
    <w:p>
      <w:pPr>
        <w:spacing w:after="0" w:line="170" w:lineRule="exact"/>
        <w:rPr>
          <w:sz w:val="20"/>
          <w:szCs w:val="20"/>
          <w:color w:val="auto"/>
        </w:rPr>
      </w:pPr>
    </w:p>
    <w:p>
      <w:pPr>
        <w:ind w:right="20" w:firstLine="572"/>
        <w:spacing w:after="0" w:line="311"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6" w:lineRule="exact"/>
        <w:rPr>
          <w:sz w:val="20"/>
          <w:szCs w:val="20"/>
          <w:color w:val="auto"/>
        </w:rPr>
      </w:pPr>
    </w:p>
    <w:p>
      <w:pPr>
        <w:ind w:right="100" w:firstLine="572"/>
        <w:spacing w:after="0" w:line="301"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157" w:lineRule="exact"/>
        <w:rPr>
          <w:sz w:val="20"/>
          <w:szCs w:val="20"/>
          <w:color w:val="auto"/>
        </w:rPr>
      </w:pPr>
    </w:p>
    <w:p>
      <w:pPr>
        <w:jc w:val="both"/>
        <w:ind w:firstLine="572"/>
        <w:spacing w:after="0" w:line="263"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184" w:lineRule="exact"/>
        <w:rPr>
          <w:sz w:val="20"/>
          <w:szCs w:val="20"/>
          <w:color w:val="auto"/>
        </w:rPr>
      </w:pPr>
    </w:p>
    <w:p>
      <w:pPr>
        <w:ind w:right="60" w:firstLine="572"/>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88" w:lineRule="exact"/>
        <w:rPr>
          <w:sz w:val="20"/>
          <w:szCs w:val="20"/>
          <w:color w:val="auto"/>
        </w:rPr>
      </w:pPr>
    </w:p>
    <w:p>
      <w:pPr>
        <w:ind w:firstLine="572"/>
        <w:spacing w:after="0" w:line="296"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161" w:lineRule="exact"/>
        <w:rPr>
          <w:sz w:val="20"/>
          <w:szCs w:val="20"/>
          <w:color w:val="auto"/>
        </w:rPr>
      </w:pPr>
    </w:p>
    <w:p>
      <w:pPr>
        <w:ind w:right="200" w:firstLine="572"/>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p>
    <w:p>
      <w:pPr>
        <w:spacing w:after="0" w:line="29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420" w:firstLine="572"/>
        <w:spacing w:after="0" w:line="296" w:lineRule="auto"/>
        <w:rPr>
          <w:sz w:val="20"/>
          <w:szCs w:val="20"/>
          <w:color w:val="auto"/>
        </w:rPr>
      </w:pPr>
      <w:r>
        <w:rPr>
          <w:rFonts w:ascii="Arial" w:cs="Arial" w:eastAsia="Arial" w:hAnsi="Arial"/>
          <w:sz w:val="16"/>
          <w:szCs w:val="16"/>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240"/>
        <w:spacing w:after="0" w:line="263"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6" w:lineRule="exact"/>
        <w:rPr>
          <w:sz w:val="20"/>
          <w:szCs w:val="20"/>
          <w:color w:val="auto"/>
        </w:rPr>
      </w:pPr>
    </w:p>
    <w:p>
      <w:pPr>
        <w:ind w:firstLine="572"/>
        <w:spacing w:after="0" w:line="291"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ind w:right="20" w:firstLine="572"/>
        <w:spacing w:after="0" w:line="270" w:lineRule="auto"/>
        <w:rPr>
          <w:sz w:val="20"/>
          <w:szCs w:val="20"/>
          <w:color w:val="auto"/>
        </w:rPr>
      </w:pPr>
      <w:r>
        <w:rPr>
          <w:rFonts w:ascii="Arial" w:cs="Arial" w:eastAsia="Arial" w:hAnsi="Arial"/>
          <w:sz w:val="17"/>
          <w:szCs w:val="17"/>
          <w:color w:val="auto"/>
        </w:rPr>
        <w:t>Our target markets include the enterprise and telecommunications infrastructure, automotive, industrial, IoT and mobile, and aerospace and defense markets. Substantially all of our revenue for the years ended December 31, 2020 and 2019 was derived from sales in the IoT and mobile, industrial, and consumer markets. In 2017, we began introducing products for the automotive market. In addition, within the timing market, substantially all of our revenue to date has been attributable to sales of MEMS oscillators. We recently introduced products into the clock IC market, which we began sampling in the second quarter of 2019, and we intend to further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181" w:lineRule="exact"/>
        <w:rPr>
          <w:sz w:val="20"/>
          <w:szCs w:val="20"/>
          <w:color w:val="auto"/>
        </w:rPr>
      </w:pPr>
    </w:p>
    <w:p>
      <w:pPr>
        <w:jc w:val="both"/>
        <w:ind w:right="260" w:firstLine="572"/>
        <w:spacing w:after="0" w:line="263"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184" w:lineRule="exact"/>
        <w:rPr>
          <w:sz w:val="20"/>
          <w:szCs w:val="20"/>
          <w:color w:val="auto"/>
        </w:rPr>
      </w:pPr>
    </w:p>
    <w:p>
      <w:pPr>
        <w:ind w:right="140" w:firstLine="572"/>
        <w:spacing w:after="0" w:line="301" w:lineRule="auto"/>
        <w:rPr>
          <w:sz w:val="20"/>
          <w:szCs w:val="20"/>
          <w:color w:val="auto"/>
        </w:rPr>
      </w:pPr>
      <w:r>
        <w:rPr>
          <w:rFonts w:ascii="Arial" w:cs="Arial" w:eastAsia="Arial" w:hAnsi="Arial"/>
          <w:sz w:val="16"/>
          <w:szCs w:val="16"/>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2" w:name="page23"/>
    <w:bookmarkEnd w:id="22"/>
    <w:p>
      <w:pPr>
        <w:jc w:val="both"/>
        <w:ind w:right="340"/>
        <w:spacing w:after="0" w:line="286" w:lineRule="auto"/>
        <w:rPr>
          <w:sz w:val="20"/>
          <w:szCs w:val="20"/>
          <w:color w:val="auto"/>
        </w:rPr>
      </w:pPr>
      <w:r>
        <w:rPr>
          <w:rFonts w:ascii="Arial" w:cs="Arial" w:eastAsia="Arial" w:hAnsi="Arial"/>
          <w:sz w:val="17"/>
          <w:szCs w:val="17"/>
          <w:color w:val="auto"/>
        </w:rPr>
        <w:t>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2" w:lineRule="exact"/>
        <w:rPr>
          <w:sz w:val="20"/>
          <w:szCs w:val="20"/>
          <w:color w:val="auto"/>
        </w:rPr>
      </w:pPr>
    </w:p>
    <w:p>
      <w:pPr>
        <w:ind w:firstLine="572"/>
        <w:spacing w:after="0" w:line="293"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164" w:lineRule="exact"/>
        <w:rPr>
          <w:sz w:val="20"/>
          <w:szCs w:val="20"/>
          <w:color w:val="auto"/>
        </w:rPr>
      </w:pPr>
    </w:p>
    <w:p>
      <w:pPr>
        <w:ind w:right="260" w:firstLine="572"/>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29" w:lineRule="exact"/>
        <w:rPr>
          <w:sz w:val="20"/>
          <w:szCs w:val="20"/>
          <w:color w:val="auto"/>
        </w:rPr>
      </w:pPr>
    </w:p>
    <w:p>
      <w:pPr>
        <w:ind w:right="20" w:firstLine="572"/>
        <w:spacing w:after="0" w:line="275" w:lineRule="auto"/>
        <w:rPr>
          <w:sz w:val="20"/>
          <w:szCs w:val="20"/>
          <w:color w:val="auto"/>
        </w:rPr>
      </w:pPr>
      <w:r>
        <w:rPr>
          <w:rFonts w:ascii="Arial" w:cs="Arial" w:eastAsia="Arial" w:hAnsi="Arial"/>
          <w:sz w:val="17"/>
          <w:szCs w:val="17"/>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40" w:lineRule="exact"/>
        <w:rPr>
          <w:sz w:val="20"/>
          <w:szCs w:val="20"/>
          <w:color w:val="auto"/>
        </w:rPr>
      </w:pPr>
    </w:p>
    <w:p>
      <w:pPr>
        <w:jc w:val="both"/>
        <w:ind w:right="200" w:firstLine="572"/>
        <w:spacing w:after="0" w:line="263"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184" w:lineRule="exact"/>
        <w:rPr>
          <w:sz w:val="20"/>
          <w:szCs w:val="20"/>
          <w:color w:val="auto"/>
        </w:rPr>
      </w:pPr>
    </w:p>
    <w:p>
      <w:pPr>
        <w:ind w:right="140" w:firstLine="572"/>
        <w:spacing w:after="0" w:line="257" w:lineRule="auto"/>
        <w:rPr>
          <w:sz w:val="20"/>
          <w:szCs w:val="20"/>
          <w:color w:val="auto"/>
        </w:rPr>
      </w:pPr>
      <w:r>
        <w:rPr>
          <w:rFonts w:ascii="Arial" w:cs="Arial" w:eastAsia="Arial" w:hAnsi="Arial"/>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188" w:lineRule="exact"/>
        <w:rPr>
          <w:sz w:val="20"/>
          <w:szCs w:val="20"/>
          <w:color w:val="auto"/>
        </w:rPr>
      </w:pPr>
    </w:p>
    <w:p>
      <w:pPr>
        <w:ind w:firstLine="572"/>
        <w:spacing w:after="0" w:line="279" w:lineRule="auto"/>
        <w:rPr>
          <w:sz w:val="20"/>
          <w:szCs w:val="20"/>
          <w:color w:val="auto"/>
        </w:rPr>
      </w:pPr>
      <w:r>
        <w:rPr>
          <w:rFonts w:ascii="Arial" w:cs="Arial" w:eastAsia="Arial" w:hAnsi="Arial"/>
          <w:sz w:val="17"/>
          <w:szCs w:val="17"/>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560"/>
        <w:spacing w:after="0" w:line="277" w:lineRule="auto"/>
        <w:rPr>
          <w:sz w:val="20"/>
          <w:szCs w:val="20"/>
          <w:color w:val="auto"/>
        </w:rPr>
      </w:pPr>
      <w:r>
        <w:rPr>
          <w:rFonts w:ascii="Arial" w:cs="Arial" w:eastAsia="Arial" w:hAnsi="Arial"/>
          <w:sz w:val="18"/>
          <w:szCs w:val="18"/>
          <w:color w:val="auto"/>
        </w:rPr>
        <w:t>maintaining gross margins. To the extent that such cost reductions or revenue increases do not occur at a sufficient level and in a timely manner, our business, financial condition, and results of operations could be adversely affected.</w:t>
      </w:r>
    </w:p>
    <w:p>
      <w:pPr>
        <w:spacing w:after="0" w:line="170" w:lineRule="exact"/>
        <w:rPr>
          <w:sz w:val="20"/>
          <w:szCs w:val="20"/>
          <w:color w:val="auto"/>
        </w:rPr>
      </w:pPr>
    </w:p>
    <w:p>
      <w:pPr>
        <w:ind w:right="140" w:firstLine="572"/>
        <w:spacing w:after="0" w:line="263"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40" w:firstLine="572"/>
        <w:spacing w:after="0" w:line="275" w:lineRule="auto"/>
        <w:rPr>
          <w:sz w:val="20"/>
          <w:szCs w:val="20"/>
          <w:color w:val="auto"/>
        </w:rPr>
      </w:pPr>
      <w:r>
        <w:rPr>
          <w:rFonts w:ascii="Arial" w:cs="Arial" w:eastAsia="Arial" w:hAnsi="Arial"/>
          <w:sz w:val="17"/>
          <w:szCs w:val="17"/>
          <w:color w:val="auto"/>
        </w:rPr>
        <w:t>Our recent revenue should not be considered indicative of our future performance. For the years ended December 31, 2020 and 2019, our revenue was $116.2 million, and $84.1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29" w:lineRule="exact"/>
        <w:rPr>
          <w:sz w:val="20"/>
          <w:szCs w:val="20"/>
          <w:color w:val="auto"/>
        </w:rPr>
      </w:pPr>
    </w:p>
    <w:p>
      <w:pPr>
        <w:ind w:right="180" w:firstLine="572"/>
        <w:spacing w:after="0" w:line="286"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165" w:lineRule="exact"/>
        <w:rPr>
          <w:sz w:val="20"/>
          <w:szCs w:val="20"/>
          <w:color w:val="auto"/>
        </w:rPr>
      </w:pPr>
    </w:p>
    <w:p>
      <w:pPr>
        <w:ind w:right="60" w:firstLine="572"/>
        <w:spacing w:after="0" w:line="291"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274"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ind w:right="180" w:firstLine="572"/>
        <w:spacing w:after="0" w:line="259"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187" w:lineRule="exact"/>
        <w:rPr>
          <w:sz w:val="20"/>
          <w:szCs w:val="20"/>
          <w:color w:val="auto"/>
        </w:rPr>
      </w:pPr>
    </w:p>
    <w:p>
      <w:pPr>
        <w:ind w:right="20" w:firstLine="572"/>
        <w:spacing w:after="0" w:line="270" w:lineRule="auto"/>
        <w:rPr>
          <w:sz w:val="20"/>
          <w:szCs w:val="20"/>
          <w:color w:val="auto"/>
        </w:rPr>
      </w:pPr>
      <w:r>
        <w:rPr>
          <w:rFonts w:ascii="Arial" w:cs="Arial" w:eastAsia="Arial" w:hAnsi="Arial"/>
          <w:sz w:val="17"/>
          <w:szCs w:val="17"/>
          <w:color w:val="auto"/>
        </w:rPr>
        <w:t>Our silicon timing systems solutions have only been incorporated into end products for the past 13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could harm our relationships with our customers and damage our reputation.</w:t>
      </w:r>
    </w:p>
    <w:p>
      <w:pPr>
        <w:spacing w:after="0" w:line="117" w:lineRule="exact"/>
        <w:rPr>
          <w:sz w:val="20"/>
          <w:szCs w:val="20"/>
          <w:color w:val="auto"/>
        </w:rPr>
      </w:pPr>
    </w:p>
    <w:p>
      <w:pPr>
        <w:ind w:right="20" w:firstLine="572"/>
        <w:spacing w:after="0" w:line="275" w:lineRule="auto"/>
        <w:rPr>
          <w:sz w:val="20"/>
          <w:szCs w:val="20"/>
          <w:color w:val="auto"/>
        </w:rPr>
      </w:pPr>
      <w:r>
        <w:rPr>
          <w:rFonts w:ascii="Arial" w:cs="Arial" w:eastAsia="Arial" w:hAnsi="Arial"/>
          <w:sz w:val="17"/>
          <w:szCs w:val="17"/>
          <w:color w:val="auto"/>
        </w:rPr>
        <w:t>Defects in our products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2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ind w:firstLine="572"/>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28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260" w:firstLine="572"/>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170" w:lineRule="exact"/>
        <w:rPr>
          <w:sz w:val="20"/>
          <w:szCs w:val="20"/>
          <w:color w:val="auto"/>
        </w:rPr>
      </w:pPr>
    </w:p>
    <w:p>
      <w:pPr>
        <w:ind w:right="40" w:firstLine="572"/>
        <w:spacing w:after="0" w:line="259" w:lineRule="auto"/>
        <w:rPr>
          <w:sz w:val="20"/>
          <w:szCs w:val="20"/>
          <w:color w:val="auto"/>
        </w:rPr>
      </w:pPr>
      <w:r>
        <w:rPr>
          <w:rFonts w:ascii="Arial" w:cs="Arial" w:eastAsia="Arial" w:hAnsi="Arial"/>
          <w:sz w:val="18"/>
          <w:szCs w:val="18"/>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20"/>
        <w:spacing w:after="0" w:line="296" w:lineRule="auto"/>
        <w:rPr>
          <w:sz w:val="20"/>
          <w:szCs w:val="20"/>
          <w:color w:val="auto"/>
        </w:rPr>
      </w:pPr>
      <w:r>
        <w:rPr>
          <w:rFonts w:ascii="Arial" w:cs="Arial" w:eastAsia="Arial" w:hAnsi="Arial"/>
          <w:sz w:val="16"/>
          <w:szCs w:val="16"/>
          <w:color w:val="auto"/>
        </w:rPr>
        <w:t>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200" w:firstLine="572"/>
        <w:spacing w:after="0" w:line="296"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ind w:right="20" w:firstLine="572"/>
        <w:spacing w:after="0" w:line="268"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semiconductor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products to smaller companies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Silicon Laboratories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We expect competition in our current markets to increase in the future as existing competitors improve or expand their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184" w:lineRule="exact"/>
        <w:rPr>
          <w:sz w:val="20"/>
          <w:szCs w:val="20"/>
          <w:color w:val="auto"/>
        </w:rPr>
      </w:pPr>
    </w:p>
    <w:p>
      <w:pPr>
        <w:ind w:firstLine="572"/>
        <w:spacing w:after="0" w:line="296" w:lineRule="auto"/>
        <w:rPr>
          <w:sz w:val="20"/>
          <w:szCs w:val="20"/>
          <w:color w:val="auto"/>
        </w:rPr>
      </w:pPr>
      <w:r>
        <w:rPr>
          <w:rFonts w:ascii="Arial" w:cs="Arial" w:eastAsia="Arial" w:hAnsi="Arial"/>
          <w:sz w:val="16"/>
          <w:szCs w:val="16"/>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current COVID-19 pandemic, in the future and significantly reduce their pricing so as to compete against us. Our ability to compete successfully will depend on a number of factors, including:</w:t>
      </w:r>
    </w:p>
    <w:p>
      <w:pPr>
        <w:spacing w:after="0" w:line="53" w:lineRule="exact"/>
        <w:rPr>
          <w:sz w:val="20"/>
          <w:szCs w:val="20"/>
          <w:color w:val="auto"/>
        </w:rPr>
      </w:pPr>
    </w:p>
    <w:p>
      <w:pPr>
        <w:ind w:left="840" w:right="40" w:hanging="414"/>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840" w:right="180" w:hanging="414"/>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225" w:lineRule="exact"/>
        <w:rPr>
          <w:sz w:val="20"/>
          <w:szCs w:val="20"/>
          <w:color w:val="auto"/>
        </w:rPr>
      </w:pPr>
    </w:p>
    <w:p>
      <w:pPr>
        <w:ind w:firstLine="572"/>
        <w:spacing w:after="0" w:line="259" w:lineRule="auto"/>
        <w:rPr>
          <w:sz w:val="20"/>
          <w:szCs w:val="20"/>
          <w:color w:val="auto"/>
        </w:rPr>
      </w:pPr>
      <w:r>
        <w:rPr>
          <w:rFonts w:ascii="Arial" w:cs="Arial" w:eastAsia="Arial" w:hAnsi="Arial"/>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Any of these factors, alone or in combination with others, could harm our business, financial condition, and results of operations and result in a loss of market share and an increase in pricing pressure.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180" w:firstLine="572"/>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188" w:lineRule="exact"/>
        <w:rPr>
          <w:sz w:val="20"/>
          <w:szCs w:val="20"/>
          <w:color w:val="auto"/>
        </w:rPr>
      </w:pPr>
    </w:p>
    <w:p>
      <w:pPr>
        <w:ind w:right="40" w:firstLine="572"/>
        <w:spacing w:after="0" w:line="26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29" w:lineRule="exact"/>
        <w:rPr>
          <w:sz w:val="20"/>
          <w:szCs w:val="20"/>
          <w:color w:val="auto"/>
        </w:rPr>
      </w:pPr>
    </w:p>
    <w:p>
      <w:pPr>
        <w:ind w:right="120" w:firstLine="572"/>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840" w:right="260" w:hanging="414"/>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 parties for our wafer fabrication, assembly, and testing operations, which exposes us to certain risks that may harm our business.</w:t>
      </w:r>
    </w:p>
    <w:p>
      <w:pPr>
        <w:spacing w:after="0" w:line="152"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We operate an outsourced manufacturing business model. As a result, we rely on third parties for all of our manufacturing operations, including wafer fabrication, assembly,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materials.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195" w:lineRule="exact"/>
        <w:rPr>
          <w:sz w:val="20"/>
          <w:szCs w:val="20"/>
          <w:color w:val="auto"/>
        </w:rPr>
      </w:pPr>
    </w:p>
    <w:p>
      <w:pPr>
        <w:ind w:firstLine="572"/>
        <w:spacing w:after="0" w:line="289" w:lineRule="auto"/>
        <w:rPr>
          <w:sz w:val="20"/>
          <w:szCs w:val="20"/>
          <w:color w:val="auto"/>
        </w:rPr>
      </w:pPr>
      <w:r>
        <w:rPr>
          <w:rFonts w:ascii="Arial" w:cs="Arial" w:eastAsia="Arial" w:hAnsi="Arial"/>
          <w:sz w:val="16"/>
          <w:szCs w:val="16"/>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is currently a number of industry-wide supply constraints affecting the supply of analog circuits manufactured by certain foundries, including TSMC, which may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gross margins would be adversely affected.</w:t>
      </w:r>
    </w:p>
    <w:p>
      <w:pPr>
        <w:spacing w:after="0" w:line="166" w:lineRule="exact"/>
        <w:rPr>
          <w:sz w:val="20"/>
          <w:szCs w:val="20"/>
          <w:color w:val="auto"/>
        </w:rPr>
      </w:pPr>
    </w:p>
    <w:p>
      <w:pPr>
        <w:ind w:right="20" w:firstLine="572"/>
        <w:spacing w:after="0" w:line="270"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right="60" w:firstLine="572"/>
        <w:spacing w:after="0" w:line="253" w:lineRule="auto"/>
        <w:rPr>
          <w:sz w:val="20"/>
          <w:szCs w:val="20"/>
          <w:color w:val="auto"/>
        </w:rPr>
      </w:pPr>
      <w:r>
        <w:rPr>
          <w:rFonts w:ascii="Arial" w:cs="Arial" w:eastAsia="Arial" w:hAnsi="Arial"/>
          <w:sz w:val="18"/>
          <w:szCs w:val="18"/>
          <w:color w:val="auto"/>
        </w:rPr>
        <w:t>We currently rely on ASE, Carsem, and UTAC for assembly and testing, as well as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on March 16, 2020, the government of Malaysia announced measures to restrict movement in that country in an effort to suppress the number of COVID-19 cases. The restrictions have been extended several times, currently until August 2021. These restrictions could limit our suppliers’ ability to operate their manufacturing facilities in that country.</w:t>
      </w:r>
    </w:p>
    <w:p>
      <w:pPr>
        <w:spacing w:after="0" w:line="196" w:lineRule="exact"/>
        <w:rPr>
          <w:sz w:val="20"/>
          <w:szCs w:val="20"/>
          <w:color w:val="auto"/>
        </w:rPr>
      </w:pPr>
    </w:p>
    <w:p>
      <w:pPr>
        <w:ind w:right="20" w:firstLine="572"/>
        <w:spacing w:after="0" w:line="270" w:lineRule="auto"/>
        <w:rPr>
          <w:sz w:val="20"/>
          <w:szCs w:val="20"/>
          <w:color w:val="auto"/>
        </w:rPr>
      </w:pPr>
      <w:r>
        <w:rPr>
          <w:rFonts w:ascii="Arial" w:cs="Arial" w:eastAsia="Arial" w:hAnsi="Arial"/>
          <w:sz w:val="17"/>
          <w:szCs w:val="17"/>
          <w:color w:val="auto"/>
        </w:rPr>
        <w:t>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181" w:lineRule="exact"/>
        <w:rPr>
          <w:sz w:val="20"/>
          <w:szCs w:val="20"/>
          <w:color w:val="auto"/>
        </w:rPr>
      </w:pPr>
    </w:p>
    <w:p>
      <w:pPr>
        <w:ind w:right="160" w:firstLine="572"/>
        <w:spacing w:after="0" w:line="279" w:lineRule="auto"/>
        <w:rPr>
          <w:sz w:val="20"/>
          <w:szCs w:val="20"/>
          <w:color w:val="auto"/>
        </w:rPr>
      </w:pPr>
      <w:r>
        <w:rPr>
          <w:rFonts w:ascii="Arial" w:cs="Arial" w:eastAsia="Arial" w:hAnsi="Arial"/>
          <w:sz w:val="17"/>
          <w:szCs w:val="17"/>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loss of customers. In addition, the inability of our customers or their contract manufacturers to obtain sufficient supplies of third-party components used with our products could result in a decline in the demand of our products and a loss of sales.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40" w:lineRule="exact"/>
        <w:rPr>
          <w:sz w:val="20"/>
          <w:szCs w:val="20"/>
          <w:color w:val="auto"/>
        </w:rPr>
      </w:pPr>
    </w:p>
    <w:p>
      <w:pPr>
        <w:ind w:firstLine="572"/>
        <w:spacing w:after="0" w:line="288"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168" w:lineRule="exact"/>
        <w:rPr>
          <w:sz w:val="20"/>
          <w:szCs w:val="20"/>
          <w:color w:val="auto"/>
        </w:rPr>
      </w:pPr>
    </w:p>
    <w:p>
      <w:pPr>
        <w:ind w:right="20" w:firstLine="572"/>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100"/>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62" w:lineRule="exact"/>
        <w:rPr>
          <w:sz w:val="20"/>
          <w:szCs w:val="20"/>
          <w:color w:val="auto"/>
        </w:rPr>
      </w:pPr>
    </w:p>
    <w:p>
      <w:pPr>
        <w:ind w:firstLine="572"/>
        <w:spacing w:after="0" w:line="293" w:lineRule="auto"/>
        <w:rPr>
          <w:sz w:val="20"/>
          <w:szCs w:val="20"/>
          <w:color w:val="auto"/>
        </w:rPr>
      </w:pPr>
      <w:r>
        <w:rPr>
          <w:rFonts w:ascii="Arial" w:cs="Arial" w:eastAsia="Arial" w:hAnsi="Arial"/>
          <w:sz w:val="16"/>
          <w:szCs w:val="16"/>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164" w:lineRule="exact"/>
        <w:rPr>
          <w:sz w:val="20"/>
          <w:szCs w:val="20"/>
          <w:color w:val="auto"/>
        </w:rPr>
      </w:pPr>
    </w:p>
    <w:p>
      <w:pPr>
        <w:ind w:right="40" w:firstLine="572"/>
        <w:spacing w:after="0" w:line="279" w:lineRule="auto"/>
        <w:rPr>
          <w:sz w:val="20"/>
          <w:szCs w:val="20"/>
          <w:color w:val="auto"/>
        </w:rPr>
      </w:pPr>
      <w:r>
        <w:rPr>
          <w:rFonts w:ascii="Arial" w:cs="Arial" w:eastAsia="Arial" w:hAnsi="Arial"/>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160" w:firstLine="572"/>
        <w:spacing w:after="0" w:line="275"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40" w:firstLine="572"/>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2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80" w:firstLine="572"/>
        <w:spacing w:after="0" w:line="272"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However, the extent of the COVID-19 pandemic’s impact on credit and financial markets remains uncertain, which creates uncertainty as to the financial condition of our distributors and customers. Based on our review of our customers annually, substantially all of which are large distributors, resellers, OEMs, and system manufacturers, we had a $0.1 million reserve for credit losses as of each of December 31, 2020 and 2019. If our credit losses, however, were to exceed our current or future allowance for credit losses, our business, financial condition, and results of operations would be adversely affected.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117" w:lineRule="exact"/>
        <w:rPr>
          <w:sz w:val="20"/>
          <w:szCs w:val="20"/>
          <w:color w:val="auto"/>
        </w:rPr>
      </w:pPr>
    </w:p>
    <w:p>
      <w:pPr>
        <w:ind w:right="20" w:firstLine="572"/>
        <w:spacing w:after="0" w:line="254" w:lineRule="auto"/>
        <w:rPr>
          <w:sz w:val="20"/>
          <w:szCs w:val="20"/>
          <w:color w:val="auto"/>
        </w:rPr>
      </w:pPr>
      <w:r>
        <w:rPr>
          <w:rFonts w:ascii="Arial" w:cs="Arial" w:eastAsia="Arial" w:hAnsi="Arial"/>
          <w:sz w:val="18"/>
          <w:szCs w:val="18"/>
          <w:color w:val="auto"/>
        </w:rPr>
        <w:t>Our loan agreements contain certain restrictive covenants that either limit our ability to, or require a mandatory prepayment in the event that we, incur indebtedness, merge with other companies or enter into or consummate certain change of control transactions, acquire other companies, make certain investments, transfer or dispose of assets, amend certain material agreements, or enter into certain other transactions. Furthermore, our future working capital, borrowings, or equity financing could be unavailable to repay or refinance any amounts outstanding under our future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any future lenders, were first repaid in full.</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40" w:lineRule="exact"/>
        <w:rPr>
          <w:sz w:val="20"/>
          <w:szCs w:val="20"/>
          <w:color w:val="auto"/>
        </w:rPr>
      </w:pPr>
    </w:p>
    <w:p>
      <w:pPr>
        <w:ind w:right="140" w:firstLine="572"/>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recently repaid all of our outstanding indebtedness under our revolving line of credit and may seek, or be required to seek, alternative or additional debt financing in the immediate or near term.</w:t>
      </w:r>
    </w:p>
    <w:p>
      <w:pPr>
        <w:spacing w:after="0" w:line="62"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color w:val="auto"/>
        </w:rPr>
        <w:t>On July 24, 2020 we repaid $35.0 million of outstanding indebtedness under our revolving line of credit agreement with The Bank of Tokyo-Mitsubishi UFJ, Ltd. (“MUFG”). As of December 31, 2020, we closed the $20.0 million revolving line of credit we had with Sumitomo Mitsui Banking Corporation and $30.0 revolving line of credit with MegaChips. Both of these credit facilities had no outstanding balance at the time of closing. We currently still maintain a $50.0 million revolving line of credit with MUFG. MUFG requires us to maintain a minimum cash balance in our operating cash account equal to our outstanding loan balance. We may seek, or be required to seek, additional or alternative sources of debt financing, in lieu of, or in addition to, our current facilities. Any required additional financing may not be available on terms acceptable to us, or at all. Further, we may not have the leverage to negotiate terms favorable to us under these arrangements, including with MUFG, as we are no longer a wholly-owned subsidiary of MegaChips. We do not expect MegaChips to provide guarantees of our indebtedness in the future, which may make it more difficult or expensive to borrow funds in the future. In addition, the terms of any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right="120" w:firstLine="572"/>
        <w:spacing w:after="0" w:line="275"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China, Taiwan, and Ukraine. In addition, members of our sales force are located in the United States, China, India, France, Taiwan, and Ukraine. In addition, approximately 93% of our revenue for the years ended December 31, 2020 and 2019 was from distributors with ship-to locations outside the United States,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color w:val="auto"/>
        </w:rPr>
        <w:t>although we believe the majority of our end customers are based in the U.S., based on sell-through information provided by these distributors. As a result of our international focus, we face numerous challenges and risks, including:</w:t>
      </w:r>
    </w:p>
    <w:p>
      <w:pPr>
        <w:spacing w:after="0" w:line="62" w:lineRule="exact"/>
        <w:rPr>
          <w:sz w:val="20"/>
          <w:szCs w:val="20"/>
          <w:color w:val="auto"/>
        </w:rPr>
      </w:pPr>
    </w:p>
    <w:p>
      <w:pPr>
        <w:ind w:left="840" w:hanging="414"/>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complexity and costs of managing international operations, including manufacturing, assembly, and testing of our products and associated costs;</w:t>
      </w:r>
    </w:p>
    <w:p>
      <w:pPr>
        <w:spacing w:after="0" w:line="140" w:lineRule="exact"/>
        <w:rPr>
          <w:rFonts w:ascii="Arial" w:cs="Arial" w:eastAsia="Arial" w:hAnsi="Arial"/>
          <w:sz w:val="16"/>
          <w:szCs w:val="16"/>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840" w:right="640" w:hanging="41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exit from the European Union;</w:t>
      </w:r>
    </w:p>
    <w:p>
      <w:pPr>
        <w:spacing w:after="0" w:line="62" w:lineRule="exact"/>
        <w:rPr>
          <w:rFonts w:ascii="Arial" w:cs="Arial" w:eastAsia="Arial" w:hAnsi="Arial"/>
          <w:sz w:val="18"/>
          <w:szCs w:val="18"/>
          <w:color w:val="auto"/>
        </w:rPr>
      </w:pPr>
    </w:p>
    <w:p>
      <w:pPr>
        <w:ind w:left="840" w:right="160" w:hanging="41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 and increased restrictions on Hong Kong;</w:t>
      </w:r>
    </w:p>
    <w:p>
      <w:pPr>
        <w:spacing w:after="0" w:line="62" w:lineRule="exact"/>
        <w:rPr>
          <w:rFonts w:ascii="Arial" w:cs="Arial" w:eastAsia="Arial" w:hAnsi="Arial"/>
          <w:sz w:val="18"/>
          <w:szCs w:val="18"/>
          <w:color w:val="auto"/>
        </w:rPr>
      </w:pPr>
    </w:p>
    <w:p>
      <w:pPr>
        <w:ind w:left="840" w:right="260" w:hanging="41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840" w:right="40" w:hanging="414"/>
        <w:spacing w:after="0" w:line="308"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38" w:lineRule="exact"/>
        <w:rPr>
          <w:rFonts w:ascii="Arial" w:cs="Arial" w:eastAsia="Arial" w:hAnsi="Arial"/>
          <w:sz w:val="17"/>
          <w:szCs w:val="17"/>
          <w:color w:val="auto"/>
        </w:rPr>
      </w:pPr>
    </w:p>
    <w:p>
      <w:pPr>
        <w:ind w:left="840" w:right="420" w:hanging="41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requirements in foreign countries which may impact availability of personnel, such as mandatory military service in countries such as Ukraine;</w:t>
      </w:r>
    </w:p>
    <w:p>
      <w:pPr>
        <w:spacing w:after="0" w:line="140" w:lineRule="exact"/>
        <w:rPr>
          <w:rFonts w:ascii="Arial" w:cs="Arial" w:eastAsia="Arial" w:hAnsi="Arial"/>
          <w:sz w:val="16"/>
          <w:szCs w:val="16"/>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840" w:right="440" w:hanging="41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17" w:lineRule="exact"/>
        <w:rPr>
          <w:rFonts w:ascii="Arial" w:cs="Arial" w:eastAsia="Arial" w:hAnsi="Arial"/>
          <w:sz w:val="18"/>
          <w:szCs w:val="18"/>
          <w:color w:val="auto"/>
        </w:rPr>
      </w:pPr>
    </w:p>
    <w:p>
      <w:pPr>
        <w:ind w:left="840" w:right="420" w:hanging="41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170" w:lineRule="exact"/>
        <w:rPr>
          <w:sz w:val="20"/>
          <w:szCs w:val="20"/>
          <w:color w:val="auto"/>
        </w:rPr>
      </w:pPr>
    </w:p>
    <w:p>
      <w:pPr>
        <w:ind w:right="40" w:firstLine="572"/>
        <w:spacing w:after="0" w:line="270"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impact our business remains uncertain but it may materially adversely affect our business, financial condition or results of operations.</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color w:val="auto"/>
        </w:rPr>
        <w:t>If significant tariffs or other restrictions are placed on Chinese imports or any related counter-measures are taken by China, our revenue and results of operations may be materially and adversely affected. Between July 2018 and February 2020, the U.S. Trade Representative imposed tariffs on products from China, with current tariff rates between 7.5% and 25%.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prior U.S. administration imposed new or additional tariffs on Chinese products with short notice and China imposed certain retaliatory tariffs. The current U.S. administration may further alter trade agreements and terms between China and the United States, which could further limit trade with China or impose additional tariffs on imports from China.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2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20" w:firstLine="572"/>
        <w:spacing w:after="0" w:line="289"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and we have consultants in Russia, India and Thailand.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52"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ind w:right="20" w:firstLine="572"/>
        <w:spacing w:after="0" w:line="285" w:lineRule="auto"/>
        <w:rPr>
          <w:sz w:val="20"/>
          <w:szCs w:val="20"/>
          <w:color w:val="auto"/>
        </w:rPr>
      </w:pPr>
      <w:r>
        <w:rPr>
          <w:rFonts w:ascii="Arial" w:cs="Arial" w:eastAsia="Arial" w:hAnsi="Arial"/>
          <w:sz w:val="16"/>
          <w:szCs w:val="16"/>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in the last 18 months,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20" w:firstLine="572"/>
        <w:spacing w:after="0" w:line="296"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ind w:firstLine="572"/>
        <w:spacing w:after="0" w:line="253" w:lineRule="auto"/>
        <w:rPr>
          <w:sz w:val="20"/>
          <w:szCs w:val="20"/>
          <w:color w:val="auto"/>
        </w:rPr>
      </w:pPr>
      <w:r>
        <w:rPr>
          <w:rFonts w:ascii="Arial" w:cs="Arial" w:eastAsia="Arial" w:hAnsi="Arial"/>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ind w:right="320"/>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20" w:firstLine="572"/>
        <w:spacing w:after="0" w:line="272"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the California Consumer Privacy Act (“CCPA”) went into effect in January 2020 and enhances consumer protection and privacy rights by granting consumers resident in California new rights with respect to the collection of their personal data and imposing new operational requirements on businesses.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185" w:lineRule="exact"/>
        <w:rPr>
          <w:sz w:val="20"/>
          <w:szCs w:val="20"/>
          <w:color w:val="auto"/>
        </w:rPr>
      </w:pPr>
    </w:p>
    <w:p>
      <w:pPr>
        <w:ind w:right="180" w:firstLine="572"/>
        <w:spacing w:after="0" w:line="301"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192" w:lineRule="exact"/>
        <w:rPr>
          <w:sz w:val="20"/>
          <w:szCs w:val="20"/>
          <w:color w:val="auto"/>
        </w:rPr>
      </w:pPr>
    </w:p>
    <w:p>
      <w:pPr>
        <w:ind w:right="120" w:firstLine="572"/>
        <w:spacing w:after="0" w:line="270" w:lineRule="auto"/>
        <w:rPr>
          <w:sz w:val="20"/>
          <w:szCs w:val="20"/>
          <w:color w:val="auto"/>
        </w:rPr>
      </w:pPr>
      <w:r>
        <w:rPr>
          <w:rFonts w:ascii="Arial" w:cs="Arial" w:eastAsia="Arial" w:hAnsi="Arial"/>
          <w:sz w:val="17"/>
          <w:szCs w:val="17"/>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Cybersecurity threats, which include computer viruses, spyware, and malware, attempts 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5" w:name="page36"/>
    <w:bookmarkEnd w:id="35"/>
    <w:p>
      <w:pPr>
        <w:ind w:right="200"/>
        <w:spacing w:after="0" w:line="259" w:lineRule="auto"/>
        <w:rPr>
          <w:sz w:val="20"/>
          <w:szCs w:val="20"/>
          <w:color w:val="auto"/>
        </w:rPr>
      </w:pPr>
      <w:r>
        <w:rPr>
          <w:rFonts w:ascii="Arial" w:cs="Arial" w:eastAsia="Arial" w:hAnsi="Arial"/>
          <w:sz w:val="18"/>
          <w:szCs w:val="18"/>
          <w:color w:val="auto"/>
        </w:rPr>
        <w:t>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260" w:lineRule="exact"/>
        <w:rPr>
          <w:sz w:val="20"/>
          <w:szCs w:val="20"/>
          <w:color w:val="auto"/>
        </w:rPr>
      </w:pPr>
    </w:p>
    <w:p>
      <w:pPr>
        <w:ind w:firstLine="572"/>
        <w:spacing w:after="0" w:line="285" w:lineRule="auto"/>
        <w:rPr>
          <w:sz w:val="20"/>
          <w:szCs w:val="20"/>
          <w:color w:val="auto"/>
        </w:rPr>
      </w:pPr>
      <w:r>
        <w:rPr>
          <w:rFonts w:ascii="Arial" w:cs="Arial" w:eastAsia="Arial" w:hAnsi="Arial"/>
          <w:sz w:val="16"/>
          <w:szCs w:val="16"/>
          <w:color w:val="auto"/>
        </w:rPr>
        <w:t>As of December 31, 2020, we had U.S. federal and state net operating loss (“NOL”) carryforwards of approximately $201.5 million and $64.0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firstLine="572"/>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2020, we had 73 issued U.S. patents, expiring generally between 2026 and 2039, and 27 pending U.S. patent applications. We also had one foreign issued patent expiring in 2039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party,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6" w:name="page37"/>
    <w:bookmarkEnd w:id="36"/>
    <w:p>
      <w:pPr>
        <w:ind w:right="220"/>
        <w:spacing w:after="0" w:line="257" w:lineRule="auto"/>
        <w:rPr>
          <w:sz w:val="20"/>
          <w:szCs w:val="20"/>
          <w:color w:val="auto"/>
        </w:rPr>
      </w:pPr>
      <w:r>
        <w:rPr>
          <w:rFonts w:ascii="Arial" w:cs="Arial" w:eastAsia="Arial" w:hAnsi="Arial"/>
          <w:sz w:val="18"/>
          <w:szCs w:val="18"/>
          <w:color w:val="auto"/>
        </w:rPr>
        <w:t>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188" w:lineRule="exact"/>
        <w:rPr>
          <w:sz w:val="20"/>
          <w:szCs w:val="20"/>
          <w:color w:val="auto"/>
        </w:rPr>
      </w:pPr>
    </w:p>
    <w:p>
      <w:pPr>
        <w:ind w:right="140" w:firstLine="572"/>
        <w:spacing w:after="0" w:line="263"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184" w:lineRule="exact"/>
        <w:rPr>
          <w:sz w:val="20"/>
          <w:szCs w:val="20"/>
          <w:color w:val="auto"/>
        </w:rPr>
      </w:pPr>
    </w:p>
    <w:p>
      <w:pPr>
        <w:ind w:right="20" w:firstLine="572"/>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87" w:lineRule="exact"/>
        <w:rPr>
          <w:sz w:val="20"/>
          <w:szCs w:val="20"/>
          <w:color w:val="auto"/>
        </w:rPr>
      </w:pPr>
    </w:p>
    <w:p>
      <w:pPr>
        <w:ind w:right="40" w:firstLine="572"/>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24" w:lineRule="exact"/>
        <w:rPr>
          <w:sz w:val="20"/>
          <w:szCs w:val="20"/>
          <w:color w:val="auto"/>
        </w:rPr>
      </w:pPr>
    </w:p>
    <w:p>
      <w:pPr>
        <w:ind w:right="60" w:firstLine="572"/>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192" w:lineRule="exact"/>
        <w:rPr>
          <w:sz w:val="20"/>
          <w:szCs w:val="20"/>
          <w:color w:val="auto"/>
        </w:rPr>
      </w:pPr>
    </w:p>
    <w:p>
      <w:pPr>
        <w:ind w:right="40" w:firstLine="572"/>
        <w:spacing w:after="0" w:line="301"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57" w:lineRule="exact"/>
        <w:rPr>
          <w:sz w:val="20"/>
          <w:szCs w:val="20"/>
          <w:color w:val="auto"/>
        </w:rPr>
      </w:pPr>
    </w:p>
    <w:p>
      <w:pPr>
        <w:ind w:right="20" w:firstLine="572"/>
        <w:spacing w:after="0" w:line="254"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30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20"/>
        <w:spacing w:after="0" w:line="291" w:lineRule="auto"/>
        <w:rPr>
          <w:sz w:val="20"/>
          <w:szCs w:val="20"/>
          <w:color w:val="auto"/>
        </w:rPr>
      </w:pPr>
      <w:r>
        <w:rPr>
          <w:rFonts w:ascii="Arial" w:cs="Arial" w:eastAsia="Arial" w:hAnsi="Arial"/>
          <w:sz w:val="16"/>
          <w:szCs w:val="16"/>
          <w:color w:val="auto"/>
        </w:rPr>
        <w:t>to technologies that are important to our business. For example, in March 2019, VTT Technical Research Centre of Finland, Ltd. filed suit in the United States District Court for the Northern District of California alleging infringement by us of a patent. While the District Court ruled in our favor, VTT has filed an appeal with the U.S. Court of Appeals for the Federal Circuit. We have not accrued for a loss contingency relating to this matter.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“Business – Legal Proceedings.”</w:t>
      </w:r>
    </w:p>
    <w:p>
      <w:pPr>
        <w:spacing w:after="0" w:line="166" w:lineRule="exact"/>
        <w:rPr>
          <w:sz w:val="20"/>
          <w:szCs w:val="20"/>
          <w:color w:val="auto"/>
        </w:rPr>
      </w:pPr>
    </w:p>
    <w:p>
      <w:pPr>
        <w:ind w:right="120" w:firstLine="572"/>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6" w:lineRule="exact"/>
        <w:rPr>
          <w:sz w:val="20"/>
          <w:szCs w:val="20"/>
          <w:color w:val="auto"/>
        </w:rPr>
      </w:pPr>
    </w:p>
    <w:p>
      <w:pPr>
        <w:ind w:right="440" w:firstLine="572"/>
        <w:spacing w:after="0" w:line="286" w:lineRule="auto"/>
        <w:rPr>
          <w:sz w:val="20"/>
          <w:szCs w:val="20"/>
          <w:color w:val="auto"/>
        </w:rPr>
      </w:pPr>
      <w:r>
        <w:rPr>
          <w:rFonts w:ascii="Arial" w:cs="Arial" w:eastAsia="Arial" w:hAnsi="Arial"/>
          <w:sz w:val="17"/>
          <w:szCs w:val="17"/>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57" w:lineRule="exact"/>
        <w:rPr>
          <w:sz w:val="20"/>
          <w:szCs w:val="20"/>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license technology from the third-party claiming infringement, which license may not be available on commercially reasonable terms, or at all;</w:t>
      </w:r>
    </w:p>
    <w:p>
      <w:pPr>
        <w:spacing w:after="0" w:line="140" w:lineRule="exact"/>
        <w:rPr>
          <w:rFonts w:ascii="Arial" w:cs="Arial" w:eastAsia="Arial" w:hAnsi="Arial"/>
          <w:sz w:val="16"/>
          <w:szCs w:val="16"/>
          <w:color w:val="auto"/>
        </w:rPr>
      </w:pPr>
    </w:p>
    <w:p>
      <w:pPr>
        <w:ind w:left="840" w:hanging="414"/>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cross-license our technology to a competitor to resolve an infringement claim, which could weaken our ability to compete with that competitor;</w:t>
      </w:r>
    </w:p>
    <w:p>
      <w:pPr>
        <w:spacing w:after="0" w:line="140" w:lineRule="exact"/>
        <w:rPr>
          <w:rFonts w:ascii="Arial" w:cs="Arial" w:eastAsia="Arial" w:hAnsi="Arial"/>
          <w:sz w:val="16"/>
          <w:szCs w:val="16"/>
          <w:color w:val="auto"/>
        </w:rPr>
      </w:pPr>
    </w:p>
    <w:p>
      <w:pPr>
        <w:ind w:left="840" w:right="300" w:hanging="414"/>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840" w:right="300" w:hanging="414"/>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200" w:firstLine="572"/>
        <w:spacing w:after="0" w:line="301"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right="20"/>
        <w:spacing w:after="0" w:line="257" w:lineRule="auto"/>
        <w:rPr>
          <w:sz w:val="20"/>
          <w:szCs w:val="20"/>
          <w:color w:val="auto"/>
        </w:rPr>
      </w:pPr>
      <w:r>
        <w:rPr>
          <w:rFonts w:ascii="Arial" w:cs="Arial" w:eastAsia="Arial" w:hAnsi="Arial"/>
          <w:sz w:val="18"/>
          <w:szCs w:val="18"/>
          <w:color w:val="auto"/>
        </w:rPr>
        <w:t>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188" w:lineRule="exact"/>
        <w:rPr>
          <w:sz w:val="20"/>
          <w:szCs w:val="20"/>
          <w:color w:val="auto"/>
        </w:rPr>
      </w:pPr>
    </w:p>
    <w:p>
      <w:pPr>
        <w:ind w:firstLine="572"/>
        <w:spacing w:after="0" w:line="27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2" w:lineRule="exact"/>
        <w:rPr>
          <w:sz w:val="20"/>
          <w:szCs w:val="20"/>
          <w:color w:val="auto"/>
        </w:rPr>
      </w:pPr>
    </w:p>
    <w:p>
      <w:pPr>
        <w:ind w:right="40" w:firstLine="572"/>
        <w:spacing w:after="0" w:line="301" w:lineRule="auto"/>
        <w:rPr>
          <w:sz w:val="20"/>
          <w:szCs w:val="20"/>
          <w:color w:val="auto"/>
        </w:rPr>
      </w:pPr>
      <w:r>
        <w:rPr>
          <w:rFonts w:ascii="Arial" w:cs="Arial" w:eastAsia="Arial" w:hAnsi="Arial"/>
          <w:sz w:val="16"/>
          <w:szCs w:val="16"/>
          <w:color w:val="auto"/>
        </w:rPr>
        <w:t>MegaChips owns 7,500,000 shares of our common stock, representing approximately 43.7% of our outstanding common stock as of December 31, 2020. For so long as MegaChips or its successors in interest, continue to hold the largest ownership position in our outstanding common stock, we expect MegaChips to continue to hold at least one out of seven seats on our board of directors, to be able to elect members of our board of directors, and could replace our entire board of directors. As long as MegaChips continues to be our largest stockholder, it will continue to have significant influence over us.</w:t>
      </w:r>
    </w:p>
    <w:p>
      <w:pPr>
        <w:spacing w:after="0" w:line="157" w:lineRule="exact"/>
        <w:rPr>
          <w:sz w:val="20"/>
          <w:szCs w:val="20"/>
          <w:color w:val="auto"/>
        </w:rPr>
      </w:pPr>
    </w:p>
    <w:p>
      <w:pPr>
        <w:ind w:right="60" w:firstLine="572"/>
        <w:spacing w:after="0" w:line="286" w:lineRule="auto"/>
        <w:rPr>
          <w:sz w:val="20"/>
          <w:szCs w:val="20"/>
          <w:color w:val="auto"/>
        </w:rPr>
      </w:pPr>
      <w:r>
        <w:rPr>
          <w:rFonts w:ascii="Arial" w:cs="Arial" w:eastAsia="Arial" w:hAnsi="Arial"/>
          <w:sz w:val="17"/>
          <w:szCs w:val="17"/>
          <w:color w:val="auto"/>
        </w:rPr>
        <w:t>For example, as long as MegaChips continues to hold a significant or the largest ownership position in our outstanding common stock, MegaChips may have the ability to control or otherwise affect the outcome of any stockholder vote during this period. As a result, MegaChips will have the ability to exert significant influence over many matters affecting us, either through its board representative or as a stockholder, including:</w:t>
      </w:r>
    </w:p>
    <w:p>
      <w:pPr>
        <w:spacing w:after="0" w:line="57" w:lineRule="exact"/>
        <w:rPr>
          <w:sz w:val="20"/>
          <w:szCs w:val="20"/>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225" w:lineRule="exact"/>
        <w:rPr>
          <w:sz w:val="20"/>
          <w:szCs w:val="20"/>
          <w:color w:val="auto"/>
        </w:rPr>
      </w:pPr>
    </w:p>
    <w:p>
      <w:pPr>
        <w:ind w:right="220" w:firstLine="572"/>
        <w:spacing w:after="0" w:line="286"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 on our board of directors, persons who we would like to invite to join our board of directors may decline to do so.</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distributions by MegaChips of our products under our distribution agreement with MegaChips;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225" w:lineRule="exact"/>
        <w:rPr>
          <w:sz w:val="20"/>
          <w:szCs w:val="20"/>
          <w:color w:val="auto"/>
        </w:rPr>
      </w:pPr>
    </w:p>
    <w:p>
      <w:pPr>
        <w:ind w:right="460" w:firstLine="572"/>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170" w:lineRule="exact"/>
        <w:rPr>
          <w:sz w:val="20"/>
          <w:szCs w:val="20"/>
          <w:color w:val="auto"/>
        </w:rPr>
      </w:pPr>
    </w:p>
    <w:p>
      <w:pPr>
        <w:ind w:right="260" w:firstLine="572"/>
        <w:spacing w:after="0" w:line="275" w:lineRule="auto"/>
        <w:rPr>
          <w:sz w:val="20"/>
          <w:szCs w:val="20"/>
          <w:color w:val="auto"/>
        </w:rPr>
      </w:pPr>
      <w:r>
        <w:rPr>
          <w:rFonts w:ascii="Arial" w:cs="Arial" w:eastAsia="Arial" w:hAnsi="Arial"/>
          <w:sz w:val="17"/>
          <w:szCs w:val="17"/>
          <w:color w:val="auto"/>
        </w:rPr>
        <w:t>We have entered into a distribution agreement with MegaChips under which MegaChips has the exclusive right to promote, market, and sell our products in Japan as the exclusive distributor. We also have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ind w:right="160" w:firstLine="572"/>
        <w:spacing w:after="0" w:line="272" w:lineRule="auto"/>
        <w:rPr>
          <w:sz w:val="20"/>
          <w:szCs w:val="20"/>
          <w:color w:val="auto"/>
        </w:rPr>
      </w:pPr>
      <w:r>
        <w:rPr>
          <w:rFonts w:ascii="Arial" w:cs="Arial" w:eastAsia="Arial" w:hAnsi="Arial"/>
          <w:sz w:val="17"/>
          <w:szCs w:val="17"/>
          <w:color w:val="auto"/>
        </w:rPr>
        <w:t>Some of our employees, directors and executive officers own MegaChips’ common stock and restricted stock units. In addition, some of our directors have or had affiliations with MegaChips. Ownership of MegaChips securities by our directors and officers and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future sales of our common stock could cause the market price of our common stock to decline.</w:t>
      </w:r>
    </w:p>
    <w:p>
      <w:pPr>
        <w:spacing w:after="0" w:line="121"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0" w:name="page41"/>
    <w:bookmarkEnd w:id="40"/>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ind w:right="560" w:firstLine="57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amended and restated certificate of incorporation and bylaws include provisions that:</w:t>
      </w:r>
    </w:p>
    <w:p>
      <w:pPr>
        <w:spacing w:after="0" w:line="62" w:lineRule="exact"/>
        <w:rPr>
          <w:sz w:val="20"/>
          <w:szCs w:val="20"/>
          <w:color w:val="auto"/>
        </w:rPr>
      </w:pPr>
    </w:p>
    <w:p>
      <w:pPr>
        <w:ind w:left="840" w:right="220" w:hanging="414"/>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840" w:right="320" w:hanging="414"/>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840" w:right="320" w:hanging="414"/>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840" w:right="160" w:hanging="414"/>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170" w:lineRule="exact"/>
        <w:rPr>
          <w:sz w:val="20"/>
          <w:szCs w:val="20"/>
          <w:color w:val="auto"/>
        </w:rPr>
      </w:pPr>
    </w:p>
    <w:p>
      <w:pPr>
        <w:ind w:right="100" w:firstLine="572"/>
        <w:spacing w:after="0" w:line="273"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286"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3" w:lineRule="exact"/>
        <w:rPr>
          <w:sz w:val="20"/>
          <w:szCs w:val="20"/>
          <w:color w:val="auto"/>
        </w:rPr>
      </w:pPr>
    </w:p>
    <w:p>
      <w:pPr>
        <w:ind w:firstLine="572"/>
        <w:spacing w:after="0" w:line="289"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firstLine="572"/>
        <w:spacing w:after="0" w:line="254" w:lineRule="auto"/>
        <w:rPr>
          <w:sz w:val="20"/>
          <w:szCs w:val="20"/>
          <w:color w:val="auto"/>
        </w:rPr>
      </w:pPr>
      <w:r>
        <w:rPr>
          <w:rFonts w:ascii="Arial" w:cs="Arial" w:eastAsia="Arial" w:hAnsi="Arial"/>
          <w:sz w:val="18"/>
          <w:szCs w:val="18"/>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62" w:lineRule="exact"/>
        <w:rPr>
          <w:sz w:val="20"/>
          <w:szCs w:val="20"/>
          <w:color w:val="auto"/>
        </w:rPr>
      </w:pPr>
    </w:p>
    <w:p>
      <w:pPr>
        <w:ind w:right="60" w:firstLine="572"/>
        <w:spacing w:after="0" w:line="269"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ind w:right="20" w:firstLine="572"/>
        <w:spacing w:after="0" w:line="301"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2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ind w:firstLine="572"/>
        <w:spacing w:after="0" w:line="270"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80" w:firstLine="572"/>
        <w:spacing w:after="0" w:line="255"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business and future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17" w:lineRule="exact"/>
        <w:rPr>
          <w:sz w:val="20"/>
          <w:szCs w:val="20"/>
          <w:color w:val="auto"/>
        </w:rPr>
      </w:pPr>
    </w:p>
    <w:p>
      <w:pPr>
        <w:ind w:right="140" w:firstLine="572"/>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840" w:right="440" w:hanging="414"/>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840" w:right="280" w:hanging="414"/>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as a result of the COVID 19 global pandemic;</w:t>
      </w:r>
    </w:p>
    <w:p>
      <w:pPr>
        <w:spacing w:after="0" w:line="62" w:lineRule="exact"/>
        <w:rPr>
          <w:rFonts w:ascii="Arial" w:cs="Arial" w:eastAsia="Arial" w:hAnsi="Arial"/>
          <w:sz w:val="18"/>
          <w:szCs w:val="18"/>
          <w:color w:val="auto"/>
        </w:rPr>
      </w:pPr>
    </w:p>
    <w:p>
      <w:pPr>
        <w:ind w:left="840" w:right="460" w:hanging="414"/>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840" w:right="460" w:hanging="414"/>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the semiconductor industry;</w:t>
      </w:r>
    </w:p>
    <w:p>
      <w:pPr>
        <w:spacing w:after="0" w:line="140" w:lineRule="exact"/>
        <w:rPr>
          <w:rFonts w:ascii="Arial" w:cs="Arial" w:eastAsia="Arial" w:hAnsi="Arial"/>
          <w:sz w:val="16"/>
          <w:szCs w:val="16"/>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28" w:lineRule="exact"/>
        <w:rPr>
          <w:rFonts w:ascii="Arial" w:cs="Arial" w:eastAsia="Arial" w:hAnsi="Arial"/>
          <w:sz w:val="17"/>
          <w:szCs w:val="17"/>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840" w:hanging="414"/>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the COVID-19 pandemic, or responses to these events.</w:t>
      </w:r>
    </w:p>
    <w:p>
      <w:pPr>
        <w:spacing w:after="0" w:line="237" w:lineRule="exact"/>
        <w:rPr>
          <w:sz w:val="20"/>
          <w:szCs w:val="20"/>
          <w:color w:val="auto"/>
        </w:rPr>
      </w:pPr>
    </w:p>
    <w:p>
      <w:pPr>
        <w:ind w:right="240" w:firstLine="572"/>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ind w:firstLine="572"/>
        <w:spacing w:after="0" w:line="275"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changes in the value of our common stock.</w:t>
      </w:r>
    </w:p>
    <w:p>
      <w:pPr>
        <w:spacing w:after="0" w:line="129" w:lineRule="exact"/>
        <w:rPr>
          <w:sz w:val="20"/>
          <w:szCs w:val="20"/>
          <w:color w:val="auto"/>
        </w:rPr>
      </w:pPr>
    </w:p>
    <w:p>
      <w:pPr>
        <w:ind w:right="40" w:firstLine="572"/>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not meet our guidance and expectations, which would likely cause our stock price to decline.</w:t>
      </w:r>
    </w:p>
    <w:p>
      <w:pPr>
        <w:spacing w:after="0" w:line="117"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2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ind w:right="520" w:firstLine="572"/>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including costs associated with public company reporting requirements. Our management team and other personnel have and will continue to devote a substantial amount of time complying with these public company reporting requirements.</w:t>
      </w:r>
    </w:p>
    <w:p>
      <w:pPr>
        <w:spacing w:after="0" w:line="184" w:lineRule="exact"/>
        <w:rPr>
          <w:sz w:val="20"/>
          <w:szCs w:val="20"/>
          <w:color w:val="auto"/>
        </w:rPr>
      </w:pPr>
    </w:p>
    <w:p>
      <w:pPr>
        <w:ind w:right="40" w:firstLine="572"/>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right="80" w:firstLine="572"/>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required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62" w:lineRule="exact"/>
        <w:rPr>
          <w:sz w:val="20"/>
          <w:szCs w:val="20"/>
          <w:color w:val="auto"/>
        </w:rPr>
      </w:pPr>
    </w:p>
    <w:p>
      <w:pPr>
        <w:ind w:firstLine="572"/>
        <w:spacing w:after="0" w:line="267" w:lineRule="auto"/>
        <w:rPr>
          <w:sz w:val="20"/>
          <w:szCs w:val="20"/>
          <w:color w:val="auto"/>
        </w:rPr>
      </w:pPr>
      <w:r>
        <w:rPr>
          <w:rFonts w:ascii="Arial" w:cs="Arial" w:eastAsia="Arial" w:hAnsi="Arial"/>
          <w:sz w:val="17"/>
          <w:szCs w:val="17"/>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29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20" w:firstLine="572"/>
        <w:spacing w:after="0" w:line="273"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78" w:lineRule="exact"/>
        <w:rPr>
          <w:sz w:val="20"/>
          <w:szCs w:val="20"/>
          <w:color w:val="auto"/>
        </w:rPr>
      </w:pPr>
    </w:p>
    <w:p>
      <w:pPr>
        <w:ind w:right="120" w:firstLine="57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Act provides that our decision to opt out of the extended transition period for complying with new or revised accounting standards is irrevocable.</w:t>
      </w:r>
    </w:p>
    <w:p>
      <w:pPr>
        <w:spacing w:after="0" w:line="237" w:lineRule="exact"/>
        <w:rPr>
          <w:sz w:val="20"/>
          <w:szCs w:val="20"/>
          <w:color w:val="auto"/>
        </w:rPr>
      </w:pPr>
    </w:p>
    <w:p>
      <w:pPr>
        <w:ind w:right="120" w:firstLine="572"/>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firstLine="572"/>
        <w:spacing w:after="0" w:line="257" w:lineRule="auto"/>
        <w:rPr>
          <w:sz w:val="20"/>
          <w:szCs w:val="20"/>
          <w:color w:val="auto"/>
        </w:rPr>
      </w:pPr>
      <w:r>
        <w:rPr>
          <w:rFonts w:ascii="Arial" w:cs="Arial" w:eastAsia="Arial" w:hAnsi="Arial"/>
          <w:sz w:val="18"/>
          <w:szCs w:val="18"/>
          <w:color w:val="auto"/>
        </w:rPr>
        <w:t>Our principal executive offices are located in a leased facility in Santa Clara, California, consisting of approximately 50,400 square feet of office space under lease that expires in December 2026. This facility accommodates our principal engineering, sales, marketing, operations, finance, and administrative activities. We also lease offices in Michigan, Japan, Malaysia, the Netherlands, and Ukraine. We do not own any real property. We believe that our leased facilities are adequate to meet our current needs and that additional facilities will be available on commercially reasonable terms for lease to meet future needs.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72"/>
        <w:spacing w:after="0" w:line="270" w:lineRule="auto"/>
        <w:rPr>
          <w:sz w:val="20"/>
          <w:szCs w:val="20"/>
          <w:color w:val="auto"/>
        </w:rPr>
      </w:pPr>
      <w:r>
        <w:rPr>
          <w:rFonts w:ascii="Arial" w:cs="Arial" w:eastAsia="Arial" w:hAnsi="Arial"/>
          <w:sz w:val="17"/>
          <w:szCs w:val="17"/>
          <w:color w:val="auto"/>
        </w:rPr>
        <w:t>In March 2019, VTT Technical Research Centre of Finland, Ltd. ("VTT") filed suit in the United States District Court for the Northern District of California alleging infringement by us of a patent relating to specific combinations of features set forth in U.S. Patent No. 8,558,643. The complaint sought unspecified monetary damages and injunctive relief. On January 22, 2020, we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 with the US Court of Appeals for the Federal Circuit and filed its opening brief on November 19, 2020 and we filed our response brief on January 28, 2021. We have not accrued for a loss contingency relating to such matter as the potential loss is currently not probable and reasonably estimable.</w:t>
      </w:r>
    </w:p>
    <w:p>
      <w:pPr>
        <w:spacing w:after="0" w:line="73"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From time to time, we may become involved in additional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left="580"/>
        <w:spacing w:after="0"/>
        <w:rPr>
          <w:sz w:val="20"/>
          <w:szCs w:val="20"/>
          <w:color w:val="auto"/>
        </w:rPr>
      </w:pPr>
      <w:r>
        <w:rPr>
          <w:rFonts w:ascii="Arial" w:cs="Arial" w:eastAsia="Arial" w:hAnsi="Arial"/>
          <w:sz w:val="16"/>
          <w:szCs w:val="16"/>
          <w:color w:val="auto"/>
        </w:rPr>
        <w:t>Our common stock has been quoted on the Nasdaq Global Market under the symbol “SITM” since our initial public offering in November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that time, there was no public market for our common stock.</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February 10, 2020, there were 12 holders of record (not including beneficial holders of stock held in street names) of our common stock.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572"/>
        <w:spacing w:after="0" w:line="286" w:lineRule="auto"/>
        <w:rPr>
          <w:sz w:val="20"/>
          <w:szCs w:val="20"/>
          <w:color w:val="auto"/>
        </w:rPr>
      </w:pPr>
      <w:r>
        <w:rPr>
          <w:rFonts w:ascii="Arial" w:cs="Arial" w:eastAsia="Arial" w:hAnsi="Arial"/>
          <w:sz w:val="17"/>
          <w:szCs w:val="17"/>
          <w:color w:val="auto"/>
        </w:rPr>
        <w:t>We have never paid any cash dividends on our common stock. Our board of directors currently intends to retain any future earnings to support operations, repayment of debt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572"/>
        <w:spacing w:after="0" w:line="286" w:lineRule="auto"/>
        <w:rPr>
          <w:sz w:val="20"/>
          <w:szCs w:val="20"/>
          <w:color w:val="auto"/>
        </w:rPr>
      </w:pPr>
      <w:r>
        <w:rPr>
          <w:rFonts w:ascii="Arial" w:cs="Arial" w:eastAsia="Arial" w:hAnsi="Arial"/>
          <w:sz w:val="17"/>
          <w:szCs w:val="17"/>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ind w:right="20" w:firstLine="572"/>
        <w:spacing w:after="0" w:line="257" w:lineRule="auto"/>
        <w:rPr>
          <w:sz w:val="20"/>
          <w:szCs w:val="20"/>
          <w:color w:val="auto"/>
        </w:rPr>
      </w:pPr>
      <w:r>
        <w:rPr>
          <w:rFonts w:ascii="Arial" w:cs="Arial" w:eastAsia="Arial" w:hAnsi="Arial"/>
          <w:sz w:val="18"/>
          <w:szCs w:val="18"/>
          <w:color w:val="auto"/>
        </w:rPr>
        <w:t>The following line graph compares for the period beginning November 21, 2019, the initial trading date of our common stock on the Nasdaq Global Market, and ending on December 31, 2020, the last day of our fiscal year, the cumulative total stockholder return for our common stock, the Nasdaq Composite Index and Philadelphia Semiconductor Index and assumes reinvestment of any dividends.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196850</wp:posOffset>
            </wp:positionV>
            <wp:extent cx="4928870" cy="4534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887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Base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r>
      <w:tr>
        <w:trPr>
          <w:trHeight w:val="158"/>
        </w:trPr>
        <w:tc>
          <w:tcPr>
            <w:tcW w:w="4580" w:type="dxa"/>
            <w:vAlign w:val="bottom"/>
            <w:gridSpan w:val="3"/>
          </w:tcPr>
          <w:p>
            <w:pPr>
              <w:ind w:left="1140"/>
              <w:spacing w:after="0" w:line="158" w:lineRule="exact"/>
              <w:rPr>
                <w:sz w:val="20"/>
                <w:szCs w:val="20"/>
                <w:color w:val="auto"/>
              </w:rPr>
            </w:pPr>
            <w:r>
              <w:rPr>
                <w:rFonts w:ascii="Arial" w:cs="Arial" w:eastAsia="Arial" w:hAnsi="Arial"/>
                <w:sz w:val="14"/>
                <w:szCs w:val="14"/>
                <w:b w:val="1"/>
                <w:bCs w:val="1"/>
                <w:color w:val="auto"/>
              </w:rPr>
              <w:t>Company Name/Index</w:t>
            </w:r>
          </w:p>
        </w:tc>
        <w:tc>
          <w:tcPr>
            <w:tcW w:w="7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1"/>
              </w:rPr>
              <w:t>11/21/2019</w:t>
            </w:r>
          </w:p>
        </w:tc>
        <w:tc>
          <w:tcPr>
            <w:tcW w:w="100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700" w:type="dxa"/>
            <w:vAlign w:val="bottom"/>
          </w:tcPr>
          <w:p>
            <w:pPr>
              <w:jc w:val="right"/>
              <w:ind w:right="137"/>
              <w:spacing w:after="0" w:line="158"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70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17"/>
              <w:spacing w:after="0" w:line="158" w:lineRule="exact"/>
              <w:rPr>
                <w:sz w:val="20"/>
                <w:szCs w:val="20"/>
                <w:color w:val="auto"/>
              </w:rPr>
            </w:pPr>
            <w:r>
              <w:rPr>
                <w:rFonts w:ascii="Arial" w:cs="Arial" w:eastAsia="Arial" w:hAnsi="Arial"/>
                <w:sz w:val="14"/>
                <w:szCs w:val="14"/>
                <w:b w:val="1"/>
                <w:bCs w:val="1"/>
                <w:color w:val="auto"/>
              </w:rPr>
              <w:t>2020</w:t>
            </w:r>
          </w:p>
        </w:tc>
        <w:tc>
          <w:tcPr>
            <w:tcW w:w="11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tcBorders>
              <w:bottom w:val="single" w:sz="8" w:color="CFF0FC"/>
            </w:tcBorders>
            <w:shd w:val="clear" w:color="auto" w:fill="000000"/>
          </w:tcPr>
          <w:p>
            <w:pPr>
              <w:spacing w:after="0" w:line="20" w:lineRule="exact"/>
              <w:rPr>
                <w:sz w:val="1"/>
                <w:szCs w:val="1"/>
                <w:color w:val="auto"/>
              </w:rPr>
            </w:pPr>
          </w:p>
        </w:tc>
        <w:tc>
          <w:tcPr>
            <w:tcW w:w="206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SiTime Corporation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150.89</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0"/>
              </w:rPr>
              <w:t>280.53</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497.22</w:t>
            </w: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662.31</w:t>
            </w: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105.22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90.29</w:t>
            </w:r>
          </w:p>
        </w:tc>
        <w:tc>
          <w:tcPr>
            <w:tcW w:w="160" w:type="dxa"/>
            <w:vAlign w:val="bottom"/>
          </w:tcPr>
          <w:p>
            <w:pPr>
              <w:spacing w:after="0"/>
              <w:rPr>
                <w:sz w:val="19"/>
                <w:szCs w:val="19"/>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w w:val="87"/>
              </w:rPr>
              <w:t>117.95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130.95</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151.13</w:t>
            </w:r>
          </w:p>
        </w:tc>
        <w:tc>
          <w:tcPr>
            <w:tcW w:w="114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Philadelphia Semiconductor</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index</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89.22</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7"/>
              </w:rPr>
              <w:t>117.91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165.10</w:t>
            </w:r>
          </w:p>
        </w:tc>
        <w:tc>
          <w:tcPr>
            <w:tcW w:w="1140" w:type="dxa"/>
            <w:vAlign w:val="bottom"/>
          </w:tcPr>
          <w:p>
            <w:pPr>
              <w:spacing w:after="0"/>
              <w:rPr>
                <w:sz w:val="20"/>
                <w:szCs w:val="20"/>
                <w:color w:val="auto"/>
              </w:rPr>
            </w:pPr>
          </w:p>
        </w:tc>
      </w:tr>
      <w:tr>
        <w:trPr>
          <w:trHeight w:val="675"/>
        </w:trPr>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47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8" w:name="page49"/>
    <w:bookmarkEnd w:id="48"/>
    <w:p>
      <w:pPr>
        <w:ind w:left="58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31" w:lineRule="exact"/>
        <w:rPr>
          <w:sz w:val="20"/>
          <w:szCs w:val="20"/>
          <w:color w:val="auto"/>
        </w:rPr>
      </w:pPr>
    </w:p>
    <w:p>
      <w:pPr>
        <w:ind w:right="20" w:firstLine="572"/>
        <w:spacing w:after="0" w:line="254" w:lineRule="auto"/>
        <w:rPr>
          <w:sz w:val="20"/>
          <w:szCs w:val="20"/>
          <w:color w:val="auto"/>
        </w:rPr>
      </w:pPr>
      <w:r>
        <w:rPr>
          <w:rFonts w:ascii="Arial" w:cs="Arial" w:eastAsia="Arial" w:hAnsi="Arial"/>
          <w:sz w:val="18"/>
          <w:szCs w:val="18"/>
          <w:color w:val="auto"/>
        </w:rPr>
        <w:t>In November 2019, we closed our initial public offering, in which we registered, offered and sold 4,945,000 shares of common stock at a price to the public of $13.00 per share for gross proceeds of $64.3 million, including shares sold in connection with the exercise of the underwriters’ option to purchase additional shares. The offer and sale of all of the shares in the initial public offering (“IPO”) were registered under the Securities Act pursuant to a registration statement on Form S-1 (File No. 333-234305), which was declared effective by the SEC on November 20, 2019. We raised aggregate net proceeds of $56.4 million from the IPO, after underwriting discounts and commissions and payments of offering costs of approximately $7.9 million. We used $41.0 million of the net proceeds for repayment of indebtedness, $7.8 million on capital expenditures and the remaining $7.6 million on research and product development activities.</w:t>
      </w:r>
    </w:p>
    <w:p>
      <w:pPr>
        <w:spacing w:after="0" w:line="235" w:lineRule="exact"/>
        <w:rPr>
          <w:sz w:val="20"/>
          <w:szCs w:val="20"/>
          <w:color w:val="auto"/>
        </w:rPr>
      </w:pPr>
    </w:p>
    <w:p>
      <w:pPr>
        <w:jc w:val="both"/>
        <w:ind w:firstLine="572"/>
        <w:spacing w:after="0" w:line="275" w:lineRule="auto"/>
        <w:rPr>
          <w:sz w:val="20"/>
          <w:szCs w:val="20"/>
          <w:color w:val="auto"/>
        </w:rPr>
      </w:pPr>
      <w:r>
        <w:rPr>
          <w:rFonts w:ascii="Arial" w:cs="Arial" w:eastAsia="Arial" w:hAnsi="Arial"/>
          <w:sz w:val="17"/>
          <w:szCs w:val="17"/>
          <w:color w:val="auto"/>
        </w:rPr>
        <w:t>The lead book-running managers of the IPO were Barclays Capital Inc. and Stifel, Nicolaus &amp; Company, Incorporated. Needham &amp; Company, LLC, Raymond James and Associates, Inc. and Roth Capital Partners, LLC acted as co-managers for the IPO.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 The offering commenced on November 20, 2019 and did not terminate before all securities registered in the registration statement were sold.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Annual Report on Form 10-K.</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91"/>
              <w:spacing w:after="0" w:line="142"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 xml:space="preserve">2020 </w:t>
            </w:r>
            <w:r>
              <w:rPr>
                <w:rFonts w:ascii="Arial" w:cs="Arial" w:eastAsia="Arial" w:hAnsi="Arial"/>
                <w:sz w:val="12"/>
                <w:szCs w:val="12"/>
                <w:b w:val="1"/>
                <w:bCs w:val="1"/>
                <w:color w:val="auto"/>
                <w:w w:val="96"/>
              </w:rPr>
              <w:t>(3)(4)</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 xml:space="preserve">2019 </w:t>
            </w:r>
            <w:r>
              <w:rPr>
                <w:rFonts w:ascii="Arial" w:cs="Arial" w:eastAsia="Arial" w:hAnsi="Arial"/>
                <w:sz w:val="12"/>
                <w:szCs w:val="12"/>
                <w:b w:val="1"/>
                <w:bCs w:val="1"/>
                <w:color w:val="auto"/>
                <w:w w:val="96"/>
              </w:rPr>
              <w:t>(1)(2)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3"/>
                <w:szCs w:val="13"/>
                <w:b w:val="1"/>
                <w:bCs w:val="1"/>
                <w:color w:val="auto"/>
              </w:rPr>
              <w:t>(5)</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80" w:type="dxa"/>
            <w:vAlign w:val="bottom"/>
            <w:gridSpan w:val="7"/>
          </w:tcPr>
          <w:p>
            <w:pPr>
              <w:jc w:val="right"/>
              <w:ind w:right="491"/>
              <w:spacing w:after="0" w:line="155" w:lineRule="exact"/>
              <w:rPr>
                <w:sz w:val="20"/>
                <w:szCs w:val="20"/>
                <w:color w:val="auto"/>
              </w:rPr>
            </w:pPr>
            <w:r>
              <w:rPr>
                <w:rFonts w:ascii="Arial" w:cs="Arial" w:eastAsia="Arial" w:hAnsi="Arial"/>
                <w:sz w:val="14"/>
                <w:szCs w:val="14"/>
                <w:b w:val="1"/>
                <w:bCs w:val="1"/>
                <w:color w:val="auto"/>
              </w:rPr>
              <w:t>(in thousands, except share and per share amounts)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Data:</w:t>
            </w: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116,156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84,074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85,214</w:t>
            </w: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57,932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39,558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36,205</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66,545</w:t>
            </w:r>
          </w:p>
        </w:tc>
        <w:tc>
          <w:tcPr>
            <w:tcW w:w="1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44,431</w:t>
            </w:r>
          </w:p>
        </w:tc>
        <w:tc>
          <w:tcPr>
            <w:tcW w:w="22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43,995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stockholder, basic and diluted</w:t>
            </w: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Weighted-average shares used to compute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basic and diluted net income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per share</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16,064</w:t>
            </w:r>
          </w:p>
        </w:tc>
        <w:tc>
          <w:tcPr>
            <w:tcW w:w="18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10,558</w:t>
            </w: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73,525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63,418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7,889</w:t>
            </w:r>
          </w:p>
        </w:tc>
        <w:tc>
          <w:tcPr>
            <w:tcW w:w="2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94,035</w:t>
            </w:r>
          </w:p>
        </w:tc>
        <w:tc>
          <w:tcPr>
            <w:tcW w:w="1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46,351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(5,576)</w:t>
            </w:r>
          </w:p>
        </w:tc>
        <w:tc>
          <w:tcPr>
            <w:tcW w:w="2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136,011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123,391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72,689</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debt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41,000</w:t>
            </w:r>
          </w:p>
        </w:tc>
        <w:tc>
          <w:tcPr>
            <w:tcW w:w="22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46,000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26,131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61,251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61,674</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109,880</w:t>
            </w:r>
          </w:p>
        </w:tc>
        <w:tc>
          <w:tcPr>
            <w:tcW w:w="18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62,140</w:t>
            </w: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11,015</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68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54" w:lineRule="exact"/>
        <w:rPr>
          <w:sz w:val="20"/>
          <w:szCs w:val="20"/>
          <w:color w:val="auto"/>
        </w:rPr>
      </w:pPr>
    </w:p>
    <w:p>
      <w:pPr>
        <w:ind w:left="1000" w:hanging="57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completed our initial public offering in November 2019.</w:t>
      </w:r>
    </w:p>
    <w:p>
      <w:pPr>
        <w:spacing w:after="0" w:line="23" w:lineRule="exact"/>
        <w:rPr>
          <w:rFonts w:ascii="Arial" w:cs="Arial" w:eastAsia="Arial" w:hAnsi="Arial"/>
          <w:sz w:val="18"/>
          <w:szCs w:val="18"/>
          <w:color w:val="auto"/>
        </w:rPr>
      </w:pPr>
    </w:p>
    <w:p>
      <w:pPr>
        <w:ind w:left="1000" w:right="60" w:hanging="574"/>
        <w:spacing w:after="0" w:line="250"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optional adoption method. Refer to Note 2 of our consolidated financial statements under Item 8 for more information.</w:t>
      </w:r>
    </w:p>
    <w:p>
      <w:pPr>
        <w:ind w:left="1000" w:hanging="57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completed a follow-on offering in June 2020.</w:t>
      </w:r>
    </w:p>
    <w:p>
      <w:pPr>
        <w:spacing w:after="0" w:line="9" w:lineRule="exact"/>
        <w:rPr>
          <w:rFonts w:ascii="Arial" w:cs="Arial" w:eastAsia="Arial" w:hAnsi="Arial"/>
          <w:sz w:val="18"/>
          <w:szCs w:val="18"/>
          <w:color w:val="auto"/>
        </w:rPr>
      </w:pPr>
    </w:p>
    <w:p>
      <w:pPr>
        <w:ind w:left="1000" w:hanging="57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paid down all our outstanding loans in July 2020.</w:t>
      </w:r>
    </w:p>
    <w:p>
      <w:pPr>
        <w:spacing w:after="0" w:line="9" w:lineRule="exact"/>
        <w:rPr>
          <w:rFonts w:ascii="Arial" w:cs="Arial" w:eastAsia="Arial" w:hAnsi="Arial"/>
          <w:sz w:val="18"/>
          <w:szCs w:val="18"/>
          <w:color w:val="auto"/>
        </w:rPr>
      </w:pPr>
    </w:p>
    <w:p>
      <w:pPr>
        <w:ind w:left="1000" w:hanging="57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2018, we adopted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using the full retrospective approach.</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72"/>
        <w:spacing w:after="0" w:line="259" w:lineRule="auto"/>
        <w:rPr>
          <w:sz w:val="20"/>
          <w:szCs w:val="20"/>
          <w:color w:val="auto"/>
        </w:rPr>
      </w:pPr>
      <w:r>
        <w:rPr>
          <w:rFonts w:ascii="Arial" w:cs="Arial" w:eastAsia="Arial" w:hAnsi="Arial"/>
          <w:sz w:val="18"/>
          <w:szCs w:val="18"/>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Item 1A.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72"/>
        <w:spacing w:after="0" w:line="259" w:lineRule="auto"/>
        <w:rPr>
          <w:sz w:val="20"/>
          <w:szCs w:val="20"/>
          <w:color w:val="auto"/>
        </w:rPr>
      </w:pPr>
      <w:r>
        <w:rPr>
          <w:rFonts w:ascii="Arial" w:cs="Arial" w:eastAsia="Arial" w:hAnsi="Arial"/>
          <w:sz w:val="18"/>
          <w:szCs w:val="18"/>
          <w:color w:val="auto"/>
        </w:rPr>
        <w:t>We are a leading provider of silicon timing solutions. Our timing solutions are the heartbeat of our customers’ electronic systems,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w:t>
      </w:r>
    </w:p>
    <w:p>
      <w:pPr>
        <w:spacing w:after="0" w:line="187" w:lineRule="exact"/>
        <w:rPr>
          <w:sz w:val="20"/>
          <w:szCs w:val="20"/>
          <w:color w:val="auto"/>
        </w:rPr>
      </w:pPr>
    </w:p>
    <w:p>
      <w:pPr>
        <w:ind w:right="140" w:firstLine="572"/>
        <w:spacing w:after="0" w:line="286" w:lineRule="auto"/>
        <w:rPr>
          <w:sz w:val="20"/>
          <w:szCs w:val="20"/>
          <w:color w:val="auto"/>
        </w:rPr>
      </w:pPr>
      <w:r>
        <w:rPr>
          <w:rFonts w:ascii="Arial" w:cs="Arial" w:eastAsia="Arial" w:hAnsi="Arial"/>
          <w:sz w:val="17"/>
          <w:szCs w:val="17"/>
          <w:color w:val="auto"/>
        </w:rPr>
        <w:t>We commenced commercial shipments of our first oscillator products in 2006. Substantially all of our revenue to date has been derived from sales of oscillator systems across our target end markets. We recently introduced products into the clock IC market, which we began sampling in 2019, and intend to focus on clock IC and timing sync solutions in the future. We seek to aggressively expand our presence in these two markets.</w:t>
      </w:r>
    </w:p>
    <w:p>
      <w:pPr>
        <w:spacing w:after="0" w:line="165" w:lineRule="exact"/>
        <w:rPr>
          <w:sz w:val="20"/>
          <w:szCs w:val="20"/>
          <w:color w:val="auto"/>
        </w:rPr>
      </w:pPr>
    </w:p>
    <w:p>
      <w:pPr>
        <w:ind w:right="40" w:firstLine="572"/>
        <w:spacing w:after="0" w:line="277"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Based on sell-through information provided by these distributors, we believe the majority of our end customers are based in the U.S.</w:t>
      </w:r>
    </w:p>
    <w:p>
      <w:pPr>
        <w:spacing w:after="0" w:line="170" w:lineRule="exact"/>
        <w:rPr>
          <w:sz w:val="20"/>
          <w:szCs w:val="20"/>
          <w:color w:val="auto"/>
        </w:rPr>
      </w:pPr>
    </w:p>
    <w:p>
      <w:pPr>
        <w:ind w:right="60" w:firstLine="572"/>
        <w:spacing w:after="0" w:line="279"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ind w:right="40" w:firstLine="572"/>
        <w:spacing w:after="0" w:line="257" w:lineRule="auto"/>
        <w:rPr>
          <w:sz w:val="20"/>
          <w:szCs w:val="20"/>
          <w:color w:val="auto"/>
        </w:rPr>
      </w:pPr>
      <w:r>
        <w:rPr>
          <w:rFonts w:ascii="Arial" w:cs="Arial" w:eastAsia="Arial" w:hAnsi="Arial"/>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On June 16, 2020, we completed a follow-on public offering, in which we issued and sold 1,525,000 shares of our common stock and MegaChips sold 2,500,000 shares of our common stock held by them. MegaChips continues to be our largest stockholder and held approximately 43.7% of our common stock as of December 31, 2020.</w:t>
      </w:r>
    </w:p>
    <w:p>
      <w:pPr>
        <w:spacing w:after="0" w:line="188" w:lineRule="exact"/>
        <w:rPr>
          <w:sz w:val="20"/>
          <w:szCs w:val="20"/>
          <w:color w:val="auto"/>
        </w:rPr>
      </w:pPr>
    </w:p>
    <w:p>
      <w:pPr>
        <w:ind w:right="40" w:firstLine="572"/>
        <w:spacing w:after="0" w:line="259" w:lineRule="auto"/>
        <w:rPr>
          <w:sz w:val="20"/>
          <w:szCs w:val="20"/>
          <w:color w:val="auto"/>
        </w:rPr>
      </w:pPr>
      <w:r>
        <w:rPr>
          <w:rFonts w:ascii="Arial" w:cs="Arial" w:eastAsia="Arial" w:hAnsi="Arial"/>
          <w:sz w:val="18"/>
          <w:szCs w:val="18"/>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which may limit our ability to fully satisfy the increase in demand. If we cannot ship our products to our customers on time and in the quantity required as a result of this supply constraint our sales could decline and we could lose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COVID pandemic has had an adverse impact on our business, and the future impact of the ongoing COVID-19 pandemic on our business remains unknown. In an effort to protect the health and safety of our employees, we took proactive actions and adopted social distancing policies at our locations around the world, including requiring employees to work from home (“WFH”), reducing the number of people in our sites at any one time, and suspending employee travel. In an effort to contain the COVID-19 pandemic or slow its spread, governments around the world have also enacted various measures, including orders to close all businesses not deemed “essential,” isolate residents in their homes or places of residence, and practice social distancing when engaging in essential activities. In addition, the United States and other countries in which we operate have imposed measures such as quarantines and “shelter-in-place” orders that are restricting business operations and travel and requiring individuals to WFH, which has impacted all aspects of our business, as well as those of the third-parties we rely upon for our manufacturing, assembly, testing, shipping and other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line="268" w:lineRule="auto"/>
        <w:rPr>
          <w:sz w:val="20"/>
          <w:szCs w:val="20"/>
          <w:color w:val="auto"/>
        </w:rPr>
      </w:pPr>
      <w:r>
        <w:rPr>
          <w:rFonts w:ascii="Arial" w:cs="Arial" w:eastAsia="Arial" w:hAnsi="Arial"/>
          <w:sz w:val="17"/>
          <w:szCs w:val="17"/>
          <w:color w:val="auto"/>
        </w:rPr>
        <w:t>We anticipate the global health crisis caused by the COVID-19 pandemic will continue to negatively impact business activity across the globe and will continue to impact our business, employees and operations for the foreseeable future. We believe that the COVID-19 pandemic could cause delay and disruption in the manufacture, shipment, and sales of, and overall demand for, our products. In addition, we believe the production capabilities of our suppliers has been, and may continue to be, impacted as a result of quarantines, closures of production facilities, lack of supplies, or delays caused by restrictions on travel or WFH orders. For example, on March 16, 2020, the government of Malaysia announced measures to restrict movement in that country to suppress the number of COVID-19 cases. The restrictions have been extended currently until August 2021.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we have experienced minimal impact from any supplier disruption. 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fiscal 2021 or beyond. For additional discussion, please see Part I, Item 1A Risk Factors of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Customer Orders and Forecasts</w:t>
      </w:r>
    </w:p>
    <w:p>
      <w:pPr>
        <w:spacing w:after="0" w:line="117" w:lineRule="exact"/>
        <w:rPr>
          <w:sz w:val="20"/>
          <w:szCs w:val="20"/>
          <w:color w:val="auto"/>
        </w:rPr>
      </w:pPr>
    </w:p>
    <w:p>
      <w:pPr>
        <w:ind w:right="260" w:firstLine="572"/>
        <w:spacing w:after="0" w:line="257" w:lineRule="auto"/>
        <w:rPr>
          <w:sz w:val="20"/>
          <w:szCs w:val="20"/>
          <w:color w:val="auto"/>
        </w:rPr>
      </w:pPr>
      <w:r>
        <w:rPr>
          <w:rFonts w:ascii="Arial" w:cs="Arial" w:eastAsia="Arial" w:hAnsi="Arial"/>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Design Wins with New and Existing Customers</w:t>
      </w:r>
    </w:p>
    <w:p>
      <w:pPr>
        <w:spacing w:after="0" w:line="117" w:lineRule="exact"/>
        <w:rPr>
          <w:sz w:val="20"/>
          <w:szCs w:val="20"/>
          <w:color w:val="auto"/>
        </w:rPr>
      </w:pPr>
    </w:p>
    <w:p>
      <w:pPr>
        <w:ind w:right="20" w:firstLine="572"/>
        <w:spacing w:after="0" w:line="254" w:lineRule="auto"/>
        <w:rPr>
          <w:sz w:val="20"/>
          <w:szCs w:val="20"/>
          <w:color w:val="auto"/>
        </w:rPr>
      </w:pPr>
      <w:r>
        <w:rPr>
          <w:rFonts w:ascii="Arial" w:cs="Arial" w:eastAsia="Arial" w:hAnsi="Arial"/>
          <w:sz w:val="18"/>
          <w:szCs w:val="18"/>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with higher average selling prices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left="580"/>
        <w:spacing w:after="0"/>
        <w:rPr>
          <w:sz w:val="20"/>
          <w:szCs w:val="20"/>
          <w:color w:val="auto"/>
        </w:rPr>
      </w:pPr>
      <w:r>
        <w:rPr>
          <w:rFonts w:ascii="Arial" w:cs="Arial" w:eastAsia="Arial" w:hAnsi="Arial"/>
          <w:sz w:val="18"/>
          <w:szCs w:val="18"/>
          <w:b w:val="1"/>
          <w:bCs w:val="1"/>
          <w:i w:val="1"/>
          <w:iCs w:val="1"/>
          <w:color w:val="auto"/>
        </w:rPr>
        <w:t>Customer Demand and Product Life Cycles</w:t>
      </w:r>
    </w:p>
    <w:p>
      <w:pPr>
        <w:spacing w:after="0" w:line="117" w:lineRule="exact"/>
        <w:rPr>
          <w:sz w:val="20"/>
          <w:szCs w:val="20"/>
          <w:color w:val="auto"/>
        </w:rPr>
      </w:pPr>
    </w:p>
    <w:p>
      <w:pPr>
        <w:ind w:right="80" w:firstLine="572"/>
        <w:spacing w:after="0" w:line="259" w:lineRule="auto"/>
        <w:rPr>
          <w:sz w:val="20"/>
          <w:szCs w:val="20"/>
          <w:color w:val="auto"/>
        </w:rPr>
      </w:pPr>
      <w:r>
        <w:rPr>
          <w:rFonts w:ascii="Arial" w:cs="Arial" w:eastAsia="Arial" w:hAnsi="Arial"/>
          <w:sz w:val="18"/>
          <w:szCs w:val="18"/>
          <w:color w:val="auto"/>
        </w:rPr>
        <w:t>Once customers design our silicon timing systems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Product Adoption within New Markets and Applications</w:t>
      </w:r>
    </w:p>
    <w:p>
      <w:pPr>
        <w:spacing w:after="0" w:line="117" w:lineRule="exact"/>
        <w:rPr>
          <w:sz w:val="20"/>
          <w:szCs w:val="20"/>
          <w:color w:val="auto"/>
        </w:rPr>
      </w:pPr>
    </w:p>
    <w:p>
      <w:pPr>
        <w:ind w:right="20" w:firstLine="572"/>
        <w:spacing w:after="0" w:line="259" w:lineRule="auto"/>
        <w:rPr>
          <w:sz w:val="20"/>
          <w:szCs w:val="20"/>
          <w:color w:val="auto"/>
        </w:rPr>
      </w:pPr>
      <w:r>
        <w:rPr>
          <w:rFonts w:ascii="Arial" w:cs="Arial" w:eastAsia="Arial" w:hAnsi="Arial"/>
          <w:sz w:val="18"/>
          <w:szCs w:val="18"/>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Pricing, Product Cost, and Product Mix</w:t>
      </w:r>
    </w:p>
    <w:p>
      <w:pPr>
        <w:spacing w:after="0" w:line="117" w:lineRule="exact"/>
        <w:rPr>
          <w:sz w:val="20"/>
          <w:szCs w:val="20"/>
          <w:color w:val="auto"/>
        </w:rPr>
      </w:pPr>
    </w:p>
    <w:p>
      <w:pPr>
        <w:ind w:right="140" w:firstLine="572"/>
        <w:spacing w:after="0" w:line="273" w:lineRule="auto"/>
        <w:rPr>
          <w:sz w:val="20"/>
          <w:szCs w:val="20"/>
          <w:color w:val="auto"/>
        </w:rPr>
      </w:pPr>
      <w:r>
        <w:rPr>
          <w:rFonts w:ascii="Arial" w:cs="Arial" w:eastAsia="Arial" w:hAnsi="Arial"/>
          <w:sz w:val="17"/>
          <w:szCs w:val="17"/>
          <w:color w:val="auto"/>
        </w:rPr>
        <w:t>The ASPs of our products vary significantly. While the ASP of any individual product generally decreases over time, our average ASPs have remained relatively flat as we continue to introduce new higher-end products with higher ASPs. Our pricing and margins depend on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increase yields, and lower manufacturing costs.</w:t>
      </w:r>
    </w:p>
    <w:p>
      <w:pPr>
        <w:spacing w:after="0" w:line="178"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30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17" w:lineRule="exact"/>
        <w:rPr>
          <w:sz w:val="20"/>
          <w:szCs w:val="20"/>
          <w:color w:val="auto"/>
        </w:rPr>
      </w:pPr>
    </w:p>
    <w:p>
      <w:pPr>
        <w:ind w:right="80" w:firstLine="572"/>
        <w:spacing w:after="0" w:line="275"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Downturns in the semiconductor industry have been characterized by diminished product demand, production overcapacity, high inventory levels, and accelerated erosion of average selling prices. Any prolonged or significant downturn in the semiconductor industry generally could adversely affect our business and reduce demand for our products and otherwise harm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280" w:type="dxa"/>
            <w:vAlign w:val="bottom"/>
          </w:tcPr>
          <w:p>
            <w:pPr>
              <w:spacing w:after="0"/>
              <w:rPr>
                <w:sz w:val="14"/>
                <w:szCs w:val="14"/>
                <w:color w:val="auto"/>
              </w:rPr>
            </w:pPr>
          </w:p>
        </w:tc>
        <w:tc>
          <w:tcPr>
            <w:tcW w:w="22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Change 2020 vs 2019</w:t>
            </w:r>
          </w:p>
        </w:tc>
      </w:tr>
      <w:tr>
        <w:trPr>
          <w:trHeight w:val="156"/>
        </w:trPr>
        <w:tc>
          <w:tcPr>
            <w:tcW w:w="5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733"/>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5"/>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w w:val="88"/>
              </w:rPr>
              <w:t>(in thousands, except percentage)</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32,082</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r>
      <w:tr>
        <w:trPr>
          <w:trHeight w:val="229"/>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273"/>
              <w:spacing w:after="0"/>
              <w:rPr>
                <w:sz w:val="20"/>
                <w:szCs w:val="20"/>
                <w:color w:val="auto"/>
              </w:rPr>
            </w:pPr>
            <w:r>
              <w:rPr>
                <w:rFonts w:ascii="Arial" w:cs="Arial" w:eastAsia="Arial" w:hAnsi="Arial"/>
                <w:sz w:val="18"/>
                <w:szCs w:val="18"/>
                <w:color w:val="auto"/>
              </w:rPr>
              <w:t>13,708</w:t>
            </w: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18,374</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7,857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r>
      <w:tr>
        <w:trPr>
          <w:trHeight w:val="230"/>
        </w:trPr>
        <w:tc>
          <w:tcPr>
            <w:tcW w:w="51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273"/>
              <w:spacing w:after="0"/>
              <w:rPr>
                <w:sz w:val="20"/>
                <w:szCs w:val="20"/>
                <w:color w:val="auto"/>
              </w:rPr>
            </w:pPr>
            <w:r>
              <w:rPr>
                <w:rFonts w:ascii="Arial" w:cs="Arial" w:eastAsia="Arial" w:hAnsi="Arial"/>
                <w:sz w:val="18"/>
                <w:szCs w:val="18"/>
                <w:color w:val="auto"/>
              </w:rPr>
              <w:t>14,257</w:t>
            </w: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223"/>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22,114</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(3,740)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r>
      <w:tr>
        <w:trPr>
          <w:trHeight w:val="229"/>
        </w:trPr>
        <w:tc>
          <w:tcPr>
            <w:tcW w:w="5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(1,714)</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988</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5120" w:type="dxa"/>
            <w:vAlign w:val="bottom"/>
          </w:tcPr>
          <w:p>
            <w:pPr>
              <w:ind w:left="1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jc w:val="right"/>
              <w:ind w:right="193"/>
              <w:spacing w:after="0"/>
              <w:rPr>
                <w:sz w:val="20"/>
                <w:szCs w:val="20"/>
                <w:color w:val="auto"/>
              </w:rPr>
            </w:pPr>
            <w:r>
              <w:rPr>
                <w:rFonts w:ascii="Arial" w:cs="Arial" w:eastAsia="Arial" w:hAnsi="Arial"/>
                <w:sz w:val="18"/>
                <w:szCs w:val="18"/>
                <w:color w:val="auto"/>
              </w:rPr>
              <w:t>(2,756)</w:t>
            </w:r>
          </w:p>
        </w:tc>
        <w:tc>
          <w:tcPr>
            <w:tcW w:w="11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r>
      <w:tr>
        <w:trPr>
          <w:trHeight w:val="209"/>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and comprehensive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(9,372)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(6,607)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(2,765)</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right="40" w:firstLine="572"/>
        <w:spacing w:after="0" w:line="257"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212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 2020 vs 2019</w:t>
            </w:r>
          </w:p>
        </w:tc>
      </w:tr>
      <w:tr>
        <w:trPr>
          <w:trHeight w:val="155"/>
        </w:trPr>
        <w:tc>
          <w:tcPr>
            <w:tcW w:w="5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4"/>
          </w:tcPr>
          <w:p>
            <w:pPr>
              <w:jc w:val="right"/>
              <w:ind w:right="382"/>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116,156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84,074</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42"/>
              <w:spacing w:after="0"/>
              <w:rPr>
                <w:sz w:val="20"/>
                <w:szCs w:val="20"/>
                <w:color w:val="auto"/>
              </w:rPr>
            </w:pPr>
            <w:r>
              <w:rPr>
                <w:rFonts w:ascii="Arial" w:cs="Arial" w:eastAsia="Arial" w:hAnsi="Arial"/>
                <w:sz w:val="18"/>
                <w:szCs w:val="18"/>
                <w:color w:val="auto"/>
              </w:rPr>
              <w:t>32,082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Revenue increased by $32.1 million, or 38%, for 2020 compared to 2019. The increase was primarily related to 27% higher sales volume year over year and an increase in average selling price of our products of $0.02. The increase in sales volume was driven by higher demand for our products from new and existing customers, including new design wins at our existing customers.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ind w:right="140" w:firstLine="572"/>
        <w:spacing w:after="0" w:line="259" w:lineRule="auto"/>
        <w:rPr>
          <w:sz w:val="20"/>
          <w:szCs w:val="20"/>
          <w:color w:val="auto"/>
        </w:rPr>
      </w:pPr>
      <w:r>
        <w:rPr>
          <w:rFonts w:ascii="Arial" w:cs="Arial" w:eastAsia="Arial" w:hAnsi="Arial"/>
          <w:sz w:val="18"/>
          <w:szCs w:val="18"/>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 2020 vs 2019</w:t>
            </w:r>
          </w:p>
        </w:tc>
      </w:tr>
      <w:tr>
        <w:trPr>
          <w:trHeight w:val="155"/>
        </w:trPr>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tcPr>
          <w:p>
            <w:pPr>
              <w:jc w:val="right"/>
              <w:ind w:right="459"/>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58,224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44,516</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13,708</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57,932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18,374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 w:firstLine="572"/>
        <w:spacing w:after="0" w:line="259" w:lineRule="auto"/>
        <w:rPr>
          <w:sz w:val="20"/>
          <w:szCs w:val="20"/>
          <w:color w:val="auto"/>
        </w:rPr>
      </w:pPr>
      <w:r>
        <w:rPr>
          <w:rFonts w:ascii="Arial" w:cs="Arial" w:eastAsia="Arial" w:hAnsi="Arial"/>
          <w:sz w:val="18"/>
          <w:szCs w:val="18"/>
          <w:color w:val="auto"/>
        </w:rPr>
        <w:t>Gross profit increased by $18.4 million in the year ended December 31, 2020 compared to the same period in 2019. The gross profit for the year ended 2019 included a benefit of $2.5 million from the sale of previously reserved inventory. Gross profit excluding this benefit of $2.5 million increased a net $20.9 million year over year mainly from higher sales volume and an increase in ASPs which were offset in part by higher other manufacturing and overhead costs of $2.1 million.</w:t>
      </w:r>
    </w:p>
    <w:p>
      <w:pPr>
        <w:spacing w:after="0" w:line="187" w:lineRule="exact"/>
        <w:rPr>
          <w:sz w:val="20"/>
          <w:szCs w:val="20"/>
          <w:color w:val="auto"/>
        </w:rPr>
      </w:pPr>
    </w:p>
    <w:p>
      <w:pPr>
        <w:ind w:right="80" w:firstLine="572"/>
        <w:spacing w:after="0" w:line="259" w:lineRule="auto"/>
        <w:rPr>
          <w:sz w:val="20"/>
          <w:szCs w:val="20"/>
          <w:color w:val="auto"/>
        </w:rPr>
      </w:pPr>
      <w:r>
        <w:rPr>
          <w:rFonts w:ascii="Arial" w:cs="Arial" w:eastAsia="Arial" w:hAnsi="Arial"/>
          <w:sz w:val="18"/>
          <w:szCs w:val="18"/>
          <w:color w:val="auto"/>
        </w:rPr>
        <w:t>Gross margin was higher by 3% in the year ended December 31, 2020 compared to the same period in 2019. The gross margin for the year ended 2019 included a benefit of 3% or $2.5 million from sale of previously reserved inventory. The gross margin excluding the benefit to the gross margin from the sale of the previously reserved inventory increased by 6% year over year from higher sales volume and an increase in ASPs offset in part by higher other manufacturing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firstLine="572"/>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2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Change 2020 vs 2019</w:t>
            </w:r>
          </w:p>
        </w:tc>
      </w:tr>
      <w:tr>
        <w:trPr>
          <w:trHeight w:val="155"/>
        </w:trPr>
        <w:tc>
          <w:tcPr>
            <w:tcW w:w="5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right"/>
              <w:ind w:right="57"/>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31,652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23,795</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7,857</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20,636</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14,257</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62" w:lineRule="exact"/>
        <w:rPr>
          <w:sz w:val="20"/>
          <w:szCs w:val="20"/>
          <w:color w:val="auto"/>
        </w:rPr>
      </w:pPr>
    </w:p>
    <w:p>
      <w:pPr>
        <w:ind w:right="440" w:firstLine="572"/>
        <w:spacing w:after="0" w:line="277" w:lineRule="auto"/>
        <w:rPr>
          <w:sz w:val="20"/>
          <w:szCs w:val="20"/>
          <w:color w:val="auto"/>
        </w:rPr>
      </w:pPr>
      <w:r>
        <w:rPr>
          <w:rFonts w:ascii="Arial" w:cs="Arial" w:eastAsia="Arial" w:hAnsi="Arial"/>
          <w:sz w:val="18"/>
          <w:szCs w:val="18"/>
          <w:color w:val="auto"/>
        </w:rPr>
        <w:t>Research and development expense increased by $7.9 million, or 33%, for the year ended December 31, 2020 compared to the same period in 2019, primarily due to an increase in stock-based compensation expense of $5.2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ind w:right="60"/>
        <w:spacing w:after="0" w:line="257" w:lineRule="auto"/>
        <w:rPr>
          <w:sz w:val="20"/>
          <w:szCs w:val="20"/>
          <w:color w:val="auto"/>
        </w:rPr>
      </w:pPr>
      <w:r>
        <w:rPr>
          <w:rFonts w:ascii="Arial" w:cs="Arial" w:eastAsia="Arial" w:hAnsi="Arial"/>
          <w:sz w:val="18"/>
          <w:szCs w:val="18"/>
          <w:color w:val="auto"/>
        </w:rPr>
        <w:t>million. This in turn was due to the timing of grants of employee equity awards upon the completion of our initial public offering in November 2019 and new performance-based award grants in the year ended December 31, 2020. The remaining increase was primarily due to increased headcount and impairment charges of $1.0 million related to the cost of software that were in the process of development for internal use. The related products for which the software was developed to support in production were abandoned as we changed our roadmap and improved the final desired technical specifications required of the new products.</w:t>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ind w:firstLine="572"/>
        <w:spacing w:after="0" w:line="279"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71" w:lineRule="exact"/>
        <w:rPr>
          <w:sz w:val="20"/>
          <w:szCs w:val="20"/>
          <w:color w:val="auto"/>
        </w:rPr>
      </w:pPr>
    </w:p>
    <w:p>
      <w:pPr>
        <w:jc w:val="both"/>
        <w:ind w:right="300" w:firstLine="572"/>
        <w:spacing w:after="0" w:line="311" w:lineRule="auto"/>
        <w:rPr>
          <w:sz w:val="20"/>
          <w:szCs w:val="20"/>
          <w:color w:val="auto"/>
        </w:rPr>
      </w:pPr>
      <w:r>
        <w:rPr>
          <w:rFonts w:ascii="Arial" w:cs="Arial" w:eastAsia="Arial" w:hAnsi="Arial"/>
          <w:sz w:val="16"/>
          <w:szCs w:val="16"/>
          <w:color w:val="auto"/>
        </w:rPr>
        <w:t>Selling, general and administrative expense increased by $14.3 million, or 69%, for the year ended December 31, 2020 compared to the same period in 2019, primarily due to higher stock-based compensation expense of $9.6 million and higher personnel costs of $3.3 million largely related to increased headcount and remaining increase due to additional expenses for services related to the requirements of being a public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income (expense) consists primarily of interest expense on our outstanding debt, foreign exchange gains and losses, and asset dispositions.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7 to our consolidated financial statements under Item 8 for more information about our debt.</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Change 2020 vs 2019</w:t>
            </w:r>
          </w:p>
        </w:tc>
      </w:tr>
      <w:tr>
        <w:trPr>
          <w:trHeight w:val="155"/>
        </w:trPr>
        <w:tc>
          <w:tcPr>
            <w:tcW w:w="5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5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(726)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(1,714)</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 expense, net</w:t>
            </w:r>
          </w:p>
        </w:tc>
        <w:tc>
          <w:tcPr>
            <w:tcW w:w="6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(758)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5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72"/>
        <w:spacing w:after="0" w:line="308" w:lineRule="auto"/>
        <w:rPr>
          <w:sz w:val="20"/>
          <w:szCs w:val="20"/>
          <w:color w:val="auto"/>
        </w:rPr>
      </w:pPr>
      <w:r>
        <w:rPr>
          <w:rFonts w:ascii="Arial" w:cs="Arial" w:eastAsia="Arial" w:hAnsi="Arial"/>
          <w:sz w:val="17"/>
          <w:szCs w:val="17"/>
          <w:color w:val="auto"/>
        </w:rPr>
        <w:t>Other expense decreased $1.0 million for the year ended December 31, 2020 compared to the same period in 2019, primarily as a result of lower interest rates and a shorter term on our outstanding revolving short-term debt as we paid in full all of our debt on July 24, 2020.</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Income Tax Benefit (Expense)</w:t>
      </w:r>
    </w:p>
    <w:p>
      <w:pPr>
        <w:spacing w:after="0" w:line="121" w:lineRule="exact"/>
        <w:rPr>
          <w:sz w:val="20"/>
          <w:szCs w:val="20"/>
          <w:color w:val="auto"/>
        </w:rPr>
      </w:pPr>
    </w:p>
    <w:p>
      <w:pPr>
        <w:ind w:right="100" w:firstLine="572"/>
        <w:spacing w:after="0" w:line="269" w:lineRule="auto"/>
        <w:rPr>
          <w:sz w:val="20"/>
          <w:szCs w:val="20"/>
          <w:color w:val="auto"/>
        </w:rPr>
      </w:pPr>
      <w:r>
        <w:rPr>
          <w:rFonts w:ascii="Arial" w:cs="Arial" w:eastAsia="Arial" w:hAnsi="Arial"/>
          <w:sz w:val="17"/>
          <w:szCs w:val="17"/>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 At December 31, 2020 and 2019, we had federal NOL carry-forwards of approximately $201.5 million and $156.5 million, respectively, and state NOL carry-forwards of approximately $64.0 million and $63.7 million, respectively. We had research and development tax credit carryforwards of approximately $3.9 million and $3.9 million, respectively for U.S. federal income tax purposes and $3.6 million and $3.6 million, respectively for state income tax purposes. Of the federal NOL carryforwards, approximately $148.4 million will expire in various years through 2036, if not utilized, and approximately $53.1 million will carry forward indefinitely. NOL carryforwards for state income tax purposes, if not utilized, will expire in various years through 2040. The research and development credit carryforwards for federal tax purposes will expire in various years through 2038, and state tax credits carry forward indefinitely.</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 2020 vs 2019</w:t>
            </w:r>
          </w:p>
        </w:tc>
      </w:tr>
      <w:tr>
        <w:trPr>
          <w:trHeight w:val="155"/>
        </w:trPr>
        <w:tc>
          <w:tcPr>
            <w:tcW w:w="51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5"/>
        </w:trPr>
        <w:tc>
          <w:tcPr>
            <w:tcW w:w="5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700" w:type="dxa"/>
            <w:vAlign w:val="bottom"/>
            <w:gridSpan w:val="5"/>
          </w:tcPr>
          <w:p>
            <w:pPr>
              <w:jc w:val="right"/>
              <w:ind w:right="402"/>
              <w:spacing w:after="0" w:line="155" w:lineRule="exact"/>
              <w:rPr>
                <w:sz w:val="20"/>
                <w:szCs w:val="20"/>
                <w:color w:val="auto"/>
              </w:rPr>
            </w:pPr>
            <w:r>
              <w:rPr>
                <w:rFonts w:ascii="Arial" w:cs="Arial" w:eastAsia="Arial" w:hAnsi="Arial"/>
                <w:sz w:val="14"/>
                <w:szCs w:val="14"/>
                <w:b w:val="1"/>
                <w:bCs w:val="1"/>
                <w:color w:val="auto"/>
                <w:w w:val="98"/>
              </w:rPr>
              <w:t>(in thousands except percentage)</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60" w:type="dxa"/>
            <w:vAlign w:val="bottom"/>
          </w:tcPr>
          <w:p>
            <w:pPr>
              <w:jc w:val="right"/>
              <w:ind w:right="58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64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02"/>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72"/>
        <w:spacing w:after="0" w:line="287" w:lineRule="auto"/>
        <w:rPr>
          <w:sz w:val="20"/>
          <w:szCs w:val="20"/>
          <w:color w:val="auto"/>
        </w:rPr>
      </w:pPr>
      <w:r>
        <w:rPr>
          <w:rFonts w:ascii="Arial" w:cs="Arial" w:eastAsia="Arial" w:hAnsi="Arial"/>
          <w:sz w:val="16"/>
          <w:szCs w:val="16"/>
          <w:color w:val="auto"/>
        </w:rPr>
        <w:t>Before our initial public offering in November 2019, we financed our operations primarily through cash generated from product sales and proceeds from our credit facilities, including proceeds from our loan agreement with MegaChips. As of December 31, 2020 and December 31, 2019, we had cash and cash equivalents of $73.5 million and $63.4 million, respectively. Our principal use of cash is to fund our operations to support growth. In June 2020, we completed a follow-on public offering of our shares, resulting in net proceeds to us of $45.8 million after deducting underwriting discounts and commissions and deferred offering costs. On July 24, 2020, we paid down all outstanding loans with MUFG of $35.0 million and closed our credit facilities with MCC and SMBC. We continue to have $50.0 million funds available under our credit facility with MUFG. The credit line with MUFG is no longer guaranteed by MCC. MUFG requires us to maintain a minimum cash balance in our operating cash account equal to our outstanding loan balance. We believe that our existing cash and cash equivalents and funds available under the credit facility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7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Net increase in cash and cash equivalents</w:t>
            </w:r>
          </w:p>
        </w:tc>
        <w:tc>
          <w:tcPr>
            <w:tcW w:w="24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80" w:type="dxa"/>
            <w:vAlign w:val="bottom"/>
            <w:vMerge w:val="restart"/>
          </w:tcPr>
          <w:p>
            <w:pPr>
              <w:jc w:val="right"/>
              <w:ind w:right="149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57" w:name="page58"/>
    <w:bookmarkEnd w:id="57"/>
    <w:p>
      <w:pPr>
        <w:ind w:left="5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72"/>
        <w:spacing w:after="0" w:line="273" w:lineRule="auto"/>
        <w:rPr>
          <w:sz w:val="20"/>
          <w:szCs w:val="20"/>
          <w:color w:val="auto"/>
        </w:rPr>
      </w:pPr>
      <w:r>
        <w:rPr>
          <w:rFonts w:ascii="Arial" w:cs="Arial" w:eastAsia="Arial" w:hAnsi="Arial"/>
          <w:sz w:val="17"/>
          <w:szCs w:val="17"/>
          <w:color w:val="auto"/>
        </w:rPr>
        <w:t>In 2020, net cash provided by operating activities of $16.6 million was primarily due to a net loss of $9.4 million being more than offset by non-cash expenses of $24.9 million and a change in operating assets and liabilities of $1.1 million. Non-cash expenses were mainly related to depreciation and amortization, stock-based compensation expense, inventory write-down, and impairment of internal-use software. The changes in operating assets and liabilities resulted in cash provided primarily due to higher accounts receivables due to timing of shipments and an increase in inventories as we managed our inventory levels being more than offset by lower prepaid expenses and other current assets related to advance payments to suppliers for inventory and higher accounts payable and accrued expenses and other liabilities due to timing of payments.</w:t>
      </w:r>
    </w:p>
    <w:p>
      <w:pPr>
        <w:spacing w:after="0" w:line="178" w:lineRule="exact"/>
        <w:rPr>
          <w:sz w:val="20"/>
          <w:szCs w:val="20"/>
          <w:color w:val="auto"/>
        </w:rPr>
      </w:pPr>
    </w:p>
    <w:p>
      <w:pPr>
        <w:ind w:firstLine="572"/>
        <w:spacing w:after="0" w:line="255" w:lineRule="auto"/>
        <w:rPr>
          <w:sz w:val="20"/>
          <w:szCs w:val="20"/>
          <w:color w:val="auto"/>
        </w:rPr>
      </w:pPr>
      <w:r>
        <w:rPr>
          <w:rFonts w:ascii="Arial" w:cs="Arial" w:eastAsia="Arial" w:hAnsi="Arial"/>
          <w:sz w:val="18"/>
          <w:szCs w:val="18"/>
          <w:color w:val="auto"/>
        </w:rPr>
        <w:t>In 2019, cash provided by operating activities of $7.4 million was primarily due to a net loss of $6.6 million being more than offset by non-cash expenses of $10.0 million and a change in operating assets and liabilities of $4.0 million. Non-cash expenses were mainly related to depreciation and amortization, stock-based compensation expense and inventory write-down. Operating assets and liabilities decreased primarily due to a decrease in inventories as we managed our inventory levels and lower accounts receivable due to timing of shipments and collections, partially offset by higher prepaid expenses and other current assets related to advance payments to suppliers for inventory, lower accounts payable, accrued expenses and other liabilities due to timing of payments.</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572"/>
        <w:spacing w:after="0" w:line="259"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7" w:lineRule="exact"/>
        <w:rPr>
          <w:sz w:val="20"/>
          <w:szCs w:val="20"/>
          <w:color w:val="auto"/>
        </w:rPr>
      </w:pPr>
    </w:p>
    <w:p>
      <w:pPr>
        <w:ind w:right="520" w:firstLine="572"/>
        <w:spacing w:after="0" w:line="277" w:lineRule="auto"/>
        <w:rPr>
          <w:sz w:val="20"/>
          <w:szCs w:val="20"/>
          <w:color w:val="auto"/>
        </w:rPr>
      </w:pPr>
      <w:r>
        <w:rPr>
          <w:rFonts w:ascii="Arial" w:cs="Arial" w:eastAsia="Arial" w:hAnsi="Arial"/>
          <w:sz w:val="18"/>
          <w:szCs w:val="18"/>
          <w:color w:val="auto"/>
        </w:rPr>
        <w:t>In 2020, cash used in investing activities was $7.8 million and consisted primarily of the purchase of production masks, internally developed software, and other property and equipment for general business purposes to support our growth.</w:t>
      </w:r>
    </w:p>
    <w:p>
      <w:pPr>
        <w:spacing w:after="0" w:line="170" w:lineRule="exact"/>
        <w:rPr>
          <w:sz w:val="20"/>
          <w:szCs w:val="20"/>
          <w:color w:val="auto"/>
        </w:rPr>
      </w:pPr>
    </w:p>
    <w:p>
      <w:pPr>
        <w:ind w:right="520" w:firstLine="572"/>
        <w:spacing w:after="0" w:line="277" w:lineRule="auto"/>
        <w:rPr>
          <w:sz w:val="20"/>
          <w:szCs w:val="20"/>
          <w:color w:val="auto"/>
        </w:rPr>
      </w:pPr>
      <w:r>
        <w:rPr>
          <w:rFonts w:ascii="Arial" w:cs="Arial" w:eastAsia="Arial" w:hAnsi="Arial"/>
          <w:sz w:val="18"/>
          <w:szCs w:val="18"/>
          <w:color w:val="auto"/>
        </w:rPr>
        <w:t>In 2019, cash used in investing activities was $3.2 million and consisted primarily of the purchase of production masks, internally developed software, and other property and equipment for general business purposes.</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Cash provided by financing activities includes proceeds from borrowings and payments under our credit facilities and proceeds from issuance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right="20" w:firstLine="572"/>
        <w:spacing w:after="0" w:line="259" w:lineRule="auto"/>
        <w:rPr>
          <w:sz w:val="20"/>
          <w:szCs w:val="20"/>
          <w:color w:val="auto"/>
        </w:rPr>
      </w:pPr>
      <w:r>
        <w:rPr>
          <w:rFonts w:ascii="Arial" w:cs="Arial" w:eastAsia="Arial" w:hAnsi="Arial"/>
          <w:sz w:val="18"/>
          <w:szCs w:val="18"/>
          <w:color w:val="auto"/>
        </w:rPr>
        <w:t>In 2020, cash provided by financing activities was $1.3 million, consisting of proceeds from issuance of shares of $45.8 million net of underwriting commissions and discounts of $2.7 million and deferred offering costs of $0.3 million and borrowings of $35.0 million offset by repayments of $76.0 million under our short-term revolving line of credit and $3.5 million payment of tax withholdings paid on behalf of employees for net share settlement at the time of vesting.</w:t>
      </w:r>
    </w:p>
    <w:p>
      <w:pPr>
        <w:spacing w:after="0" w:line="187" w:lineRule="exact"/>
        <w:rPr>
          <w:sz w:val="20"/>
          <w:szCs w:val="20"/>
          <w:color w:val="auto"/>
        </w:rPr>
      </w:pPr>
    </w:p>
    <w:p>
      <w:pPr>
        <w:ind w:right="360" w:firstLine="572"/>
        <w:spacing w:after="0" w:line="277" w:lineRule="auto"/>
        <w:rPr>
          <w:sz w:val="20"/>
          <w:szCs w:val="20"/>
          <w:color w:val="auto"/>
        </w:rPr>
      </w:pPr>
      <w:r>
        <w:rPr>
          <w:rFonts w:ascii="Arial" w:cs="Arial" w:eastAsia="Arial" w:hAnsi="Arial"/>
          <w:sz w:val="18"/>
          <w:szCs w:val="18"/>
          <w:color w:val="auto"/>
        </w:rPr>
        <w:t>In 2019, cash provided by financing activities was $51.4 million, consisting of $56.4 million of proceeds from the initial public offering, net of issuance costs offset by repayments of $5.0 million under our short-term revolving line of credit.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is information concerning our contractual commitments and obligations as of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67"/>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7"/>
              </w:rPr>
              <w:t>Less than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1-3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Purchase obligations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0" w:firstLine="572"/>
        <w:spacing w:after="0" w:line="277" w:lineRule="auto"/>
        <w:rPr>
          <w:sz w:val="20"/>
          <w:szCs w:val="20"/>
          <w:color w:val="auto"/>
        </w:rPr>
      </w:pPr>
      <w:r>
        <w:rPr>
          <w:rFonts w:ascii="Arial" w:cs="Arial" w:eastAsia="Arial" w:hAnsi="Arial"/>
          <w:sz w:val="18"/>
          <w:szCs w:val="18"/>
          <w:color w:val="auto"/>
        </w:rPr>
        <w:t>Obligations under contracts that we can cancel without a significant penalty are not included in the table above. The aggregate amount of our obligations under these contracts is approximately $31.9 million as of December 31, 2020.</w:t>
      </w:r>
    </w:p>
    <w:p>
      <w:pPr>
        <w:spacing w:after="0" w:line="170" w:lineRule="exact"/>
        <w:rPr>
          <w:sz w:val="20"/>
          <w:szCs w:val="20"/>
          <w:color w:val="auto"/>
        </w:rPr>
      </w:pPr>
    </w:p>
    <w:p>
      <w:pPr>
        <w:jc w:val="both"/>
        <w:ind w:right="240" w:firstLine="572"/>
        <w:spacing w:after="0" w:line="259" w:lineRule="auto"/>
        <w:rPr>
          <w:sz w:val="20"/>
          <w:szCs w:val="20"/>
          <w:color w:val="auto"/>
        </w:rPr>
      </w:pPr>
      <w:r>
        <w:rPr>
          <w:rFonts w:ascii="Arial" w:cs="Arial" w:eastAsia="Arial" w:hAnsi="Arial"/>
          <w:sz w:val="18"/>
          <w:szCs w:val="18"/>
          <w:color w:val="auto"/>
        </w:rPr>
        <w:t>We signed an operating lease agreement for our corporate headquarters in Santa Clara, California that commenced on October 20, 2016 and will expire on December 31, 2026. The agreement provides for an option to renew for an additional five years and for rent payments through the term of the lease payment. We also lease office space in Michigan, Malaysia, Japan, the Netherlands, and Ukraine, all under operating leases with various expiration dates through December 2022.</w:t>
      </w:r>
    </w:p>
    <w:p>
      <w:pPr>
        <w:spacing w:after="0" w:line="187" w:lineRule="exact"/>
        <w:rPr>
          <w:sz w:val="20"/>
          <w:szCs w:val="20"/>
          <w:color w:val="auto"/>
        </w:rPr>
      </w:pPr>
    </w:p>
    <w:p>
      <w:pPr>
        <w:ind w:right="240" w:firstLine="572"/>
        <w:spacing w:after="0" w:line="259" w:lineRule="auto"/>
        <w:rPr>
          <w:sz w:val="20"/>
          <w:szCs w:val="20"/>
          <w:color w:val="auto"/>
        </w:rPr>
      </w:pPr>
      <w:r>
        <w:rPr>
          <w:rFonts w:ascii="Arial" w:cs="Arial" w:eastAsia="Arial" w:hAnsi="Arial"/>
          <w:sz w:val="18"/>
          <w:szCs w:val="18"/>
          <w:color w:val="auto"/>
        </w:rPr>
        <w:t>We purchase components and wafers from a variety of suppliers and use several contract manufacturers to provide manufacturing services for its products. A significant portion of our reported purchase commitments arising from these agreements consists of firm, non-cancellable and unconditional purchase commitments once the production has started. In certain instances, these agreements allow us the option to cancel, reschedule, and adjust our requirements based on its business needs prior to firm orders being placed.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21" w:lineRule="exact"/>
        <w:rPr>
          <w:sz w:val="20"/>
          <w:szCs w:val="20"/>
          <w:color w:val="auto"/>
        </w:rPr>
      </w:pPr>
    </w:p>
    <w:p>
      <w:pPr>
        <w:ind w:right="20" w:firstLine="572"/>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820" w:firstLine="572"/>
        <w:spacing w:after="0" w:line="277"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72"/>
        <w:spacing w:after="0" w:line="291" w:lineRule="auto"/>
        <w:rPr>
          <w:sz w:val="20"/>
          <w:szCs w:val="20"/>
          <w:color w:val="auto"/>
        </w:rPr>
      </w:pPr>
      <w:r>
        <w:rPr>
          <w:rFonts w:ascii="Arial" w:cs="Arial" w:eastAsia="Arial" w:hAnsi="Arial"/>
          <w:sz w:val="16"/>
          <w:szCs w:val="16"/>
          <w:color w:val="auto"/>
        </w:rPr>
        <w:t>We derive our revenue from product sales to distributors and resellers, who in turn sell to original equipment manufacturers or other end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We determine variable consideration, which consists primarily of price adjustments and product returns by estimating the amount of consideration we expect to receive from our customers based on historical experience of price adjustments and product returns. Initial estimates of price adjustments and product returns are updated at the end of each reporting period if additional information becomes available. Changes to our estimated variable consideration were not material for the periods presented. Since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right="460"/>
        <w:spacing w:after="0" w:line="277" w:lineRule="auto"/>
        <w:rPr>
          <w:sz w:val="20"/>
          <w:szCs w:val="20"/>
          <w:color w:val="auto"/>
        </w:rPr>
      </w:pPr>
      <w:r>
        <w:rPr>
          <w:rFonts w:ascii="Arial" w:cs="Arial" w:eastAsia="Arial" w:hAnsi="Arial"/>
          <w:sz w:val="18"/>
          <w:szCs w:val="18"/>
          <w:color w:val="auto"/>
        </w:rPr>
        <w:t>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170" w:lineRule="exact"/>
        <w:rPr>
          <w:sz w:val="20"/>
          <w:szCs w:val="20"/>
          <w:color w:val="auto"/>
        </w:rPr>
      </w:pPr>
    </w:p>
    <w:p>
      <w:pPr>
        <w:ind w:firstLine="572"/>
        <w:spacing w:after="0" w:line="277" w:lineRule="auto"/>
        <w:rPr>
          <w:sz w:val="20"/>
          <w:szCs w:val="20"/>
          <w:color w:val="auto"/>
        </w:rPr>
      </w:pPr>
      <w:r>
        <w:rPr>
          <w:rFonts w:ascii="Arial" w:cs="Arial" w:eastAsia="Arial" w:hAnsi="Arial"/>
          <w:sz w:val="18"/>
          <w:szCs w:val="18"/>
          <w:color w:val="auto"/>
        </w:rPr>
        <w:t>As a practical expedient, we record the incremental costs of obtaining a contract, consisting primarily of sales commissions, when incurred because the amortization period is one year or less. The costs are recorded within sales and marketing expenses.</w:t>
      </w:r>
    </w:p>
    <w:p>
      <w:pPr>
        <w:spacing w:after="0" w:line="170" w:lineRule="exact"/>
        <w:rPr>
          <w:sz w:val="20"/>
          <w:szCs w:val="20"/>
          <w:color w:val="auto"/>
        </w:rPr>
      </w:pPr>
    </w:p>
    <w:p>
      <w:pPr>
        <w:ind w:right="360" w:firstLine="572"/>
        <w:spacing w:after="0" w:line="308" w:lineRule="auto"/>
        <w:rPr>
          <w:sz w:val="20"/>
          <w:szCs w:val="20"/>
          <w:color w:val="auto"/>
        </w:rPr>
      </w:pPr>
      <w:r>
        <w:rPr>
          <w:rFonts w:ascii="Arial" w:cs="Arial" w:eastAsia="Arial" w:hAnsi="Arial"/>
          <w:sz w:val="17"/>
          <w:szCs w:val="17"/>
          <w:color w:val="auto"/>
        </w:rPr>
        <w:t>Our payment terms vary by contract type and type of customer and generally range from 30 to 60 days from shipment. We have also elected to recognize the cost for freight and shipping when control over the products sold passes to customers and revenue is recognized.</w:t>
      </w:r>
    </w:p>
    <w:p>
      <w:pPr>
        <w:spacing w:after="0" w:line="146" w:lineRule="exact"/>
        <w:rPr>
          <w:sz w:val="20"/>
          <w:szCs w:val="20"/>
          <w:color w:val="auto"/>
        </w:rPr>
      </w:pPr>
    </w:p>
    <w:p>
      <w:pPr>
        <w:jc w:val="both"/>
        <w:ind w:right="60" w:firstLine="572"/>
        <w:spacing w:after="0" w:line="263" w:lineRule="auto"/>
        <w:rPr>
          <w:sz w:val="20"/>
          <w:szCs w:val="20"/>
          <w:color w:val="auto"/>
        </w:rPr>
      </w:pPr>
      <w:r>
        <w:rPr>
          <w:rFonts w:ascii="Arial" w:cs="Arial" w:eastAsia="Arial" w:hAnsi="Arial"/>
          <w:sz w:val="18"/>
          <w:szCs w:val="18"/>
          <w:color w:val="auto"/>
        </w:rPr>
        <w:t>We entered into a distribution agreement with MegaChips, whereby we appointed MegaChips as the exclusive distributor of our products in Japan. We recognize revenue derived from sales of products through MegaChips in the amount of expected payments from parties which purchased the products, as adjusted for estimated price concessions and product returns.</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40" w:firstLine="572"/>
        <w:spacing w:after="0" w:line="273" w:lineRule="auto"/>
        <w:rPr>
          <w:sz w:val="20"/>
          <w:szCs w:val="20"/>
          <w:color w:val="auto"/>
        </w:rPr>
      </w:pPr>
      <w:r>
        <w:rPr>
          <w:rFonts w:ascii="Arial" w:cs="Arial" w:eastAsia="Arial" w:hAnsi="Arial"/>
          <w:sz w:val="17"/>
          <w:szCs w:val="17"/>
          <w:color w:val="auto"/>
        </w:rPr>
        <w:t>Inventories consist of raw and processed wafers, work-in-process, and finished goods and are stated at the lower of standard cost or net realizable value. Standard costs approximate actual costs and are based on a first-in, first-out basis. We perform detailed reviews of the net realizable value of inventories, both on hand as well as for inventories that we are committed to purchase and write-down the inventory value for estimated deterioration, excess and obsolete and other factors based on management’s assessment of future demand and market conditions and may require estimates that may include uncertain elements. Actual demand may differ from forecasted demand and such differences may have a material effect on recorded value of inventory. Once written-down, inventory write-downs are not reversed until the inventory is sold or scrapped.</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72"/>
        <w:spacing w:after="0" w:line="277" w:lineRule="auto"/>
        <w:rPr>
          <w:sz w:val="20"/>
          <w:szCs w:val="20"/>
          <w:color w:val="auto"/>
        </w:rPr>
      </w:pPr>
      <w:r>
        <w:rPr>
          <w:rFonts w:ascii="Arial" w:cs="Arial" w:eastAsia="Arial" w:hAnsi="Arial"/>
          <w:sz w:val="18"/>
          <w:szCs w:val="18"/>
          <w:color w:val="auto"/>
        </w:rPr>
        <w:t>Stock-based compensation expense is measured at the grant date based on the fair value of the equity award and is recognized as expense over the requisite service period, which is generally the vesting period. We have elected to recognize forfeitures as they occur.</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of each restricted stock unit is estimated based on the market price of our common shares on the date of grant.</w:t>
      </w:r>
    </w:p>
    <w:p>
      <w:pPr>
        <w:spacing w:after="0" w:line="117" w:lineRule="exact"/>
        <w:rPr>
          <w:sz w:val="20"/>
          <w:szCs w:val="20"/>
          <w:color w:val="auto"/>
        </w:rPr>
      </w:pPr>
    </w:p>
    <w:p>
      <w:pPr>
        <w:ind w:right="240" w:firstLine="572"/>
        <w:spacing w:after="0" w:line="286" w:lineRule="auto"/>
        <w:rPr>
          <w:sz w:val="20"/>
          <w:szCs w:val="20"/>
          <w:color w:val="auto"/>
        </w:rPr>
      </w:pPr>
      <w:r>
        <w:rPr>
          <w:rFonts w:ascii="Arial" w:cs="Arial" w:eastAsia="Arial" w:hAnsi="Arial"/>
          <w:sz w:val="17"/>
          <w:szCs w:val="17"/>
          <w:color w:val="auto"/>
        </w:rPr>
        <w:t>We amortize stock-based compensation expense for time-based awards under the straight-line attribution method over the vesting period. Stock-based compensation expense for performance-based awards is recognized when it becomes probable that the performance conditions will be met. We amortize stock-based compensation expense for performance-based awards using the accelerated method.</w:t>
      </w: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572"/>
        <w:spacing w:after="0" w:line="263" w:lineRule="auto"/>
        <w:rPr>
          <w:sz w:val="20"/>
          <w:szCs w:val="20"/>
          <w:color w:val="auto"/>
        </w:rPr>
      </w:pPr>
      <w:r>
        <w:rPr>
          <w:rFonts w:ascii="Arial" w:cs="Arial" w:eastAsia="Arial" w:hAnsi="Arial"/>
          <w:sz w:val="18"/>
          <w:szCs w:val="18"/>
          <w:color w:val="auto"/>
        </w:rPr>
        <w:t>Deferred tax liabilities and assets are 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a level which, more likely than not, will be realized.</w:t>
      </w:r>
    </w:p>
    <w:p>
      <w:pPr>
        <w:spacing w:after="0" w:line="184" w:lineRule="exact"/>
        <w:rPr>
          <w:sz w:val="20"/>
          <w:szCs w:val="20"/>
          <w:color w:val="auto"/>
        </w:rPr>
      </w:pPr>
    </w:p>
    <w:p>
      <w:pPr>
        <w:ind w:right="140" w:firstLine="572"/>
        <w:spacing w:after="0" w:line="286" w:lineRule="auto"/>
        <w:rPr>
          <w:sz w:val="20"/>
          <w:szCs w:val="20"/>
          <w:color w:val="auto"/>
        </w:rPr>
      </w:pPr>
      <w:r>
        <w:rPr>
          <w:rFonts w:ascii="Arial" w:cs="Arial" w:eastAsia="Arial" w:hAnsi="Arial"/>
          <w:sz w:val="17"/>
          <w:szCs w:val="17"/>
          <w:color w:val="auto"/>
        </w:rPr>
        <w:t>A tax position can be recognized only if it is more likely than not to be sustained based solely on its technical merits as of the reporting date and then only in an amount more likely than not to be sustained upon review by the tax authorities. We consider many factors when evaluating and estimating its tax positions and tax benefits, which may require periodic adjustments and which may not accurately anticipate actual outcomes.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0" w:name="page61"/>
    <w:bookmarkEnd w:id="60"/>
    <w:p>
      <w:pPr>
        <w:ind w:left="58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40" w:firstLine="572"/>
        <w:spacing w:after="0" w:line="301" w:lineRule="auto"/>
        <w:rPr>
          <w:sz w:val="20"/>
          <w:szCs w:val="20"/>
          <w:color w:val="auto"/>
        </w:rPr>
      </w:pPr>
      <w:r>
        <w:rPr>
          <w:rFonts w:ascii="Arial" w:cs="Arial" w:eastAsia="Arial" w:hAnsi="Arial"/>
          <w:sz w:val="16"/>
          <w:szCs w:val="16"/>
          <w:color w:val="auto"/>
        </w:rPr>
        <w:t>We operate as one reportable segment related to the design, development, and sale of silicon timing systems solutions. Our chief operating decision maker is our Chief Executive Officer. Our Chief Executive Officer reviews operating results on an aggregate basis and manages our operations as a whole for the purpose of evaluating financial performance and allocating resources. Accordingly, we have determined that we have a single reportable and operating segment structure. Substantially all of our long-lived assets were attributable to operations in the United States as of December 31,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Transition Period</w:t>
      </w:r>
    </w:p>
    <w:p>
      <w:pPr>
        <w:spacing w:after="0" w:line="121" w:lineRule="exact"/>
        <w:rPr>
          <w:sz w:val="20"/>
          <w:szCs w:val="20"/>
          <w:color w:val="auto"/>
        </w:rPr>
      </w:pPr>
    </w:p>
    <w:p>
      <w:pPr>
        <w:ind w:right="40" w:firstLine="572"/>
        <w:spacing w:after="0" w:line="257" w:lineRule="auto"/>
        <w:rPr>
          <w:sz w:val="20"/>
          <w:szCs w:val="20"/>
          <w:color w:val="auto"/>
        </w:rPr>
      </w:pPr>
      <w:r>
        <w:rPr>
          <w:rFonts w:ascii="Arial" w:cs="Arial" w:eastAsia="Arial" w:hAnsi="Arial"/>
          <w:sz w:val="18"/>
          <w:szCs w:val="18"/>
          <w:color w:val="auto"/>
        </w:rPr>
        <w:t>The JOBS Act was enacted in April 2012.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See Note 2 to our consolidated financial statements under Item 8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60" w:firstLine="572"/>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policy with respect to foreign currency exchange risk.</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572"/>
        <w:spacing w:after="0" w:line="263" w:lineRule="auto"/>
        <w:rPr>
          <w:sz w:val="20"/>
          <w:szCs w:val="20"/>
          <w:color w:val="auto"/>
        </w:rPr>
      </w:pPr>
      <w:r>
        <w:rPr>
          <w:rFonts w:ascii="Arial" w:cs="Arial" w:eastAsia="Arial" w:hAnsi="Arial"/>
          <w:sz w:val="18"/>
          <w:szCs w:val="18"/>
          <w:color w:val="auto"/>
        </w:rPr>
        <w:t>We had cash and cash equivalents of $73.5 million and $63.4 million as of December 31, 2020 and 2019, respectively, consisting of bank deposits. Such interest-earning instruments carry a degree of interest rate risk. To date, fluctuations in interest income have not been significant. We paid down all our debt in the year 2020.</w:t>
      </w:r>
    </w:p>
    <w:p>
      <w:pPr>
        <w:spacing w:after="0" w:line="184" w:lineRule="exact"/>
        <w:rPr>
          <w:sz w:val="20"/>
          <w:szCs w:val="20"/>
          <w:color w:val="auto"/>
        </w:rPr>
      </w:pPr>
    </w:p>
    <w:p>
      <w:pPr>
        <w:ind w:firstLine="572"/>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345"/>
        </w:trPr>
        <w:tc>
          <w:tcPr>
            <w:tcW w:w="51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Report of Independent Registered Public Accounting Firm</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351"/>
        </w:trPr>
        <w:tc>
          <w:tcPr>
            <w:tcW w:w="51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Balance Sheets</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351"/>
        </w:trPr>
        <w:tc>
          <w:tcPr>
            <w:tcW w:w="5100" w:type="dxa"/>
            <w:vAlign w:val="bottom"/>
          </w:tcPr>
          <w:p>
            <w:pPr>
              <w:spacing w:after="0"/>
              <w:rPr>
                <w:rFonts w:ascii="Arial" w:cs="Arial" w:eastAsia="Arial" w:hAnsi="Arial"/>
                <w:sz w:val="18"/>
                <w:szCs w:val="18"/>
                <w:u w:val="single" w:color="auto"/>
                <w:color w:val="0000EE"/>
                <w:w w:val="97"/>
              </w:rPr>
            </w:pPr>
            <w:hyperlink w:anchor="page65">
              <w:r>
                <w:rPr>
                  <w:rFonts w:ascii="Arial" w:cs="Arial" w:eastAsia="Arial" w:hAnsi="Arial"/>
                  <w:sz w:val="18"/>
                  <w:szCs w:val="18"/>
                  <w:u w:val="single" w:color="auto"/>
                  <w:color w:val="0000EE"/>
                  <w:w w:val="97"/>
                </w:rPr>
                <w:t>Consolidated Statements of Operations and Comprehensive Loss</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r>
      <w:tr>
        <w:trPr>
          <w:trHeight w:val="351"/>
        </w:trPr>
        <w:tc>
          <w:tcPr>
            <w:tcW w:w="51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Stockholders’ Equity</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351"/>
        </w:trPr>
        <w:tc>
          <w:tcPr>
            <w:tcW w:w="51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Cash Flows</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351"/>
        </w:trPr>
        <w:tc>
          <w:tcPr>
            <w:tcW w:w="51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Notes to Consolidated Financial Statements</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459"/>
        </w:trPr>
        <w:tc>
          <w:tcPr>
            <w:tcW w:w="510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Schedule II – Valuation and Qualifying Accounts</w:t>
              </w:r>
            </w:hyperlink>
          </w:p>
        </w:tc>
        <w:tc>
          <w:tcPr>
            <w:tcW w:w="616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648"/>
        </w:trPr>
        <w:tc>
          <w:tcPr>
            <w:tcW w:w="5100" w:type="dxa"/>
            <w:vAlign w:val="bottom"/>
          </w:tcPr>
          <w:p>
            <w:pPr>
              <w:spacing w:after="0"/>
              <w:rPr>
                <w:sz w:val="24"/>
                <w:szCs w:val="24"/>
                <w:color w:val="auto"/>
              </w:rPr>
            </w:pPr>
          </w:p>
        </w:tc>
        <w:tc>
          <w:tcPr>
            <w:tcW w:w="5140" w:type="dxa"/>
            <w:vAlign w:val="bottom"/>
          </w:tcPr>
          <w:p>
            <w:pPr>
              <w:jc w:val="right"/>
              <w:ind w:right="4430"/>
              <w:spacing w:after="0"/>
              <w:rPr>
                <w:sz w:val="20"/>
                <w:szCs w:val="20"/>
                <w:color w:val="auto"/>
              </w:rPr>
            </w:pPr>
            <w:r>
              <w:rPr>
                <w:rFonts w:ascii="Arial" w:cs="Arial" w:eastAsia="Arial" w:hAnsi="Arial"/>
                <w:sz w:val="18"/>
                <w:szCs w:val="18"/>
                <w:color w:val="auto"/>
              </w:rPr>
              <w:t>60</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audited the accompanying consolidated balance sheets of SiTime Corporation (the “Company”) as of December 31, 2020 and 2019, the related consolidated statements of operations and comprehensive loss, stockholders’ equity, and cash flows for the years then ended,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5"/>
              </w:rPr>
              <w:t>December 31, 2020</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gridSpan w:val="4"/>
          </w:tcPr>
          <w:p>
            <w:pPr>
              <w:jc w:val="right"/>
              <w:ind w:right="491"/>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accounts receivable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113,180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136,011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6,182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Loan obligations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- 200,000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17,150 and 14,968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December 31, 2020 and December 31, 2019</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(63,396)</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(54,024)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109,880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6"/>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gridSpan w:val="6"/>
          </w:tcPr>
          <w:p>
            <w:pPr>
              <w:jc w:val="right"/>
              <w:ind w:right="70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116,156</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44,516</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 and</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(9,372)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196"/>
        </w:trPr>
        <w:tc>
          <w:tcPr>
            <w:tcW w:w="59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 basic and diluted</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to compute basic and diluted</w:t>
            </w:r>
          </w:p>
        </w:tc>
        <w:tc>
          <w:tcPr>
            <w:tcW w:w="1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net loss per share</w:t>
            </w:r>
          </w:p>
        </w:tc>
        <w:tc>
          <w:tcPr>
            <w:tcW w:w="1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5200" w:type="dxa"/>
            <w:vAlign w:val="bottom"/>
          </w:tcPr>
          <w:p>
            <w:pPr>
              <w:spacing w:after="0"/>
              <w:rPr>
                <w:sz w:val="13"/>
                <w:szCs w:val="13"/>
                <w:color w:val="auto"/>
              </w:rPr>
            </w:pPr>
          </w:p>
        </w:tc>
        <w:tc>
          <w:tcPr>
            <w:tcW w:w="100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56"/>
        </w:trPr>
        <w:tc>
          <w:tcPr>
            <w:tcW w:w="52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(47,417)</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(6,607)</w:t>
            </w: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Issuance of common stock upon initial public</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offering net of underwriting discounts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commissions and other offering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4,945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56,353</w:t>
            </w:r>
          </w:p>
        </w:tc>
        <w:tc>
          <w:tcPr>
            <w:tcW w:w="100" w:type="dxa"/>
            <w:vAlign w:val="bottom"/>
          </w:tcPr>
          <w:p>
            <w:pPr>
              <w:spacing w:after="0"/>
              <w:rPr>
                <w:sz w:val="20"/>
                <w:szCs w:val="20"/>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w w:val="97"/>
              </w:rPr>
              <w:t>Issuance of shares upon vesting of restricted stock units, net of tax</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14,968</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62,140</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(9,372)</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(9,372)</w:t>
            </w: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follow-on public</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net of underwriting discounts and</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commissions and other offering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45,789</w:t>
            </w:r>
          </w:p>
        </w:tc>
        <w:tc>
          <w:tcPr>
            <w:tcW w:w="100" w:type="dxa"/>
            <w:vAlign w:val="bottom"/>
            <w:shd w:val="clear" w:color="auto" w:fill="CFF0FC"/>
          </w:tcPr>
          <w:p>
            <w:pPr>
              <w:spacing w:after="0"/>
              <w:rPr>
                <w:sz w:val="20"/>
                <w:szCs w:val="20"/>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w w:val="97"/>
              </w:rPr>
              <w:t>Issuance of shares upon vesting of restricted stock units, net of tax</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(3,493)</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125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December 31, 2020</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(9,372)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(6,607)</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operating activities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16,009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Inventory write-down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Impairment of internal-use software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(6,261)</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Related party accounts receivable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(2,070)</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(3,145)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4,151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Lease liabilities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(660)</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16,604</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(6,098)</w:t>
            </w: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(1,426)</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intangibles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(1,695)</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(1,776)</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(7,793)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public offering, net of underwriting</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discounts and commissions and other offering costs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45,789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(3,493)</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loans from financial institutions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loans to financial institutions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(76,000)</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Principal payments on loan to MegaChips</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7"/>
                <w:szCs w:val="17"/>
                <w:color w:val="auto"/>
              </w:rPr>
              <w:t>Net cash provided by financing activities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1,296</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51,353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000"/>
              <w:spacing w:after="0"/>
              <w:rPr>
                <w:sz w:val="20"/>
                <w:szCs w:val="20"/>
                <w:color w:val="auto"/>
              </w:rPr>
            </w:pPr>
            <w:r>
              <w:rPr>
                <w:rFonts w:ascii="Arial" w:cs="Arial" w:eastAsia="Arial" w:hAnsi="Arial"/>
                <w:sz w:val="17"/>
                <w:szCs w:val="17"/>
                <w:color w:val="auto"/>
              </w:rPr>
              <w:t>Net increase in cash and cash equivalents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10,107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Beginning of period</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63,418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73,525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paid during the period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Income taxes paid</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Unpaid property and equipment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Right-of-use assets acquired under operating leases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ind w:right="-9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00" w:firstLine="572"/>
        <w:spacing w:after="0" w:line="254"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 The Company was a wholly-owned subsidiary of MegaChips Corporation (“MegaChips”), a fabless semiconductor company based in Japan and traded on the Tokyo Stock Exchange until it completed its initial public offering in November 2019. MegaChips remains the largest stockholder of the Company and held approximately 43.7% of the Company’s outstanding common stock as of December 31,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21" w:lineRule="exact"/>
        <w:rPr>
          <w:sz w:val="20"/>
          <w:szCs w:val="20"/>
          <w:color w:val="auto"/>
        </w:rPr>
      </w:pPr>
    </w:p>
    <w:p>
      <w:pPr>
        <w:ind w:right="120" w:firstLine="630"/>
        <w:spacing w:after="0" w:line="293" w:lineRule="auto"/>
        <w:rPr>
          <w:sz w:val="20"/>
          <w:szCs w:val="20"/>
          <w:color w:val="auto"/>
        </w:rPr>
      </w:pPr>
      <w:r>
        <w:rPr>
          <w:rFonts w:ascii="Arial" w:cs="Arial" w:eastAsia="Arial" w:hAnsi="Arial"/>
          <w:sz w:val="16"/>
          <w:szCs w:val="16"/>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we rely upon for our manufacturing, assembly, testing, shipping and other operations.</w:t>
      </w:r>
    </w:p>
    <w:p>
      <w:pPr>
        <w:spacing w:after="0" w:line="56" w:lineRule="exact"/>
        <w:rPr>
          <w:sz w:val="20"/>
          <w:szCs w:val="20"/>
          <w:color w:val="auto"/>
        </w:rPr>
      </w:pPr>
    </w:p>
    <w:p>
      <w:pPr>
        <w:ind w:right="220" w:firstLine="630"/>
        <w:spacing w:after="0" w:line="296" w:lineRule="auto"/>
        <w:rPr>
          <w:sz w:val="20"/>
          <w:szCs w:val="20"/>
          <w:color w:val="auto"/>
        </w:rPr>
      </w:pPr>
      <w:r>
        <w:rPr>
          <w:rFonts w:ascii="Arial" w:cs="Arial" w:eastAsia="Arial" w:hAnsi="Arial"/>
          <w:sz w:val="16"/>
          <w:szCs w:val="16"/>
          <w:color w:val="auto"/>
        </w:rPr>
        <w:t>The global health crisis caused by 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including the future effects of the COVID-19 pandemic on its employees, customers, suppliers, results of operations, financial condition, or liquidity for fiscal year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ind w:firstLine="572"/>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60" w:firstLine="57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and Follow-on Public Offerings</w:t>
      </w:r>
    </w:p>
    <w:p>
      <w:pPr>
        <w:spacing w:after="0" w:line="121" w:lineRule="exact"/>
        <w:rPr>
          <w:sz w:val="20"/>
          <w:szCs w:val="20"/>
          <w:color w:val="auto"/>
        </w:rPr>
      </w:pPr>
    </w:p>
    <w:p>
      <w:pPr>
        <w:jc w:val="both"/>
        <w:ind w:right="200" w:firstLine="572"/>
        <w:spacing w:after="0" w:line="286" w:lineRule="auto"/>
        <w:rPr>
          <w:sz w:val="20"/>
          <w:szCs w:val="20"/>
          <w:color w:val="auto"/>
        </w:rPr>
      </w:pPr>
      <w:r>
        <w:rPr>
          <w:rFonts w:ascii="Arial" w:cs="Arial" w:eastAsia="Arial" w:hAnsi="Arial"/>
          <w:sz w:val="17"/>
          <w:szCs w:val="17"/>
          <w:color w:val="auto"/>
        </w:rPr>
        <w:t>On November 25, 2019, the Company completed its initial public offering (“IPO”), in which it issued and sold 4,945,000 shares of its common stock including the full exercise of the underwriters’ over-allotment option to purchase an additional 645,000 shares at $13.00 per share, resulting in net proceeds of $56.4 million after deducting underwriting discounts, commissions and offering costs of $7.9 million.</w:t>
      </w:r>
    </w:p>
    <w:p>
      <w:pPr>
        <w:spacing w:after="0" w:line="57" w:lineRule="exact"/>
        <w:rPr>
          <w:sz w:val="20"/>
          <w:szCs w:val="20"/>
          <w:color w:val="auto"/>
        </w:rPr>
      </w:pPr>
    </w:p>
    <w:p>
      <w:pPr>
        <w:ind w:right="140" w:firstLine="572"/>
        <w:spacing w:after="0" w:line="277" w:lineRule="auto"/>
        <w:rPr>
          <w:sz w:val="20"/>
          <w:szCs w:val="20"/>
          <w:color w:val="auto"/>
        </w:rPr>
      </w:pPr>
      <w:r>
        <w:rPr>
          <w:rFonts w:ascii="Arial" w:cs="Arial" w:eastAsia="Arial" w:hAnsi="Arial"/>
          <w:sz w:val="18"/>
          <w:szCs w:val="18"/>
          <w:color w:val="auto"/>
        </w:rPr>
        <w:t>On June 16, 2020, the Company completed a follow-on public offering (“June 2020 Offering), in which it issued and sold 1,525,000 shares of its common stock and MegaChips sold 2,500,000 of its common stock held by them,</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68" w:name="page69"/>
    <w:bookmarkEnd w:id="68"/>
    <w:p>
      <w:pPr>
        <w:ind w:right="240"/>
        <w:spacing w:after="0" w:line="277" w:lineRule="auto"/>
        <w:rPr>
          <w:sz w:val="20"/>
          <w:szCs w:val="20"/>
          <w:color w:val="auto"/>
        </w:rPr>
      </w:pPr>
      <w:r>
        <w:rPr>
          <w:rFonts w:ascii="Arial" w:cs="Arial" w:eastAsia="Arial" w:hAnsi="Arial"/>
          <w:sz w:val="18"/>
          <w:szCs w:val="18"/>
          <w:color w:val="auto"/>
        </w:rPr>
        <w:t>resulting in net proceeds to the Company of $45.8 million after deducting underwriting discounts and commissions of $2.7 million and deferred offering costs of $0.3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21" w:lineRule="exact"/>
        <w:rPr>
          <w:sz w:val="20"/>
          <w:szCs w:val="20"/>
          <w:color w:val="auto"/>
        </w:rPr>
      </w:pPr>
    </w:p>
    <w:p>
      <w:pPr>
        <w:ind w:right="140" w:firstLine="572"/>
        <w:spacing w:after="0" w:line="291" w:lineRule="auto"/>
        <w:rPr>
          <w:sz w:val="20"/>
          <w:szCs w:val="20"/>
          <w:color w:val="auto"/>
        </w:rPr>
      </w:pPr>
      <w:r>
        <w:rPr>
          <w:rFonts w:ascii="Arial" w:cs="Arial" w:eastAsia="Arial" w:hAnsi="Arial"/>
          <w:sz w:val="16"/>
          <w:szCs w:val="16"/>
          <w:color w:val="auto"/>
        </w:rPr>
        <w:t>On October 16, 2019, a pricing committee of the Company’s board of directors approved an amendment and restatement of the Company’s certificate of incorporation to (i) increase the total number of authorized shares of its common stock to 200,000,000 shares, (ii) change the par value of its common stock to $0.0001 per share, and (iii) effect a 30,000-for-1 stock split of its common stock, which was within the range previously approved by its sole stockholder. These changes became effective upon filing of the Company’s amended and restated certificate of incorporation on October 18, 2019. Subsequently, on November 6, 2019, the Company’s board of directors and sole stockholder approved an amendment and restatement of the Company’s certificate of incorporation to effect a 2-for-3 reverse stock split of its common stock, which became effective on November 6, 2019. The share and per share amounts in these consolidated financial statements and accompanying notes have been adjusted to reflect such stock split and reverse stock split.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572"/>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The significant areas requiring the use of management estimates and assumptions include revenue recognition, estimate of reserve for excess and obsolete inventories, sales and warranty reserves, estimate of reserves for accounts receivable, internally developed software capitalization, and valuation allowances for deferred tax assets.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Remeasurement</w:t>
      </w:r>
    </w:p>
    <w:p>
      <w:pPr>
        <w:spacing w:after="0" w:line="121" w:lineRule="exact"/>
        <w:rPr>
          <w:sz w:val="20"/>
          <w:szCs w:val="20"/>
          <w:color w:val="auto"/>
        </w:rPr>
      </w:pPr>
    </w:p>
    <w:p>
      <w:pPr>
        <w:ind w:right="120" w:firstLine="572"/>
        <w:spacing w:after="0" w:line="255" w:lineRule="auto"/>
        <w:rPr>
          <w:sz w:val="20"/>
          <w:szCs w:val="20"/>
          <w:color w:val="auto"/>
        </w:rPr>
      </w:pPr>
      <w:r>
        <w:rPr>
          <w:rFonts w:ascii="Arial" w:cs="Arial" w:eastAsia="Arial" w:hAnsi="Arial"/>
          <w:sz w:val="18"/>
          <w:szCs w:val="18"/>
          <w:color w:val="auto"/>
        </w:rPr>
        <w:t>The Company and its wholly-owned subsidiaries use the U.S. dollar as the functional currency. Foreign currency assets and liabilities are remeasured into U.S. dollars at the end-of-period exchange rates except for non-monetary assets and liabilities, which are measured at historical exchange rates. Revenue and expenses are remeasured using an average exchange rate in effect for the period, except for items related to non-monetary assets and liabilities, which are measured at historical exchange rates. Gains or losses from foreign currency remeasurement and transactions are included in other expense, net. For the years ended December 31, 2020 and 2019, foreign currency remeasurement and transactions gains and losses were less than $0.2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80" w:firstLine="572"/>
        <w:spacing w:after="0" w:line="277" w:lineRule="auto"/>
        <w:rPr>
          <w:sz w:val="20"/>
          <w:szCs w:val="20"/>
          <w:color w:val="auto"/>
        </w:rPr>
      </w:pPr>
      <w:r>
        <w:rPr>
          <w:rFonts w:ascii="Arial" w:cs="Arial" w:eastAsia="Arial" w:hAnsi="Arial"/>
          <w:sz w:val="18"/>
          <w:szCs w:val="18"/>
          <w:color w:val="auto"/>
        </w:rPr>
        <w:t>Cash and cash equivalents consist of cash balances in the Company’s bank checking and savings accounts and liquid short-term investments with original or remaining maturities of 90 days or less at the date of purchase, readily convertible to known amounts of cash.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572"/>
        <w:spacing w:after="0" w:line="273" w:lineRule="auto"/>
        <w:rPr>
          <w:sz w:val="20"/>
          <w:szCs w:val="20"/>
          <w:color w:val="auto"/>
        </w:rPr>
      </w:pPr>
      <w:r>
        <w:rPr>
          <w:rFonts w:ascii="Arial" w:cs="Arial" w:eastAsia="Arial" w:hAnsi="Arial"/>
          <w:sz w:val="17"/>
          <w:szCs w:val="17"/>
          <w:color w:val="auto"/>
        </w:rPr>
        <w:t>The carrying amounts of the Company’s financial instruments, which include cash equivalents, accounts receivable, accounts payable, accrued liabilities, and other current liabilities, approximate their fair values due to their short maturities. 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240" w:firstLine="572"/>
        <w:spacing w:after="0" w:line="342" w:lineRule="auto"/>
        <w:rPr>
          <w:sz w:val="20"/>
          <w:szCs w:val="20"/>
          <w:color w:val="auto"/>
        </w:rPr>
      </w:pPr>
      <w:r>
        <w:rPr>
          <w:rFonts w:ascii="Arial" w:cs="Arial" w:eastAsia="Arial" w:hAnsi="Arial"/>
          <w:sz w:val="16"/>
          <w:szCs w:val="16"/>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6"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Valuations based on quoted prices in active markets for identical assets or liabilities that the entity has the ability to access.</w:t>
      </w:r>
    </w:p>
    <w:p>
      <w:pPr>
        <w:spacing w:after="0" w:line="117" w:lineRule="exact"/>
        <w:rPr>
          <w:sz w:val="20"/>
          <w:szCs w:val="20"/>
          <w:color w:val="auto"/>
        </w:rPr>
      </w:pPr>
    </w:p>
    <w:p>
      <w:pPr>
        <w:ind w:left="580" w:right="380"/>
        <w:spacing w:after="0" w:line="277" w:lineRule="auto"/>
        <w:rPr>
          <w:sz w:val="20"/>
          <w:szCs w:val="20"/>
          <w:color w:val="auto"/>
        </w:rPr>
      </w:pPr>
      <w:r>
        <w:rPr>
          <w:rFonts w:ascii="Arial" w:cs="Arial" w:eastAsia="Arial" w:hAnsi="Arial"/>
          <w:sz w:val="18"/>
          <w:szCs w:val="18"/>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sz w:val="20"/>
          <w:szCs w:val="20"/>
          <w:color w:val="auto"/>
        </w:rPr>
      </w:pPr>
    </w:p>
    <w:p>
      <w:pPr>
        <w:ind w:left="580" w:right="520"/>
        <w:spacing w:after="0" w:line="277" w:lineRule="auto"/>
        <w:rPr>
          <w:sz w:val="20"/>
          <w:szCs w:val="20"/>
          <w:color w:val="auto"/>
        </w:rPr>
      </w:pPr>
      <w:r>
        <w:rPr>
          <w:rFonts w:ascii="Arial" w:cs="Arial" w:eastAsia="Arial" w:hAnsi="Arial"/>
          <w:sz w:val="18"/>
          <w:szCs w:val="18"/>
          <w:color w:val="auto"/>
        </w:rPr>
        <w:t>Level 3: Valuations based on inputs that are supported by little or no market activity and that are significant to the fair value of the assets or liabilities.</w:t>
      </w:r>
    </w:p>
    <w:p>
      <w:pPr>
        <w:spacing w:after="0" w:line="170" w:lineRule="exact"/>
        <w:rPr>
          <w:sz w:val="20"/>
          <w:szCs w:val="20"/>
          <w:color w:val="auto"/>
        </w:rPr>
      </w:pPr>
    </w:p>
    <w:p>
      <w:pPr>
        <w:ind w:right="60" w:firstLine="572"/>
        <w:spacing w:after="0" w:line="311" w:lineRule="auto"/>
        <w:rPr>
          <w:sz w:val="20"/>
          <w:szCs w:val="20"/>
          <w:color w:val="auto"/>
        </w:rPr>
      </w:pPr>
      <w:r>
        <w:rPr>
          <w:rFonts w:ascii="Arial" w:cs="Arial" w:eastAsia="Arial" w:hAnsi="Arial"/>
          <w:sz w:val="16"/>
          <w:szCs w:val="16"/>
          <w:color w:val="auto"/>
        </w:rPr>
        <w:t>At December 31, 2020 and 2019, cash balances in bank checking and savings accounts of $18.4 million and $28.4 million, were valued using Level 1 of the fair value hierarchy. At December 31, 2020 and December 31, 2019, highly liquid money market funds of $55.1 million and $35.0 million, respectively, were valued using Level 1, of the fair value hierarchy, quoted prices in active markets for identical assets and are included in cash equivalents.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transfers between Level 1 and Level 2 categories during any of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Allowances for Credit Losses</w:t>
      </w:r>
    </w:p>
    <w:p>
      <w:pPr>
        <w:spacing w:after="0" w:line="121" w:lineRule="exact"/>
        <w:rPr>
          <w:sz w:val="20"/>
          <w:szCs w:val="20"/>
          <w:color w:val="auto"/>
        </w:rPr>
      </w:pPr>
    </w:p>
    <w:p>
      <w:pPr>
        <w:ind w:right="40" w:firstLine="572"/>
        <w:spacing w:after="0" w:line="279" w:lineRule="auto"/>
        <w:rPr>
          <w:sz w:val="20"/>
          <w:szCs w:val="20"/>
          <w:color w:val="auto"/>
        </w:rPr>
      </w:pPr>
      <w:r>
        <w:rPr>
          <w:rFonts w:ascii="Arial" w:cs="Arial" w:eastAsia="Arial" w:hAnsi="Arial"/>
          <w:sz w:val="17"/>
          <w:szCs w:val="17"/>
          <w:color w:val="auto"/>
        </w:rPr>
        <w:t>Accounts receivable are stated at amounts estimated by management to be net realizable value.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200" w:firstLine="572"/>
        <w:spacing w:after="0" w:line="31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and accounts receivable. The Company’s cash and cash equivalents amount is subject to concentration of credit risk. The Company maintains some cash and cash equivalents balances that are in excess of Federal Deposit Insurance Corporation insurance limits with financial institutions.</w:t>
      </w:r>
    </w:p>
    <w:p>
      <w:pPr>
        <w:spacing w:after="0" w:line="149" w:lineRule="exact"/>
        <w:rPr>
          <w:sz w:val="20"/>
          <w:szCs w:val="20"/>
          <w:color w:val="auto"/>
        </w:rPr>
      </w:pPr>
    </w:p>
    <w:p>
      <w:pPr>
        <w:ind w:right="340" w:firstLine="572"/>
        <w:spacing w:after="0" w:line="263" w:lineRule="auto"/>
        <w:rPr>
          <w:sz w:val="20"/>
          <w:szCs w:val="20"/>
          <w:color w:val="auto"/>
        </w:rPr>
      </w:pPr>
      <w:r>
        <w:rPr>
          <w:rFonts w:ascii="Arial" w:cs="Arial" w:eastAsia="Arial" w:hAnsi="Arial"/>
          <w:sz w:val="18"/>
          <w:szCs w:val="18"/>
          <w:color w:val="auto"/>
        </w:rPr>
        <w:t>The Company extends credit based on an evaluation of the customer’s financial condition and collateral is not typically required. The Company primarily sells its products through third-party distributors and resellers. For the years ended December 31, 2020 and 2019, three distributors directly accounted for 10% or more of the Company’s revenue.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discloses these customers’ percentage of revenue for the respective periods:</w:t>
      </w:r>
    </w:p>
    <w:p>
      <w:pPr>
        <w:spacing w:after="0" w:line="298"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80" w:type="dxa"/>
            <w:vAlign w:val="bottom"/>
            <w:gridSpan w:val="2"/>
          </w:tcPr>
          <w:p>
            <w:pPr>
              <w:spacing w:after="0"/>
              <w:rPr>
                <w:sz w:val="13"/>
                <w:szCs w:val="13"/>
                <w:color w:val="auto"/>
              </w:rPr>
            </w:pPr>
          </w:p>
        </w:tc>
        <w:tc>
          <w:tcPr>
            <w:tcW w:w="76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Customer</w:t>
            </w: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Pernas Electronics Co. Ltd.</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26%</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w w:val="99"/>
              </w:rPr>
              <w:t>17%</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Quantek Technology Corporation</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18</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9"/>
              </w:rPr>
              <w:t>22</w:t>
            </w:r>
          </w:p>
        </w:tc>
        <w:tc>
          <w:tcPr>
            <w:tcW w:w="1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Arrow Electronics, Inc.</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15</w:t>
            </w:r>
          </w:p>
        </w:tc>
        <w:tc>
          <w:tcPr>
            <w:tcW w:w="30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47"/>
        </w:trPr>
        <w:tc>
          <w:tcPr>
            <w:tcW w:w="6980" w:type="dxa"/>
            <w:vAlign w:val="bottom"/>
            <w:gridSpan w:val="2"/>
          </w:tcPr>
          <w:p>
            <w:pPr>
              <w:jc w:val="right"/>
              <w:ind w:right="1170"/>
              <w:spacing w:after="0"/>
              <w:rPr>
                <w:sz w:val="20"/>
                <w:szCs w:val="20"/>
                <w:color w:val="auto"/>
              </w:rPr>
            </w:pPr>
            <w:r>
              <w:rPr>
                <w:rFonts w:ascii="Arial" w:cs="Arial" w:eastAsia="Arial" w:hAnsi="Arial"/>
                <w:sz w:val="18"/>
                <w:szCs w:val="18"/>
                <w:color w:val="auto"/>
              </w:rPr>
              <w:t>68</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0" w:name="page71"/>
    <w:bookmarkEnd w:id="70"/>
    <w:p>
      <w:pPr>
        <w:ind w:left="580"/>
        <w:spacing w:after="0"/>
        <w:rPr>
          <w:sz w:val="20"/>
          <w:szCs w:val="20"/>
          <w:color w:val="auto"/>
        </w:rPr>
      </w:pPr>
      <w:r>
        <w:rPr>
          <w:rFonts w:ascii="Arial" w:cs="Arial" w:eastAsia="Arial" w:hAnsi="Arial"/>
          <w:sz w:val="18"/>
          <w:szCs w:val="18"/>
          <w:color w:val="auto"/>
        </w:rPr>
        <w:t>At December 31, 2020 and 2019, three customers accounted for 10% or more of accounts receivable, as disclosed below:</w:t>
      </w:r>
    </w:p>
    <w:p>
      <w:pPr>
        <w:spacing w:after="0" w:line="298"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2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Customer</w:t>
            </w: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040" w:type="dxa"/>
            <w:vAlign w:val="bottom"/>
            <w:gridSpan w:val="2"/>
          </w:tcPr>
          <w:p>
            <w:pPr>
              <w:spacing w:after="0"/>
              <w:rPr>
                <w:sz w:val="20"/>
                <w:szCs w:val="20"/>
                <w:color w:val="auto"/>
              </w:rPr>
            </w:pPr>
            <w:r>
              <w:rPr>
                <w:rFonts w:ascii="Arial" w:cs="Arial" w:eastAsia="Arial" w:hAnsi="Arial"/>
                <w:sz w:val="18"/>
                <w:szCs w:val="18"/>
                <w:color w:val="auto"/>
              </w:rPr>
              <w:t>Pernas Electronics Co. Ltd.</w:t>
            </w:r>
          </w:p>
        </w:tc>
        <w:tc>
          <w:tcPr>
            <w:tcW w:w="460" w:type="dxa"/>
            <w:vAlign w:val="bottom"/>
          </w:tcPr>
          <w:p>
            <w:pPr>
              <w:ind w:left="100"/>
              <w:spacing w:after="0"/>
              <w:rPr>
                <w:sz w:val="20"/>
                <w:szCs w:val="20"/>
                <w:color w:val="auto"/>
              </w:rPr>
            </w:pPr>
            <w:r>
              <w:rPr>
                <w:rFonts w:ascii="Arial" w:cs="Arial" w:eastAsia="Arial" w:hAnsi="Arial"/>
                <w:sz w:val="18"/>
                <w:szCs w:val="18"/>
                <w:color w:val="auto"/>
                <w:w w:val="94"/>
              </w:rPr>
              <w:t>31%</w:t>
            </w:r>
          </w:p>
        </w:tc>
        <w:tc>
          <w:tcPr>
            <w:tcW w:w="12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w w:val="99"/>
              </w:rPr>
              <w:t>12%</w:t>
            </w:r>
          </w:p>
        </w:tc>
      </w:tr>
      <w:tr>
        <w:trPr>
          <w:trHeight w:val="230"/>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Quantek Technology Corporation</w:t>
            </w: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9"/>
              </w:rPr>
              <w:t>32</w:t>
            </w:r>
          </w:p>
        </w:tc>
        <w:tc>
          <w:tcPr>
            <w:tcW w:w="180" w:type="dxa"/>
            <w:vAlign w:val="bottom"/>
            <w:shd w:val="clear" w:color="auto" w:fill="CFF0FC"/>
          </w:tcPr>
          <w:p>
            <w:pPr>
              <w:spacing w:after="0"/>
              <w:rPr>
                <w:sz w:val="19"/>
                <w:szCs w:val="19"/>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Arrow Electronics, Inc.</w:t>
            </w:r>
          </w:p>
        </w:tc>
        <w:tc>
          <w:tcPr>
            <w:tcW w:w="460" w:type="dxa"/>
            <w:vAlign w:val="bottom"/>
          </w:tcPr>
          <w:p>
            <w:pPr>
              <w:ind w:lef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89"/>
              </w:rPr>
              <w:t>26</w:t>
            </w:r>
          </w:p>
        </w:tc>
        <w:tc>
          <w:tcPr>
            <w:tcW w:w="180" w:type="dxa"/>
            <w:vAlign w:val="bottom"/>
          </w:tcPr>
          <w:p>
            <w:pPr>
              <w:spacing w:after="0"/>
              <w:rPr>
                <w:sz w:val="20"/>
                <w:szCs w:val="20"/>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40" w:firstLine="572"/>
        <w:spacing w:after="0" w:line="254" w:lineRule="auto"/>
        <w:rPr>
          <w:sz w:val="20"/>
          <w:szCs w:val="20"/>
          <w:color w:val="auto"/>
        </w:rPr>
      </w:pPr>
      <w:r>
        <w:rPr>
          <w:rFonts w:ascii="Arial" w:cs="Arial" w:eastAsia="Arial" w:hAnsi="Arial"/>
          <w:sz w:val="18"/>
          <w:szCs w:val="18"/>
          <w:color w:val="auto"/>
        </w:rPr>
        <w:t>Inventories are stated at the lower of standard cost (which approximates actual cost on a first-in, first-out basis) or net realizable value. The Company, at least quarterly, assesses the recoverability of all inventories to determine whether adjustments are required to record inventory at the lower of cost or net realizable value. The Company reduces the value of inventory by establishing excess and obsolete inventories reserves based on management’s assessment of future demand and market conditions and may require estimates that may include uncertain elements. Actual demand may differ from forecasted demand and such differences may have a material effect on recorded value of inventory. Inventory reserve write-downs, once established, are not released until the related inventory has been sold or scrapped. Rebates from the Company’s foundries are recorded as a reduction of inventory cost and are recognized in cost of revenue over the inventory turnover days of the Company. Most of the Company’s inventory is warehoused at its contract manufacturers.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0" w:firstLine="572"/>
        <w:spacing w:after="0" w:line="277"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recognized on a straight-line basis over the estimated useful lives of the respective assets as follows:</w:t>
      </w:r>
    </w:p>
    <w:p>
      <w:pPr>
        <w:sectPr>
          <w:pgSz w:w="11900" w:h="16838" w:orient="portrait"/>
          <w:cols w:equalWidth="0" w:num="1">
            <w:col w:w="11180"/>
          </w:cols>
          <w:pgMar w:left="320" w:top="382" w:right="39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Lab and manufacturing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remaining lease term or estimated useful lives of the assets</w:t>
      </w:r>
    </w:p>
    <w:p>
      <w:pPr>
        <w:spacing w:after="0" w:line="222" w:lineRule="exact"/>
        <w:rPr>
          <w:sz w:val="20"/>
          <w:szCs w:val="20"/>
          <w:color w:val="auto"/>
        </w:rPr>
      </w:pPr>
    </w:p>
    <w:p>
      <w:pPr>
        <w:sectPr>
          <w:pgSz w:w="11900" w:h="16838" w:orient="portrait"/>
          <w:cols w:equalWidth="0" w:num="2">
            <w:col w:w="5020" w:space="720"/>
            <w:col w:w="5440"/>
          </w:cols>
          <w:pgMar w:left="320" w:top="382" w:right="399" w:bottom="1440" w:gutter="0" w:footer="0" w:header="0"/>
          <w:type w:val="continuous"/>
        </w:sectPr>
      </w:pPr>
    </w:p>
    <w:p>
      <w:pPr>
        <w:spacing w:after="0" w:line="294" w:lineRule="exact"/>
        <w:rPr>
          <w:sz w:val="20"/>
          <w:szCs w:val="20"/>
          <w:color w:val="auto"/>
        </w:rPr>
      </w:pPr>
    </w:p>
    <w:p>
      <w:pPr>
        <w:ind w:firstLine="572"/>
        <w:spacing w:after="0" w:line="255" w:lineRule="auto"/>
        <w:rPr>
          <w:sz w:val="20"/>
          <w:szCs w:val="20"/>
          <w:color w:val="auto"/>
        </w:rPr>
      </w:pPr>
      <w:r>
        <w:rPr>
          <w:rFonts w:ascii="Arial" w:cs="Arial" w:eastAsia="Arial" w:hAnsi="Arial"/>
          <w:sz w:val="18"/>
          <w:szCs w:val="18"/>
          <w:color w:val="auto"/>
        </w:rPr>
        <w:t>The Company capitalizes the costs of purchased mask sets that are utilized during the photolithography phase of manufacturing our products, when technological feasibility and marketability have been established. The capitalization occurs upon the completion of a detailed design, the absence of significant development uncertainties and the determination of market acceptance. Such amounts are included in property and equipment in the consolidated balance sheets and are amortized to cost of revenue over their estimated useful life of 5 years. However, if significant uncertainties exist regarding the future utility of a particular mask set, then its related costs are expensed to research and development at the time the significant uncertainties are identified.</w:t>
      </w:r>
    </w:p>
    <w:p>
      <w:pPr>
        <w:spacing w:after="0" w:line="192" w:lineRule="exact"/>
        <w:rPr>
          <w:sz w:val="20"/>
          <w:szCs w:val="20"/>
          <w:color w:val="auto"/>
        </w:rPr>
      </w:pPr>
    </w:p>
    <w:p>
      <w:pPr>
        <w:ind w:right="120" w:firstLine="572"/>
        <w:spacing w:after="0" w:line="263" w:lineRule="auto"/>
        <w:rPr>
          <w:sz w:val="20"/>
          <w:szCs w:val="20"/>
          <w:color w:val="auto"/>
        </w:rPr>
      </w:pPr>
      <w:r>
        <w:rPr>
          <w:rFonts w:ascii="Arial" w:cs="Arial" w:eastAsia="Arial" w:hAnsi="Arial"/>
          <w:sz w:val="18"/>
          <w:szCs w:val="18"/>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other expense, net.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Intangible assets include the costs related to acquired software as well as costs related to software internally developed, or modified solely to meet the Company’s internal requirements, with no substantive plans to market such software at the time of development. The Company develops proprietary design automation software for its MEMS-based resonators. Costs incurred during the preliminary planning and evaluation stage of the project and during post implementation operational stage are expensed as incurred. Costs incurred during the application development stage of the software are capitalized. The Company defines the configuration and coding process as the application development stage. Capitalized internal use software costs are amortized, on a straight-line basis under cost of revenue over the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type w:val="continuous"/>
        </w:sectPr>
      </w:pPr>
    </w:p>
    <w:bookmarkStart w:id="71" w:name="page72"/>
    <w:bookmarkEnd w:id="71"/>
    <w:p>
      <w:pPr>
        <w:ind w:right="160"/>
        <w:spacing w:after="0" w:line="277" w:lineRule="auto"/>
        <w:rPr>
          <w:sz w:val="20"/>
          <w:szCs w:val="20"/>
          <w:color w:val="auto"/>
        </w:rPr>
      </w:pPr>
      <w:r>
        <w:rPr>
          <w:rFonts w:ascii="Arial" w:cs="Arial" w:eastAsia="Arial" w:hAnsi="Arial"/>
          <w:sz w:val="18"/>
          <w:szCs w:val="18"/>
          <w:color w:val="auto"/>
        </w:rPr>
        <w:t>estimated useful life of approximately 2 to 3 years. Purchased intangibles with finite lives are amortized using the straight-line method over the estimated economic lives of the assets of 3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80" w:firstLine="572"/>
        <w:spacing w:after="0" w:line="263" w:lineRule="auto"/>
        <w:rPr>
          <w:sz w:val="20"/>
          <w:szCs w:val="20"/>
          <w:color w:val="auto"/>
        </w:rPr>
      </w:pPr>
      <w:r>
        <w:rPr>
          <w:rFonts w:ascii="Arial" w:cs="Arial" w:eastAsia="Arial" w:hAnsi="Arial"/>
          <w:sz w:val="18"/>
          <w:szCs w:val="18"/>
          <w:color w:val="auto"/>
        </w:rPr>
        <w:t>The Company applies the guidance in Accounting Standards Codification (“ASC”), Topic 842 to individual leases of assets. The Company recognizes a transaction as a lease when it receives substantially all of the economic benefits from and directs the use of specified property, plant and equipment.</w:t>
      </w:r>
    </w:p>
    <w:p>
      <w:pPr>
        <w:spacing w:after="0" w:line="184" w:lineRule="exact"/>
        <w:rPr>
          <w:sz w:val="20"/>
          <w:szCs w:val="20"/>
          <w:color w:val="auto"/>
        </w:rPr>
      </w:pPr>
    </w:p>
    <w:p>
      <w:pPr>
        <w:ind w:right="100" w:firstLine="572"/>
        <w:spacing w:after="0" w:line="311" w:lineRule="auto"/>
        <w:rPr>
          <w:sz w:val="20"/>
          <w:szCs w:val="20"/>
          <w:color w:val="auto"/>
        </w:rPr>
      </w:pPr>
      <w:r>
        <w:rPr>
          <w:rFonts w:ascii="Arial" w:cs="Arial" w:eastAsia="Arial" w:hAnsi="Arial"/>
          <w:sz w:val="16"/>
          <w:szCs w:val="16"/>
          <w:color w:val="auto"/>
        </w:rPr>
        <w:t>Operating leases are included in right-of-use (“ROU”), assets, accrued expenses and other current liabilities, and lease liabilities in the Company’s consolidated balance sheets. ROU assets represent the Company’s right to use an underlying asset for the lease term and lease liabilities represent the present value of the Company’s obligation to make lease payments arising from the lease. The Company currently does not have any finance leases.</w:t>
      </w:r>
    </w:p>
    <w:p>
      <w:pPr>
        <w:spacing w:after="0" w:line="149" w:lineRule="exact"/>
        <w:rPr>
          <w:sz w:val="20"/>
          <w:szCs w:val="20"/>
          <w:color w:val="auto"/>
        </w:rPr>
      </w:pPr>
    </w:p>
    <w:p>
      <w:pPr>
        <w:ind w:right="180" w:firstLine="572"/>
        <w:spacing w:after="0" w:line="301" w:lineRule="auto"/>
        <w:rPr>
          <w:sz w:val="20"/>
          <w:szCs w:val="20"/>
          <w:color w:val="auto"/>
        </w:rPr>
      </w:pPr>
      <w:r>
        <w:rPr>
          <w:rFonts w:ascii="Arial" w:cs="Arial" w:eastAsia="Arial" w:hAnsi="Arial"/>
          <w:sz w:val="16"/>
          <w:szCs w:val="16"/>
          <w:color w:val="auto"/>
        </w:rPr>
        <w:t>The Company has elected the practical expedient within ASC Topic 842 to not separate lease and non-lease components within lease transactions for all classes of assets. Additionally, the Company has elected the short-term lease exception for all classes of assets and does not apply the recognition requirements for leases of 12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57" w:lineRule="exact"/>
        <w:rPr>
          <w:sz w:val="20"/>
          <w:szCs w:val="20"/>
          <w:color w:val="auto"/>
        </w:rPr>
      </w:pPr>
    </w:p>
    <w:p>
      <w:pPr>
        <w:ind w:right="140" w:firstLine="572"/>
        <w:spacing w:after="0" w:line="259" w:lineRule="auto"/>
        <w:rPr>
          <w:sz w:val="20"/>
          <w:szCs w:val="20"/>
          <w:color w:val="auto"/>
        </w:rPr>
      </w:pPr>
      <w:r>
        <w:rPr>
          <w:rFonts w:ascii="Arial" w:cs="Arial" w:eastAsia="Arial" w:hAnsi="Arial"/>
          <w:sz w:val="18"/>
          <w:szCs w:val="18"/>
          <w:color w:val="auto"/>
        </w:rPr>
        <w:t>When discount rates implicit in leases cannot be readily determined, the Company uses the applicable incremental borrowing rate at lease commencement to perform lease classification tests on lease components and to measure ROU assets and lease liabilities. The incremental borrowing rate used by the Company was based on the rate of interest that the Company would have to pay to borrow on a collateralized basis over a similar term, an amount equal to the lease payments in a similar economic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60" w:firstLine="572"/>
        <w:spacing w:after="0" w:line="279"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determined that no events or changes in circumstances indicate that impairment of its long-lived assets has occurred.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21" w:lineRule="exact"/>
        <w:rPr>
          <w:sz w:val="20"/>
          <w:szCs w:val="20"/>
          <w:color w:val="auto"/>
        </w:rPr>
      </w:pPr>
    </w:p>
    <w:p>
      <w:pPr>
        <w:ind w:firstLine="572"/>
        <w:spacing w:after="0" w:line="272" w:lineRule="auto"/>
        <w:rPr>
          <w:sz w:val="20"/>
          <w:szCs w:val="20"/>
          <w:color w:val="auto"/>
        </w:rPr>
      </w:pPr>
      <w:r>
        <w:rPr>
          <w:rFonts w:ascii="Arial" w:cs="Arial" w:eastAsia="Arial" w:hAnsi="Arial"/>
          <w:sz w:val="17"/>
          <w:szCs w:val="17"/>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long-term liabilities on the consolidated balance sheets based on the expected timing of the related payments. To date, the Company has had negligible returns of any defective products, and hence the warranty reserve balances as of December 31, 2020 and 2019 were less than $0.1 million.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572"/>
        <w:spacing w:after="0" w:line="296"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61" w:lineRule="exact"/>
        <w:rPr>
          <w:sz w:val="20"/>
          <w:szCs w:val="20"/>
          <w:color w:val="auto"/>
        </w:rPr>
      </w:pPr>
    </w:p>
    <w:p>
      <w:pPr>
        <w:ind w:right="200" w:firstLine="572"/>
        <w:spacing w:after="0" w:line="286" w:lineRule="auto"/>
        <w:rPr>
          <w:sz w:val="20"/>
          <w:szCs w:val="20"/>
          <w:color w:val="auto"/>
        </w:rPr>
      </w:pPr>
      <w:r>
        <w:rPr>
          <w:rFonts w:ascii="Arial" w:cs="Arial" w:eastAsia="Arial" w:hAnsi="Arial"/>
          <w:sz w:val="17"/>
          <w:szCs w:val="17"/>
          <w:color w:val="auto"/>
        </w:rPr>
        <w:t>The Tax Cuts and Jobs Act of 2017 (the “Tax Act”) and The Coronavirus Aid, Relief, and Economic Security (“CARES Act”) , makes broad and complex changes to the U.S. tax code. These computations require significant judgments and estimates to be made regarding the interpretation of the provisions within the Tax Act along with the preparation and analysis of information not previously required.</w:t>
      </w:r>
    </w:p>
    <w:p>
      <w:pPr>
        <w:spacing w:after="0" w:line="165" w:lineRule="exact"/>
        <w:rPr>
          <w:sz w:val="20"/>
          <w:szCs w:val="20"/>
          <w:color w:val="auto"/>
        </w:rPr>
      </w:pPr>
    </w:p>
    <w:p>
      <w:pPr>
        <w:ind w:firstLine="572"/>
        <w:spacing w:after="0" w:line="259" w:lineRule="auto"/>
        <w:rPr>
          <w:sz w:val="20"/>
          <w:szCs w:val="20"/>
          <w:color w:val="auto"/>
        </w:rPr>
      </w:pPr>
      <w:r>
        <w:rPr>
          <w:rFonts w:ascii="Arial" w:cs="Arial" w:eastAsia="Arial" w:hAnsi="Arial"/>
          <w:sz w:val="18"/>
          <w:szCs w:val="18"/>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87" w:lineRule="exact"/>
        <w:rPr>
          <w:sz w:val="20"/>
          <w:szCs w:val="20"/>
          <w:color w:val="auto"/>
        </w:rPr>
      </w:pPr>
    </w:p>
    <w:p>
      <w:pPr>
        <w:ind w:right="100" w:firstLine="572"/>
        <w:spacing w:after="0" w:line="255" w:lineRule="auto"/>
        <w:rPr>
          <w:sz w:val="20"/>
          <w:szCs w:val="20"/>
          <w:color w:val="auto"/>
        </w:rPr>
      </w:pPr>
      <w:r>
        <w:rPr>
          <w:rFonts w:ascii="Arial" w:cs="Arial" w:eastAsia="Arial" w:hAnsi="Arial"/>
          <w:sz w:val="18"/>
          <w:szCs w:val="18"/>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The Company derives revenue from its product sales to distributors and resellers,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The Company determines variable consideration, which consists primarily of price adjustments and product returns by estimating the amount of consideration the Company expects to receive from its customers based on historical experience of price adjustments and product returns. Initial estimates of price adjustments and product returns are updated at the end of each reporting period if additional information becomes available.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85" w:lineRule="exact"/>
        <w:rPr>
          <w:sz w:val="20"/>
          <w:szCs w:val="20"/>
          <w:color w:val="auto"/>
        </w:rPr>
      </w:pPr>
    </w:p>
    <w:p>
      <w:pPr>
        <w:ind w:right="180" w:firstLine="572"/>
        <w:spacing w:after="0" w:line="342" w:lineRule="auto"/>
        <w:rPr>
          <w:sz w:val="20"/>
          <w:szCs w:val="20"/>
          <w:color w:val="auto"/>
        </w:rPr>
      </w:pPr>
      <w:r>
        <w:rPr>
          <w:rFonts w:ascii="Arial" w:cs="Arial" w:eastAsia="Arial" w:hAnsi="Arial"/>
          <w:sz w:val="16"/>
          <w:szCs w:val="16"/>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24" w:lineRule="exact"/>
        <w:rPr>
          <w:sz w:val="20"/>
          <w:szCs w:val="20"/>
          <w:color w:val="auto"/>
        </w:rPr>
      </w:pPr>
    </w:p>
    <w:p>
      <w:pPr>
        <w:ind w:right="200" w:firstLine="572"/>
        <w:spacing w:after="0" w:line="259" w:lineRule="auto"/>
        <w:rPr>
          <w:sz w:val="20"/>
          <w:szCs w:val="20"/>
          <w:color w:val="auto"/>
        </w:rPr>
      </w:pPr>
      <w:r>
        <w:rPr>
          <w:rFonts w:ascii="Arial" w:cs="Arial" w:eastAsia="Arial" w:hAnsi="Arial"/>
          <w:sz w:val="18"/>
          <w:szCs w:val="18"/>
          <w:color w:val="auto"/>
        </w:rPr>
        <w:t>As a practical expedient, the Company records the incremental costs of obtaining a contract, consisting primarily of sales commissions, when incurred because the amortization period is one year or less. These costs are recorded within sales and marketing expenses. The Company entered into a distribution agreement with MegaChips, whereby the Company appointed MegaChips as the exclusive distributor of its products in Japan. The Company recognizes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3" w:name="page74"/>
    <w:bookmarkEnd w:id="73"/>
    <w:p>
      <w:pPr>
        <w:ind w:right="480"/>
        <w:spacing w:after="0" w:line="277" w:lineRule="auto"/>
        <w:rPr>
          <w:sz w:val="20"/>
          <w:szCs w:val="20"/>
          <w:color w:val="auto"/>
        </w:rPr>
      </w:pPr>
      <w:r>
        <w:rPr>
          <w:rFonts w:ascii="Arial" w:cs="Arial" w:eastAsia="Arial" w:hAnsi="Arial"/>
          <w:sz w:val="18"/>
          <w:szCs w:val="18"/>
          <w:color w:val="auto"/>
        </w:rPr>
        <w:t>upon shipment derived from sales of products through MegaChips in the amount of expected payments from parties which purchased the products as adjusted for estimated price concessions and product returns.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firstLine="572"/>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amortization of internally developed software, shipping and handling costs, and allocation of overhead and facility costs. The Company also includes credits for rebates received from foundries to cost of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0" w:firstLine="572"/>
        <w:spacing w:after="0" w:line="277" w:lineRule="auto"/>
        <w:rPr>
          <w:sz w:val="20"/>
          <w:szCs w:val="20"/>
          <w:color w:val="auto"/>
        </w:rPr>
      </w:pPr>
      <w:r>
        <w:rPr>
          <w:rFonts w:ascii="Arial" w:cs="Arial" w:eastAsia="Arial" w:hAnsi="Arial"/>
          <w:sz w:val="18"/>
          <w:szCs w:val="18"/>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20" w:firstLine="572"/>
        <w:spacing w:after="0" w:line="311" w:lineRule="auto"/>
        <w:rPr>
          <w:sz w:val="20"/>
          <w:szCs w:val="20"/>
          <w:color w:val="auto"/>
        </w:rPr>
      </w:pPr>
      <w:r>
        <w:rPr>
          <w:rFonts w:ascii="Arial" w:cs="Arial" w:eastAsia="Arial" w:hAnsi="Arial"/>
          <w:sz w:val="16"/>
          <w:szCs w:val="16"/>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$0.3 million and $0.3 million, for the years ended December 31, 2020 and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firstLine="572"/>
        <w:spacing w:after="0" w:line="277" w:lineRule="auto"/>
        <w:rPr>
          <w:sz w:val="20"/>
          <w:szCs w:val="20"/>
          <w:color w:val="auto"/>
        </w:rPr>
      </w:pPr>
      <w:r>
        <w:rPr>
          <w:rFonts w:ascii="Arial" w:cs="Arial" w:eastAsia="Arial" w:hAnsi="Arial"/>
          <w:sz w:val="18"/>
          <w:szCs w:val="18"/>
          <w:color w:val="auto"/>
        </w:rPr>
        <w:t>The Company measures and recognizes compensation expense for all stock-based awards made to employees, based on estimated fair values using the straight-line method over the requisite service period. The Company recognizes forfeitures as they occur.</w:t>
      </w:r>
    </w:p>
    <w:p>
      <w:pPr>
        <w:spacing w:after="0" w:line="62" w:lineRule="exact"/>
        <w:rPr>
          <w:sz w:val="20"/>
          <w:szCs w:val="20"/>
          <w:color w:val="auto"/>
        </w:rPr>
      </w:pPr>
    </w:p>
    <w:p>
      <w:pPr>
        <w:ind w:right="120" w:firstLine="572"/>
        <w:spacing w:after="0" w:line="277" w:lineRule="auto"/>
        <w:rPr>
          <w:sz w:val="20"/>
          <w:szCs w:val="20"/>
          <w:color w:val="auto"/>
        </w:rPr>
      </w:pPr>
      <w:r>
        <w:rPr>
          <w:rFonts w:ascii="Arial" w:cs="Arial" w:eastAsia="Arial" w:hAnsi="Arial"/>
          <w:sz w:val="18"/>
          <w:szCs w:val="18"/>
          <w:color w:val="auto"/>
        </w:rPr>
        <w:t>The Company granted restricted stock units (“RSUs”) of its own common stock after the completion of its IPO and such grants were valued at the fair market value of the Company’s stock on the date of the grant.</w:t>
      </w:r>
    </w:p>
    <w:p>
      <w:pPr>
        <w:spacing w:after="0" w:line="62" w:lineRule="exact"/>
        <w:rPr>
          <w:sz w:val="20"/>
          <w:szCs w:val="20"/>
          <w:color w:val="auto"/>
        </w:rPr>
      </w:pPr>
    </w:p>
    <w:p>
      <w:pPr>
        <w:ind w:right="80" w:firstLine="572"/>
        <w:spacing w:after="0" w:line="286" w:lineRule="auto"/>
        <w:rPr>
          <w:sz w:val="20"/>
          <w:szCs w:val="20"/>
          <w:color w:val="auto"/>
        </w:rPr>
      </w:pPr>
      <w:r>
        <w:rPr>
          <w:rFonts w:ascii="Arial" w:cs="Arial" w:eastAsia="Arial" w:hAnsi="Arial"/>
          <w:sz w:val="17"/>
          <w:szCs w:val="17"/>
          <w:color w:val="auto"/>
        </w:rPr>
        <w:t>The Company amortizes stock-based compensation expense for time-based awards under the straight-line attribution method over the vesting period. Stock-based compensation expense for performance-based awards is recognized when it becomes probable that the performance conditions will be met. The Company amortizes stock-based compensation expense for performance-based awards using the accelerated method.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w:t>
      </w:r>
    </w:p>
    <w:p>
      <w:pPr>
        <w:spacing w:after="0" w:line="121" w:lineRule="exact"/>
        <w:rPr>
          <w:sz w:val="20"/>
          <w:szCs w:val="20"/>
          <w:color w:val="auto"/>
        </w:rPr>
      </w:pPr>
    </w:p>
    <w:p>
      <w:pPr>
        <w:ind w:right="240" w:firstLine="572"/>
        <w:spacing w:after="0" w:line="291" w:lineRule="auto"/>
        <w:rPr>
          <w:sz w:val="20"/>
          <w:szCs w:val="20"/>
          <w:color w:val="auto"/>
        </w:rPr>
      </w:pPr>
      <w:r>
        <w:rPr>
          <w:rFonts w:ascii="Arial" w:cs="Arial" w:eastAsia="Arial" w:hAnsi="Arial"/>
          <w:sz w:val="16"/>
          <w:szCs w:val="16"/>
          <w:color w:val="auto"/>
        </w:rPr>
        <w:t>Basic net loss per share attributable to common stockholder is calculated by dividing the net loss attributable to common stockholder by the weighted-average number of shares of common stock outstanding during the period, without consideration for potentially dilutive securities. Diluted net loss per share is computed by dividing the net loss attributable to common stockholder by the weighted-average number of shares of common stock and potentially dilutive securities outstanding for the period. For purposes of the diluted net loss per share calculation, the Company does not have any stock issuances that are considered to be potentially dilutive securities. As such, the net loss was attributed entirely to common stockholder. Because the Company has no potentially dilutive securities for the years ended December 31, 2020 and 2019, diluted net loss per share attributable to common stockholder is the same as basic net loss per share attributable to common stockholder for all periods presented.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has no components of other comprehensive income loss. Therefore, net loss equals comprehensive loss for all periods presented.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8140" w:firstLine="8"/>
        <w:spacing w:after="0" w:line="488" w:lineRule="auto"/>
        <w:tabs>
          <w:tab w:leader="none" w:pos="1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Recently Adopted Accounting Guidance</w:t>
      </w:r>
    </w:p>
    <w:p>
      <w:pPr>
        <w:spacing w:after="0" w:line="12"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w:t>
      </w:r>
      <w:r>
        <w:rPr>
          <w:rFonts w:ascii="Arial" w:cs="Arial" w:eastAsia="Arial" w:hAnsi="Arial"/>
          <w:sz w:val="18"/>
          <w:szCs w:val="18"/>
          <w:color w:val="auto"/>
        </w:rPr>
        <w:t>, 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cloud computing arrangement that is a service contract with the requirements for capitalizing implementation costs incurred to develop or obtain internal-use-software. The standard is effective for public companies for fiscal years, and interim periods within those fiscal years, beginning after December 15, 2019. Early adoption is permitted. The adoption of this standard on January 1, 2020 did not have any impact on the Company's consolidated financial position, results of operations and cash flows.</w:t>
      </w:r>
    </w:p>
    <w:p>
      <w:pPr>
        <w:spacing w:after="0" w:line="192" w:lineRule="exact"/>
        <w:rPr>
          <w:sz w:val="20"/>
          <w:szCs w:val="20"/>
          <w:color w:val="auto"/>
        </w:rPr>
      </w:pPr>
    </w:p>
    <w:p>
      <w:pPr>
        <w:ind w:right="100" w:firstLine="572"/>
        <w:spacing w:after="0" w:line="263"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modifies the disclosure requirements in Topic 820. The adoption of this standard on January 1, 2020 did not have any impact on the Company's disclosures.</w:t>
      </w:r>
    </w:p>
    <w:p>
      <w:pPr>
        <w:spacing w:after="0" w:line="184" w:lineRule="exact"/>
        <w:rPr>
          <w:sz w:val="20"/>
          <w:szCs w:val="20"/>
          <w:color w:val="auto"/>
        </w:rPr>
      </w:pPr>
    </w:p>
    <w:p>
      <w:pPr>
        <w:ind w:firstLine="572"/>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changes the credit loss model from an incurred loss approach to an expected loss approach. It requires the application of a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 (“CECL”) impairment model to financial assets measured at amortized cost (including trade accounts receivable) and certain off-balance-sheet credit exposures. Under the CECL model, lifetime expected credit losses on such financial assets are measured and recognized at each reporting date based on historical, current, and forecasted information. The standard also changes the impairment model for available-for-sale debt securities, eliminating the concept of other than temporary impairment and requiring credit losses to be recorded through an allowance for credit losses. The amount of the allowance for credit losses for available-for-sale debt securities is limited to the amount by which fair value is below amortized cost. The Company adopted the standard on January 1, 2020 using a modified retrospective adoption method. The adoption of this standard did not have any impact on the Company's consolidated financial position, results of operations and cash flows. The quarterly information presented in the 10-K is not on a consistent basis as the annual information because of the timing of adoption of the accounting standard.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20" w:firstLine="572"/>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new standard will be effective for fiscal years beginning after December 15, 2020. The adoption of this standard is not expected to have a material impact on the Company's consolidated financial position, results of operations and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stockholder of the Company:</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4"/>
          </w:tcPr>
          <w:p>
            <w:pPr>
              <w:jc w:val="right"/>
              <w:ind w:right="154"/>
              <w:spacing w:after="0" w:line="155" w:lineRule="exact"/>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(9,372)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5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vMerge w:val="continue"/>
          </w:tcPr>
          <w:p>
            <w:pPr>
              <w:spacing w:after="0"/>
              <w:rPr>
                <w:sz w:val="21"/>
                <w:szCs w:val="21"/>
                <w:color w:val="auto"/>
              </w:rPr>
            </w:pPr>
          </w:p>
        </w:tc>
        <w:tc>
          <w:tcPr>
            <w:tcW w:w="15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2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Weighted average shares used to</w:t>
            </w:r>
          </w:p>
        </w:tc>
        <w:tc>
          <w:tcPr>
            <w:tcW w:w="1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compute basic and diluted net</w:t>
            </w: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loss per share</w:t>
            </w:r>
          </w:p>
        </w:tc>
        <w:tc>
          <w:tcPr>
            <w:tcW w:w="15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16,064</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40"/>
              <w:spacing w:after="0"/>
              <w:rPr>
                <w:sz w:val="20"/>
                <w:szCs w:val="20"/>
                <w:color w:val="auto"/>
              </w:rPr>
            </w:pPr>
            <w:r>
              <w:rPr>
                <w:rFonts w:ascii="Arial" w:cs="Arial" w:eastAsia="Arial" w:hAnsi="Arial"/>
                <w:sz w:val="18"/>
                <w:szCs w:val="18"/>
                <w:color w:val="auto"/>
              </w:rPr>
              <w:t>Net loss attributable to common</w:t>
            </w: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8"/>
                <w:szCs w:val="18"/>
                <w:color w:val="auto"/>
              </w:rPr>
              <w:t>stockholders per share,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920" w:firstLine="8"/>
        <w:spacing w:after="0" w:line="500" w:lineRule="auto"/>
        <w:tabs>
          <w:tab w:leader="none" w:pos="18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Sheets Components Accounts Receivable, net</w:t>
      </w:r>
    </w:p>
    <w:p>
      <w:pPr>
        <w:ind w:left="640"/>
        <w:spacing w:after="0"/>
        <w:rPr>
          <w:rFonts w:ascii="Arial" w:cs="Arial" w:eastAsia="Arial" w:hAnsi="Arial"/>
          <w:sz w:val="15"/>
          <w:szCs w:val="15"/>
          <w:b w:val="1"/>
          <w:bCs w:val="1"/>
          <w:color w:val="auto"/>
        </w:rPr>
      </w:pPr>
      <w:r>
        <w:rPr>
          <w:rFonts w:ascii="Arial" w:cs="Arial" w:eastAsia="Arial" w:hAnsi="Arial"/>
          <w:sz w:val="18"/>
          <w:szCs w:val="18"/>
          <w:color w:val="auto"/>
        </w:rPr>
        <w:t>Accounts receivable, net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center"/>
              <w:ind w:left="177"/>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20" w:type="dxa"/>
            <w:vAlign w:val="bottom"/>
            <w:gridSpan w:val="4"/>
          </w:tcPr>
          <w:p>
            <w:pPr>
              <w:ind w:left="2300"/>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December 31, 2019</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4"/>
          </w:tcPr>
          <w:p>
            <w:pPr>
              <w:jc w:val="center"/>
              <w:ind w:left="177"/>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700" w:type="dxa"/>
            <w:vAlign w:val="bottom"/>
            <w:gridSpan w:val="2"/>
            <w:shd w:val="clear" w:color="auto" w:fill="CFF0FC"/>
          </w:tcPr>
          <w:p>
            <w:pPr>
              <w:ind w:left="2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23,970</w:t>
            </w: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700" w:type="dxa"/>
            <w:vAlign w:val="bottom"/>
            <w:gridSpan w:val="2"/>
            <w:shd w:val="clear" w:color="auto" w:fill="CFF0FC"/>
          </w:tcPr>
          <w:p>
            <w:pPr>
              <w:ind w:left="2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Inventory</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Inventory consisted of the following:</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217"/>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0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4"/>
          </w:tcPr>
          <w:p>
            <w:pPr>
              <w:jc w:val="center"/>
              <w:ind w:left="217"/>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70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Work in progress</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700"/>
              <w:spacing w:after="0"/>
              <w:rPr>
                <w:sz w:val="20"/>
                <w:szCs w:val="20"/>
                <w:color w:val="auto"/>
              </w:rPr>
            </w:pPr>
            <w:r>
              <w:rPr>
                <w:rFonts w:ascii="Arial" w:cs="Arial" w:eastAsia="Arial" w:hAnsi="Arial"/>
                <w:sz w:val="18"/>
                <w:szCs w:val="18"/>
                <w:color w:val="auto"/>
              </w:rPr>
              <w:t>Total inventories</w:t>
            </w:r>
          </w:p>
        </w:tc>
        <w:tc>
          <w:tcPr>
            <w:tcW w:w="23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20" w:type="dxa"/>
            <w:vAlign w:val="bottom"/>
            <w:vMerge w:val="restart"/>
          </w:tcPr>
          <w:p>
            <w:pPr>
              <w:ind w:left="940"/>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ind w:left="295"/>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6"/>
          </w:tcPr>
          <w:p>
            <w:pPr>
              <w:jc w:val="center"/>
              <w:ind w:left="295"/>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Advance to suppliers</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700"/>
              <w:spacing w:after="0"/>
              <w:rPr>
                <w:sz w:val="20"/>
                <w:szCs w:val="20"/>
                <w:color w:val="auto"/>
              </w:rPr>
            </w:pPr>
            <w:r>
              <w:rPr>
                <w:rFonts w:ascii="Arial" w:cs="Arial" w:eastAsia="Arial" w:hAnsi="Arial"/>
                <w:sz w:val="18"/>
                <w:szCs w:val="18"/>
                <w:color w:val="auto"/>
              </w:rPr>
              <w:t>Total prepaid and other current assets</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ind w:left="58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left="255"/>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38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6"/>
          </w:tcPr>
          <w:p>
            <w:pPr>
              <w:jc w:val="center"/>
              <w:ind w:left="255"/>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Lab and manufacturing equipment</w:t>
            </w:r>
          </w:p>
        </w:tc>
        <w:tc>
          <w:tcPr>
            <w:tcW w:w="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(16,380)</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223"/>
        </w:trPr>
        <w:tc>
          <w:tcPr>
            <w:tcW w:w="6900" w:type="dxa"/>
            <w:vAlign w:val="bottom"/>
            <w:gridSpan w:val="2"/>
          </w:tcPr>
          <w:p>
            <w:pPr>
              <w:ind w:left="170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72"/>
        <w:spacing w:after="0" w:line="277" w:lineRule="auto"/>
        <w:rPr>
          <w:sz w:val="20"/>
          <w:szCs w:val="20"/>
          <w:color w:val="auto"/>
        </w:rPr>
      </w:pPr>
      <w:r>
        <w:rPr>
          <w:rFonts w:ascii="Arial" w:cs="Arial" w:eastAsia="Arial" w:hAnsi="Arial"/>
          <w:sz w:val="18"/>
          <w:szCs w:val="18"/>
          <w:color w:val="auto"/>
        </w:rPr>
        <w:t>Depreciation expense related to property and equipment was $3.7 million and $3.3 million for the years ended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net consisted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4"/>
          </w:tcPr>
          <w:p>
            <w:pPr>
              <w:jc w:val="center"/>
              <w:ind w:left="275"/>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5200" w:type="dxa"/>
            <w:vAlign w:val="bottom"/>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520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5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4"/>
          </w:tcPr>
          <w:p>
            <w:pPr>
              <w:jc w:val="center"/>
              <w:ind w:left="275"/>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intangibles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80" w:type="dxa"/>
            <w:vAlign w:val="bottom"/>
            <w:tcBorders>
              <w:bottom w:val="single" w:sz="8" w:color="CFF0FC"/>
            </w:tcBorders>
          </w:tcPr>
          <w:p>
            <w:pPr>
              <w:spacing w:after="0"/>
              <w:rPr>
                <w:sz w:val="19"/>
                <w:szCs w:val="19"/>
                <w:color w:val="auto"/>
              </w:rPr>
            </w:pPr>
          </w:p>
        </w:tc>
      </w:tr>
      <w:tr>
        <w:trPr>
          <w:trHeight w:val="223"/>
        </w:trPr>
        <w:tc>
          <w:tcPr>
            <w:tcW w:w="5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14,815</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(12,971)</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(10,326)</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72"/>
        <w:spacing w:after="0" w:line="296" w:lineRule="auto"/>
        <w:rPr>
          <w:sz w:val="20"/>
          <w:szCs w:val="20"/>
          <w:color w:val="auto"/>
        </w:rPr>
      </w:pPr>
      <w:r>
        <w:rPr>
          <w:rFonts w:ascii="Arial" w:cs="Arial" w:eastAsia="Arial" w:hAnsi="Arial"/>
          <w:sz w:val="16"/>
          <w:szCs w:val="16"/>
          <w:color w:val="auto"/>
        </w:rPr>
        <w:t>Amortization expense for intangible assets was $2.7 million, and $4.9 million, for the years ended December 31, 2020 and 2019, respectively. In the year ended December 31, 2020 the Company recorded impairment charges of $1.0 million related to capitalized cost of software that was within the development phase and was being developed solely to meet the Company’s internal needs. The related product for which the software was developed to support in production was abandoned as the Company changed its roadmap and improved the final desired technical specifications required of the new product. Accordingly, it was no longer probable that the software project will be completed and placed into</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service. The impairment charge was recorded as research and development expense in the consolidated statement of operations.</w:t>
      </w:r>
    </w:p>
    <w:p>
      <w:pPr>
        <w:spacing w:after="0" w:line="225" w:lineRule="exact"/>
        <w:rPr>
          <w:sz w:val="20"/>
          <w:szCs w:val="20"/>
          <w:color w:val="auto"/>
        </w:rPr>
      </w:pPr>
    </w:p>
    <w:p>
      <w:pPr>
        <w:ind w:right="380" w:firstLine="572"/>
        <w:spacing w:after="0" w:line="263" w:lineRule="auto"/>
        <w:rPr>
          <w:sz w:val="20"/>
          <w:szCs w:val="20"/>
          <w:color w:val="auto"/>
        </w:rPr>
      </w:pPr>
      <w:r>
        <w:rPr>
          <w:rFonts w:ascii="Arial" w:cs="Arial" w:eastAsia="Arial" w:hAnsi="Arial"/>
          <w:sz w:val="18"/>
          <w:szCs w:val="18"/>
          <w:color w:val="auto"/>
        </w:rPr>
        <w:t>As of December 31, 2020 and 2019, the Company had $0.7 million and $2.0 million, respectively, of intangibles that were still in development stage and were not being amortized. The estimated aggregate future amortization expense for intangible assets in development stage and subject to amortization as of December 31, 2020 is summarized as below:</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5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00" w:type="dxa"/>
            <w:vAlign w:val="bottom"/>
            <w:tcBorders>
              <w:right w:val="single" w:sz="8" w:color="CFF0FC"/>
            </w:tcBorders>
            <w:shd w:val="clear" w:color="auto" w:fill="CFF0FC"/>
          </w:tcPr>
          <w:p>
            <w:pPr>
              <w:jc w:val="right"/>
              <w:ind w:right="5070"/>
              <w:spacing w:after="0"/>
              <w:rPr>
                <w:sz w:val="20"/>
                <w:szCs w:val="20"/>
                <w:color w:val="auto"/>
              </w:rPr>
            </w:pPr>
            <w:r>
              <w:rPr>
                <w:rFonts w:ascii="Arial" w:cs="Arial" w:eastAsia="Arial" w:hAnsi="Arial"/>
                <w:sz w:val="18"/>
                <w:szCs w:val="18"/>
                <w:color w:val="auto"/>
                <w:w w:val="79"/>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tcPr>
          <w:p>
            <w:pPr>
              <w:jc w:val="right"/>
              <w:ind w:right="5070"/>
              <w:spacing w:after="0"/>
              <w:rPr>
                <w:sz w:val="20"/>
                <w:szCs w:val="20"/>
                <w:color w:val="auto"/>
              </w:rPr>
            </w:pPr>
            <w:r>
              <w:rPr>
                <w:rFonts w:ascii="Arial" w:cs="Arial" w:eastAsia="Arial" w:hAnsi="Arial"/>
                <w:sz w:val="18"/>
                <w:szCs w:val="18"/>
                <w:color w:val="auto"/>
                <w:w w:val="79"/>
              </w:rPr>
              <w:t>2022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right w:val="single" w:sz="8" w:color="CFF0FC"/>
            </w:tcBorders>
            <w:shd w:val="clear" w:color="auto" w:fill="CFF0FC"/>
          </w:tcPr>
          <w:p>
            <w:pPr>
              <w:jc w:val="right"/>
              <w:ind w:right="5070"/>
              <w:spacing w:after="0"/>
              <w:rPr>
                <w:sz w:val="20"/>
                <w:szCs w:val="20"/>
                <w:color w:val="auto"/>
              </w:rPr>
            </w:pPr>
            <w:r>
              <w:rPr>
                <w:rFonts w:ascii="Arial" w:cs="Arial" w:eastAsia="Arial" w:hAnsi="Arial"/>
                <w:sz w:val="18"/>
                <w:szCs w:val="18"/>
                <w:color w:val="auto"/>
                <w:w w:val="79"/>
              </w:rPr>
              <w:t>2023</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13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December 31, 2020</w:t>
            </w:r>
          </w:p>
        </w:tc>
        <w:tc>
          <w:tcPr>
            <w:tcW w:w="11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3"/>
                <w:szCs w:val="13"/>
                <w:color w:val="auto"/>
              </w:rPr>
            </w:pPr>
          </w:p>
        </w:tc>
      </w:tr>
      <w:tr>
        <w:trPr>
          <w:trHeight w:val="223"/>
        </w:trPr>
        <w:tc>
          <w:tcPr>
            <w:tcW w:w="5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1"/>
              </w:rPr>
              <w:t>(in thousands)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benefits</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liability</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CFF0FC"/>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12,963</w:t>
            </w: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firstLine="572"/>
        <w:spacing w:after="0" w:line="277" w:lineRule="auto"/>
        <w:rPr>
          <w:sz w:val="20"/>
          <w:szCs w:val="20"/>
          <w:color w:val="auto"/>
        </w:rPr>
      </w:pPr>
      <w:r>
        <w:rPr>
          <w:rFonts w:ascii="Arial" w:cs="Arial" w:eastAsia="Arial" w:hAnsi="Arial"/>
          <w:sz w:val="18"/>
          <w:szCs w:val="18"/>
          <w:color w:val="auto"/>
        </w:rPr>
        <w:t>The Company leases real estate property under operating leases. The Company was also a lessee and a sublessor from an accounting perspective for its Santa Clara lease through March 31, 2019.</w:t>
      </w:r>
    </w:p>
    <w:p>
      <w:pPr>
        <w:spacing w:after="0" w:line="170" w:lineRule="exact"/>
        <w:rPr>
          <w:sz w:val="20"/>
          <w:szCs w:val="20"/>
          <w:color w:val="auto"/>
        </w:rPr>
      </w:pPr>
    </w:p>
    <w:p>
      <w:pPr>
        <w:jc w:val="both"/>
        <w:ind w:right="340" w:firstLine="572"/>
        <w:spacing w:after="0" w:line="263" w:lineRule="auto"/>
        <w:rPr>
          <w:sz w:val="20"/>
          <w:szCs w:val="20"/>
          <w:color w:val="auto"/>
        </w:rPr>
      </w:pPr>
      <w:r>
        <w:rPr>
          <w:rFonts w:ascii="Arial" w:cs="Arial" w:eastAsia="Arial" w:hAnsi="Arial"/>
          <w:sz w:val="18"/>
          <w:szCs w:val="18"/>
          <w:color w:val="auto"/>
        </w:rPr>
        <w:t>The Company signed a non-cancellable operating lease agreement for its corporate headquarters in Santa Clara, California, that commenced on October 20, 2016 and will expire on December 31, 2026. The agreement provides for an option to renew for an additional 5 years and for monthly rent payments through the term of the lease.</w:t>
      </w:r>
    </w:p>
    <w:p>
      <w:pPr>
        <w:spacing w:after="0" w:line="184" w:lineRule="exact"/>
        <w:rPr>
          <w:sz w:val="20"/>
          <w:szCs w:val="20"/>
          <w:color w:val="auto"/>
        </w:rPr>
      </w:pPr>
    </w:p>
    <w:p>
      <w:pPr>
        <w:ind w:right="120" w:firstLine="572"/>
        <w:spacing w:after="0" w:line="291" w:lineRule="auto"/>
        <w:rPr>
          <w:sz w:val="20"/>
          <w:szCs w:val="20"/>
          <w:color w:val="auto"/>
        </w:rPr>
      </w:pPr>
      <w:r>
        <w:rPr>
          <w:rFonts w:ascii="Arial" w:cs="Arial" w:eastAsia="Arial" w:hAnsi="Arial"/>
          <w:sz w:val="16"/>
          <w:szCs w:val="16"/>
          <w:color w:val="auto"/>
        </w:rPr>
        <w:t>The Company also leases office space in Michigan, Malaysia, Japan, the Netherlands, and Ukraine all under non-cancellable operating leases with various expiration dates through December 2022. These leases are classified as operating leases. The remaining lease terms vary from few months to</w:t>
      </w:r>
    </w:p>
    <w:p>
      <w:pPr>
        <w:ind w:right="280"/>
        <w:spacing w:after="0" w:line="255" w:lineRule="auto"/>
        <w:rPr>
          <w:sz w:val="20"/>
          <w:szCs w:val="20"/>
          <w:color w:val="auto"/>
        </w:rPr>
      </w:pPr>
      <w:r>
        <w:rPr>
          <w:rFonts w:ascii="Arial" w:cs="Arial" w:eastAsia="Arial" w:hAnsi="Arial"/>
          <w:sz w:val="18"/>
          <w:szCs w:val="18"/>
          <w:color w:val="auto"/>
        </w:rPr>
        <w:t>6 years. For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8" w:name="page79"/>
    <w:bookmarkEnd w:id="78"/>
    <w:p>
      <w:pPr>
        <w:ind w:firstLine="572"/>
        <w:spacing w:after="0" w:line="277" w:lineRule="auto"/>
        <w:rPr>
          <w:sz w:val="20"/>
          <w:szCs w:val="20"/>
          <w:color w:val="auto"/>
        </w:rPr>
      </w:pPr>
      <w:r>
        <w:rPr>
          <w:rFonts w:ascii="Arial" w:cs="Arial" w:eastAsia="Arial" w:hAnsi="Arial"/>
          <w:sz w:val="18"/>
          <w:szCs w:val="18"/>
          <w:color w:val="auto"/>
        </w:rPr>
        <w:t>In the year ended December 31, 2018, the Company signed an agreement to lease equipment of $3.2 million for research and development and to help with the production of certain of its products. The lease term for such equipment is approximately 10 years.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presents the lease-related assets and liabilities recorded on the consolidated balance sheet as of December 31, 2020 and 2019:</w:t>
      </w:r>
    </w:p>
    <w:p>
      <w:pPr>
        <w:spacing w:after="0" w:line="321"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7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5"/>
          </w:tcPr>
          <w:p>
            <w:pPr>
              <w:jc w:val="right"/>
              <w:ind w:right="795"/>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7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w w:val="99"/>
              </w:rPr>
              <w:t>Lease liabilities included in accrued expenses</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and other current liabilities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 - non-current</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2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5"/>
              </w:rPr>
              <w:t>Weighted-average remaining lease term (years)</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presents certain information related to the lease costs for operating leases for the years ended December 31, 2020 and 2019:</w:t>
      </w:r>
    </w:p>
    <w:p>
      <w:pPr>
        <w:spacing w:after="0" w:line="321"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w:t>
            </w:r>
          </w:p>
        </w:tc>
      </w:tr>
      <w:tr>
        <w:trPr>
          <w:trHeight w:val="223"/>
        </w:trPr>
        <w:tc>
          <w:tcPr>
            <w:tcW w:w="3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7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6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Short-term lease cost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60" w:type="dxa"/>
            <w:vAlign w:val="bottom"/>
            <w:shd w:val="clear" w:color="auto" w:fill="CFF0FC"/>
          </w:tcPr>
          <w:p>
            <w:pPr>
              <w:spacing w:after="0"/>
              <w:rPr>
                <w:sz w:val="19"/>
                <w:szCs w:val="19"/>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 lease cost</w:t>
            </w:r>
          </w:p>
        </w:tc>
        <w:tc>
          <w:tcPr>
            <w:tcW w:w="15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6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72"/>
        <w:spacing w:after="0" w:line="263" w:lineRule="auto"/>
        <w:rPr>
          <w:sz w:val="20"/>
          <w:szCs w:val="20"/>
          <w:color w:val="auto"/>
        </w:rPr>
      </w:pPr>
      <w:r>
        <w:rPr>
          <w:rFonts w:ascii="Arial" w:cs="Arial" w:eastAsia="Arial" w:hAnsi="Arial"/>
          <w:sz w:val="18"/>
          <w:szCs w:val="18"/>
          <w:color w:val="auto"/>
        </w:rPr>
        <w:t>Cash paid for operating lease liabilities was $2.3 million and $3.9 million for the year ended December 31, 2020 and 2019 respectively, The Company sub-leased a portion of its Santa Clara facility through March 31, 2019 and received $0.1 million in sub-lease income for the year ended December 31, 2019, which was included in the short-term lease cost above.</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557" w:right="5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right="560" w:firstLine="572"/>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December 31, 2020:</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2022</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beyond</w:t>
            </w:r>
          </w:p>
        </w:tc>
        <w:tc>
          <w:tcPr>
            <w:tcW w:w="8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amount of lease payments representing</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00" w:type="dxa"/>
            <w:vAlign w:val="bottom"/>
            <w:vMerge w:val="restart"/>
          </w:tcPr>
          <w:p>
            <w:pPr>
              <w:ind w:left="120"/>
              <w:spacing w:after="0"/>
              <w:rPr>
                <w:sz w:val="20"/>
                <w:szCs w:val="20"/>
                <w:color w:val="auto"/>
              </w:rPr>
            </w:pPr>
            <w:r>
              <w:rPr>
                <w:rFonts w:ascii="Arial" w:cs="Arial" w:eastAsia="Arial" w:hAnsi="Arial"/>
                <w:sz w:val="18"/>
                <w:szCs w:val="18"/>
                <w:color w:val="auto"/>
              </w:rPr>
              <w:t>interest</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CFF0FC"/>
            </w:tcBorders>
            <w:vMerge w:val="continue"/>
          </w:tcPr>
          <w:p>
            <w:pPr>
              <w:spacing w:after="0"/>
              <w:rPr>
                <w:sz w:val="9"/>
                <w:szCs w:val="9"/>
                <w:color w:val="auto"/>
              </w:rPr>
            </w:pPr>
          </w:p>
        </w:tc>
        <w:tc>
          <w:tcPr>
            <w:tcW w:w="8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of December 31, 2020, the Company had two leases in Japan for a total cost of less than $0.1 million that had not yet commenced.</w:t>
      </w:r>
    </w:p>
    <w:p>
      <w:pPr>
        <w:spacing w:after="0" w:line="152" w:lineRule="exact"/>
        <w:rPr>
          <w:sz w:val="20"/>
          <w:szCs w:val="20"/>
          <w:color w:val="auto"/>
        </w:rPr>
      </w:pPr>
    </w:p>
    <w:p>
      <w:pPr>
        <w:ind w:right="8500" w:firstLine="8"/>
        <w:spacing w:after="0" w:line="425" w:lineRule="auto"/>
        <w:tabs>
          <w:tab w:leader="none" w:pos="18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ind w:right="60" w:firstLine="572"/>
        <w:spacing w:after="0" w:line="271" w:lineRule="auto"/>
        <w:rPr>
          <w:sz w:val="20"/>
          <w:szCs w:val="20"/>
          <w:color w:val="auto"/>
        </w:rPr>
      </w:pPr>
      <w:r>
        <w:rPr>
          <w:rFonts w:ascii="Arial" w:cs="Arial" w:eastAsia="Arial" w:hAnsi="Arial"/>
          <w:sz w:val="17"/>
          <w:szCs w:val="17"/>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As of December 31, 2020, the Company had a commitment of $2.1 million for a license which will be paid equally through July 2023.</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Commitments for MEMS Wafer Supplier Agreement</w:t>
      </w:r>
    </w:p>
    <w:p>
      <w:pPr>
        <w:spacing w:after="0" w:line="117" w:lineRule="exact"/>
        <w:rPr>
          <w:sz w:val="20"/>
          <w:szCs w:val="20"/>
          <w:color w:val="auto"/>
        </w:rPr>
      </w:pPr>
    </w:p>
    <w:p>
      <w:pPr>
        <w:ind w:right="40" w:firstLine="572"/>
        <w:spacing w:after="0" w:line="311" w:lineRule="auto"/>
        <w:rPr>
          <w:sz w:val="20"/>
          <w:szCs w:val="20"/>
          <w:color w:val="auto"/>
        </w:rPr>
      </w:pPr>
      <w:r>
        <w:rPr>
          <w:rFonts w:ascii="Arial" w:cs="Arial" w:eastAsia="Arial" w:hAnsi="Arial"/>
          <w:sz w:val="16"/>
          <w:szCs w:val="16"/>
          <w:color w:val="auto"/>
        </w:rPr>
        <w:t>The Company purchases MEMS wafers required for its silicon timing systems products under a multi-year manufacturing agreement with a third-party supplier. Under this agreement, the Company has agreed to minimum quantity purchase commitments and is responsible for research and development, tooling, and samples cost, in addition to wafer costs. The Company has historically met the supplier’s minimum wafer quantity requirements.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firstLine="572"/>
        <w:spacing w:after="0" w:line="291"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ind w:right="220"/>
        <w:spacing w:after="0" w:line="277" w:lineRule="auto"/>
        <w:rPr>
          <w:sz w:val="20"/>
          <w:szCs w:val="20"/>
          <w:color w:val="auto"/>
        </w:rPr>
      </w:pPr>
      <w:r>
        <w:rPr>
          <w:rFonts w:ascii="Arial" w:cs="Arial" w:eastAsia="Arial" w:hAnsi="Arial"/>
          <w:sz w:val="18"/>
          <w:szCs w:val="18"/>
          <w:color w:val="auto"/>
        </w:rPr>
        <w:t>obligations and the unique facts and circumstances involved in each particular agreement. Historically, the Company has had no material indemnification claims under these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40" w:firstLine="572"/>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187" w:lineRule="exact"/>
        <w:rPr>
          <w:sz w:val="20"/>
          <w:szCs w:val="20"/>
          <w:color w:val="auto"/>
        </w:rPr>
      </w:pPr>
    </w:p>
    <w:p>
      <w:pPr>
        <w:ind w:right="20" w:firstLine="572"/>
        <w:spacing w:after="0" w:line="270" w:lineRule="auto"/>
        <w:rPr>
          <w:sz w:val="20"/>
          <w:szCs w:val="20"/>
          <w:color w:val="auto"/>
        </w:rPr>
      </w:pPr>
      <w:r>
        <w:rPr>
          <w:rFonts w:ascii="Arial" w:cs="Arial" w:eastAsia="Arial" w:hAnsi="Arial"/>
          <w:sz w:val="17"/>
          <w:szCs w:val="17"/>
          <w:color w:val="auto"/>
        </w:rPr>
        <w:t>In March 2019, VTT Technical Research Centre of Finland, Ltd. ("VTT") filed suit in the United States District Court for the Northern District of California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 with the US Court of Appeals for the Federal Circuit and filed its opening brief on November 19, 2020 and the Company filed its response brief on January 28, 2021. The potential loss is currently neither probable nor reasonably estimable.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ind w:right="120" w:firstLine="572"/>
        <w:spacing w:after="0" w:line="263" w:lineRule="auto"/>
        <w:rPr>
          <w:sz w:val="20"/>
          <w:szCs w:val="20"/>
          <w:color w:val="auto"/>
        </w:rPr>
      </w:pPr>
      <w:r>
        <w:rPr>
          <w:rFonts w:ascii="Arial" w:cs="Arial" w:eastAsia="Arial" w:hAnsi="Arial"/>
          <w:sz w:val="18"/>
          <w:szCs w:val="18"/>
          <w:color w:val="auto"/>
        </w:rPr>
        <w:t>The Company has borrowed against the short-term revolving lines of credit that it has arranged with financial institutions like The Bank of Tokyo-Mitsubishi UFJ, Ltd.(“MUFG”), and Sumitomo Mitsui Banking Corporation (“SMBC”), and MegaChips to fund its operations. The weighted-average interest rate on short-term borrowings outstanding as of December 31, 2019 was 1.42%.</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Debt obligations as of December 31, 2020 and 2019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120" w:type="dxa"/>
            <w:vAlign w:val="bottom"/>
            <w:gridSpan w:val="3"/>
          </w:tcPr>
          <w:p>
            <w:pPr>
              <w:jc w:val="right"/>
              <w:ind w:right="57"/>
              <w:spacing w:after="0" w:line="133" w:lineRule="exact"/>
              <w:rPr>
                <w:sz w:val="20"/>
                <w:szCs w:val="20"/>
                <w:color w:val="auto"/>
              </w:rPr>
            </w:pPr>
            <w:r>
              <w:rPr>
                <w:rFonts w:ascii="Arial" w:cs="Arial" w:eastAsia="Arial" w:hAnsi="Arial"/>
                <w:sz w:val="14"/>
                <w:szCs w:val="14"/>
                <w:b w:val="1"/>
                <w:bCs w:val="1"/>
                <w:color w:val="auto"/>
              </w:rPr>
              <w:t>December 31,</w:t>
            </w:r>
          </w:p>
        </w:tc>
        <w:tc>
          <w:tcPr>
            <w:tcW w:w="640" w:type="dxa"/>
            <w:vAlign w:val="bottom"/>
            <w:gridSpan w:val="2"/>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Revolving line of credit: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3"/>
          </w:tcPr>
          <w:p>
            <w:pPr>
              <w:ind w:left="240"/>
              <w:spacing w:after="0"/>
              <w:rPr>
                <w:sz w:val="20"/>
                <w:szCs w:val="20"/>
                <w:color w:val="auto"/>
              </w:rPr>
            </w:pPr>
            <w:r>
              <w:rPr>
                <w:rFonts w:ascii="Arial" w:cs="Arial" w:eastAsia="Arial" w:hAnsi="Arial"/>
                <w:sz w:val="18"/>
                <w:szCs w:val="18"/>
                <w:color w:val="auto"/>
              </w:rPr>
              <w:t>MUFG</w:t>
            </w:r>
          </w:p>
        </w:tc>
        <w:tc>
          <w:tcPr>
            <w:tcW w:w="78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(41,000)</w:t>
            </w: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6"/>
            <w:vMerge w:val="restart"/>
          </w:tcPr>
          <w:p>
            <w:pPr>
              <w:jc w:val="right"/>
              <w:ind w:right="387"/>
              <w:spacing w:after="0"/>
              <w:rPr>
                <w:sz w:val="20"/>
                <w:szCs w:val="20"/>
                <w:color w:val="auto"/>
              </w:rPr>
            </w:pPr>
            <w:r>
              <w:rPr>
                <w:rFonts w:ascii="Arial" w:cs="Arial" w:eastAsia="Arial" w:hAnsi="Arial"/>
                <w:sz w:val="18"/>
                <w:szCs w:val="18"/>
                <w:color w:val="auto"/>
                <w:w w:val="99"/>
              </w:rPr>
              <w:t>As of December 31, 2019, debt obligations were as follows (dollars in thousands):</w:t>
            </w: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96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60" w:type="dxa"/>
            <w:vAlign w:val="bottom"/>
            <w:gridSpan w:val="2"/>
          </w:tcPr>
          <w:p>
            <w:pPr>
              <w:jc w:val="right"/>
              <w:ind w:right="527"/>
              <w:spacing w:after="0"/>
              <w:rPr>
                <w:sz w:val="20"/>
                <w:szCs w:val="20"/>
                <w:color w:val="auto"/>
              </w:rPr>
            </w:pPr>
            <w:r>
              <w:rPr>
                <w:rFonts w:ascii="Arial" w:cs="Arial" w:eastAsia="Arial" w:hAnsi="Arial"/>
                <w:sz w:val="14"/>
                <w:szCs w:val="14"/>
                <w:b w:val="1"/>
                <w:bCs w:val="1"/>
                <w:color w:val="auto"/>
              </w:rPr>
              <w:t>Loan</w:t>
            </w:r>
          </w:p>
        </w:tc>
        <w:tc>
          <w:tcPr>
            <w:tcW w:w="100" w:type="dxa"/>
            <w:vAlign w:val="bottom"/>
          </w:tcPr>
          <w:p>
            <w:pPr>
              <w:spacing w:after="0"/>
              <w:rPr>
                <w:sz w:val="24"/>
                <w:szCs w:val="2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Loan</w:t>
            </w:r>
          </w:p>
        </w:tc>
        <w:tc>
          <w:tcPr>
            <w:tcW w:w="9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Annual</w:t>
            </w:r>
          </w:p>
        </w:tc>
        <w:tc>
          <w:tcPr>
            <w:tcW w:w="42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Maturity</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4"/>
                <w:szCs w:val="14"/>
                <w:b w:val="1"/>
                <w:bCs w:val="1"/>
                <w:color w:val="auto"/>
              </w:rPr>
              <w:t>Start Date</w:t>
            </w:r>
          </w:p>
        </w:tc>
        <w:tc>
          <w:tcPr>
            <w:tcW w:w="8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Interest Rate</w:t>
            </w:r>
          </w:p>
        </w:tc>
        <w:tc>
          <w:tcPr>
            <w:tcW w:w="9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Date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Lender</w:t>
            </w:r>
          </w:p>
        </w:tc>
        <w:tc>
          <w:tcPr>
            <w:tcW w:w="20" w:type="dxa"/>
            <w:vAlign w:val="bottom"/>
            <w:shd w:val="clear" w:color="auto" w:fill="CFF0FC"/>
          </w:tcPr>
          <w:p>
            <w:pPr>
              <w:spacing w:after="0"/>
              <w:rPr>
                <w:sz w:val="13"/>
                <w:szCs w:val="13"/>
                <w:color w:val="auto"/>
              </w:rPr>
            </w:pPr>
          </w:p>
        </w:tc>
        <w:tc>
          <w:tcPr>
            <w:tcW w:w="40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8"/>
              </w:rPr>
              <w:t>MUFG</w:t>
            </w:r>
          </w:p>
        </w:tc>
        <w:tc>
          <w:tcPr>
            <w:tcW w:w="5280" w:type="dxa"/>
            <w:vAlign w:val="bottom"/>
            <w:gridSpan w:val="4"/>
          </w:tcPr>
          <w:p>
            <w:pPr>
              <w:jc w:val="right"/>
              <w:spacing w:after="0"/>
              <w:rPr>
                <w:sz w:val="20"/>
                <w:szCs w:val="20"/>
                <w:color w:val="auto"/>
              </w:rPr>
            </w:pPr>
            <w:r>
              <w:rPr>
                <w:rFonts w:ascii="Arial" w:cs="Arial" w:eastAsia="Arial" w:hAnsi="Arial"/>
                <w:sz w:val="18"/>
                <w:szCs w:val="18"/>
                <w:color w:val="auto"/>
              </w:rPr>
              <w:t>12/19/2019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3"/>
          </w:tcPr>
          <w:p>
            <w:pPr>
              <w:jc w:val="right"/>
              <w:ind w:right="95"/>
              <w:spacing w:after="0"/>
              <w:rPr>
                <w:sz w:val="20"/>
                <w:szCs w:val="20"/>
                <w:color w:val="auto"/>
              </w:rPr>
            </w:pPr>
            <w:r>
              <w:rPr>
                <w:rFonts w:ascii="Arial" w:cs="Arial" w:eastAsia="Arial" w:hAnsi="Arial"/>
                <w:sz w:val="18"/>
                <w:szCs w:val="18"/>
                <w:color w:val="auto"/>
                <w:w w:val="88"/>
              </w:rPr>
              <w:t>2.97000%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6/10/2020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0" w:type="dxa"/>
            <w:vAlign w:val="bottom"/>
            <w:shd w:val="clear" w:color="auto" w:fill="CFF0FC"/>
          </w:tcPr>
          <w:p>
            <w:pPr>
              <w:spacing w:after="0"/>
              <w:rPr>
                <w:sz w:val="20"/>
                <w:szCs w:val="20"/>
                <w:color w:val="auto"/>
              </w:rPr>
            </w:pPr>
            <w:r>
              <w:rPr>
                <w:rFonts w:ascii="Arial" w:cs="Arial" w:eastAsia="Arial" w:hAnsi="Arial"/>
                <w:sz w:val="18"/>
                <w:szCs w:val="18"/>
                <w:color w:val="auto"/>
                <w:w w:val="98"/>
              </w:rPr>
              <w:t>MUFG</w:t>
            </w:r>
          </w:p>
        </w:tc>
        <w:tc>
          <w:tcPr>
            <w:tcW w:w="514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8/23/2019</w:t>
            </w: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FF0FC"/>
          </w:tcPr>
          <w:p>
            <w:pPr>
              <w:spacing w:after="0"/>
              <w:rPr>
                <w:sz w:val="19"/>
                <w:szCs w:val="19"/>
                <w:color w:val="auto"/>
              </w:rPr>
            </w:pPr>
          </w:p>
        </w:tc>
        <w:tc>
          <w:tcPr>
            <w:tcW w:w="44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3"/>
            <w:shd w:val="clear" w:color="auto" w:fill="CFF0FC"/>
          </w:tcPr>
          <w:p>
            <w:pPr>
              <w:jc w:val="right"/>
              <w:ind w:right="95"/>
              <w:spacing w:after="0"/>
              <w:rPr>
                <w:sz w:val="20"/>
                <w:szCs w:val="20"/>
                <w:color w:val="auto"/>
              </w:rPr>
            </w:pPr>
            <w:r>
              <w:rPr>
                <w:rFonts w:ascii="Arial" w:cs="Arial" w:eastAsia="Arial" w:hAnsi="Arial"/>
                <w:sz w:val="18"/>
                <w:szCs w:val="18"/>
                <w:color w:val="auto"/>
                <w:w w:val="88"/>
              </w:rPr>
              <w:t>3.10000%</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2/19/2020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2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41,000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40" w:type="dxa"/>
            <w:vAlign w:val="bottom"/>
            <w:gridSpan w:val="3"/>
            <w:vMerge w:val="restart"/>
          </w:tcPr>
          <w:p>
            <w:pPr>
              <w:jc w:val="right"/>
              <w:ind w:right="1028"/>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The Bank of Tokyo-Mitsubishi Credit Facility</w:t>
      </w:r>
    </w:p>
    <w:p>
      <w:pPr>
        <w:spacing w:after="0" w:line="117" w:lineRule="exact"/>
        <w:rPr>
          <w:sz w:val="20"/>
          <w:szCs w:val="20"/>
          <w:color w:val="auto"/>
        </w:rPr>
      </w:pPr>
    </w:p>
    <w:p>
      <w:pPr>
        <w:ind w:right="40" w:firstLine="572"/>
        <w:spacing w:after="0" w:line="259" w:lineRule="auto"/>
        <w:rPr>
          <w:sz w:val="20"/>
          <w:szCs w:val="20"/>
          <w:color w:val="auto"/>
        </w:rPr>
      </w:pPr>
      <w:r>
        <w:rPr>
          <w:rFonts w:ascii="Arial" w:cs="Arial" w:eastAsia="Arial" w:hAnsi="Arial"/>
          <w:sz w:val="18"/>
          <w:szCs w:val="18"/>
          <w:color w:val="auto"/>
        </w:rPr>
        <w:t>On August 31, 2015, the Company entered into a bank transaction agreement with MUFG. The agreement provided for a revolving line of credit with a maximum available borrowing of $20.0 million. On June 29, 2018, the Company increased the revolving line of credit to $50.0 million through July 31, 2020. Between August 2015 and December 31, 2019, the Company borrowed $139.0 million in several draw-downs against the revolving line of credit with terms ranging from one month to one year and interest rate ranging between 1.01 % to 4.07%.</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Renewal and extensions on the MUFG loans for the years ended December 2019 and 2020 have been set forth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Loan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Loan</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Annual</w:t>
            </w:r>
          </w:p>
        </w:tc>
      </w:tr>
      <w:tr>
        <w:trPr>
          <w:trHeight w:val="171"/>
        </w:trPr>
        <w:tc>
          <w:tcPr>
            <w:tcW w:w="2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Start Date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Amount</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r>
      <w:tr>
        <w:trPr>
          <w:trHeight w:val="223"/>
        </w:trPr>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8/23/2019</w:t>
            </w:r>
          </w:p>
        </w:tc>
        <w:tc>
          <w:tcPr>
            <w:tcW w:w="2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2/19/2020</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center"/>
              <w:ind w:right="255"/>
              <w:spacing w:after="0"/>
              <w:rPr>
                <w:sz w:val="20"/>
                <w:szCs w:val="20"/>
                <w:color w:val="auto"/>
              </w:rPr>
            </w:pPr>
            <w:r>
              <w:rPr>
                <w:rFonts w:ascii="Arial" w:cs="Arial" w:eastAsia="Arial" w:hAnsi="Arial"/>
                <w:sz w:val="18"/>
                <w:szCs w:val="18"/>
                <w:color w:val="auto"/>
                <w:w w:val="93"/>
              </w:rPr>
              <w:t>3,000</w:t>
            </w:r>
          </w:p>
        </w:tc>
        <w:tc>
          <w:tcPr>
            <w:tcW w:w="3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100" w:type="dxa"/>
            <w:vAlign w:val="bottom"/>
          </w:tcPr>
          <w:p>
            <w:pPr>
              <w:jc w:val="center"/>
              <w:spacing w:after="0"/>
              <w:rPr>
                <w:sz w:val="20"/>
                <w:szCs w:val="20"/>
                <w:color w:val="auto"/>
              </w:rPr>
            </w:pPr>
            <w:r>
              <w:rPr>
                <w:rFonts w:ascii="Arial" w:cs="Arial" w:eastAsia="Arial" w:hAnsi="Arial"/>
                <w:sz w:val="18"/>
                <w:szCs w:val="18"/>
                <w:color w:val="auto"/>
                <w:w w:val="90"/>
              </w:rPr>
              <w:t>12/19/2019</w:t>
            </w:r>
          </w:p>
        </w:tc>
        <w:tc>
          <w:tcPr>
            <w:tcW w:w="2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6/10/2020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center"/>
              <w:ind w:right="255"/>
              <w:spacing w:after="0"/>
              <w:rPr>
                <w:sz w:val="20"/>
                <w:szCs w:val="20"/>
                <w:color w:val="auto"/>
              </w:rPr>
            </w:pPr>
            <w:r>
              <w:rPr>
                <w:rFonts w:ascii="Arial" w:cs="Arial" w:eastAsia="Arial" w:hAnsi="Arial"/>
                <w:sz w:val="18"/>
                <w:szCs w:val="18"/>
                <w:color w:val="auto"/>
                <w:w w:val="90"/>
              </w:rPr>
              <w:t>38,000</w:t>
            </w:r>
          </w:p>
        </w:tc>
        <w:tc>
          <w:tcPr>
            <w:tcW w:w="3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2.97%</w:t>
            </w:r>
          </w:p>
        </w:tc>
        <w:tc>
          <w:tcPr>
            <w:tcW w:w="80" w:type="dxa"/>
            <w:vAlign w:val="bottom"/>
          </w:tcPr>
          <w:p>
            <w:pPr>
              <w:spacing w:after="0"/>
              <w:rPr>
                <w:sz w:val="19"/>
                <w:szCs w:val="19"/>
                <w:color w:val="auto"/>
              </w:rPr>
            </w:pPr>
          </w:p>
        </w:tc>
      </w:tr>
      <w:tr>
        <w:trPr>
          <w:trHeight w:val="230"/>
        </w:trPr>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3/23/2020</w:t>
            </w:r>
          </w:p>
        </w:tc>
        <w:tc>
          <w:tcPr>
            <w:tcW w:w="220" w:type="dxa"/>
            <w:vAlign w:val="bottom"/>
            <w:shd w:val="clear" w:color="auto" w:fill="CFF0FC"/>
          </w:tcPr>
          <w:p>
            <w:pPr>
              <w:spacing w:after="0"/>
              <w:rPr>
                <w:sz w:val="19"/>
                <w:szCs w:val="19"/>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9/21/2020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center"/>
              <w:ind w:right="255"/>
              <w:spacing w:after="0"/>
              <w:rPr>
                <w:sz w:val="20"/>
                <w:szCs w:val="20"/>
                <w:color w:val="auto"/>
              </w:rPr>
            </w:pPr>
            <w:r>
              <w:rPr>
                <w:rFonts w:ascii="Arial" w:cs="Arial" w:eastAsia="Arial" w:hAnsi="Arial"/>
                <w:sz w:val="18"/>
                <w:szCs w:val="18"/>
                <w:color w:val="auto"/>
                <w:w w:val="93"/>
              </w:rPr>
              <w:t>3,000</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2.46%</w:t>
            </w:r>
          </w:p>
        </w:tc>
        <w:tc>
          <w:tcPr>
            <w:tcW w:w="80" w:type="dxa"/>
            <w:vAlign w:val="bottom"/>
            <w:shd w:val="clear" w:color="auto" w:fill="CFF0FC"/>
          </w:tcPr>
          <w:p>
            <w:pPr>
              <w:spacing w:after="0"/>
              <w:rPr>
                <w:sz w:val="19"/>
                <w:szCs w:val="19"/>
                <w:color w:val="auto"/>
              </w:rPr>
            </w:pPr>
          </w:p>
        </w:tc>
      </w:tr>
      <w:tr>
        <w:trPr>
          <w:trHeight w:val="229"/>
        </w:trPr>
        <w:tc>
          <w:tcPr>
            <w:tcW w:w="2100" w:type="dxa"/>
            <w:vAlign w:val="bottom"/>
          </w:tcPr>
          <w:p>
            <w:pPr>
              <w:jc w:val="center"/>
              <w:spacing w:after="0"/>
              <w:rPr>
                <w:sz w:val="20"/>
                <w:szCs w:val="20"/>
                <w:color w:val="auto"/>
              </w:rPr>
            </w:pPr>
            <w:r>
              <w:rPr>
                <w:rFonts w:ascii="Arial" w:cs="Arial" w:eastAsia="Arial" w:hAnsi="Arial"/>
                <w:sz w:val="18"/>
                <w:szCs w:val="18"/>
                <w:color w:val="auto"/>
                <w:w w:val="92"/>
              </w:rPr>
              <w:t>3/24/2020</w:t>
            </w:r>
          </w:p>
        </w:tc>
        <w:tc>
          <w:tcPr>
            <w:tcW w:w="2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3/24/2021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center"/>
              <w:ind w:right="255"/>
              <w:spacing w:after="0"/>
              <w:rPr>
                <w:sz w:val="20"/>
                <w:szCs w:val="20"/>
                <w:color w:val="auto"/>
              </w:rPr>
            </w:pPr>
            <w:r>
              <w:rPr>
                <w:rFonts w:ascii="Arial" w:cs="Arial" w:eastAsia="Arial" w:hAnsi="Arial"/>
                <w:sz w:val="18"/>
                <w:szCs w:val="18"/>
                <w:color w:val="auto"/>
                <w:w w:val="93"/>
              </w:rPr>
              <w:t>9,000</w:t>
            </w:r>
          </w:p>
        </w:tc>
        <w:tc>
          <w:tcPr>
            <w:tcW w:w="3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2.37%</w:t>
            </w:r>
          </w:p>
        </w:tc>
        <w:tc>
          <w:tcPr>
            <w:tcW w:w="80" w:type="dxa"/>
            <w:vAlign w:val="bottom"/>
          </w:tcPr>
          <w:p>
            <w:pPr>
              <w:spacing w:after="0"/>
              <w:rPr>
                <w:sz w:val="19"/>
                <w:szCs w:val="19"/>
                <w:color w:val="auto"/>
              </w:rPr>
            </w:pPr>
          </w:p>
        </w:tc>
      </w:tr>
      <w:tr>
        <w:trPr>
          <w:trHeight w:val="230"/>
        </w:trPr>
        <w:tc>
          <w:tcPr>
            <w:tcW w:w="2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6/10/2020</w:t>
            </w:r>
          </w:p>
        </w:tc>
        <w:tc>
          <w:tcPr>
            <w:tcW w:w="220" w:type="dxa"/>
            <w:vAlign w:val="bottom"/>
            <w:shd w:val="clear" w:color="auto" w:fill="CFF0FC"/>
          </w:tcPr>
          <w:p>
            <w:pPr>
              <w:spacing w:after="0"/>
              <w:rPr>
                <w:sz w:val="19"/>
                <w:szCs w:val="19"/>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6/24/2020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center"/>
              <w:ind w:right="255"/>
              <w:spacing w:after="0"/>
              <w:rPr>
                <w:sz w:val="20"/>
                <w:szCs w:val="20"/>
                <w:color w:val="auto"/>
              </w:rPr>
            </w:pPr>
            <w:r>
              <w:rPr>
                <w:rFonts w:ascii="Arial" w:cs="Arial" w:eastAsia="Arial" w:hAnsi="Arial"/>
                <w:sz w:val="18"/>
                <w:szCs w:val="18"/>
                <w:color w:val="auto"/>
                <w:w w:val="90"/>
              </w:rPr>
              <w:t>23,000</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1.39%</w:t>
            </w:r>
          </w:p>
        </w:tc>
        <w:tc>
          <w:tcPr>
            <w:tcW w:w="80" w:type="dxa"/>
            <w:vAlign w:val="bottom"/>
            <w:shd w:val="clear" w:color="auto" w:fill="CFF0FC"/>
          </w:tcPr>
          <w:p>
            <w:pPr>
              <w:spacing w:after="0"/>
              <w:rPr>
                <w:sz w:val="19"/>
                <w:szCs w:val="19"/>
                <w:color w:val="auto"/>
              </w:rPr>
            </w:pPr>
          </w:p>
        </w:tc>
      </w:tr>
      <w:tr>
        <w:trPr>
          <w:trHeight w:val="230"/>
        </w:trPr>
        <w:tc>
          <w:tcPr>
            <w:tcW w:w="2100" w:type="dxa"/>
            <w:vAlign w:val="bottom"/>
          </w:tcPr>
          <w:p>
            <w:pPr>
              <w:jc w:val="center"/>
              <w:spacing w:after="0"/>
              <w:rPr>
                <w:sz w:val="20"/>
                <w:szCs w:val="20"/>
                <w:color w:val="auto"/>
              </w:rPr>
            </w:pPr>
            <w:r>
              <w:rPr>
                <w:rFonts w:ascii="Arial" w:cs="Arial" w:eastAsia="Arial" w:hAnsi="Arial"/>
                <w:sz w:val="18"/>
                <w:szCs w:val="18"/>
                <w:color w:val="auto"/>
                <w:w w:val="92"/>
              </w:rPr>
              <w:t>6/24/2020</w:t>
            </w:r>
          </w:p>
        </w:tc>
        <w:tc>
          <w:tcPr>
            <w:tcW w:w="2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7/24/2020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jc w:val="center"/>
              <w:ind w:right="255"/>
              <w:spacing w:after="0"/>
              <w:rPr>
                <w:sz w:val="20"/>
                <w:szCs w:val="20"/>
                <w:color w:val="auto"/>
              </w:rPr>
            </w:pPr>
            <w:r>
              <w:rPr>
                <w:rFonts w:ascii="Arial" w:cs="Arial" w:eastAsia="Arial" w:hAnsi="Arial"/>
                <w:sz w:val="18"/>
                <w:szCs w:val="18"/>
                <w:color w:val="auto"/>
                <w:w w:val="90"/>
              </w:rPr>
              <w:t>23,000</w:t>
            </w:r>
          </w:p>
        </w:tc>
        <w:tc>
          <w:tcPr>
            <w:tcW w:w="3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1.45%</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100" w:firstLine="572"/>
        <w:spacing w:after="0" w:line="271" w:lineRule="auto"/>
        <w:rPr>
          <w:sz w:val="20"/>
          <w:szCs w:val="20"/>
          <w:color w:val="auto"/>
        </w:rPr>
      </w:pPr>
      <w:r>
        <w:rPr>
          <w:rFonts w:ascii="Arial" w:cs="Arial" w:eastAsia="Arial" w:hAnsi="Arial"/>
          <w:sz w:val="17"/>
          <w:szCs w:val="17"/>
          <w:color w:val="auto"/>
        </w:rPr>
        <w:t>On July 24, 2020, the Company paid down all outstanding loans with MUFG of $35.0 million of which $12.0 million of loans were prepaid with a penalty of $0.1 million. Effective June 30, 2020, the MegaChips guarantee for the revolving line of credit with MUFG has been terminated. Upon termination of the guarantee, the Company agreed to maintain a minimum cash balance in its operating cash account equal to its outstanding loan balance with MUFG. The minimum cash balance requirement is a compensating balance arrangement that does not legally restrict any cash amounts that are shown in the condensed consolidated balance sheet. The Company continues to have $50.0 million funds available under its credit facility with MUFG. Interest under the revolving line of credit was calculated at MUFG’s prevailing prime rate plus a margin of 2 percentage points which would be agreed by the Company at the time each loan was made. Interest was due for payment on the maturity date of each loan. The Company did not incur any costs upon renewal of the revolving credit line or at the time of increase in the revolving line of credit.</w:t>
      </w:r>
    </w:p>
    <w:p>
      <w:pPr>
        <w:spacing w:after="0" w:line="178" w:lineRule="exact"/>
        <w:rPr>
          <w:sz w:val="20"/>
          <w:szCs w:val="20"/>
          <w:color w:val="auto"/>
        </w:rPr>
      </w:pPr>
    </w:p>
    <w:p>
      <w:pPr>
        <w:ind w:right="200" w:firstLine="572"/>
        <w:spacing w:after="0" w:line="255" w:lineRule="auto"/>
        <w:rPr>
          <w:sz w:val="20"/>
          <w:szCs w:val="20"/>
          <w:color w:val="auto"/>
        </w:rPr>
      </w:pPr>
      <w:r>
        <w:rPr>
          <w:rFonts w:ascii="Arial" w:cs="Arial" w:eastAsia="Arial" w:hAnsi="Arial"/>
          <w:sz w:val="18"/>
          <w:szCs w:val="18"/>
          <w:color w:val="auto"/>
        </w:rPr>
        <w:t>The agreement contains customary representations and warranties, affirmative covenants, and events of default upon the occurrence of certain events, such as nonpayment of amounts due under the revolving line of credit, violation of contractual provisions, or a material adverse change in the Company’s business. The agreement also includes customary administrative covenants, including a limitation on entering any transactions involving a merger or consolidation, reorganization, spin-off, liquidation, dissolution, winding up, or conveying, selling, leasing, licensing, or otherwise disposing of all or substantially all of the Company’s property, assets, or business. As of December 31, 2020 and 2019, the Company was in compliance with all covenants.</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Terminated Loans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Sumitomo Mitsui Banking Corporation Credit Facility</w:t>
      </w:r>
    </w:p>
    <w:p>
      <w:pPr>
        <w:spacing w:after="0" w:line="117" w:lineRule="exact"/>
        <w:rPr>
          <w:sz w:val="20"/>
          <w:szCs w:val="20"/>
          <w:color w:val="auto"/>
        </w:rPr>
      </w:pPr>
    </w:p>
    <w:p>
      <w:pPr>
        <w:ind w:firstLine="572"/>
        <w:spacing w:after="0" w:line="291" w:lineRule="auto"/>
        <w:rPr>
          <w:sz w:val="20"/>
          <w:szCs w:val="20"/>
          <w:color w:val="auto"/>
        </w:rPr>
      </w:pPr>
      <w:r>
        <w:rPr>
          <w:rFonts w:ascii="Arial" w:cs="Arial" w:eastAsia="Arial" w:hAnsi="Arial"/>
          <w:sz w:val="16"/>
          <w:szCs w:val="16"/>
          <w:color w:val="auto"/>
        </w:rPr>
        <w:t>On September 22, 2017, the Company entered into an uncommitted and revolving credit line agreement with SMBC. The revolving credit line has a maximum available borrowing availability of up to $20.0 million. The Company could draw loans under the revolving credit line from time to time through September 21, 2018, as long as the principal amount at any time did not exceed $20.0 million in the aggregate. Such term was extended for an additional year through September 20, 2019 and further extended for an additional year through September 21, 2020. The Company closed its line of credit in September 2020. Loans under the revolving credit line may have a maturity from one day to 12 months from the date of borrowing. The loans borrowed under the revolving line of credit bear a variable rate of interest based upon SMBC’s prevailing prime rate plus a margin of 1 percentage point which would be agreed by the Company at the time each loan was made. Interest was due for payment on the maturity date of each loan. SMBC had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right="160"/>
        <w:spacing w:after="0" w:line="277" w:lineRule="auto"/>
        <w:rPr>
          <w:sz w:val="20"/>
          <w:szCs w:val="20"/>
          <w:color w:val="auto"/>
        </w:rPr>
      </w:pPr>
      <w:r>
        <w:rPr>
          <w:rFonts w:ascii="Arial" w:cs="Arial" w:eastAsia="Arial" w:hAnsi="Arial"/>
          <w:sz w:val="18"/>
          <w:szCs w:val="18"/>
          <w:color w:val="auto"/>
        </w:rPr>
        <w:t>the right to terminate the revolving credit line in whole or part in its sole discretion. The Company did not incur any costs at the initiation of the revolving line of credit or upon renewal of the revolving credit line.</w:t>
      </w:r>
    </w:p>
    <w:p>
      <w:pPr>
        <w:spacing w:after="0" w:line="170" w:lineRule="exact"/>
        <w:rPr>
          <w:sz w:val="20"/>
          <w:szCs w:val="20"/>
          <w:color w:val="auto"/>
        </w:rPr>
      </w:pPr>
    </w:p>
    <w:p>
      <w:pPr>
        <w:ind w:right="200" w:firstLine="572"/>
        <w:spacing w:after="0" w:line="270" w:lineRule="auto"/>
        <w:rPr>
          <w:sz w:val="20"/>
          <w:szCs w:val="20"/>
          <w:color w:val="auto"/>
        </w:rPr>
      </w:pPr>
      <w:r>
        <w:rPr>
          <w:rFonts w:ascii="Arial" w:cs="Arial" w:eastAsia="Arial" w:hAnsi="Arial"/>
          <w:sz w:val="17"/>
          <w:szCs w:val="17"/>
          <w:color w:val="auto"/>
        </w:rPr>
        <w:t>The agreement contained customary representations and warranties, affirmative covenants, negative covenants, and events of default upon the occurrence of certain events, such as nonpayment of amounts due under the revolving line of credit, violation of contractual provisions, or a material adverse change in the Company’s business. In addition, the agreement included a financial covenant for a minimum net worth, defined as total assets less total liabilities, of $0. The agreement also included customary administrative covenants, including a limitation on entering any transactions involving a merger or consolidation, reorganization, spin-off, liquidation, dissolution, winding up, or conveying, selling, leasing, licensing, or otherwise disposing of all or substantially all of the Company’s property, assets, or business. As of December 31, 2019, the Company was in compliance with all covenants. The agreement provided that the Company would provide collateral if SMBC determined in consultation with the Company that additional collateral or guarantee would be necessary. Use of proceeds from the loan was restricted for certain specified purposes. The SMBC revolving line of credit was guaranteed by MegaChips.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MegaChips Loan</w:t>
      </w:r>
    </w:p>
    <w:p>
      <w:pPr>
        <w:spacing w:after="0" w:line="121"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On September 13, 2016, the Company entered into a loan agreement with MegaChips for a revolving credit limit of up to $30.0 million (the “MegaChips Loan Agreement”). Loans under the MegaChips Loan Agreement bear interest at a rate equal to the interest rate at which MegaChips procured the funds from SMBC, plus 0.09%. Interest for each loan is due on the maturity date of each loan. Each loan drawn from MegaChips has a three-month term, which term was renewed on maturity. MegaChips has discretion whether to accept the Company’s request for a loan under the MegaChips Loan Agreement. The initial term of the MegaChips Loan Agreement is one year from the date of the agreement, which term is automatically renewed and extended every year unless either party provides written notice to the other party. The Company did not incur any costs at the time of initiation of such credit facility or at the time of extension of the term of the credit facility.</w:t>
      </w:r>
    </w:p>
    <w:p>
      <w:pPr>
        <w:spacing w:after="0" w:line="195" w:lineRule="exact"/>
        <w:rPr>
          <w:sz w:val="20"/>
          <w:szCs w:val="20"/>
          <w:color w:val="auto"/>
        </w:rPr>
      </w:pPr>
    </w:p>
    <w:p>
      <w:pPr>
        <w:ind w:right="20" w:firstLine="572"/>
        <w:spacing w:after="0" w:line="311" w:lineRule="auto"/>
        <w:rPr>
          <w:sz w:val="20"/>
          <w:szCs w:val="20"/>
          <w:color w:val="auto"/>
        </w:rPr>
      </w:pPr>
      <w:r>
        <w:rPr>
          <w:rFonts w:ascii="Arial" w:cs="Arial" w:eastAsia="Arial" w:hAnsi="Arial"/>
          <w:sz w:val="16"/>
          <w:szCs w:val="16"/>
          <w:color w:val="auto"/>
        </w:rPr>
        <w:t>The agreement contains usual and customary events of default upon the occurrence of certain events, such as nonpayment of amounts due under the revolving line of credit, violation of contractual provisions, a material adverse impact on the Company’s business, or its ability to perform under the agreement. The agreement includes customary administrative covenants but does not contain any negative covenants or conditions to borrowing.</w:t>
      </w:r>
    </w:p>
    <w:p>
      <w:pPr>
        <w:spacing w:after="0" w:line="149" w:lineRule="exact"/>
        <w:rPr>
          <w:sz w:val="20"/>
          <w:szCs w:val="20"/>
          <w:color w:val="auto"/>
        </w:rPr>
      </w:pPr>
    </w:p>
    <w:p>
      <w:pPr>
        <w:ind w:right="140" w:firstLine="572"/>
        <w:spacing w:after="0" w:line="263" w:lineRule="auto"/>
        <w:rPr>
          <w:sz w:val="20"/>
          <w:szCs w:val="20"/>
          <w:color w:val="auto"/>
        </w:rPr>
      </w:pPr>
      <w:r>
        <w:rPr>
          <w:rFonts w:ascii="Arial" w:cs="Arial" w:eastAsia="Arial" w:hAnsi="Arial"/>
          <w:sz w:val="18"/>
          <w:szCs w:val="18"/>
          <w:color w:val="auto"/>
        </w:rPr>
        <w:t>The outstanding balance under the revolving line with MegaChips was repaid on December 12, 2019 upon maturity. During the year ended December 31, 2020, the Company closed its revolving line of credit with MegaChips. As of December 31, 2019, the Company was in compliance with all covenants.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ind w:right="80" w:firstLine="572"/>
        <w:spacing w:after="0" w:line="259" w:lineRule="auto"/>
        <w:rPr>
          <w:sz w:val="20"/>
          <w:szCs w:val="20"/>
          <w:color w:val="auto"/>
        </w:rPr>
      </w:pPr>
      <w:r>
        <w:rPr>
          <w:rFonts w:ascii="Arial" w:cs="Arial" w:eastAsia="Arial" w:hAnsi="Arial"/>
          <w:sz w:val="18"/>
          <w:szCs w:val="18"/>
          <w:color w:val="auto"/>
        </w:rPr>
        <w:t>The Company’s certificate of incorporation, as amended and currently in effect, authorizes the Company to issue 200,000,000 shares of common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SiTime Corporation 2019 Stock Incentive Plan</w:t>
      </w:r>
    </w:p>
    <w:p>
      <w:pPr>
        <w:spacing w:after="0" w:line="121" w:lineRule="exact"/>
        <w:rPr>
          <w:sz w:val="20"/>
          <w:szCs w:val="20"/>
          <w:color w:val="auto"/>
        </w:rPr>
      </w:pPr>
    </w:p>
    <w:p>
      <w:pPr>
        <w:jc w:val="both"/>
        <w:ind w:right="40" w:firstLine="572"/>
        <w:spacing w:after="0" w:line="275" w:lineRule="auto"/>
        <w:rPr>
          <w:sz w:val="20"/>
          <w:szCs w:val="20"/>
          <w:color w:val="auto"/>
        </w:rPr>
      </w:pPr>
      <w:r>
        <w:rPr>
          <w:rFonts w:ascii="Arial" w:cs="Arial" w:eastAsia="Arial" w:hAnsi="Arial"/>
          <w:sz w:val="17"/>
          <w:szCs w:val="17"/>
          <w:color w:val="auto"/>
        </w:rPr>
        <w:t>Upon completion of its IPO in November 2019, the Company adopted the SiTime Corporation 2019 Stock Incentive Plan (the “2019 Plan”), which initially reserved approximately 3.4 million shares of the Company’s common stock.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right="80"/>
        <w:spacing w:after="0" w:line="277" w:lineRule="auto"/>
        <w:rPr>
          <w:sz w:val="20"/>
          <w:szCs w:val="20"/>
          <w:color w:val="auto"/>
        </w:rPr>
      </w:pPr>
      <w:r>
        <w:rPr>
          <w:rFonts w:ascii="Arial" w:cs="Arial" w:eastAsia="Arial" w:hAnsi="Arial"/>
          <w:sz w:val="18"/>
          <w:szCs w:val="18"/>
          <w:color w:val="auto"/>
        </w:rPr>
        <w:t>plan administrator, for restricted stock unit awards typically with quarterly vesting over four years. As of December 31, 2020, 0.3 million shares were still reserved for issuance.</w:t>
      </w:r>
    </w:p>
    <w:p>
      <w:pPr>
        <w:spacing w:after="0" w:line="170" w:lineRule="exact"/>
        <w:rPr>
          <w:sz w:val="20"/>
          <w:szCs w:val="20"/>
          <w:color w:val="auto"/>
        </w:rPr>
      </w:pPr>
    </w:p>
    <w:p>
      <w:pPr>
        <w:ind w:firstLine="572"/>
        <w:spacing w:after="0" w:line="277" w:lineRule="auto"/>
        <w:rPr>
          <w:sz w:val="20"/>
          <w:szCs w:val="20"/>
          <w:color w:val="auto"/>
        </w:rPr>
      </w:pPr>
      <w:r>
        <w:rPr>
          <w:rFonts w:ascii="Arial" w:cs="Arial" w:eastAsia="Arial" w:hAnsi="Arial"/>
          <w:sz w:val="18"/>
          <w:szCs w:val="18"/>
          <w:color w:val="auto"/>
        </w:rPr>
        <w:t>The Company granted 3.0 million new time-based restricted stock awards in the year ended December 31, 2019 with quarterly vests primarily over two to five years. Activity of RSUs granted under the Plan is set forth below:</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RSU</w:t>
            </w: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CRSU</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05"/>
        </w:trPr>
        <w:tc>
          <w:tcPr>
            <w:tcW w:w="47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vMerge w:val="continue"/>
          </w:tcPr>
          <w:p>
            <w:pPr>
              <w:spacing w:after="0"/>
              <w:rPr>
                <w:sz w:val="9"/>
                <w:szCs w:val="9"/>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7"/>
        </w:trPr>
        <w:tc>
          <w:tcPr>
            <w:tcW w:w="4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05"/>
        </w:trPr>
        <w:tc>
          <w:tcPr>
            <w:tcW w:w="47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vMerge w:val="continue"/>
          </w:tcPr>
          <w:p>
            <w:pPr>
              <w:spacing w:after="0"/>
              <w:rPr>
                <w:sz w:val="9"/>
                <w:szCs w:val="9"/>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57"/>
        </w:trPr>
        <w:tc>
          <w:tcPr>
            <w:tcW w:w="4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05"/>
        </w:trPr>
        <w:tc>
          <w:tcPr>
            <w:tcW w:w="47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w:t>
            </w:r>
          </w:p>
        </w:tc>
        <w:tc>
          <w:tcPr>
            <w:tcW w:w="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700" w:type="dxa"/>
            <w:vAlign w:val="bottom"/>
            <w:tcBorders>
              <w:bottom w:val="single" w:sz="8" w:color="CFF0FC"/>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CFF0FC"/>
            </w:tcBorders>
            <w:vMerge w:val="continue"/>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Granted</w:t>
            </w:r>
          </w:p>
        </w:tc>
        <w:tc>
          <w:tcPr>
            <w:tcW w:w="780" w:type="dxa"/>
            <w:vAlign w:val="bottom"/>
          </w:tcPr>
          <w:p>
            <w:pPr>
              <w:jc w:val="right"/>
              <w:spacing w:after="0"/>
              <w:rPr>
                <w:sz w:val="20"/>
                <w:szCs w:val="20"/>
                <w:color w:val="auto"/>
              </w:rPr>
            </w:pPr>
            <w:r>
              <w:rPr>
                <w:rFonts w:ascii="Arial" w:cs="Arial" w:eastAsia="Arial" w:hAnsi="Arial"/>
                <w:sz w:val="16"/>
                <w:szCs w:val="16"/>
                <w:color w:val="auto"/>
              </w:rPr>
              <w:t>3,012,399</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(23,077)</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gridSpan w:val="3"/>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2,989,322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Granted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53.42</w:t>
            </w: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48.62</w:t>
            </w: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682,517</w:t>
            </w:r>
          </w:p>
        </w:tc>
        <w:tc>
          <w:tcPr>
            <w:tcW w:w="1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11,844</w:t>
            </w:r>
          </w:p>
        </w:tc>
        <w:tc>
          <w:tcPr>
            <w:tcW w:w="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(766,934)</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(11,220)</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Forfeited</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(169,199)</w:t>
            </w:r>
          </w:p>
        </w:tc>
        <w:tc>
          <w:tcPr>
            <w:tcW w:w="500" w:type="dxa"/>
            <w:vAlign w:val="bottom"/>
          </w:tcPr>
          <w:p>
            <w:pPr>
              <w:jc w:val="right"/>
              <w:spacing w:after="0"/>
              <w:rPr>
                <w:sz w:val="20"/>
                <w:szCs w:val="20"/>
                <w:color w:val="auto"/>
              </w:rPr>
            </w:pPr>
            <w:r>
              <w:rPr>
                <w:rFonts w:ascii="Arial" w:cs="Arial" w:eastAsia="Arial" w:hAnsi="Arial"/>
                <w:sz w:val="16"/>
                <w:szCs w:val="16"/>
                <w:color w:val="auto"/>
              </w:rPr>
              <w:t>13.72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2020</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2,735,706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22.35</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35.05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August 4, 2020, the Compensation Committee of the Company adopted and approved the Executive Bonus and Retention Plan (the “Bonus and Retention Plan”) with target bonus amounts and performance goals for the second half of the fiscal year 2020 (the “2020 Goals”). The 2020 Goals are based on the achievement of revenue and Non-GAAP operating profit for the second half of 2020, as well as individual performance goals. The target bonuses were granted based on a fixed dollar amount to be settled in restricted stock units on the vesting date and hence the awards have been classified as liability-based awards. Such expense is included in the non-cash adjustment within stock-based compensation expense on the consolidated cash flow statement. The liability of $1.2 million was recorded as accrued expenses and other current liabilities in the consolidated balance sheet. Actual payouts ranged from 119% to 144% of target, based on performance.</w:t>
      </w:r>
    </w:p>
    <w:p>
      <w:pPr>
        <w:spacing w:after="0" w:line="8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year ended December 31, 2020, the Company granted cash based RSUs (the “CRSU”) as part of an employee bonus plan. Generally, such units are granted quarterly and fully vest at the end of the quarter they are granted except units granted to new hires that have a one-year cliff vesting. Such awards have also been classified as liability-based awards.</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shares vested during the year ended December 31, 2020 was $43.7 million of which $0.9 million related to CRSU. For the year ended December 31, 2020, the Company issued 657,201 shares of common stock in connection with the vesting of RSUs. The difference between the number of RSUs vested and the shares of common stock issued is the result of RSUs withheld in satisfaction of minimum tax withholding obligations associated with the vesting.</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4" w:name="page85"/>
    <w:bookmarkEnd w:id="84"/>
    <w:p>
      <w:pPr>
        <w:ind w:left="580"/>
        <w:spacing w:after="0"/>
        <w:rPr>
          <w:sz w:val="20"/>
          <w:szCs w:val="20"/>
          <w:color w:val="auto"/>
        </w:rPr>
      </w:pPr>
      <w:r>
        <w:rPr>
          <w:rFonts w:ascii="Arial" w:cs="Arial" w:eastAsia="Arial" w:hAnsi="Arial"/>
          <w:sz w:val="16"/>
          <w:szCs w:val="16"/>
          <w:color w:val="auto"/>
        </w:rPr>
        <w:t>Total stock-based compensation expense for employees recognized in the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w:t>
            </w:r>
          </w:p>
        </w:tc>
        <w:tc>
          <w:tcPr>
            <w:tcW w:w="1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9"/>
                <w:szCs w:val="19"/>
                <w:color w:val="auto"/>
              </w:rPr>
            </w:pP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Liability based awards - equity settled</w:t>
            </w: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stock-based compensation - equity settled</w:t>
            </w:r>
          </w:p>
        </w:tc>
        <w:tc>
          <w:tcPr>
            <w:tcW w:w="13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Liability based awards - cash settled</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w:t>
            </w:r>
          </w:p>
        </w:tc>
        <w:tc>
          <w:tcPr>
            <w:tcW w:w="1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stock-based compensation - cash settled</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 stock-based compensation expense</w:t>
            </w:r>
          </w:p>
        </w:tc>
        <w:tc>
          <w:tcPr>
            <w:tcW w:w="1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30"/>
        <w:spacing w:after="0" w:line="263" w:lineRule="auto"/>
        <w:rPr>
          <w:sz w:val="20"/>
          <w:szCs w:val="20"/>
          <w:color w:val="auto"/>
        </w:rPr>
      </w:pPr>
      <w:r>
        <w:rPr>
          <w:rFonts w:ascii="Arial" w:cs="Arial" w:eastAsia="Arial" w:hAnsi="Arial"/>
          <w:sz w:val="18"/>
          <w:szCs w:val="18"/>
          <w:color w:val="auto"/>
        </w:rPr>
        <w:t>At December 31, 2020, there was $57.6 million and $0.6 million of unamortized compensation costs related to RSUs granted and liability-based awards. The unamortized compensation cost is expected to be recognized over a weighted average period of 3.80 years for equity awards and 0.44 years for liability-based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Years 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6"/>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(9,645)</w:t>
            </w:r>
          </w:p>
        </w:tc>
        <w:tc>
          <w:tcPr>
            <w:tcW w:w="440" w:type="dxa"/>
            <w:vAlign w:val="bottom"/>
            <w:gridSpan w:val="3"/>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580"/>
              <w:spacing w:after="0"/>
              <w:rPr>
                <w:sz w:val="20"/>
                <w:szCs w:val="20"/>
                <w:color w:val="auto"/>
              </w:rPr>
            </w:pPr>
            <w:r>
              <w:rPr>
                <w:rFonts w:ascii="Arial" w:cs="Arial" w:eastAsia="Arial" w:hAnsi="Arial"/>
                <w:sz w:val="18"/>
                <w:szCs w:val="18"/>
                <w:color w:val="auto"/>
                <w:w w:val="92"/>
              </w:rPr>
              <w:t>The components of income tax (expense) benefit were as follows:</w:t>
            </w:r>
          </w:p>
        </w:tc>
        <w:tc>
          <w:tcPr>
            <w:tcW w:w="1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Years Ended December 31,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top w:val="single" w:sz="8" w:color="auto"/>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6"/>
          </w:tcPr>
          <w:p>
            <w:pPr>
              <w:jc w:val="center"/>
              <w:ind w:left="41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8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40" w:type="dxa"/>
            <w:vAlign w:val="bottom"/>
            <w:gridSpan w:val="3"/>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6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gridSpan w:val="2"/>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85" w:name="page86"/>
    <w:bookmarkEnd w:id="85"/>
    <w:p>
      <w:pPr>
        <w:ind w:left="580"/>
        <w:spacing w:after="0"/>
        <w:rPr>
          <w:sz w:val="20"/>
          <w:szCs w:val="20"/>
          <w:color w:val="auto"/>
        </w:rPr>
      </w:pPr>
      <w:r>
        <w:rPr>
          <w:rFonts w:ascii="Arial" w:cs="Arial" w:eastAsia="Arial" w:hAnsi="Arial"/>
          <w:sz w:val="17"/>
          <w:szCs w:val="17"/>
          <w:color w:val="auto"/>
        </w:rPr>
        <w:t>The material components of the deferred tax assets and liabilities consisted of net operating loss carry-forwards and tax credit carry-forwards.</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Years Ended December 31,</w:t>
            </w:r>
          </w:p>
        </w:tc>
      </w:tr>
      <w:tr>
        <w:trPr>
          <w:trHeight w:val="26"/>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5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Accrual, write-down and other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3,249</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operating loss and credits carry forwards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gross deferred tax assets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(55,951)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(45,494)</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net valuation allowance decreased by $10.5 million for the year ended December 31, 2020.</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62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r>
      <w:tr>
        <w:trPr>
          <w:trHeight w:val="26"/>
        </w:trPr>
        <w:tc>
          <w:tcPr>
            <w:tcW w:w="5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46"/>
        </w:trPr>
        <w:tc>
          <w:tcPr>
            <w:tcW w:w="5240" w:type="dxa"/>
            <w:vAlign w:val="bottom"/>
          </w:tcPr>
          <w:p>
            <w:pPr>
              <w:spacing w:after="0"/>
              <w:rPr>
                <w:sz w:val="12"/>
                <w:szCs w:val="12"/>
                <w:color w:val="auto"/>
              </w:rPr>
            </w:pPr>
          </w:p>
        </w:tc>
        <w:tc>
          <w:tcPr>
            <w:tcW w:w="1080" w:type="dxa"/>
            <w:vAlign w:val="bottom"/>
          </w:tcPr>
          <w:p>
            <w:pPr>
              <w:jc w:val="right"/>
              <w:ind w:right="317"/>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13"/>
              <w:spacing w:after="0" w:line="14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Federal Rate</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R&amp;D Credits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 and others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(18.3)</w:t>
            </w:r>
          </w:p>
        </w:tc>
      </w:tr>
      <w:tr>
        <w:trPr>
          <w:trHeight w:val="250"/>
        </w:trPr>
        <w:tc>
          <w:tcPr>
            <w:tcW w:w="52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(111.4)</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0"/>
        </w:trPr>
        <w:tc>
          <w:tcPr>
            <w:tcW w:w="5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300" w:firstLine="572"/>
        <w:spacing w:after="0" w:line="277" w:lineRule="auto"/>
        <w:rPr>
          <w:sz w:val="20"/>
          <w:szCs w:val="20"/>
          <w:color w:val="auto"/>
        </w:rPr>
      </w:pPr>
      <w:r>
        <w:rPr>
          <w:rFonts w:ascii="Arial" w:cs="Arial" w:eastAsia="Arial" w:hAnsi="Arial"/>
          <w:sz w:val="18"/>
          <w:szCs w:val="18"/>
          <w:color w:val="auto"/>
        </w:rPr>
        <w:t>The reported amount of income tax expense differs from an expected amount based on statutory rates primarily due to the Company’s valuation allowance.</w:t>
      </w:r>
    </w:p>
    <w:p>
      <w:pPr>
        <w:spacing w:after="0" w:line="170" w:lineRule="exact"/>
        <w:rPr>
          <w:sz w:val="20"/>
          <w:szCs w:val="20"/>
          <w:color w:val="auto"/>
        </w:rPr>
      </w:pPr>
    </w:p>
    <w:p>
      <w:pPr>
        <w:jc w:val="both"/>
        <w:ind w:firstLine="572"/>
        <w:spacing w:after="0" w:line="263" w:lineRule="auto"/>
        <w:rPr>
          <w:sz w:val="20"/>
          <w:szCs w:val="20"/>
          <w:color w:val="auto"/>
        </w:rPr>
      </w:pPr>
      <w:r>
        <w:rPr>
          <w:rFonts w:ascii="Arial" w:cs="Arial" w:eastAsia="Arial" w:hAnsi="Arial"/>
          <w:sz w:val="18"/>
          <w:szCs w:val="18"/>
          <w:color w:val="auto"/>
        </w:rPr>
        <w:t>As of December 31, 2020 and 2019, based on the available objective evidence, management believes it is more likely than not that the net deferred tax assets will not be realized. Accordingly, management has applied a full valuation allowance against its net deferred tax assets at December 31, 2020 and 2019.</w:t>
      </w:r>
    </w:p>
    <w:p>
      <w:pPr>
        <w:spacing w:after="0" w:line="184" w:lineRule="exact"/>
        <w:rPr>
          <w:sz w:val="20"/>
          <w:szCs w:val="20"/>
          <w:color w:val="auto"/>
        </w:rPr>
      </w:pPr>
    </w:p>
    <w:p>
      <w:pPr>
        <w:ind w:right="140" w:firstLine="572"/>
        <w:spacing w:after="0" w:line="257" w:lineRule="auto"/>
        <w:rPr>
          <w:sz w:val="20"/>
          <w:szCs w:val="20"/>
          <w:color w:val="auto"/>
        </w:rPr>
      </w:pPr>
      <w:r>
        <w:rPr>
          <w:rFonts w:ascii="Arial" w:cs="Arial" w:eastAsia="Arial" w:hAnsi="Arial"/>
          <w:sz w:val="18"/>
          <w:szCs w:val="18"/>
          <w:color w:val="auto"/>
        </w:rPr>
        <w:t>At December 31, 2020 and 2019, the Company has federal net operating loss carry-forwards of approximately $201.5 million and $156.5 million, respectively, and state net operating loss carry-forwards of approximately $64.0 million and $63.7 million, respectively. At December 31, 2020 and 2019, the Company has net operating loss carryforwards for foreign income tax purposes of approximately $2.2 million and $1.3 million, respectively. These federal, state, and foreign net operating loss carry-forwards will expire beginning in 2025, 2028, and 2028, respectively. Of the total federal net operating loss carryforward, $55.7 million will not expired as a result of the Tax Act.</w:t>
      </w:r>
    </w:p>
    <w:p>
      <w:pPr>
        <w:spacing w:after="0" w:line="188" w:lineRule="exact"/>
        <w:rPr>
          <w:sz w:val="20"/>
          <w:szCs w:val="20"/>
          <w:color w:val="auto"/>
        </w:rPr>
      </w:pPr>
    </w:p>
    <w:p>
      <w:pPr>
        <w:jc w:val="both"/>
        <w:ind w:right="120" w:firstLine="572"/>
        <w:spacing w:after="0" w:line="286" w:lineRule="auto"/>
        <w:rPr>
          <w:sz w:val="20"/>
          <w:szCs w:val="20"/>
          <w:color w:val="auto"/>
        </w:rPr>
      </w:pPr>
      <w:r>
        <w:rPr>
          <w:rFonts w:ascii="Arial" w:cs="Arial" w:eastAsia="Arial" w:hAnsi="Arial"/>
          <w:sz w:val="17"/>
          <w:szCs w:val="17"/>
          <w:color w:val="auto"/>
        </w:rPr>
        <w:t>At December 31, 2020 and 2019,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spacing w:after="0" w:line="165" w:lineRule="exact"/>
        <w:rPr>
          <w:sz w:val="20"/>
          <w:szCs w:val="20"/>
          <w:color w:val="auto"/>
        </w:rPr>
      </w:pPr>
    </w:p>
    <w:p>
      <w:pPr>
        <w:ind w:right="100" w:firstLine="572"/>
        <w:spacing w:after="0" w:line="263"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(“the Code”), and similar state provisions. The annual limitation may result in the expiration of net operating losses and credits before utilization.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86" w:name="page87"/>
    <w:bookmarkEnd w:id="86"/>
    <w:p>
      <w:pPr>
        <w:ind w:right="20" w:firstLine="572"/>
        <w:spacing w:after="0" w:line="273" w:lineRule="auto"/>
        <w:rPr>
          <w:sz w:val="20"/>
          <w:szCs w:val="20"/>
          <w:color w:val="auto"/>
        </w:rPr>
      </w:pPr>
      <w:r>
        <w:rPr>
          <w:rFonts w:ascii="Arial" w:cs="Arial" w:eastAsia="Arial" w:hAnsi="Arial"/>
          <w:sz w:val="17"/>
          <w:szCs w:val="17"/>
          <w:color w:val="auto"/>
        </w:rPr>
        <w:t>As of December 31, 2020 and 2019, the Company had $2.4 million and $2.2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2020 and 2019, the Company had immaterial amounts related to the accrual of interest and penalties.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unrecognized tax benefit amount is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90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2,184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w w:val="93"/>
              </w:rPr>
              <w:t>Decrease in balance related to tax position taken during prior periods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w w:val="97"/>
              </w:rPr>
              <w:t>Increase in balance related to tax position taken during the current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2,436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72"/>
        <w:spacing w:after="0" w:line="277"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within 12 months of the years ended December 31, 2020 and 2019.</w:t>
      </w:r>
    </w:p>
    <w:p>
      <w:pPr>
        <w:spacing w:after="0" w:line="170" w:lineRule="exact"/>
        <w:rPr>
          <w:sz w:val="20"/>
          <w:szCs w:val="20"/>
          <w:color w:val="auto"/>
        </w:rPr>
      </w:pPr>
    </w:p>
    <w:p>
      <w:pPr>
        <w:ind w:firstLine="572"/>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84" w:lineRule="exact"/>
        <w:rPr>
          <w:sz w:val="20"/>
          <w:szCs w:val="20"/>
          <w:color w:val="auto"/>
        </w:rPr>
      </w:pPr>
    </w:p>
    <w:p>
      <w:pPr>
        <w:ind w:right="400" w:firstLine="572"/>
        <w:spacing w:after="0" w:line="277" w:lineRule="auto"/>
        <w:rPr>
          <w:sz w:val="20"/>
          <w:szCs w:val="20"/>
          <w:color w:val="auto"/>
        </w:rPr>
      </w:pPr>
      <w:r>
        <w:rPr>
          <w:rFonts w:ascii="Arial" w:cs="Arial" w:eastAsia="Arial" w:hAnsi="Arial"/>
          <w:sz w:val="18"/>
          <w:szCs w:val="18"/>
          <w:color w:val="auto"/>
        </w:rPr>
        <w:t>As of December 31, 2020, the tax years that remain subject to examination by the major tax jurisdictions under the statute of limitations are as follows:</w:t>
      </w:r>
    </w:p>
    <w:p>
      <w:pPr>
        <w:spacing w:after="0" w:line="16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Jurisdiction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Earliest Tax Year</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Subject to Examination</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federal</w:t>
            </w: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2005</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California State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Michigan State</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Plan</w:t>
      </w:r>
    </w:p>
    <w:p>
      <w:pPr>
        <w:spacing w:after="0" w:line="121" w:lineRule="exact"/>
        <w:rPr>
          <w:sz w:val="20"/>
          <w:szCs w:val="20"/>
          <w:color w:val="auto"/>
        </w:rPr>
      </w:pPr>
    </w:p>
    <w:p>
      <w:pPr>
        <w:ind w:right="80" w:firstLine="572"/>
        <w:spacing w:after="0" w:line="257" w:lineRule="auto"/>
        <w:rPr>
          <w:sz w:val="20"/>
          <w:szCs w:val="20"/>
          <w:color w:val="auto"/>
        </w:rPr>
      </w:pPr>
      <w:r>
        <w:rPr>
          <w:rFonts w:ascii="Arial" w:cs="Arial" w:eastAsia="Arial" w:hAnsi="Arial"/>
          <w:sz w:val="18"/>
          <w:szCs w:val="18"/>
          <w:color w:val="auto"/>
        </w:rPr>
        <w:t>The Company has a 401(k) retirement plan that qualifies as a defined contribution plan. All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2020 and 2019 resulted in expense of $0.6 million in each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 and Operations by Geographic Area</w:t>
      </w:r>
    </w:p>
    <w:p>
      <w:pPr>
        <w:spacing w:after="0" w:line="121" w:lineRule="exact"/>
        <w:rPr>
          <w:sz w:val="20"/>
          <w:szCs w:val="20"/>
          <w:color w:val="auto"/>
        </w:rPr>
      </w:pPr>
    </w:p>
    <w:p>
      <w:pPr>
        <w:jc w:val="both"/>
        <w:ind w:right="560" w:firstLine="572"/>
        <w:spacing w:after="0" w:line="301" w:lineRule="auto"/>
        <w:rPr>
          <w:sz w:val="20"/>
          <w:szCs w:val="20"/>
          <w:color w:val="auto"/>
        </w:rPr>
      </w:pPr>
      <w:r>
        <w:rPr>
          <w:rFonts w:ascii="Arial" w:cs="Arial" w:eastAsia="Arial" w:hAnsi="Arial"/>
          <w:sz w:val="16"/>
          <w:szCs w:val="16"/>
          <w:color w:val="auto"/>
        </w:rPr>
        <w:t>The Company operates in one reportable segment related to the design, development, and sale of silicon timing systems solutions. The chief operating decision maker, for the Company is the Chief Executive Officer. The Company’s Chief Executive Officer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ind w:right="140" w:firstLine="572"/>
        <w:spacing w:after="0" w:line="277" w:lineRule="auto"/>
        <w:rPr>
          <w:sz w:val="20"/>
          <w:szCs w:val="20"/>
          <w:color w:val="auto"/>
        </w:rPr>
      </w:pPr>
      <w:r>
        <w:rPr>
          <w:rFonts w:ascii="Arial" w:cs="Arial" w:eastAsia="Arial" w:hAnsi="Arial"/>
          <w:sz w:val="18"/>
          <w:szCs w:val="18"/>
          <w:color w:val="auto"/>
        </w:rPr>
        <w:t>The following table sets forth revenue by country, based on ship-to destinations, for countries with 10% or more of the Company’s revenue during any of the periods presented: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3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156"/>
        </w:trPr>
        <w:tc>
          <w:tcPr>
            <w:tcW w:w="3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December 31, 2020</w:t>
            </w: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3"/>
                <w:szCs w:val="13"/>
                <w:color w:val="auto"/>
              </w:rPr>
            </w:pPr>
          </w:p>
        </w:tc>
      </w:tr>
      <w:tr>
        <w:trPr>
          <w:trHeight w:val="155"/>
        </w:trPr>
        <w:tc>
          <w:tcPr>
            <w:tcW w:w="3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3"/>
          </w:tcPr>
          <w:p>
            <w:pPr>
              <w:jc w:val="right"/>
              <w:ind w:right="139"/>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9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55,789</w:t>
            </w:r>
          </w:p>
        </w:tc>
        <w:tc>
          <w:tcPr>
            <w:tcW w:w="740" w:type="dxa"/>
            <w:vAlign w:val="bottom"/>
            <w:gridSpan w:val="2"/>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39,060</w:t>
            </w:r>
          </w:p>
        </w:tc>
        <w:tc>
          <w:tcPr>
            <w:tcW w:w="100" w:type="dxa"/>
            <w:vAlign w:val="bottom"/>
            <w:shd w:val="clear" w:color="auto" w:fill="CFF0FC"/>
          </w:tcPr>
          <w:p>
            <w:pPr>
              <w:spacing w:after="0"/>
              <w:rPr>
                <w:sz w:val="21"/>
                <w:szCs w:val="2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Hong Kong</w:t>
            </w:r>
          </w:p>
        </w:tc>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30,306</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20"/>
                <w:szCs w:val="20"/>
                <w:color w:val="auto"/>
              </w:rPr>
            </w:pPr>
          </w:p>
        </w:tc>
      </w:tr>
      <w:tr>
        <w:trPr>
          <w:trHeight w:val="256"/>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2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FF0FC"/>
          </w:tcPr>
          <w:p>
            <w:pPr>
              <w:spacing w:after="0"/>
              <w:rPr>
                <w:sz w:val="22"/>
                <w:szCs w:val="22"/>
                <w:color w:val="auto"/>
              </w:rPr>
            </w:pPr>
          </w:p>
        </w:tc>
      </w:tr>
      <w:tr>
        <w:trPr>
          <w:trHeight w:val="277"/>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200" w:type="dxa"/>
            <w:vAlign w:val="bottom"/>
            <w:tcBorders>
              <w:bottom w:val="single" w:sz="8" w:color="CFF0FC"/>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tcBorders>
              <w:bottom w:val="single" w:sz="8" w:color="CFF0FC"/>
            </w:tcBorders>
          </w:tcPr>
          <w:p>
            <w:pPr>
              <w:spacing w:after="0"/>
              <w:rPr>
                <w:sz w:val="24"/>
                <w:szCs w:val="24"/>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116,156</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80" w:firstLine="572"/>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December 31, 2020 and 2019 were 97% of total property and equipment and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40" w:firstLine="572"/>
        <w:spacing w:after="0" w:line="259" w:lineRule="auto"/>
        <w:rPr>
          <w:sz w:val="20"/>
          <w:szCs w:val="20"/>
          <w:color w:val="auto"/>
        </w:rPr>
      </w:pPr>
      <w:r>
        <w:rPr>
          <w:rFonts w:ascii="Arial" w:cs="Arial" w:eastAsia="Arial" w:hAnsi="Arial"/>
          <w:sz w:val="18"/>
          <w:szCs w:val="18"/>
          <w:color w:val="auto"/>
        </w:rPr>
        <w:t>The Company entered into an agreement with MegaChips, whereby the Company appointed MegaChips as the exclusive sales representative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income (loss).</w:t>
      </w:r>
    </w:p>
    <w:p>
      <w:pPr>
        <w:spacing w:after="0" w:line="79" w:lineRule="exact"/>
        <w:rPr>
          <w:sz w:val="20"/>
          <w:szCs w:val="20"/>
          <w:color w:val="auto"/>
        </w:rPr>
      </w:pPr>
    </w:p>
    <w:p>
      <w:pPr>
        <w:ind w:right="240" w:firstLine="572"/>
        <w:spacing w:after="0" w:line="277" w:lineRule="auto"/>
        <w:rPr>
          <w:sz w:val="20"/>
          <w:szCs w:val="20"/>
          <w:color w:val="auto"/>
        </w:rPr>
      </w:pPr>
      <w:r>
        <w:rPr>
          <w:rFonts w:ascii="Arial" w:cs="Arial" w:eastAsia="Arial" w:hAnsi="Arial"/>
          <w:sz w:val="18"/>
          <w:szCs w:val="18"/>
          <w:color w:val="auto"/>
        </w:rPr>
        <w:t>MegaChips is the largest stockholder of the Company and held approximately 43.7% and 66.8% of the Company’s outstanding common stock as of December 31, 2020 and December 31, 2019, respectively.</w:t>
      </w:r>
    </w:p>
    <w:p>
      <w:pPr>
        <w:spacing w:after="0" w:line="62" w:lineRule="exact"/>
        <w:rPr>
          <w:sz w:val="20"/>
          <w:szCs w:val="20"/>
          <w:color w:val="auto"/>
        </w:rPr>
      </w:pPr>
    </w:p>
    <w:p>
      <w:pPr>
        <w:ind w:right="660" w:firstLine="572"/>
        <w:spacing w:after="0" w:line="277" w:lineRule="auto"/>
        <w:rPr>
          <w:sz w:val="20"/>
          <w:szCs w:val="20"/>
          <w:color w:val="auto"/>
        </w:rPr>
      </w:pPr>
      <w:r>
        <w:rPr>
          <w:rFonts w:ascii="Arial" w:cs="Arial" w:eastAsia="Arial" w:hAnsi="Arial"/>
          <w:sz w:val="18"/>
          <w:szCs w:val="18"/>
          <w:color w:val="auto"/>
        </w:rPr>
        <w:t>In the year ended December 31, 2020, the Company entered into an asset purchase agreement with MegaChips Corporation. The Company recorded the equipment of $0.1 million on the consolidated balance sheet under “Property and equipment, net.”</w:t>
      </w:r>
    </w:p>
    <w:p>
      <w:pPr>
        <w:spacing w:after="0" w:line="62" w:lineRule="exact"/>
        <w:rPr>
          <w:sz w:val="20"/>
          <w:szCs w:val="20"/>
          <w:color w:val="auto"/>
        </w:rPr>
      </w:pPr>
    </w:p>
    <w:p>
      <w:pPr>
        <w:jc w:val="both"/>
        <w:ind w:right="60" w:firstLine="572"/>
        <w:spacing w:after="0" w:line="263" w:lineRule="auto"/>
        <w:rPr>
          <w:sz w:val="20"/>
          <w:szCs w:val="20"/>
          <w:color w:val="auto"/>
        </w:rPr>
      </w:pPr>
      <w:r>
        <w:rPr>
          <w:rFonts w:ascii="Arial" w:cs="Arial" w:eastAsia="Arial" w:hAnsi="Arial"/>
          <w:sz w:val="18"/>
          <w:szCs w:val="18"/>
          <w:color w:val="auto"/>
        </w:rPr>
        <w:t>In the year ended December 31, 2020 the Company entered into an equipment purchase agreement with MegaChips Taiwan Corporation, a wholly-owned subsidiary of MegaChips Corporation. The Company recorded the equipment of $0.1 million on the consolidated balance sheet under “Property and equipment, net.”</w:t>
      </w:r>
    </w:p>
    <w:p>
      <w:pPr>
        <w:spacing w:after="0" w:line="76" w:lineRule="exact"/>
        <w:rPr>
          <w:sz w:val="20"/>
          <w:szCs w:val="20"/>
          <w:color w:val="auto"/>
        </w:rPr>
      </w:pPr>
    </w:p>
    <w:p>
      <w:pPr>
        <w:ind w:right="40" w:firstLine="572"/>
        <w:spacing w:after="0" w:line="263" w:lineRule="auto"/>
        <w:rPr>
          <w:sz w:val="20"/>
          <w:szCs w:val="20"/>
          <w:color w:val="auto"/>
        </w:rPr>
      </w:pPr>
      <w:r>
        <w:rPr>
          <w:rFonts w:ascii="Arial" w:cs="Arial" w:eastAsia="Arial" w:hAnsi="Arial"/>
          <w:sz w:val="18"/>
          <w:szCs w:val="18"/>
          <w:color w:val="auto"/>
        </w:rPr>
        <w:t>In the year ended December 31, 2020 the Company entered into a services and secondment agreement with MegaChips LSI USA Corporation, a wholly-owned subsidiary of MegaChips Corporation. The Company records the transactions as consulting expenses as part of its research and development expense on the consolidated statement of operations and comprehensive loss.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7, “Debt Obligations” for more information regarding the Company’s loan agreement with MegaChips.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Components of Consolidated Balance Sheets</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7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3"/>
          </w:tcPr>
          <w:p>
            <w:pPr>
              <w:jc w:val="right"/>
              <w:ind w:right="737"/>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Accounts receivable</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Accounts payable</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0" w:type="dxa"/>
            <w:vAlign w:val="bottom"/>
          </w:tcPr>
          <w:p>
            <w:pPr>
              <w:jc w:val="right"/>
              <w:ind w:right="11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2"/>
        </w:trPr>
        <w:tc>
          <w:tcPr>
            <w:tcW w:w="6980" w:type="dxa"/>
            <w:vAlign w:val="bottom"/>
            <w:gridSpan w:val="2"/>
          </w:tcPr>
          <w:p>
            <w:pPr>
              <w:ind w:left="1700"/>
              <w:spacing w:after="0"/>
              <w:rPr>
                <w:sz w:val="20"/>
                <w:szCs w:val="20"/>
                <w:color w:val="auto"/>
              </w:rPr>
            </w:pPr>
            <w:r>
              <w:rPr>
                <w:rFonts w:ascii="Arial" w:cs="Arial" w:eastAsia="Arial" w:hAnsi="Arial"/>
                <w:sz w:val="14"/>
                <w:szCs w:val="14"/>
                <w:b w:val="1"/>
                <w:bCs w:val="1"/>
                <w:color w:val="auto"/>
              </w:rPr>
              <w:t>Components of Statement of Operations and Comprehensive Loss</w:t>
            </w:r>
          </w:p>
        </w:tc>
        <w:tc>
          <w:tcPr>
            <w:tcW w:w="260" w:type="dxa"/>
            <w:vAlign w:val="bottom"/>
          </w:tcPr>
          <w:p>
            <w:pPr>
              <w:spacing w:after="0"/>
              <w:rPr>
                <w:sz w:val="14"/>
                <w:szCs w:val="1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17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left="41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29"/>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Sales through distribution agreement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5,714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5,071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License expense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Commission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Affiliates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369"/>
        </w:trPr>
        <w:tc>
          <w:tcPr>
            <w:tcW w:w="6980" w:type="dxa"/>
            <w:vAlign w:val="bottom"/>
            <w:gridSpan w:val="2"/>
          </w:tcPr>
          <w:p>
            <w:pPr>
              <w:ind w:left="1700"/>
              <w:spacing w:after="0"/>
              <w:rPr>
                <w:sz w:val="20"/>
                <w:szCs w:val="20"/>
                <w:color w:val="auto"/>
              </w:rPr>
            </w:pPr>
            <w:r>
              <w:rPr>
                <w:rFonts w:ascii="Arial" w:cs="Arial" w:eastAsia="Arial" w:hAnsi="Arial"/>
                <w:sz w:val="14"/>
                <w:szCs w:val="14"/>
                <w:b w:val="1"/>
                <w:bCs w:val="1"/>
                <w:color w:val="auto"/>
              </w:rPr>
              <w:t>Components of Consolidated Cash Flows</w:t>
            </w: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1700" w:type="dxa"/>
            <w:vAlign w:val="bottom"/>
          </w:tcPr>
          <w:p>
            <w:pPr>
              <w:spacing w:after="0"/>
              <w:rPr>
                <w:sz w:val="24"/>
                <w:szCs w:val="24"/>
                <w:color w:val="auto"/>
              </w:rPr>
            </w:pPr>
          </w:p>
        </w:tc>
      </w:tr>
      <w:tr>
        <w:trPr>
          <w:trHeight w:val="171"/>
        </w:trPr>
        <w:tc>
          <w:tcPr>
            <w:tcW w:w="1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left="41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29"/>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paid for principal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equipment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commissions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paid for 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Consulting fees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paid for consulting fees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r>
      <w:tr>
        <w:trPr>
          <w:trHeight w:val="674"/>
        </w:trPr>
        <w:tc>
          <w:tcPr>
            <w:tcW w:w="6980" w:type="dxa"/>
            <w:vAlign w:val="bottom"/>
            <w:gridSpan w:val="2"/>
          </w:tcPr>
          <w:p>
            <w:pPr>
              <w:jc w:val="right"/>
              <w:ind w:right="117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89" w:name="page90"/>
    <w:bookmarkEnd w:id="89"/>
    <w:p>
      <w:pPr>
        <w:ind w:left="3700"/>
        <w:spacing w:after="0"/>
        <w:rPr>
          <w:sz w:val="20"/>
          <w:szCs w:val="20"/>
          <w:color w:val="auto"/>
        </w:rPr>
      </w:pPr>
      <w:r>
        <w:rPr>
          <w:rFonts w:ascii="Arial" w:cs="Arial" w:eastAsia="Arial" w:hAnsi="Arial"/>
          <w:sz w:val="18"/>
          <w:szCs w:val="18"/>
          <w:b w:val="1"/>
          <w:bCs w:val="1"/>
          <w:color w:val="auto"/>
        </w:rPr>
        <w:t>UNAUDITED QUARTERLY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274"/>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000" w:type="dxa"/>
            <w:vAlign w:val="bottom"/>
          </w:tcPr>
          <w:p>
            <w:pPr>
              <w:jc w:val="center"/>
              <w:ind w:right="234"/>
              <w:spacing w:after="0" w:line="133"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40,274</w:t>
            </w:r>
          </w:p>
        </w:tc>
        <w:tc>
          <w:tcPr>
            <w:tcW w:w="3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32,667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21,473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21,742</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21,071</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16,902</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9,983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18,997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17,462</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15,254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2,074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(4,856)</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1,991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(5,093)</w:t>
            </w: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 per share, basic</w:t>
            </w: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diluted</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(0.34)</w:t>
            </w:r>
          </w:p>
        </w:tc>
      </w:tr>
      <w:tr>
        <w:trPr>
          <w:trHeight w:val="58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Fiscal Year 2019</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2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28,089</w:t>
            </w:r>
          </w:p>
        </w:tc>
        <w:tc>
          <w:tcPr>
            <w:tcW w:w="3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25,325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15,843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13,448</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12,147</w:t>
            </w:r>
          </w:p>
        </w:tc>
        <w:tc>
          <w:tcPr>
            <w:tcW w:w="2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6,374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7,589</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12,418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10,647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11,355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(2,422)</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633</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(2,870)</w:t>
            </w:r>
          </w:p>
        </w:tc>
      </w:tr>
      <w:tr>
        <w:trPr>
          <w:trHeight w:val="230"/>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 per share basic and diluted</w:t>
            </w:r>
          </w:p>
        </w:tc>
        <w:tc>
          <w:tcPr>
            <w:tcW w:w="8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ind w:right="180" w:firstLine="572"/>
        <w:spacing w:after="0" w:line="275" w:lineRule="auto"/>
        <w:rPr>
          <w:sz w:val="20"/>
          <w:szCs w:val="20"/>
          <w:color w:val="auto"/>
        </w:rPr>
      </w:pPr>
      <w:r>
        <w:rPr>
          <w:rFonts w:ascii="Arial" w:cs="Arial" w:eastAsia="Arial" w:hAnsi="Arial"/>
          <w:sz w:val="17"/>
          <w:szCs w:val="17"/>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76" w:lineRule="exact"/>
        <w:rPr>
          <w:sz w:val="20"/>
          <w:szCs w:val="20"/>
          <w:color w:val="auto"/>
        </w:rPr>
      </w:pPr>
    </w:p>
    <w:p>
      <w:pPr>
        <w:ind w:firstLine="572"/>
        <w:spacing w:after="0" w:line="308"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 Attestation Report of the Registered Public Accounting Firm.</w:t>
      </w:r>
    </w:p>
    <w:p>
      <w:pPr>
        <w:spacing w:after="0" w:line="225" w:lineRule="exact"/>
        <w:rPr>
          <w:sz w:val="20"/>
          <w:szCs w:val="20"/>
          <w:color w:val="auto"/>
        </w:rPr>
      </w:pPr>
    </w:p>
    <w:p>
      <w:pPr>
        <w:ind w:right="60" w:firstLine="572"/>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Our management assessed the effectiveness of our internal control over financial reporting as of December 31, 2020. In making this assessment, our management used the criteria set forth in the Internal Control -Integrated Framework (2013) issued by the Committee of Sponsoring Organizations of the Treadway Commission (COSO). Based on management's assessment, management has concluded that, as of December 31, 2020, our internal control over financial reporting was effective.</w:t>
      </w:r>
    </w:p>
    <w:p>
      <w:pPr>
        <w:spacing w:after="0" w:line="188" w:lineRule="exact"/>
        <w:rPr>
          <w:sz w:val="20"/>
          <w:szCs w:val="20"/>
          <w:color w:val="auto"/>
        </w:rPr>
      </w:pPr>
    </w:p>
    <w:p>
      <w:pPr>
        <w:ind w:right="400" w:firstLine="572"/>
        <w:spacing w:after="0" w:line="27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controls over financials reporting as long as we are an “emerging growth company” pursuant to the provisions of the JOBS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572"/>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13a-15(f) and 15d-15(f) under the Exchange Act) during the quarter ended December 31, 2020 that have materially affected, or is reasonably likely to materially affect, our internal control over financial reporting.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ind w:right="140" w:firstLine="572"/>
        <w:spacing w:after="0" w:line="296" w:lineRule="auto"/>
        <w:rPr>
          <w:sz w:val="20"/>
          <w:szCs w:val="20"/>
          <w:color w:val="auto"/>
        </w:rPr>
      </w:pPr>
      <w:r>
        <w:rPr>
          <w:rFonts w:ascii="Arial" w:cs="Arial" w:eastAsia="Arial" w:hAnsi="Arial"/>
          <w:sz w:val="16"/>
          <w:szCs w:val="16"/>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180" w:firstLine="572"/>
        <w:spacing w:after="0" w:line="286" w:lineRule="auto"/>
        <w:rPr>
          <w:sz w:val="20"/>
          <w:szCs w:val="20"/>
          <w:color w:val="auto"/>
        </w:rPr>
      </w:pPr>
      <w:r>
        <w:rPr>
          <w:rFonts w:ascii="Arial" w:cs="Arial" w:eastAsia="Arial" w:hAnsi="Arial"/>
          <w:sz w:val="17"/>
          <w:szCs w:val="17"/>
          <w:color w:val="auto"/>
        </w:rPr>
        <w:t>Our board of directors amended the Independent Director Compensation Policy for non-employee directors in February 2021 to change the measurement period for the annual limitation on compensation under the policy to each calendar year to reduce the administrative burden and to sync the policy with the information reported for non-employee directors in our proxy statements for our annual meetings.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572"/>
        <w:spacing w:after="0" w:line="275" w:lineRule="auto"/>
        <w:rPr>
          <w:sz w:val="20"/>
          <w:szCs w:val="20"/>
          <w:color w:val="auto"/>
        </w:rPr>
      </w:pPr>
      <w:r>
        <w:rPr>
          <w:rFonts w:ascii="Arial" w:cs="Arial" w:eastAsia="Arial" w:hAnsi="Arial"/>
          <w:sz w:val="17"/>
          <w:szCs w:val="17"/>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2021 annual meeting of stockholders (the “Proxy Statement”), which is expected to be filed not later than 120 days after the end of our fiscal year ended December 31, 2020, and is incorporated in this report by reference. Certain information required by this item concerning executive officers is set forth in Part I of this report under the caption “Executive Officers of the Registrant” and is incorporated herein by reference.</w:t>
      </w:r>
    </w:p>
    <w:p>
      <w:pPr>
        <w:spacing w:after="0" w:line="176" w:lineRule="exact"/>
        <w:rPr>
          <w:sz w:val="20"/>
          <w:szCs w:val="20"/>
          <w:color w:val="auto"/>
        </w:rPr>
      </w:pPr>
    </w:p>
    <w:p>
      <w:pPr>
        <w:ind w:right="60" w:firstLine="572"/>
        <w:spacing w:after="0" w:line="263"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section entitled “Delinquent Section 16(a) Reports” in the Proxy Statement and is incorporated herein by reference.</w:t>
      </w:r>
    </w:p>
    <w:p>
      <w:pPr>
        <w:spacing w:after="0" w:line="184" w:lineRule="exact"/>
        <w:rPr>
          <w:sz w:val="20"/>
          <w:szCs w:val="20"/>
          <w:color w:val="auto"/>
        </w:rPr>
      </w:pPr>
    </w:p>
    <w:p>
      <w:pPr>
        <w:ind w:firstLine="572"/>
        <w:spacing w:after="0" w:line="293" w:lineRule="auto"/>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and chief financial officer (our principal financial officer and principal accounting officer). Stockholders may request a free copy of our Code of Ethics for Senior Financial Officers by contacting us at SiTime Corporation, Attention: Investor Relations, 5451 Patrick Henry Drive, Santa Clara, California 95054.</w:t>
      </w:r>
    </w:p>
    <w:p>
      <w:pPr>
        <w:spacing w:after="0" w:line="164" w:lineRule="exact"/>
        <w:rPr>
          <w:sz w:val="20"/>
          <w:szCs w:val="20"/>
          <w:color w:val="auto"/>
        </w:rPr>
      </w:pPr>
    </w:p>
    <w:p>
      <w:pPr>
        <w:ind w:right="440" w:firstLine="572"/>
        <w:spacing w:after="0" w:line="263" w:lineRule="auto"/>
        <w:rPr>
          <w:sz w:val="20"/>
          <w:szCs w:val="20"/>
          <w:color w:val="auto"/>
        </w:rPr>
      </w:pPr>
      <w:r>
        <w:rPr>
          <w:rFonts w:ascii="Arial" w:cs="Arial" w:eastAsia="Arial" w:hAnsi="Arial"/>
          <w:sz w:val="18"/>
          <w:szCs w:val="18"/>
          <w:color w:val="auto"/>
        </w:rPr>
        <w:t>To date, there have been no waivers under our Code of Business Conduct and Ethics or Code of Ethics for Senior Financial Officers. We will disclose on our website amendments to, or waivers from, our Code of Ethics for Senior Financial Officers, in accordance with applicable laws and regulations.</w:t>
      </w:r>
    </w:p>
    <w:p>
      <w:pPr>
        <w:spacing w:after="0" w:line="184"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We have a separately designated standing audit committee of our board of directors (the “Audit Committee”) established in accordance with Section 3(a)(58)(A) of the Exchange Act. The members of the Audit Committee are Raman K. Chitkara, Edward H. Frank, and Torsten G. Kreindl. All of such members meet the independence standards established by the Nasdaq listing rules for serving on an audit committee. SEC regulations require us to disclose whether a director qualifying as an “audit committee financial expert” serves on our Audit Committee. Our board of directors has determined that Mr. Chitkara qualifies as an “audit committee financial expert” within the meaning of such regulations. The Audit Committee financial report required by this item will be contained in our Proxy Statement under the caption “Report of the Audit Committee of the Board of Directors” and is hereby incorporated by reference.</w:t>
      </w:r>
    </w:p>
    <w:p>
      <w:pPr>
        <w:spacing w:after="0" w:line="195" w:lineRule="exact"/>
        <w:rPr>
          <w:sz w:val="20"/>
          <w:szCs w:val="20"/>
          <w:color w:val="auto"/>
        </w:rPr>
      </w:pPr>
    </w:p>
    <w:p>
      <w:pPr>
        <w:ind w:right="640" w:firstLine="572"/>
        <w:spacing w:after="0" w:line="277" w:lineRule="auto"/>
        <w:rPr>
          <w:sz w:val="20"/>
          <w:szCs w:val="20"/>
          <w:color w:val="auto"/>
        </w:rPr>
      </w:pPr>
      <w:r>
        <w:rPr>
          <w:rFonts w:ascii="Arial" w:cs="Arial" w:eastAsia="Arial" w:hAnsi="Arial"/>
          <w:sz w:val="18"/>
          <w:szCs w:val="18"/>
          <w:color w:val="auto"/>
        </w:rPr>
        <w:t>Information regarding procedures by which stockholders may recommend nominees to our board of directors is set forth under the caption “Director Nominations” under “Corporate Governance” in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72"/>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captions “Executive Compensation” and “Corporate Governance – Non-Employee Director Compensation” in the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72"/>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 “Security Ownership of Certain Beneficial Owners and Management” and “Executive Compensation – Equity Compensation Plan Information” in the Proxy Statement and is incorporated herein by reference.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72"/>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500" w:firstLine="572"/>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“Ratification of the Appointment of Independent Registered Public Accountants — Principal Accounting Fees and Services” in the Proxy and is incorporated herein by reference.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0" w:type="dxa"/>
            <w:vAlign w:val="bottom"/>
          </w:tcPr>
          <w:p>
            <w:pPr>
              <w:ind w:left="2000"/>
              <w:spacing w:after="0"/>
              <w:rPr>
                <w:sz w:val="20"/>
                <w:szCs w:val="20"/>
                <w:color w:val="auto"/>
              </w:rPr>
            </w:pPr>
            <w:r>
              <w:rPr>
                <w:rFonts w:ascii="Arial" w:cs="Arial" w:eastAsia="Arial" w:hAnsi="Arial"/>
                <w:sz w:val="18"/>
                <w:szCs w:val="18"/>
                <w:b w:val="1"/>
                <w:bCs w:val="1"/>
                <w:color w:val="auto"/>
              </w:rPr>
              <w:t>PART IV</w:t>
            </w:r>
          </w:p>
        </w:tc>
        <w:tc>
          <w:tcPr>
            <w:tcW w:w="1580" w:type="dxa"/>
            <w:vAlign w:val="bottom"/>
          </w:tcPr>
          <w:p>
            <w:pPr>
              <w:spacing w:after="0"/>
              <w:rPr>
                <w:sz w:val="20"/>
                <w:szCs w:val="20"/>
                <w:color w:val="auto"/>
              </w:rPr>
            </w:pPr>
          </w:p>
        </w:tc>
      </w:tr>
      <w:tr>
        <w:trPr>
          <w:trHeight w:val="432"/>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580" w:type="dxa"/>
            <w:vAlign w:val="bottom"/>
          </w:tcPr>
          <w:p>
            <w:pPr>
              <w:spacing w:after="0"/>
              <w:rPr>
                <w:sz w:val="24"/>
                <w:szCs w:val="24"/>
                <w:color w:val="auto"/>
              </w:rPr>
            </w:pPr>
          </w:p>
        </w:tc>
      </w:tr>
      <w:tr>
        <w:trPr>
          <w:trHeight w:val="324"/>
        </w:trPr>
        <w:tc>
          <w:tcPr>
            <w:tcW w:w="960" w:type="dxa"/>
            <w:vAlign w:val="bottom"/>
          </w:tcPr>
          <w:p>
            <w:pPr>
              <w:ind w:left="580"/>
              <w:spacing w:after="0"/>
              <w:rPr>
                <w:sz w:val="20"/>
                <w:szCs w:val="20"/>
                <w:color w:val="auto"/>
              </w:rPr>
            </w:pPr>
            <w:r>
              <w:rPr>
                <w:rFonts w:ascii="Arial" w:cs="Arial" w:eastAsia="Arial" w:hAnsi="Arial"/>
                <w:sz w:val="18"/>
                <w:szCs w:val="18"/>
                <w:color w:val="auto"/>
              </w:rPr>
              <w:t>(a)</w:t>
            </w:r>
          </w:p>
        </w:tc>
        <w:tc>
          <w:tcPr>
            <w:tcW w:w="8700" w:type="dxa"/>
            <w:vAlign w:val="bottom"/>
            <w:gridSpan w:val="3"/>
          </w:tcPr>
          <w:p>
            <w:pPr>
              <w:ind w:left="180"/>
              <w:spacing w:after="0"/>
              <w:rPr>
                <w:sz w:val="20"/>
                <w:szCs w:val="20"/>
                <w:color w:val="auto"/>
              </w:rPr>
            </w:pPr>
            <w:r>
              <w:rPr>
                <w:rFonts w:ascii="Arial" w:cs="Arial" w:eastAsia="Arial" w:hAnsi="Arial"/>
                <w:sz w:val="18"/>
                <w:szCs w:val="18"/>
                <w:color w:val="auto"/>
              </w:rPr>
              <w:t>The following documents are filed as a part of this Annual Report on Form 10-K:</w:t>
            </w:r>
          </w:p>
        </w:tc>
        <w:tc>
          <w:tcPr>
            <w:tcW w:w="1580" w:type="dxa"/>
            <w:vAlign w:val="bottom"/>
          </w:tcPr>
          <w:p>
            <w:pPr>
              <w:spacing w:after="0"/>
              <w:rPr>
                <w:sz w:val="24"/>
                <w:szCs w:val="24"/>
                <w:color w:val="auto"/>
              </w:rPr>
            </w:pPr>
          </w:p>
        </w:tc>
      </w:tr>
      <w:tr>
        <w:trPr>
          <w:trHeight w:val="283"/>
        </w:trPr>
        <w:tc>
          <w:tcPr>
            <w:tcW w:w="9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w:t>
            </w:r>
          </w:p>
        </w:tc>
        <w:tc>
          <w:tcPr>
            <w:tcW w:w="796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1580" w:type="dxa"/>
            <w:vAlign w:val="bottom"/>
          </w:tcPr>
          <w:p>
            <w:pPr>
              <w:spacing w:after="0"/>
              <w:rPr>
                <w:sz w:val="24"/>
                <w:szCs w:val="24"/>
                <w:color w:val="auto"/>
              </w:rPr>
            </w:pPr>
          </w:p>
        </w:tc>
      </w:tr>
      <w:tr>
        <w:trPr>
          <w:trHeight w:val="20"/>
        </w:trPr>
        <w:tc>
          <w:tcPr>
            <w:tcW w:w="1700" w:type="dxa"/>
            <w:vAlign w:val="bottom"/>
            <w:gridSpan w:val="2"/>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8"/>
        </w:trPr>
        <w:tc>
          <w:tcPr>
            <w:tcW w:w="966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Balance Sheets as of December 31, 2020 and 2019</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6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Operations and Comprehensive Loss for the years ended December 31, 2020 and 2019</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66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Stockholders’ Equity for the years ended December 31, 2020 and 2019</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6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Cash Flows for the years ended December 31, 2020 and 2019</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66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Notes to Consolidated Financial Statements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42" w:lineRule="exact"/>
        <w:rPr>
          <w:sz w:val="20"/>
          <w:szCs w:val="20"/>
          <w:color w:val="auto"/>
        </w:rPr>
      </w:pPr>
    </w:p>
    <w:p>
      <w:pPr>
        <w:ind w:left="1700" w:hanging="558"/>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 (Valuation and Qualifying Accounts) for the years ended December 31,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Schedule II—Valuation and Qualifying Accounts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42" w:lineRule="exact"/>
        <w:rPr>
          <w:sz w:val="20"/>
          <w:szCs w:val="20"/>
          <w:color w:val="auto"/>
        </w:rPr>
      </w:pPr>
    </w:p>
    <w:p>
      <w:pPr>
        <w:ind w:left="1700" w:hanging="558"/>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documents listed below are filed (or furnished, as noted) as exhibits to this Annual Report 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503" w:lineRule="auto"/>
        <w:rPr>
          <w:sz w:val="20"/>
          <w:szCs w:val="20"/>
          <w:color w:val="auto"/>
        </w:rPr>
      </w:pPr>
      <w:r>
        <w:rPr>
          <w:rFonts w:ascii="Arial" w:cs="Arial" w:eastAsia="Arial" w:hAnsi="Arial"/>
          <w:sz w:val="15"/>
          <w:szCs w:val="15"/>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5486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4.2</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10.10</w:t>
      </w:r>
    </w:p>
    <w:p>
      <w:pPr>
        <w:spacing w:after="0" w:line="20" w:lineRule="exact"/>
        <w:rPr>
          <w:sz w:val="20"/>
          <w:szCs w:val="20"/>
          <w:color w:val="auto"/>
        </w:rPr>
      </w:pPr>
      <w:r>
        <w:rPr>
          <w:sz w:val="20"/>
          <w:szCs w:val="20"/>
          <w:color w:val="auto"/>
        </w:rPr>
        <w:br w:type="column"/>
      </w:r>
    </w:p>
    <w:p>
      <w:pPr>
        <w:ind w:left="4120"/>
        <w:spacing w:after="0"/>
        <w:rPr>
          <w:sz w:val="20"/>
          <w:szCs w:val="20"/>
          <w:color w:val="auto"/>
        </w:rPr>
      </w:pPr>
      <w:r>
        <w:rPr>
          <w:rFonts w:ascii="Arial" w:cs="Arial" w:eastAsia="Arial" w:hAnsi="Arial"/>
          <w:sz w:val="18"/>
          <w:szCs w:val="18"/>
          <w:b w:val="1"/>
          <w:bCs w:val="1"/>
          <w:color w:val="auto"/>
        </w:rPr>
        <w:t>Exhibit Index</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Exhibit/Appendix</w:t>
            </w: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21"/>
        </w:trPr>
        <w:tc>
          <w:tcPr>
            <w:tcW w:w="1620" w:type="dxa"/>
            <w:vAlign w:val="bottom"/>
          </w:tcPr>
          <w:p>
            <w:pPr>
              <w:spacing w:after="0"/>
              <w:rPr>
                <w:sz w:val="19"/>
                <w:szCs w:val="19"/>
                <w:color w:val="auto"/>
              </w:rPr>
            </w:pPr>
          </w:p>
        </w:tc>
        <w:tc>
          <w:tcPr>
            <w:tcW w:w="3260" w:type="dxa"/>
            <w:vAlign w:val="bottom"/>
            <w:gridSpan w:val="19"/>
            <w:vMerge w:val="restart"/>
          </w:tcPr>
          <w:p>
            <w:pPr>
              <w:ind w:left="60"/>
              <w:spacing w:after="0"/>
              <w:rPr>
                <w:sz w:val="20"/>
                <w:szCs w:val="20"/>
                <w:color w:val="auto"/>
              </w:rPr>
            </w:pPr>
            <w:r>
              <w:rPr>
                <w:rFonts w:ascii="Arial" w:cs="Arial" w:eastAsia="Arial" w:hAnsi="Arial"/>
                <w:sz w:val="16"/>
                <w:szCs w:val="16"/>
                <w:b w:val="1"/>
                <w:bCs w:val="1"/>
                <w:color w:val="auto"/>
              </w:rPr>
              <w:t>Exhibit Description</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9"/>
              </w:rPr>
              <w:t>Form</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File</w:t>
            </w: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Reference</w:t>
            </w:r>
          </w:p>
        </w:tc>
        <w:tc>
          <w:tcPr>
            <w:tcW w:w="12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Filing Date</w:t>
            </w: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02"/>
        </w:trPr>
        <w:tc>
          <w:tcPr>
            <w:tcW w:w="1620" w:type="dxa"/>
            <w:vAlign w:val="bottom"/>
          </w:tcPr>
          <w:p>
            <w:pPr>
              <w:spacing w:after="0"/>
              <w:rPr>
                <w:sz w:val="8"/>
                <w:szCs w:val="8"/>
                <w:color w:val="auto"/>
              </w:rPr>
            </w:pPr>
          </w:p>
        </w:tc>
        <w:tc>
          <w:tcPr>
            <w:tcW w:w="3260" w:type="dxa"/>
            <w:vAlign w:val="bottom"/>
            <w:gridSpan w:val="19"/>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vMerge w:val="restart"/>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4880" w:type="dxa"/>
            <w:vAlign w:val="bottom"/>
            <w:gridSpan w:val="20"/>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Restated Certificate of Incorporation of SiTime Corporation</w:t>
              </w:r>
            </w:hyperlink>
          </w:p>
        </w:tc>
        <w:tc>
          <w:tcPr>
            <w:tcW w:w="6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001-39135</w:t>
            </w:r>
          </w:p>
        </w:tc>
        <w:tc>
          <w:tcPr>
            <w:tcW w:w="160" w:type="dxa"/>
            <w:vAlign w:val="bottom"/>
          </w:tcPr>
          <w:p>
            <w:pPr>
              <w:spacing w:after="0"/>
              <w:rPr>
                <w:sz w:val="24"/>
                <w:szCs w:val="24"/>
                <w:color w:val="auto"/>
              </w:rPr>
            </w:pPr>
          </w:p>
        </w:tc>
        <w:tc>
          <w:tcPr>
            <w:tcW w:w="1260" w:type="dxa"/>
            <w:vAlign w:val="bottom"/>
          </w:tcPr>
          <w:p>
            <w:pPr>
              <w:jc w:val="center"/>
              <w:ind w:left="24"/>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880" w:type="dxa"/>
            <w:vAlign w:val="bottom"/>
            <w:gridSpan w:val="20"/>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Amended and Restated Bylaws of the Company</w:t>
              </w:r>
            </w:hyperlink>
          </w:p>
        </w:tc>
        <w:tc>
          <w:tcPr>
            <w:tcW w:w="640" w:type="dxa"/>
            <w:vAlign w:val="bottom"/>
            <w:gridSpan w:val="2"/>
          </w:tcPr>
          <w:p>
            <w:pPr>
              <w:jc w:val="center"/>
              <w:ind w:right="160"/>
              <w:spacing w:after="0"/>
              <w:rPr>
                <w:sz w:val="20"/>
                <w:szCs w:val="20"/>
                <w:color w:val="auto"/>
              </w:rPr>
            </w:pPr>
            <w:r>
              <w:rPr>
                <w:rFonts w:ascii="Arial" w:cs="Arial" w:eastAsia="Arial" w:hAnsi="Arial"/>
                <w:sz w:val="20"/>
                <w:szCs w:val="20"/>
                <w:color w:val="auto"/>
              </w:rPr>
              <w:t>8-K</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001-39135</w:t>
            </w:r>
          </w:p>
        </w:tc>
        <w:tc>
          <w:tcPr>
            <w:tcW w:w="160" w:type="dxa"/>
            <w:vAlign w:val="bottom"/>
          </w:tcPr>
          <w:p>
            <w:pPr>
              <w:spacing w:after="0"/>
              <w:rPr>
                <w:sz w:val="24"/>
                <w:szCs w:val="24"/>
                <w:color w:val="auto"/>
              </w:rPr>
            </w:pPr>
          </w:p>
        </w:tc>
        <w:tc>
          <w:tcPr>
            <w:tcW w:w="1260" w:type="dxa"/>
            <w:vAlign w:val="bottom"/>
          </w:tcPr>
          <w:p>
            <w:pPr>
              <w:jc w:val="center"/>
              <w:ind w:left="4"/>
              <w:spacing w:after="0"/>
              <w:rPr>
                <w:sz w:val="20"/>
                <w:szCs w:val="20"/>
                <w:color w:val="auto"/>
              </w:rPr>
            </w:pPr>
            <w:r>
              <w:rPr>
                <w:rFonts w:ascii="Arial" w:cs="Arial" w:eastAsia="Arial" w:hAnsi="Arial"/>
                <w:sz w:val="20"/>
                <w:szCs w:val="20"/>
                <w:color w:val="auto"/>
                <w:w w:val="86"/>
              </w:rPr>
              <w:t>3.2</w:t>
            </w:r>
          </w:p>
        </w:tc>
        <w:tc>
          <w:tcPr>
            <w:tcW w:w="2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6/9/2020</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80" w:type="dxa"/>
            <w:vAlign w:val="bottom"/>
            <w:gridSpan w:val="20"/>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Form of Common Stock Certificate of the Company</w:t>
              </w:r>
            </w:hyperlink>
          </w:p>
        </w:tc>
        <w:tc>
          <w:tcPr>
            <w:tcW w:w="64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tcPr>
          <w:p>
            <w:pPr>
              <w:jc w:val="center"/>
              <w:ind w:left="4"/>
              <w:spacing w:after="0"/>
              <w:rPr>
                <w:sz w:val="20"/>
                <w:szCs w:val="20"/>
                <w:color w:val="auto"/>
              </w:rPr>
            </w:pPr>
            <w:r>
              <w:rPr>
                <w:rFonts w:ascii="Arial" w:cs="Arial" w:eastAsia="Arial" w:hAnsi="Arial"/>
                <w:sz w:val="20"/>
                <w:szCs w:val="20"/>
                <w:color w:val="auto"/>
                <w:w w:val="86"/>
              </w:rPr>
              <w:t>4.1</w:t>
            </w:r>
          </w:p>
        </w:tc>
        <w:tc>
          <w:tcPr>
            <w:tcW w:w="2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880" w:type="dxa"/>
            <w:vAlign w:val="bottom"/>
            <w:gridSpan w:val="20"/>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Description of Securities Registered Pursuant to Section 12 of</w:t>
              </w:r>
            </w:hyperlink>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96"/>
        </w:trPr>
        <w:tc>
          <w:tcPr>
            <w:tcW w:w="2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the Securities Exchange Act of 1934</w:t>
              </w:r>
            </w:hyperlink>
          </w:p>
        </w:tc>
        <w:tc>
          <w:tcPr>
            <w:tcW w:w="1820" w:type="dxa"/>
            <w:vAlign w:val="bottom"/>
            <w:tcBorders>
              <w:top w:val="single" w:sz="8" w:color="0000EE"/>
            </w:tcBorders>
            <w:gridSpan w:val="8"/>
          </w:tcPr>
          <w:p>
            <w:pPr>
              <w:spacing w:after="0"/>
              <w:rPr>
                <w:sz w:val="17"/>
                <w:szCs w:val="17"/>
                <w:color w:val="auto"/>
              </w:rPr>
            </w:pPr>
          </w:p>
        </w:tc>
        <w:tc>
          <w:tcPr>
            <w:tcW w:w="42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80" w:type="dxa"/>
            <w:vAlign w:val="bottom"/>
            <w:gridSpan w:val="20"/>
          </w:tcPr>
          <w:p>
            <w:pPr>
              <w:spacing w:after="0"/>
              <w:rPr>
                <w:rFonts w:ascii="Arial" w:cs="Arial" w:eastAsia="Arial" w:hAnsi="Arial"/>
                <w:sz w:val="18"/>
                <w:szCs w:val="18"/>
                <w:color w:val="0000EE"/>
                <w:w w:val="96"/>
              </w:rPr>
            </w:pPr>
            <w:hyperlink w:anchor="page103">
              <w:r>
                <w:rPr>
                  <w:rFonts w:ascii="Arial" w:cs="Arial" w:eastAsia="Arial" w:hAnsi="Arial"/>
                  <w:sz w:val="18"/>
                  <w:szCs w:val="18"/>
                  <w:color w:val="0000EE"/>
                  <w:w w:val="96"/>
                </w:rPr>
                <w:t>Form of Indemnification Agreement between the Company and</w:t>
              </w:r>
            </w:hyperlink>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its directors and officers</w:t>
              </w:r>
            </w:hyperlink>
          </w:p>
        </w:tc>
        <w:tc>
          <w:tcPr>
            <w:tcW w:w="30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900" w:type="dxa"/>
            <w:vAlign w:val="bottom"/>
            <w:tcBorders>
              <w:bottom w:val="single" w:sz="8" w:color="0000EE"/>
            </w:tcBorders>
            <w:gridSpan w:val="10"/>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2019 Stock Incentive Plan and Forms of Stock Option</w:t>
              </w:r>
            </w:hyperlink>
          </w:p>
        </w:tc>
        <w:tc>
          <w:tcPr>
            <w:tcW w:w="98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Agreement, Notice of Exercise, Stock Option Grant Notice,</w:t>
              </w:r>
            </w:hyperlink>
          </w:p>
        </w:tc>
        <w:tc>
          <w:tcPr>
            <w:tcW w:w="58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Restricted Stock Unit Agreement, and Restricted Stock</w:t>
              </w:r>
            </w:hyperlink>
          </w:p>
        </w:tc>
        <w:tc>
          <w:tcPr>
            <w:tcW w:w="900" w:type="dxa"/>
            <w:vAlign w:val="bottom"/>
            <w:gridSpan w:val="9"/>
          </w:tcPr>
          <w:p>
            <w:pPr>
              <w:spacing w:after="0"/>
              <w:rPr>
                <w:sz w:val="17"/>
                <w:szCs w:val="17"/>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17"/>
                <w:szCs w:val="17"/>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10.2</w:t>
            </w:r>
          </w:p>
        </w:tc>
        <w:tc>
          <w:tcPr>
            <w:tcW w:w="26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Agreement thereunder</w:t>
              </w:r>
            </w:hyperlink>
          </w:p>
        </w:tc>
        <w:tc>
          <w:tcPr>
            <w:tcW w:w="3260" w:type="dxa"/>
            <w:vAlign w:val="bottom"/>
            <w:gridSpan w:val="19"/>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880" w:type="dxa"/>
            <w:vAlign w:val="bottom"/>
            <w:gridSpan w:val="20"/>
          </w:tcPr>
          <w:p>
            <w:pPr>
              <w:spacing w:after="0"/>
              <w:rPr>
                <w:rFonts w:ascii="Arial" w:cs="Arial" w:eastAsia="Arial" w:hAnsi="Arial"/>
                <w:sz w:val="18"/>
                <w:szCs w:val="18"/>
                <w:color w:val="0000EE"/>
                <w:w w:val="98"/>
              </w:rPr>
            </w:pPr>
            <w:hyperlink r:id="rId129">
              <w:r>
                <w:rPr>
                  <w:rFonts w:ascii="Arial" w:cs="Arial" w:eastAsia="Arial" w:hAnsi="Arial"/>
                  <w:sz w:val="18"/>
                  <w:szCs w:val="18"/>
                  <w:color w:val="0000EE"/>
                  <w:w w:val="98"/>
                </w:rPr>
                <w:t>New Terms of Employment, dated October 21, 2014, between</w:t>
              </w:r>
            </w:hyperlink>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10.3</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Rajesh Vashist and the Company</w:t>
              </w:r>
            </w:hyperlink>
          </w:p>
        </w:tc>
        <w:tc>
          <w:tcPr>
            <w:tcW w:w="420" w:type="dxa"/>
            <w:vAlign w:val="bottom"/>
            <w:gridSpan w:val="5"/>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80" w:type="dxa"/>
            <w:vAlign w:val="bottom"/>
            <w:gridSpan w:val="20"/>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Amendment to Terms of Employment Letter, dated June 14,</w:t>
              </w:r>
            </w:hyperlink>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10.4</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2016, between Rajesh Vashist and the Company</w:t>
              </w:r>
            </w:hyperlink>
          </w:p>
        </w:tc>
        <w:tc>
          <w:tcPr>
            <w:tcW w:w="560" w:type="dxa"/>
            <w:vAlign w:val="bottom"/>
            <w:gridSpan w:val="6"/>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220" w:type="dxa"/>
            <w:vAlign w:val="bottom"/>
            <w:tcBorders>
              <w:bottom w:val="single" w:sz="8" w:color="0000EE"/>
            </w:tcBorders>
            <w:gridSpan w:val="12"/>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Offer of Employment, dated September 24, 2019, between</w:t>
              </w:r>
            </w:hyperlink>
          </w:p>
        </w:tc>
        <w:tc>
          <w:tcPr>
            <w:tcW w:w="660" w:type="dxa"/>
            <w:vAlign w:val="bottom"/>
            <w:gridSpan w:val="8"/>
          </w:tcPr>
          <w:p>
            <w:pPr>
              <w:spacing w:after="0"/>
              <w:rPr>
                <w:sz w:val="24"/>
                <w:szCs w:val="24"/>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10.5</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80" w:type="dxa"/>
            <w:vAlign w:val="bottom"/>
            <w:gridSpan w:val="2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Arthur D. Chadwick and the Company</w:t>
              </w:r>
            </w:hyperlink>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20" w:type="dxa"/>
            <w:vAlign w:val="bottom"/>
            <w:tcBorders>
              <w:bottom w:val="single" w:sz="8" w:color="0000EE"/>
            </w:tcBorders>
            <w:gridSpan w:val="16"/>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Offer of Employment, dated January 27, 2018, between Lionel</w:t>
              </w:r>
            </w:hyperlink>
          </w:p>
        </w:tc>
        <w:tc>
          <w:tcPr>
            <w:tcW w:w="360" w:type="dxa"/>
            <w:vAlign w:val="bottom"/>
            <w:gridSpan w:val="4"/>
          </w:tcPr>
          <w:p>
            <w:pPr>
              <w:spacing w:after="0"/>
              <w:rPr>
                <w:sz w:val="24"/>
                <w:szCs w:val="24"/>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10.6</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80" w:type="dxa"/>
            <w:vAlign w:val="bottom"/>
            <w:gridSpan w:val="2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Bonnot and the Company</w:t>
              </w:r>
            </w:hyperlink>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80" w:type="dxa"/>
            <w:vAlign w:val="bottom"/>
            <w:gridSpan w:val="20"/>
          </w:tcPr>
          <w:p>
            <w:pPr>
              <w:spacing w:after="0"/>
              <w:rPr>
                <w:rFonts w:ascii="Arial" w:cs="Arial" w:eastAsia="Arial" w:hAnsi="Arial"/>
                <w:sz w:val="18"/>
                <w:szCs w:val="18"/>
                <w:color w:val="0000EE"/>
                <w:w w:val="98"/>
              </w:rPr>
            </w:pPr>
            <w:hyperlink r:id="rId133">
              <w:r>
                <w:rPr>
                  <w:rFonts w:ascii="Arial" w:cs="Arial" w:eastAsia="Arial" w:hAnsi="Arial"/>
                  <w:sz w:val="18"/>
                  <w:szCs w:val="18"/>
                  <w:color w:val="0000EE"/>
                  <w:w w:val="98"/>
                </w:rPr>
                <w:t>New Terms of Employment, dated October 20, 2014, between</w:t>
              </w:r>
            </w:hyperlink>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10.7</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Piyush B. Sevalia and the Company</w:t>
              </w:r>
            </w:hyperlink>
          </w:p>
        </w:tc>
        <w:tc>
          <w:tcPr>
            <w:tcW w:w="420" w:type="dxa"/>
            <w:vAlign w:val="bottom"/>
            <w:gridSpan w:val="5"/>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80" w:type="dxa"/>
            <w:vAlign w:val="bottom"/>
            <w:gridSpan w:val="20"/>
          </w:tcPr>
          <w:p>
            <w:pPr>
              <w:spacing w:after="0"/>
              <w:rPr>
                <w:rFonts w:ascii="Arial" w:cs="Arial" w:eastAsia="Arial" w:hAnsi="Arial"/>
                <w:sz w:val="18"/>
                <w:szCs w:val="18"/>
                <w:color w:val="0000EE"/>
              </w:rPr>
            </w:pPr>
            <w:hyperlink r:id="rId134">
              <w:r>
                <w:rPr>
                  <w:rFonts w:ascii="Arial" w:cs="Arial" w:eastAsia="Arial" w:hAnsi="Arial"/>
                  <w:sz w:val="18"/>
                  <w:szCs w:val="18"/>
                  <w:color w:val="0000EE"/>
                </w:rPr>
                <w:t>Change of Control and Severance Agreement, between the</w:t>
              </w:r>
            </w:hyperlink>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10.8</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Company and Rajesh Vashist</w:t>
              </w:r>
            </w:hyperlink>
          </w:p>
        </w:tc>
        <w:tc>
          <w:tcPr>
            <w:tcW w:w="660" w:type="dxa"/>
            <w:vAlign w:val="bottom"/>
            <w:gridSpan w:val="8"/>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0" w:type="dxa"/>
            <w:vAlign w:val="bottom"/>
            <w:tcBorders>
              <w:bottom w:val="single" w:sz="8" w:color="0000EE"/>
            </w:tcBorders>
            <w:gridSpan w:val="18"/>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Form of Change of Control and Severance Agreement, between</w:t>
              </w:r>
            </w:hyperlink>
          </w:p>
        </w:tc>
        <w:tc>
          <w:tcPr>
            <w:tcW w:w="280" w:type="dxa"/>
            <w:vAlign w:val="bottom"/>
            <w:gridSpan w:val="2"/>
          </w:tcPr>
          <w:p>
            <w:pPr>
              <w:spacing w:after="0"/>
              <w:rPr>
                <w:sz w:val="24"/>
                <w:szCs w:val="24"/>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ind w:left="24"/>
              <w:spacing w:after="0"/>
              <w:rPr>
                <w:sz w:val="20"/>
                <w:szCs w:val="20"/>
                <w:color w:val="auto"/>
              </w:rPr>
            </w:pPr>
            <w:r>
              <w:rPr>
                <w:rFonts w:ascii="Arial" w:cs="Arial" w:eastAsia="Arial" w:hAnsi="Arial"/>
                <w:sz w:val="20"/>
                <w:szCs w:val="20"/>
                <w:color w:val="auto"/>
                <w:w w:val="87"/>
              </w:rPr>
              <w:t>10.9</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the Company and its Executives</w:t>
              </w:r>
            </w:hyperlink>
          </w:p>
        </w:tc>
        <w:tc>
          <w:tcPr>
            <w:tcW w:w="2520" w:type="dxa"/>
            <w:vAlign w:val="bottom"/>
            <w:gridSpan w:val="15"/>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80" w:type="dxa"/>
            <w:vAlign w:val="bottom"/>
            <w:gridSpan w:val="20"/>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Bank Transaction Agreement, dated August 31, 2015, between</w:t>
              </w:r>
            </w:hyperlink>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9"/>
              </w:rPr>
              <w:t>S-1</w:t>
            </w: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333-234305</w:t>
            </w:r>
          </w:p>
        </w:tc>
        <w:tc>
          <w:tcPr>
            <w:tcW w:w="16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color w:val="auto"/>
                <w:w w:val="91"/>
              </w:rPr>
              <w:t>10.12</w:t>
            </w:r>
          </w:p>
        </w:tc>
        <w:tc>
          <w:tcPr>
            <w:tcW w:w="26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20"/>
                <w:szCs w:val="20"/>
                <w:color w:val="auto"/>
                <w:w w:val="89"/>
              </w:rPr>
              <w:t>10/23/2019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20" w:type="dxa"/>
            <w:vAlign w:val="bottom"/>
            <w:tcBorders>
              <w:top w:val="single" w:sz="8" w:color="0000EE"/>
            </w:tcBorders>
            <w:gridSpan w:val="16"/>
          </w:tcPr>
          <w:p>
            <w:pPr>
              <w:spacing w:after="0"/>
              <w:rPr>
                <w:rFonts w:ascii="Arial" w:cs="Arial" w:eastAsia="Arial" w:hAnsi="Arial"/>
                <w:sz w:val="18"/>
                <w:szCs w:val="18"/>
                <w:u w:val="single" w:color="auto"/>
                <w:color w:val="0000EE"/>
                <w:w w:val="98"/>
              </w:rPr>
            </w:pPr>
            <w:hyperlink r:id="rId136">
              <w:r>
                <w:rPr>
                  <w:rFonts w:ascii="Arial" w:cs="Arial" w:eastAsia="Arial" w:hAnsi="Arial"/>
                  <w:sz w:val="18"/>
                  <w:szCs w:val="18"/>
                  <w:u w:val="single" w:color="auto"/>
                  <w:color w:val="0000EE"/>
                  <w:w w:val="98"/>
                </w:rPr>
                <w:t>the Company and The Bank of Tokyo-Mitsubishi UFJ, Ltd</w:t>
              </w:r>
            </w:hyperlink>
          </w:p>
        </w:tc>
        <w:tc>
          <w:tcPr>
            <w:tcW w:w="360" w:type="dxa"/>
            <w:vAlign w:val="bottom"/>
            <w:gridSpan w:val="4"/>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880" w:type="dxa"/>
            <w:vAlign w:val="bottom"/>
            <w:gridSpan w:val="20"/>
          </w:tcPr>
          <w:p>
            <w:pPr>
              <w:ind w:left="456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68580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640" w:space="340"/>
            <w:col w:w="10260"/>
          </w:cols>
          <w:pgMar w:left="320" w:top="33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4160" w:type="dxa"/>
            <w:vAlign w:val="bottom"/>
            <w:tcBorders>
              <w:bottom w:val="single" w:sz="8" w:color="0000EE"/>
            </w:tcBorders>
            <w:gridSpan w:val="15"/>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Distribution Agreement, dated April 1, 2015, between the</w:t>
              </w:r>
            </w:hyperlink>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ind w:right="190"/>
              <w:spacing w:after="0"/>
              <w:rPr>
                <w:sz w:val="20"/>
                <w:szCs w:val="20"/>
                <w:color w:val="auto"/>
              </w:rPr>
            </w:pPr>
            <w:r>
              <w:rPr>
                <w:rFonts w:ascii="Arial" w:cs="Arial" w:eastAsia="Arial" w:hAnsi="Arial"/>
                <w:sz w:val="18"/>
                <w:szCs w:val="18"/>
                <w:color w:val="auto"/>
                <w:w w:val="88"/>
              </w:rPr>
              <w:t>10.11</w:t>
            </w:r>
          </w:p>
        </w:tc>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Company and MegaChips Corporation, and related</w:t>
              </w:r>
            </w:hyperlink>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4140" w:type="dxa"/>
            <w:vAlign w:val="bottom"/>
            <w:gridSpan w:val="14"/>
            <w:vMerge w:val="restart"/>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Memorandums of Understanding dated April 1, 2015 and</w:t>
              </w:r>
            </w:hyperlink>
          </w:p>
        </w:tc>
        <w:tc>
          <w:tcPr>
            <w:tcW w:w="500" w:type="dxa"/>
            <w:vAlign w:val="bottom"/>
            <w:gridSpan w:val="1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4140" w:type="dxa"/>
            <w:vAlign w:val="bottom"/>
            <w:tcBorders>
              <w:bottom w:val="single" w:sz="8" w:color="0000EE"/>
            </w:tcBorders>
            <w:gridSpan w:val="14"/>
            <w:vMerge w:val="continue"/>
          </w:tcPr>
          <w:p>
            <w:pPr>
              <w:spacing w:after="0"/>
              <w:rPr>
                <w:sz w:val="5"/>
                <w:szCs w:val="5"/>
                <w:color w:val="auto"/>
              </w:rPr>
            </w:pPr>
          </w:p>
        </w:tc>
        <w:tc>
          <w:tcPr>
            <w:tcW w:w="50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January 1, 2019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vMerge w:val="restart"/>
          </w:tcPr>
          <w:p>
            <w:pPr>
              <w:jc w:val="center"/>
              <w:ind w:right="190"/>
              <w:spacing w:after="0"/>
              <w:rPr>
                <w:sz w:val="20"/>
                <w:szCs w:val="20"/>
                <w:color w:val="auto"/>
              </w:rPr>
            </w:pPr>
            <w:r>
              <w:rPr>
                <w:rFonts w:ascii="Arial" w:cs="Arial" w:eastAsia="Arial" w:hAnsi="Arial"/>
                <w:sz w:val="18"/>
                <w:szCs w:val="18"/>
                <w:color w:val="auto"/>
                <w:w w:val="88"/>
              </w:rPr>
              <w:t>10.12</w:t>
            </w:r>
          </w:p>
        </w:tc>
        <w:tc>
          <w:tcPr>
            <w:tcW w:w="4640" w:type="dxa"/>
            <w:vAlign w:val="bottom"/>
            <w:gridSpan w:val="25"/>
          </w:tcPr>
          <w:p>
            <w:pPr>
              <w:spacing w:after="0"/>
              <w:rPr>
                <w:rFonts w:ascii="Arial" w:cs="Arial" w:eastAsia="Arial" w:hAnsi="Arial"/>
                <w:sz w:val="18"/>
                <w:szCs w:val="18"/>
                <w:color w:val="0000EE"/>
                <w:w w:val="95"/>
              </w:rPr>
            </w:pPr>
            <w:hyperlink r:id="rId139">
              <w:r>
                <w:rPr>
                  <w:rFonts w:ascii="Arial" w:cs="Arial" w:eastAsia="Arial" w:hAnsi="Arial"/>
                  <w:sz w:val="18"/>
                  <w:szCs w:val="18"/>
                  <w:color w:val="0000EE"/>
                  <w:w w:val="95"/>
                </w:rPr>
                <w:t>Integration and Purchase Agreement, dated March 15, 2019,</w:t>
              </w:r>
            </w:hyperlink>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4340" w:type="dxa"/>
            <w:vAlign w:val="bottom"/>
            <w:tcBorders>
              <w:top w:val="single" w:sz="8" w:color="0000EE"/>
            </w:tcBorders>
            <w:gridSpan w:val="18"/>
            <w:vMerge w:val="restart"/>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between the Company and MegaChips Corporation</w:t>
              </w:r>
            </w:hyperlink>
          </w:p>
        </w:tc>
        <w:tc>
          <w:tcPr>
            <w:tcW w:w="30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340" w:type="dxa"/>
            <w:vAlign w:val="bottom"/>
            <w:gridSpan w:val="18"/>
            <w:vMerge w:val="continue"/>
          </w:tcPr>
          <w:p>
            <w:pPr>
              <w:spacing w:after="0"/>
              <w:rPr>
                <w:sz w:val="9"/>
                <w:szCs w:val="9"/>
                <w:color w:val="auto"/>
              </w:rPr>
            </w:pPr>
          </w:p>
        </w:tc>
        <w:tc>
          <w:tcPr>
            <w:tcW w:w="3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00" w:type="dxa"/>
            <w:vAlign w:val="bottom"/>
            <w:vMerge w:val="restart"/>
          </w:tcPr>
          <w:p>
            <w:pPr>
              <w:jc w:val="center"/>
              <w:ind w:right="190"/>
              <w:spacing w:after="0"/>
              <w:rPr>
                <w:sz w:val="20"/>
                <w:szCs w:val="20"/>
                <w:color w:val="auto"/>
              </w:rPr>
            </w:pPr>
            <w:r>
              <w:rPr>
                <w:rFonts w:ascii="Arial" w:cs="Arial" w:eastAsia="Arial" w:hAnsi="Arial"/>
                <w:sz w:val="18"/>
                <w:szCs w:val="18"/>
                <w:color w:val="auto"/>
                <w:w w:val="88"/>
              </w:rPr>
              <w:t>10.13</w:t>
            </w:r>
          </w:p>
        </w:tc>
        <w:tc>
          <w:tcPr>
            <w:tcW w:w="4640" w:type="dxa"/>
            <w:vAlign w:val="bottom"/>
            <w:gridSpan w:val="25"/>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Lease, dated April 15, 2016, between the Company and Batton</w:t>
              </w:r>
            </w:hyperlink>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0" w:type="dxa"/>
            <w:vAlign w:val="bottom"/>
            <w:tcBorders>
              <w:top w:val="single" w:sz="8" w:color="0000EE"/>
            </w:tcBorders>
            <w:gridSpan w:val="4"/>
            <w:vMerge w:val="restart"/>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Associates, LLC</w:t>
              </w:r>
            </w:hyperlink>
          </w:p>
        </w:tc>
        <w:tc>
          <w:tcPr>
            <w:tcW w:w="3320" w:type="dxa"/>
            <w:vAlign w:val="bottom"/>
            <w:tcBorders>
              <w:top w:val="single" w:sz="8" w:color="0000EE"/>
            </w:tcBorders>
            <w:gridSpan w:val="19"/>
            <w:vMerge w:val="restart"/>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0" w:type="dxa"/>
            <w:vAlign w:val="bottom"/>
            <w:tcBorders>
              <w:bottom w:val="single" w:sz="8" w:color="0000EE"/>
            </w:tcBorders>
            <w:gridSpan w:val="4"/>
            <w:vMerge w:val="continue"/>
          </w:tcPr>
          <w:p>
            <w:pPr>
              <w:spacing w:after="0"/>
              <w:rPr>
                <w:sz w:val="5"/>
                <w:szCs w:val="5"/>
                <w:color w:val="auto"/>
              </w:rPr>
            </w:pPr>
          </w:p>
        </w:tc>
        <w:tc>
          <w:tcPr>
            <w:tcW w:w="3320" w:type="dxa"/>
            <w:vAlign w:val="bottom"/>
            <w:gridSpan w:val="19"/>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800" w:type="dxa"/>
            <w:vAlign w:val="bottom"/>
            <w:vMerge w:val="restart"/>
          </w:tcPr>
          <w:p>
            <w:pPr>
              <w:jc w:val="center"/>
              <w:ind w:right="210"/>
              <w:spacing w:after="0"/>
              <w:rPr>
                <w:sz w:val="20"/>
                <w:szCs w:val="20"/>
                <w:color w:val="auto"/>
              </w:rPr>
            </w:pPr>
            <w:r>
              <w:rPr>
                <w:rFonts w:ascii="Arial" w:cs="Arial" w:eastAsia="Arial" w:hAnsi="Arial"/>
                <w:sz w:val="18"/>
                <w:szCs w:val="18"/>
                <w:color w:val="auto"/>
                <w:w w:val="95"/>
              </w:rPr>
              <w:t>10.14*</w:t>
            </w:r>
          </w:p>
        </w:tc>
        <w:tc>
          <w:tcPr>
            <w:tcW w:w="4640" w:type="dxa"/>
            <w:vAlign w:val="bottom"/>
            <w:gridSpan w:val="25"/>
          </w:tcPr>
          <w:p>
            <w:pPr>
              <w:spacing w:after="0"/>
              <w:rPr>
                <w:rFonts w:ascii="Arial" w:cs="Arial" w:eastAsia="Arial" w:hAnsi="Arial"/>
                <w:sz w:val="18"/>
                <w:szCs w:val="18"/>
                <w:color w:val="0000EE"/>
              </w:rPr>
            </w:pPr>
            <w:hyperlink r:id="rId141">
              <w:r>
                <w:rPr>
                  <w:rFonts w:ascii="Arial" w:cs="Arial" w:eastAsia="Arial" w:hAnsi="Arial"/>
                  <w:sz w:val="18"/>
                  <w:szCs w:val="18"/>
                  <w:color w:val="0000EE"/>
                </w:rPr>
                <w:t>License Agreement, dated August 1, 2018, between the</w:t>
              </w:r>
            </w:hyperlink>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2420" w:type="dxa"/>
            <w:vAlign w:val="bottom"/>
            <w:tcBorders>
              <w:top w:val="single" w:sz="8" w:color="0000EE"/>
            </w:tcBorders>
            <w:gridSpan w:val="7"/>
            <w:vMerge w:val="restart"/>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Company and Robert Bosch LLC</w:t>
              </w:r>
            </w:hyperlink>
          </w:p>
        </w:tc>
        <w:tc>
          <w:tcPr>
            <w:tcW w:w="1560" w:type="dxa"/>
            <w:vAlign w:val="bottom"/>
            <w:tcBorders>
              <w:top w:val="single" w:sz="8" w:color="0000EE"/>
            </w:tcBorders>
            <w:gridSpan w:val="5"/>
            <w:vMerge w:val="restart"/>
          </w:tcPr>
          <w:p>
            <w:pPr>
              <w:spacing w:after="0"/>
              <w:rPr>
                <w:sz w:val="11"/>
                <w:szCs w:val="11"/>
                <w:color w:val="auto"/>
              </w:rPr>
            </w:pPr>
          </w:p>
        </w:tc>
        <w:tc>
          <w:tcPr>
            <w:tcW w:w="660" w:type="dxa"/>
            <w:vAlign w:val="bottom"/>
            <w:gridSpan w:val="1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2420" w:type="dxa"/>
            <w:vAlign w:val="bottom"/>
            <w:tcBorders>
              <w:bottom w:val="single" w:sz="8" w:color="0000EE"/>
            </w:tcBorders>
            <w:gridSpan w:val="7"/>
            <w:vMerge w:val="continue"/>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66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4640" w:type="dxa"/>
            <w:vAlign w:val="bottom"/>
            <w:gridSpan w:val="25"/>
          </w:tcPr>
          <w:p>
            <w:pPr>
              <w:spacing w:after="0"/>
              <w:rPr>
                <w:rFonts w:ascii="Arial" w:cs="Arial" w:eastAsia="Arial" w:hAnsi="Arial"/>
                <w:sz w:val="18"/>
                <w:szCs w:val="18"/>
                <w:color w:val="0000EE"/>
              </w:rPr>
            </w:pPr>
            <w:hyperlink r:id="rId142">
              <w:r>
                <w:rPr>
                  <w:rFonts w:ascii="Arial" w:cs="Arial" w:eastAsia="Arial" w:hAnsi="Arial"/>
                  <w:sz w:val="18"/>
                  <w:szCs w:val="18"/>
                  <w:color w:val="0000EE"/>
                </w:rPr>
                <w:t>Amended and Restated Manufacturing Agreement, dated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5"/>
              </w:rPr>
              <w:t>10.15*</w:t>
            </w:r>
          </w:p>
        </w:tc>
        <w:tc>
          <w:tcPr>
            <w:tcW w:w="43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February 23, 2017, between the Company and Robert Bosch</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LLC</w:t>
              </w:r>
            </w:hyperlink>
          </w:p>
        </w:tc>
        <w:tc>
          <w:tcPr>
            <w:tcW w:w="43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4640" w:type="dxa"/>
            <w:vAlign w:val="bottom"/>
            <w:gridSpan w:val="25"/>
          </w:tcPr>
          <w:p>
            <w:pPr>
              <w:spacing w:after="0"/>
              <w:rPr>
                <w:rFonts w:ascii="Arial" w:cs="Arial" w:eastAsia="Arial" w:hAnsi="Arial"/>
                <w:sz w:val="18"/>
                <w:szCs w:val="18"/>
                <w:color w:val="0000EE"/>
                <w:w w:val="96"/>
              </w:rPr>
            </w:pPr>
            <w:hyperlink r:id="rId143">
              <w:r>
                <w:rPr>
                  <w:rFonts w:ascii="Arial" w:cs="Arial" w:eastAsia="Arial" w:hAnsi="Arial"/>
                  <w:sz w:val="18"/>
                  <w:szCs w:val="18"/>
                  <w:color w:val="0000EE"/>
                  <w:w w:val="96"/>
                </w:rPr>
                <w:t>Amendment No. 1 to Amended and Restated Manufacturing</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5"/>
              </w:rPr>
              <w:t>10.16*</w:t>
            </w:r>
          </w:p>
        </w:tc>
        <w:tc>
          <w:tcPr>
            <w:tcW w:w="44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Agreement, dated August 1, 2018, between the Company and</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Robert Bosch LLC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4640" w:type="dxa"/>
            <w:vAlign w:val="bottom"/>
            <w:gridSpan w:val="25"/>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Services and Secondment Agreement dated January 1, 2020 by</w:t>
              </w:r>
            </w:hyperlink>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ind w:right="210"/>
              <w:spacing w:after="0"/>
              <w:rPr>
                <w:sz w:val="20"/>
                <w:szCs w:val="20"/>
                <w:color w:val="auto"/>
              </w:rPr>
            </w:pPr>
            <w:r>
              <w:rPr>
                <w:rFonts w:ascii="Arial" w:cs="Arial" w:eastAsia="Arial" w:hAnsi="Arial"/>
                <w:sz w:val="18"/>
                <w:szCs w:val="18"/>
                <w:color w:val="auto"/>
                <w:w w:val="95"/>
              </w:rPr>
              <w:t>10.17*</w:t>
            </w:r>
          </w:p>
        </w:tc>
        <w:tc>
          <w:tcPr>
            <w:tcW w:w="41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and among MegaChips LSI USA Corporation (formerly</w:t>
              </w:r>
            </w:hyperlink>
          </w:p>
        </w:tc>
        <w:tc>
          <w:tcPr>
            <w:tcW w:w="440" w:type="dxa"/>
            <w:vAlign w:val="bottom"/>
            <w:tcBorders>
              <w:top w:val="single" w:sz="8" w:color="0000EE"/>
            </w:tcBorders>
            <w:gridSpan w:val="11"/>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4240" w:type="dxa"/>
            <w:vAlign w:val="bottom"/>
            <w:gridSpan w:val="16"/>
            <w:vMerge w:val="restart"/>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MegaChips Technology America Corporation) and SiTime</w:t>
              </w:r>
            </w:hyperlink>
          </w:p>
        </w:tc>
        <w:tc>
          <w:tcPr>
            <w:tcW w:w="400" w:type="dxa"/>
            <w:vAlign w:val="bottom"/>
            <w:gridSpan w:val="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4240" w:type="dxa"/>
            <w:vAlign w:val="bottom"/>
            <w:tcBorders>
              <w:bottom w:val="single" w:sz="8" w:color="0000EE"/>
            </w:tcBorders>
            <w:gridSpan w:val="16"/>
            <w:vMerge w:val="continue"/>
          </w:tcPr>
          <w:p>
            <w:pPr>
              <w:spacing w:after="0"/>
              <w:rPr>
                <w:sz w:val="5"/>
                <w:szCs w:val="5"/>
                <w:color w:val="auto"/>
              </w:rPr>
            </w:pPr>
          </w:p>
        </w:tc>
        <w:tc>
          <w:tcPr>
            <w:tcW w:w="4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Corporation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vMerge w:val="restart"/>
          </w:tcPr>
          <w:p>
            <w:pPr>
              <w:jc w:val="center"/>
              <w:ind w:right="210"/>
              <w:spacing w:after="0"/>
              <w:rPr>
                <w:sz w:val="20"/>
                <w:szCs w:val="20"/>
                <w:color w:val="auto"/>
              </w:rPr>
            </w:pPr>
            <w:r>
              <w:rPr>
                <w:rFonts w:ascii="Arial" w:cs="Arial" w:eastAsia="Arial" w:hAnsi="Arial"/>
                <w:sz w:val="18"/>
                <w:szCs w:val="18"/>
                <w:color w:val="auto"/>
                <w:w w:val="95"/>
              </w:rPr>
              <w:t>10.18*</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88"/>
              </w:rPr>
            </w:pPr>
            <w:hyperlink r:id="rId145">
              <w:r>
                <w:rPr>
                  <w:rFonts w:ascii="Arial" w:cs="Arial" w:eastAsia="Arial" w:hAnsi="Arial"/>
                  <w:sz w:val="18"/>
                  <w:szCs w:val="18"/>
                  <w:color w:val="0000EE"/>
                  <w:w w:val="88"/>
                </w:rPr>
                <w:t>Asset purchase agreement dated February 20, 2020, by and</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4640" w:type="dxa"/>
            <w:vAlign w:val="bottom"/>
            <w:gridSpan w:val="25"/>
            <w:vMerge w:val="restart"/>
          </w:tcPr>
          <w:p>
            <w:pPr>
              <w:spacing w:after="0"/>
              <w:rPr>
                <w:rFonts w:ascii="Arial" w:cs="Arial" w:eastAsia="Arial" w:hAnsi="Arial"/>
                <w:sz w:val="18"/>
                <w:szCs w:val="18"/>
                <w:u w:val="single" w:color="auto"/>
                <w:color w:val="0000EE"/>
                <w:w w:val="90"/>
              </w:rPr>
            </w:pPr>
            <w:hyperlink r:id="rId145">
              <w:r>
                <w:rPr>
                  <w:rFonts w:ascii="Arial" w:cs="Arial" w:eastAsia="Arial" w:hAnsi="Arial"/>
                  <w:sz w:val="18"/>
                  <w:szCs w:val="18"/>
                  <w:u w:val="single" w:color="auto"/>
                  <w:color w:val="0000EE"/>
                  <w:w w:val="90"/>
                </w:rPr>
                <w:t>among MegaChips Taiwan Corporation and SiTime Corporation</w:t>
              </w:r>
            </w:hyperlink>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64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0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10.19+</w:t>
            </w:r>
          </w:p>
        </w:tc>
        <w:tc>
          <w:tcPr>
            <w:tcW w:w="4460" w:type="dxa"/>
            <w:vAlign w:val="bottom"/>
            <w:tcBorders>
              <w:bottom w:val="single" w:sz="8" w:color="0000EE"/>
            </w:tcBorders>
            <w:gridSpan w:val="21"/>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Offer of Employment, dated June 5, 2020, between Vincent P.</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4640" w:type="dxa"/>
            <w:vAlign w:val="bottom"/>
            <w:gridSpan w:val="25"/>
            <w:vMerge w:val="restart"/>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Pangrazio and SiTime Corporation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464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jc w:val="center"/>
              <w:ind w:right="210"/>
              <w:spacing w:after="0"/>
              <w:rPr>
                <w:sz w:val="20"/>
                <w:szCs w:val="20"/>
                <w:color w:val="auto"/>
              </w:rPr>
            </w:pPr>
            <w:r>
              <w:rPr>
                <w:rFonts w:ascii="Arial" w:cs="Arial" w:eastAsia="Arial" w:hAnsi="Arial"/>
                <w:sz w:val="18"/>
                <w:szCs w:val="18"/>
                <w:color w:val="auto"/>
                <w:w w:val="89"/>
              </w:rPr>
              <w:t>10.20+</w:t>
            </w:r>
          </w:p>
        </w:tc>
        <w:tc>
          <w:tcPr>
            <w:tcW w:w="4640" w:type="dxa"/>
            <w:vAlign w:val="bottom"/>
            <w:gridSpan w:val="25"/>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Executive Bonus and Retention Plan</w:t>
              </w:r>
            </w:hyperlink>
          </w:p>
        </w:tc>
        <w:tc>
          <w:tcPr>
            <w:tcW w:w="0" w:type="dxa"/>
            <w:vAlign w:val="bottom"/>
          </w:tcPr>
          <w:p>
            <w:pPr>
              <w:spacing w:after="0"/>
              <w:rPr>
                <w:sz w:val="1"/>
                <w:szCs w:val="1"/>
                <w:color w:val="auto"/>
              </w:rPr>
            </w:pPr>
          </w:p>
        </w:tc>
      </w:tr>
      <w:tr>
        <w:trPr>
          <w:trHeight w:val="324"/>
        </w:trPr>
        <w:tc>
          <w:tcPr>
            <w:tcW w:w="800" w:type="dxa"/>
            <w:vAlign w:val="bottom"/>
            <w:vMerge w:val="restart"/>
          </w:tcPr>
          <w:p>
            <w:pPr>
              <w:jc w:val="center"/>
              <w:ind w:right="210"/>
              <w:spacing w:after="0"/>
              <w:rPr>
                <w:sz w:val="20"/>
                <w:szCs w:val="20"/>
                <w:color w:val="auto"/>
              </w:rPr>
            </w:pPr>
            <w:r>
              <w:rPr>
                <w:rFonts w:ascii="Arial" w:cs="Arial" w:eastAsia="Arial" w:hAnsi="Arial"/>
                <w:sz w:val="18"/>
                <w:szCs w:val="18"/>
                <w:color w:val="auto"/>
                <w:w w:val="95"/>
              </w:rPr>
              <w:t>10.21*</w:t>
            </w:r>
          </w:p>
        </w:tc>
        <w:tc>
          <w:tcPr>
            <w:tcW w:w="4640" w:type="dxa"/>
            <w:vAlign w:val="bottom"/>
            <w:tcBorders>
              <w:bottom w:val="single" w:sz="8" w:color="0000EE"/>
            </w:tcBorders>
            <w:gridSpan w:val="25"/>
          </w:tcPr>
          <w:p>
            <w:pPr>
              <w:spacing w:after="0"/>
              <w:rPr>
                <w:rFonts w:ascii="Arial" w:cs="Arial" w:eastAsia="Arial" w:hAnsi="Arial"/>
                <w:sz w:val="18"/>
                <w:szCs w:val="18"/>
                <w:color w:val="0000EE"/>
                <w:w w:val="88"/>
              </w:rPr>
            </w:pPr>
            <w:hyperlink r:id="rId148">
              <w:r>
                <w:rPr>
                  <w:rFonts w:ascii="Arial" w:cs="Arial" w:eastAsia="Arial" w:hAnsi="Arial"/>
                  <w:sz w:val="18"/>
                  <w:szCs w:val="18"/>
                  <w:color w:val="0000EE"/>
                  <w:w w:val="88"/>
                </w:rPr>
                <w:t>Asset Purchase Agreement dated August 4, 2020, by and among</w:t>
              </w:r>
            </w:hyperlink>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3540" w:type="dxa"/>
            <w:vAlign w:val="bottom"/>
            <w:gridSpan w:val="10"/>
            <w:vMerge w:val="restart"/>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MegaChips Corporation and SiTime Corporation</w:t>
              </w:r>
            </w:hyperlink>
          </w:p>
        </w:tc>
        <w:tc>
          <w:tcPr>
            <w:tcW w:w="110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3540" w:type="dxa"/>
            <w:vAlign w:val="bottom"/>
            <w:tcBorders>
              <w:bottom w:val="single" w:sz="8" w:color="0000EE"/>
            </w:tcBorders>
            <w:gridSpan w:val="10"/>
            <w:vMerge w:val="continue"/>
          </w:tcPr>
          <w:p>
            <w:pPr>
              <w:spacing w:after="0"/>
              <w:rPr>
                <w:sz w:val="5"/>
                <w:szCs w:val="5"/>
                <w:color w:val="auto"/>
              </w:rPr>
            </w:pPr>
          </w:p>
        </w:tc>
        <w:tc>
          <w:tcPr>
            <w:tcW w:w="110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80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10.22+</w:t>
            </w:r>
          </w:p>
        </w:tc>
        <w:tc>
          <w:tcPr>
            <w:tcW w:w="450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Offer of Employment dated November 16, 2020, between Fari</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2680" w:type="dxa"/>
            <w:vAlign w:val="bottom"/>
            <w:gridSpan w:val="9"/>
            <w:vMerge w:val="restart"/>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Assaderaghi and SiTime Corporation</w:t>
              </w:r>
            </w:hyperlink>
          </w:p>
        </w:tc>
        <w:tc>
          <w:tcPr>
            <w:tcW w:w="196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2680" w:type="dxa"/>
            <w:vAlign w:val="bottom"/>
            <w:tcBorders>
              <w:bottom w:val="single" w:sz="8" w:color="0000EE"/>
            </w:tcBorders>
            <w:gridSpan w:val="9"/>
            <w:vMerge w:val="continue"/>
          </w:tcPr>
          <w:p>
            <w:pPr>
              <w:spacing w:after="0"/>
              <w:rPr>
                <w:sz w:val="5"/>
                <w:szCs w:val="5"/>
                <w:color w:val="auto"/>
              </w:rPr>
            </w:pPr>
          </w:p>
        </w:tc>
        <w:tc>
          <w:tcPr>
            <w:tcW w:w="196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800" w:type="dxa"/>
            <w:vAlign w:val="bottom"/>
          </w:tcPr>
          <w:p>
            <w:pPr>
              <w:jc w:val="center"/>
              <w:ind w:right="210"/>
              <w:spacing w:after="0"/>
              <w:rPr>
                <w:sz w:val="20"/>
                <w:szCs w:val="20"/>
                <w:color w:val="auto"/>
              </w:rPr>
            </w:pPr>
            <w:r>
              <w:rPr>
                <w:rFonts w:ascii="Arial" w:cs="Arial" w:eastAsia="Arial" w:hAnsi="Arial"/>
                <w:sz w:val="18"/>
                <w:szCs w:val="18"/>
                <w:color w:val="auto"/>
                <w:w w:val="89"/>
              </w:rPr>
              <w:t>10.23+</w:t>
            </w:r>
          </w:p>
        </w:tc>
        <w:tc>
          <w:tcPr>
            <w:tcW w:w="4640" w:type="dxa"/>
            <w:vAlign w:val="bottom"/>
            <w:gridSpan w:val="25"/>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Independent Director Compensation Policy</w:t>
              </w:r>
            </w:hyperlink>
          </w:p>
        </w:tc>
        <w:tc>
          <w:tcPr>
            <w:tcW w:w="0" w:type="dxa"/>
            <w:vAlign w:val="bottom"/>
          </w:tcPr>
          <w:p>
            <w:pPr>
              <w:spacing w:after="0"/>
              <w:rPr>
                <w:sz w:val="1"/>
                <w:szCs w:val="1"/>
                <w:color w:val="auto"/>
              </w:rPr>
            </w:pPr>
          </w:p>
        </w:tc>
      </w:tr>
      <w:tr>
        <w:trPr>
          <w:trHeight w:val="364"/>
        </w:trPr>
        <w:tc>
          <w:tcPr>
            <w:tcW w:w="800" w:type="dxa"/>
            <w:vAlign w:val="bottom"/>
          </w:tcPr>
          <w:p>
            <w:pPr>
              <w:jc w:val="center"/>
              <w:ind w:right="190"/>
              <w:spacing w:after="0"/>
              <w:rPr>
                <w:sz w:val="20"/>
                <w:szCs w:val="20"/>
                <w:color w:val="auto"/>
              </w:rPr>
            </w:pPr>
            <w:r>
              <w:rPr>
                <w:rFonts w:ascii="Arial" w:cs="Arial" w:eastAsia="Arial" w:hAnsi="Arial"/>
                <w:sz w:val="18"/>
                <w:szCs w:val="18"/>
                <w:color w:val="auto"/>
                <w:w w:val="91"/>
              </w:rPr>
              <w:t>21.1</w:t>
            </w:r>
          </w:p>
        </w:tc>
        <w:tc>
          <w:tcPr>
            <w:tcW w:w="4640" w:type="dxa"/>
            <w:vAlign w:val="bottom"/>
            <w:gridSpan w:val="25"/>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Subsidiaries of the Company</w:t>
              </w:r>
            </w:hyperlink>
          </w:p>
        </w:tc>
        <w:tc>
          <w:tcPr>
            <w:tcW w:w="0" w:type="dxa"/>
            <w:vAlign w:val="bottom"/>
          </w:tcPr>
          <w:p>
            <w:pPr>
              <w:spacing w:after="0"/>
              <w:rPr>
                <w:sz w:val="1"/>
                <w:szCs w:val="1"/>
                <w:color w:val="auto"/>
              </w:rPr>
            </w:pPr>
          </w:p>
        </w:tc>
      </w:tr>
      <w:tr>
        <w:trPr>
          <w:trHeight w:val="324"/>
        </w:trPr>
        <w:tc>
          <w:tcPr>
            <w:tcW w:w="80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23.1</w:t>
            </w:r>
          </w:p>
        </w:tc>
        <w:tc>
          <w:tcPr>
            <w:tcW w:w="452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Consent of BDO USA, LLP, an Independent Registered Public</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40" w:type="dxa"/>
            <w:vAlign w:val="bottom"/>
            <w:gridSpan w:val="5"/>
            <w:vMerge w:val="restart"/>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Accounting Firm</w:t>
              </w:r>
            </w:hyperlink>
          </w:p>
        </w:tc>
        <w:tc>
          <w:tcPr>
            <w:tcW w:w="340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40" w:type="dxa"/>
            <w:vAlign w:val="bottom"/>
            <w:tcBorders>
              <w:bottom w:val="single" w:sz="8" w:color="0000EE"/>
            </w:tcBorders>
            <w:gridSpan w:val="5"/>
            <w:vMerge w:val="continue"/>
          </w:tcPr>
          <w:p>
            <w:pPr>
              <w:spacing w:after="0"/>
              <w:rPr>
                <w:sz w:val="5"/>
                <w:szCs w:val="5"/>
                <w:color w:val="auto"/>
              </w:rPr>
            </w:pPr>
          </w:p>
        </w:tc>
        <w:tc>
          <w:tcPr>
            <w:tcW w:w="340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800" w:type="dxa"/>
            <w:vAlign w:val="bottom"/>
          </w:tcPr>
          <w:p>
            <w:pPr>
              <w:jc w:val="center"/>
              <w:ind w:right="190"/>
              <w:spacing w:after="0"/>
              <w:rPr>
                <w:sz w:val="20"/>
                <w:szCs w:val="20"/>
                <w:color w:val="auto"/>
              </w:rPr>
            </w:pPr>
            <w:r>
              <w:rPr>
                <w:rFonts w:ascii="Arial" w:cs="Arial" w:eastAsia="Arial" w:hAnsi="Arial"/>
                <w:sz w:val="18"/>
                <w:szCs w:val="18"/>
                <w:color w:val="auto"/>
                <w:w w:val="91"/>
              </w:rPr>
              <w:t>24.1</w:t>
            </w:r>
          </w:p>
        </w:tc>
        <w:tc>
          <w:tcPr>
            <w:tcW w:w="4640" w:type="dxa"/>
            <w:vAlign w:val="bottom"/>
            <w:gridSpan w:val="25"/>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Power of Attorney (see signature page hereto)</w:t>
              </w:r>
            </w:hyperlink>
          </w:p>
        </w:tc>
        <w:tc>
          <w:tcPr>
            <w:tcW w:w="0" w:type="dxa"/>
            <w:vAlign w:val="bottom"/>
          </w:tcPr>
          <w:p>
            <w:pPr>
              <w:spacing w:after="0"/>
              <w:rPr>
                <w:sz w:val="1"/>
                <w:szCs w:val="1"/>
                <w:color w:val="auto"/>
              </w:rPr>
            </w:pPr>
          </w:p>
        </w:tc>
      </w:tr>
    </w:tbl>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333-234305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10.15</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0"/>
              </w:rPr>
              <w:t>10/23/2019</w:t>
            </w:r>
          </w:p>
        </w:tc>
      </w:tr>
      <w:tr>
        <w:trPr>
          <w:trHeight w:val="581"/>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333-234305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10.16</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0"/>
              </w:rPr>
              <w:t>10/23/2019</w:t>
            </w:r>
          </w:p>
        </w:tc>
      </w:tr>
      <w:tr>
        <w:trPr>
          <w:trHeight w:val="580"/>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333-234305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10.17</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0"/>
              </w:rPr>
              <w:t>10/23/2019</w:t>
            </w:r>
          </w:p>
        </w:tc>
      </w:tr>
      <w:tr>
        <w:trPr>
          <w:trHeight w:val="581"/>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333-234305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10.18</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0"/>
              </w:rPr>
              <w:t>10/23/2019</w:t>
            </w:r>
          </w:p>
        </w:tc>
      </w:tr>
      <w:tr>
        <w:trPr>
          <w:trHeight w:val="797"/>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333-234305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10.19</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0"/>
              </w:rPr>
              <w:t>10/23/2019</w:t>
            </w:r>
          </w:p>
        </w:tc>
      </w:tr>
      <w:tr>
        <w:trPr>
          <w:trHeight w:val="796"/>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333-234305</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10.20</w:t>
            </w:r>
          </w:p>
        </w:tc>
        <w:tc>
          <w:tcPr>
            <w:tcW w:w="1200" w:type="dxa"/>
            <w:vAlign w:val="bottom"/>
          </w:tcPr>
          <w:p>
            <w:pPr>
              <w:jc w:val="center"/>
              <w:ind w:left="290"/>
              <w:spacing w:after="0"/>
              <w:rPr>
                <w:sz w:val="20"/>
                <w:szCs w:val="20"/>
                <w:color w:val="auto"/>
              </w:rPr>
            </w:pPr>
            <w:r>
              <w:rPr>
                <w:rFonts w:ascii="Arial" w:cs="Arial" w:eastAsia="Arial" w:hAnsi="Arial"/>
                <w:sz w:val="18"/>
                <w:szCs w:val="18"/>
                <w:color w:val="auto"/>
                <w:w w:val="90"/>
              </w:rPr>
              <w:t>10/23/2019</w:t>
            </w:r>
          </w:p>
        </w:tc>
      </w:tr>
      <w:tr>
        <w:trPr>
          <w:trHeight w:val="1013"/>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0"/>
              </w:rPr>
              <w:t>001-39135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ind w:left="270"/>
              <w:spacing w:after="0"/>
              <w:rPr>
                <w:sz w:val="20"/>
                <w:szCs w:val="20"/>
                <w:color w:val="auto"/>
              </w:rPr>
            </w:pPr>
            <w:r>
              <w:rPr>
                <w:rFonts w:ascii="Arial" w:cs="Arial" w:eastAsia="Arial" w:hAnsi="Arial"/>
                <w:sz w:val="18"/>
                <w:szCs w:val="18"/>
                <w:color w:val="auto"/>
                <w:w w:val="91"/>
              </w:rPr>
              <w:t>5/7/2020</w:t>
            </w:r>
          </w:p>
        </w:tc>
      </w:tr>
      <w:tr>
        <w:trPr>
          <w:trHeight w:val="581"/>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0"/>
              </w:rPr>
              <w:t>001-39135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ind w:left="270"/>
              <w:spacing w:after="0"/>
              <w:rPr>
                <w:sz w:val="20"/>
                <w:szCs w:val="20"/>
                <w:color w:val="auto"/>
              </w:rPr>
            </w:pPr>
            <w:r>
              <w:rPr>
                <w:rFonts w:ascii="Arial" w:cs="Arial" w:eastAsia="Arial" w:hAnsi="Arial"/>
                <w:sz w:val="18"/>
                <w:szCs w:val="18"/>
                <w:color w:val="auto"/>
                <w:w w:val="91"/>
              </w:rPr>
              <w:t>5/7/2020</w:t>
            </w:r>
          </w:p>
        </w:tc>
      </w:tr>
      <w:tr>
        <w:trPr>
          <w:trHeight w:val="580"/>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0"/>
              </w:rPr>
              <w:t>001-39135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ind w:left="270"/>
              <w:spacing w:after="0"/>
              <w:rPr>
                <w:sz w:val="20"/>
                <w:szCs w:val="20"/>
                <w:color w:val="auto"/>
              </w:rPr>
            </w:pPr>
            <w:r>
              <w:rPr>
                <w:rFonts w:ascii="Arial" w:cs="Arial" w:eastAsia="Arial" w:hAnsi="Arial"/>
                <w:sz w:val="18"/>
                <w:szCs w:val="18"/>
                <w:color w:val="auto"/>
                <w:w w:val="91"/>
              </w:rPr>
              <w:t>6/9/2020</w:t>
            </w:r>
          </w:p>
        </w:tc>
      </w:tr>
      <w:tr>
        <w:trPr>
          <w:trHeight w:val="365"/>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0"/>
              </w:rPr>
              <w:t>001-39135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ind w:left="270"/>
              <w:spacing w:after="0"/>
              <w:rPr>
                <w:sz w:val="20"/>
                <w:szCs w:val="20"/>
                <w:color w:val="auto"/>
              </w:rPr>
            </w:pPr>
            <w:r>
              <w:rPr>
                <w:rFonts w:ascii="Arial" w:cs="Arial" w:eastAsia="Arial" w:hAnsi="Arial"/>
                <w:sz w:val="18"/>
                <w:szCs w:val="18"/>
                <w:color w:val="auto"/>
                <w:w w:val="91"/>
              </w:rPr>
              <w:t>8/6/2020</w:t>
            </w:r>
          </w:p>
        </w:tc>
      </w:tr>
      <w:tr>
        <w:trPr>
          <w:trHeight w:val="580"/>
        </w:trPr>
        <w:tc>
          <w:tcPr>
            <w:tcW w:w="52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0"/>
              </w:rPr>
              <w:t>001-39135</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10.3</w:t>
            </w:r>
          </w:p>
        </w:tc>
        <w:tc>
          <w:tcPr>
            <w:tcW w:w="1200" w:type="dxa"/>
            <w:vAlign w:val="bottom"/>
          </w:tcPr>
          <w:p>
            <w:pPr>
              <w:jc w:val="center"/>
              <w:ind w:left="270"/>
              <w:spacing w:after="0"/>
              <w:rPr>
                <w:sz w:val="20"/>
                <w:szCs w:val="20"/>
                <w:color w:val="auto"/>
              </w:rPr>
            </w:pPr>
            <w:r>
              <w:rPr>
                <w:rFonts w:ascii="Arial" w:cs="Arial" w:eastAsia="Arial" w:hAnsi="Arial"/>
                <w:sz w:val="18"/>
                <w:szCs w:val="18"/>
                <w:color w:val="auto"/>
                <w:w w:val="91"/>
              </w:rPr>
              <w:t>8/6/2020</w:t>
            </w: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540" w:space="200"/>
            <w:col w:w="4960"/>
          </w:cols>
          <w:pgMar w:left="500" w:top="338" w:right="699" w:bottom="1440" w:gutter="0" w:footer="0" w:header="0"/>
        </w:sectPr>
      </w:pPr>
    </w:p>
    <w:bookmarkStart w:id="96" w:name="page97"/>
    <w:bookmarkEnd w:id="96"/>
    <w:tbl>
      <w:tblPr>
        <w:tblLayout w:type="fixed"/>
        <w:tblInd w:w="10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Certification of Principal Executive Officer Pursuant to Rules</w:t>
              </w:r>
            </w:hyperlink>
          </w:p>
        </w:tc>
        <w:tc>
          <w:tcPr>
            <w:tcW w:w="2780" w:type="dxa"/>
            <w:vAlign w:val="bottom"/>
            <w:gridSpan w:val="3"/>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31.1</w:t>
            </w:r>
          </w:p>
        </w:tc>
        <w:tc>
          <w:tcPr>
            <w:tcW w:w="7220" w:type="dxa"/>
            <w:vAlign w:val="bottom"/>
            <w:gridSpan w:val="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13a-14(a) and 15d-14(a) under the Exchange Act, as Adopted</w:t>
              </w:r>
            </w:hyperlink>
          </w:p>
        </w:tc>
        <w:tc>
          <w:tcPr>
            <w:tcW w:w="268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4440" w:type="dxa"/>
            <w:vAlign w:val="bottom"/>
            <w:tcBorders>
              <w:top w:val="single" w:sz="8" w:color="0000EE"/>
            </w:tcBorders>
            <w:gridSpan w:val="6"/>
          </w:tcPr>
          <w:p>
            <w:pPr>
              <w:spacing w:after="0"/>
              <w:rPr>
                <w:rFonts w:ascii="Arial" w:cs="Arial" w:eastAsia="Arial" w:hAnsi="Arial"/>
                <w:sz w:val="18"/>
                <w:szCs w:val="18"/>
                <w:u w:val="single" w:color="auto"/>
                <w:color w:val="0000EE"/>
                <w:w w:val="93"/>
              </w:rPr>
            </w:pPr>
            <w:hyperlink w:anchor="page123">
              <w:r>
                <w:rPr>
                  <w:rFonts w:ascii="Arial" w:cs="Arial" w:eastAsia="Arial" w:hAnsi="Arial"/>
                  <w:sz w:val="18"/>
                  <w:szCs w:val="18"/>
                  <w:u w:val="single" w:color="auto"/>
                  <w:color w:val="0000EE"/>
                  <w:w w:val="93"/>
                </w:rPr>
                <w:t>Pursuant to Section 302 of the Sarbanes-Oxley Act of 2002</w:t>
              </w:r>
            </w:hyperlink>
          </w:p>
        </w:tc>
        <w:tc>
          <w:tcPr>
            <w:tcW w:w="2780" w:type="dxa"/>
            <w:vAlign w:val="bottom"/>
            <w:gridSpan w:val="3"/>
          </w:tcPr>
          <w:p>
            <w:pPr>
              <w:spacing w:after="0"/>
              <w:rPr>
                <w:sz w:val="20"/>
                <w:szCs w:val="20"/>
                <w:color w:val="auto"/>
              </w:rPr>
            </w:pP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324"/>
        </w:trPr>
        <w:tc>
          <w:tcPr>
            <w:tcW w:w="880" w:type="dxa"/>
            <w:vAlign w:val="bottom"/>
          </w:tcPr>
          <w:p>
            <w:pPr>
              <w:spacing w:after="0"/>
              <w:rPr>
                <w:sz w:val="24"/>
                <w:szCs w:val="24"/>
                <w:color w:val="auto"/>
              </w:rPr>
            </w:pPr>
          </w:p>
        </w:tc>
        <w:tc>
          <w:tcPr>
            <w:tcW w:w="7220" w:type="dxa"/>
            <w:vAlign w:val="bottom"/>
            <w:gridSpan w:val="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Certification of Principal Financial Officer Pursuant to Rules</w:t>
              </w:r>
            </w:hyperlink>
          </w:p>
        </w:tc>
        <w:tc>
          <w:tcPr>
            <w:tcW w:w="26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31.2</w:t>
            </w:r>
          </w:p>
        </w:tc>
        <w:tc>
          <w:tcPr>
            <w:tcW w:w="7220" w:type="dxa"/>
            <w:vAlign w:val="bottom"/>
            <w:gridSpan w:val="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13a-14(a) and 15d-14(a) under the Exchange Act, as Adopted</w:t>
              </w:r>
            </w:hyperlink>
          </w:p>
        </w:tc>
        <w:tc>
          <w:tcPr>
            <w:tcW w:w="268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4440" w:type="dxa"/>
            <w:vAlign w:val="bottom"/>
            <w:tcBorders>
              <w:top w:val="single" w:sz="8" w:color="0000EE"/>
            </w:tcBorders>
            <w:gridSpan w:val="6"/>
          </w:tcPr>
          <w:p>
            <w:pPr>
              <w:spacing w:after="0"/>
              <w:rPr>
                <w:rFonts w:ascii="Arial" w:cs="Arial" w:eastAsia="Arial" w:hAnsi="Arial"/>
                <w:sz w:val="18"/>
                <w:szCs w:val="18"/>
                <w:u w:val="single" w:color="auto"/>
                <w:color w:val="0000EE"/>
                <w:w w:val="93"/>
              </w:rPr>
            </w:pPr>
            <w:hyperlink w:anchor="page124">
              <w:r>
                <w:rPr>
                  <w:rFonts w:ascii="Arial" w:cs="Arial" w:eastAsia="Arial" w:hAnsi="Arial"/>
                  <w:sz w:val="18"/>
                  <w:szCs w:val="18"/>
                  <w:u w:val="single" w:color="auto"/>
                  <w:color w:val="0000EE"/>
                  <w:w w:val="93"/>
                </w:rPr>
                <w:t>Pursuant to Section 302 of the Sarbanes-Oxley Act of 2002</w:t>
              </w:r>
            </w:hyperlink>
          </w:p>
        </w:tc>
        <w:tc>
          <w:tcPr>
            <w:tcW w:w="2780" w:type="dxa"/>
            <w:vAlign w:val="bottom"/>
            <w:gridSpan w:val="3"/>
          </w:tcPr>
          <w:p>
            <w:pPr>
              <w:spacing w:after="0"/>
              <w:rPr>
                <w:sz w:val="20"/>
                <w:szCs w:val="20"/>
                <w:color w:val="auto"/>
              </w:rPr>
            </w:pP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324"/>
        </w:trPr>
        <w:tc>
          <w:tcPr>
            <w:tcW w:w="880" w:type="dxa"/>
            <w:vAlign w:val="bottom"/>
          </w:tcPr>
          <w:p>
            <w:pPr>
              <w:spacing w:after="0"/>
              <w:rPr>
                <w:sz w:val="24"/>
                <w:szCs w:val="24"/>
                <w:color w:val="auto"/>
              </w:rPr>
            </w:pPr>
          </w:p>
        </w:tc>
        <w:tc>
          <w:tcPr>
            <w:tcW w:w="7220" w:type="dxa"/>
            <w:vAlign w:val="bottom"/>
            <w:gridSpan w:val="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Certification of Principal Executive Officer Pursuant to 18</w:t>
              </w:r>
            </w:hyperlink>
          </w:p>
        </w:tc>
        <w:tc>
          <w:tcPr>
            <w:tcW w:w="26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8"/>
              </w:rPr>
              <w:t>32.1#</w:t>
            </w:r>
          </w:p>
        </w:tc>
        <w:tc>
          <w:tcPr>
            <w:tcW w:w="46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U.S.C. Section 1350, as Adopted Pursuant to Section 906 of the</w:t>
              </w:r>
            </w:hyperlink>
          </w:p>
        </w:tc>
        <w:tc>
          <w:tcPr>
            <w:tcW w:w="2620" w:type="dxa"/>
            <w:vAlign w:val="bottom"/>
            <w:gridSpan w:val="2"/>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Sarbanes-Oxley Act of 2002</w:t>
              </w:r>
            </w:hyperlink>
          </w:p>
        </w:tc>
        <w:tc>
          <w:tcPr>
            <w:tcW w:w="5140" w:type="dxa"/>
            <w:vAlign w:val="bottom"/>
            <w:gridSpan w:val="7"/>
          </w:tcPr>
          <w:p>
            <w:pPr>
              <w:spacing w:after="0"/>
              <w:rPr>
                <w:sz w:val="17"/>
                <w:szCs w:val="17"/>
                <w:color w:val="auto"/>
              </w:rPr>
            </w:pPr>
          </w:p>
        </w:tc>
        <w:tc>
          <w:tcPr>
            <w:tcW w:w="2680" w:type="dxa"/>
            <w:vAlign w:val="bottom"/>
          </w:tcPr>
          <w:p>
            <w:pPr>
              <w:ind w:left="2540"/>
              <w:spacing w:after="0" w:line="196" w:lineRule="exact"/>
              <w:rPr>
                <w:sz w:val="20"/>
                <w:szCs w:val="20"/>
                <w:color w:val="auto"/>
              </w:rPr>
            </w:pPr>
            <w:r>
              <w:rPr>
                <w:rFonts w:ascii="Arial" w:cs="Arial" w:eastAsia="Arial" w:hAnsi="Arial"/>
                <w:sz w:val="18"/>
                <w:szCs w:val="18"/>
                <w:color w:val="auto"/>
                <w:w w:val="99"/>
              </w:rPr>
              <w:t>X</w:t>
            </w:r>
          </w:p>
        </w:tc>
      </w:tr>
      <w:tr>
        <w:trPr>
          <w:trHeight w:val="344"/>
        </w:trPr>
        <w:tc>
          <w:tcPr>
            <w:tcW w:w="880" w:type="dxa"/>
            <w:vAlign w:val="bottom"/>
          </w:tcPr>
          <w:p>
            <w:pPr>
              <w:spacing w:after="0"/>
              <w:rPr>
                <w:sz w:val="24"/>
                <w:szCs w:val="24"/>
                <w:color w:val="auto"/>
              </w:rPr>
            </w:pPr>
          </w:p>
        </w:tc>
        <w:tc>
          <w:tcPr>
            <w:tcW w:w="7220" w:type="dxa"/>
            <w:vAlign w:val="bottom"/>
            <w:gridSpan w:val="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Certification of Principal Financial Officer Pursuant to 18 U.S.C.</w:t>
              </w:r>
            </w:hyperlink>
          </w:p>
        </w:tc>
        <w:tc>
          <w:tcPr>
            <w:tcW w:w="2680" w:type="dxa"/>
            <w:vAlign w:val="bottom"/>
          </w:tcPr>
          <w:p>
            <w:pPr>
              <w:spacing w:after="0"/>
              <w:rPr>
                <w:sz w:val="24"/>
                <w:szCs w:val="24"/>
                <w:color w:val="auto"/>
              </w:rPr>
            </w:pPr>
          </w:p>
        </w:tc>
      </w:tr>
      <w:tr>
        <w:trPr>
          <w:trHeight w:val="196"/>
        </w:trPr>
        <w:tc>
          <w:tcPr>
            <w:tcW w:w="8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8"/>
              </w:rPr>
              <w:t>32.2#</w:t>
            </w:r>
          </w:p>
        </w:tc>
        <w:tc>
          <w:tcPr>
            <w:tcW w:w="4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Section 1350, as Adopted Pursuant to Section 906 of the</w:t>
              </w:r>
            </w:hyperlink>
          </w:p>
        </w:tc>
        <w:tc>
          <w:tcPr>
            <w:tcW w:w="25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Sarbanes-Oxley Act of 2002</w:t>
              </w:r>
            </w:hyperlink>
          </w:p>
        </w:tc>
        <w:tc>
          <w:tcPr>
            <w:tcW w:w="2000" w:type="dxa"/>
            <w:vAlign w:val="bottom"/>
            <w:tcBorders>
              <w:top w:val="single" w:sz="8" w:color="0000EE"/>
            </w:tcBorders>
            <w:gridSpan w:val="2"/>
          </w:tcPr>
          <w:p>
            <w:pPr>
              <w:spacing w:after="0"/>
              <w:rPr>
                <w:sz w:val="17"/>
                <w:szCs w:val="17"/>
                <w:color w:val="auto"/>
              </w:rPr>
            </w:pPr>
          </w:p>
        </w:tc>
        <w:tc>
          <w:tcPr>
            <w:tcW w:w="3160" w:type="dxa"/>
            <w:vAlign w:val="bottom"/>
            <w:gridSpan w:val="6"/>
          </w:tcPr>
          <w:p>
            <w:pPr>
              <w:spacing w:after="0"/>
              <w:rPr>
                <w:sz w:val="17"/>
                <w:szCs w:val="17"/>
                <w:color w:val="auto"/>
              </w:rPr>
            </w:pPr>
          </w:p>
        </w:tc>
        <w:tc>
          <w:tcPr>
            <w:tcW w:w="2680" w:type="dxa"/>
            <w:vAlign w:val="bottom"/>
          </w:tcPr>
          <w:p>
            <w:pPr>
              <w:ind w:left="2540"/>
              <w:spacing w:after="0" w:line="196" w:lineRule="exact"/>
              <w:rPr>
                <w:sz w:val="20"/>
                <w:szCs w:val="20"/>
                <w:color w:val="auto"/>
              </w:rPr>
            </w:pPr>
            <w:r>
              <w:rPr>
                <w:rFonts w:ascii="Arial" w:cs="Arial" w:eastAsia="Arial" w:hAnsi="Arial"/>
                <w:sz w:val="18"/>
                <w:szCs w:val="18"/>
                <w:color w:val="auto"/>
                <w:w w:val="99"/>
              </w:rPr>
              <w:t>X</w:t>
            </w:r>
          </w:p>
        </w:tc>
      </w:tr>
      <w:tr>
        <w:trPr>
          <w:trHeight w:val="384"/>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2"/>
              </w:rPr>
              <w:t>101.INS</w:t>
            </w:r>
          </w:p>
        </w:tc>
        <w:tc>
          <w:tcPr>
            <w:tcW w:w="72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29"/>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72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29"/>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7"/>
              </w:rPr>
              <w:t>101.CAL</w:t>
            </w:r>
          </w:p>
        </w:tc>
        <w:tc>
          <w:tcPr>
            <w:tcW w:w="72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30"/>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72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29"/>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8"/>
              </w:rPr>
              <w:t>101.LAB</w:t>
            </w:r>
          </w:p>
        </w:tc>
        <w:tc>
          <w:tcPr>
            <w:tcW w:w="72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30"/>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101.PRE</w:t>
            </w:r>
          </w:p>
        </w:tc>
        <w:tc>
          <w:tcPr>
            <w:tcW w:w="72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bl>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references in the table above to previously filed documents or descriptions are incorporating those documents and descriptions by reference thereto.</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references to documents filed as exhibits to periodic reports are to periodic reports of SiTime Corporation, SEC File No. 001-39135.</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35"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 of Regulation S-K.</w:t>
      </w:r>
    </w:p>
    <w:p>
      <w:pPr>
        <w:spacing w:after="0" w:line="23" w:lineRule="exact"/>
        <w:rPr>
          <w:sz w:val="20"/>
          <w:szCs w:val="20"/>
          <w:color w:val="auto"/>
        </w:rPr>
      </w:pPr>
    </w:p>
    <w:p>
      <w:pPr>
        <w:ind w:right="100" w:firstLine="8"/>
        <w:spacing w:after="0" w:line="216" w:lineRule="exact"/>
        <w:tabs>
          <w:tab w:leader="none" w:pos="5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338" w:right="59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w w:val="99"/>
              </w:rPr>
              <w:t>Valuation and Qualifying Accounts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1"/>
                <w:szCs w:val="11"/>
                <w:color w:val="auto"/>
              </w:rPr>
            </w:pPr>
          </w:p>
        </w:tc>
        <w:tc>
          <w:tcPr>
            <w:tcW w:w="102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1"/>
                <w:szCs w:val="11"/>
                <w:color w:val="auto"/>
              </w:rPr>
            </w:pPr>
          </w:p>
        </w:tc>
        <w:tc>
          <w:tcPr>
            <w:tcW w:w="1040" w:type="dxa"/>
            <w:vAlign w:val="bottom"/>
          </w:tcPr>
          <w:p>
            <w:pPr>
              <w:jc w:val="center"/>
              <w:ind w:right="198"/>
              <w:spacing w:after="0" w:line="133" w:lineRule="exact"/>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2"/>
                <w:szCs w:val="12"/>
                <w:color w:val="auto"/>
              </w:rPr>
            </w:pPr>
          </w:p>
        </w:tc>
        <w:tc>
          <w:tcPr>
            <w:tcW w:w="10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Credited to</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Beginning</w:t>
            </w:r>
          </w:p>
        </w:tc>
        <w:tc>
          <w:tcPr>
            <w:tcW w:w="22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8"/>
              </w:rPr>
              <w:t>Expenses or</w:t>
            </w:r>
          </w:p>
        </w:tc>
        <w:tc>
          <w:tcPr>
            <w:tcW w:w="240" w:type="dxa"/>
            <w:vAlign w:val="bottom"/>
          </w:tcPr>
          <w:p>
            <w:pPr>
              <w:spacing w:after="0"/>
              <w:rPr>
                <w:sz w:val="12"/>
                <w:szCs w:val="12"/>
                <w:color w:val="auto"/>
              </w:rPr>
            </w:pPr>
          </w:p>
        </w:tc>
        <w:tc>
          <w:tcPr>
            <w:tcW w:w="10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Expenses or</w:t>
            </w: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of Period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Other Accounts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Other Accounts</w:t>
            </w:r>
          </w:p>
        </w:tc>
        <w:tc>
          <w:tcPr>
            <w:tcW w:w="2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3"/>
          </w:tcPr>
          <w:p>
            <w:pPr>
              <w:jc w:val="right"/>
              <w:ind w:right="758"/>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Year Ended December 31, 2020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 Ended December 31, 2019</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 Ended December 31, 2020</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45,494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10,457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Year Ended December 31, 2019</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45,496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45,494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8" w:name="page99"/>
    <w:bookmarkEnd w:id="98"/>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7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SiTime Corporation</w:t>
      </w:r>
    </w:p>
    <w:p>
      <w:pPr>
        <w:spacing w:after="0" w:line="252" w:lineRule="exact"/>
        <w:rPr>
          <w:sz w:val="20"/>
          <w:szCs w:val="20"/>
          <w:color w:val="auto"/>
        </w:rPr>
      </w:pPr>
    </w:p>
    <w:p>
      <w:pPr>
        <w:spacing w:after="0"/>
        <w:tabs>
          <w:tab w:leader="none" w:pos="5640" w:val="left"/>
          <w:tab w:leader="none" w:pos="776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Arthur D. Chadwick</w:t>
      </w:r>
    </w:p>
    <w:p>
      <w:pPr>
        <w:spacing w:after="0" w:line="23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72"/>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Rajesh Vashist and Arthur D. Chadwick,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18" w:lineRule="exact"/>
        <w:rPr>
          <w:sz w:val="20"/>
          <w:szCs w:val="20"/>
          <w:color w:val="auto"/>
        </w:rPr>
      </w:pPr>
    </w:p>
    <w:p>
      <w:pPr>
        <w:ind w:right="160" w:firstLine="57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spacing w:after="0"/>
              <w:rPr>
                <w:sz w:val="18"/>
                <w:szCs w:val="18"/>
                <w:color w:val="auto"/>
              </w:rPr>
            </w:pPr>
          </w:p>
        </w:tc>
      </w:t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Rajesh Vashist</w:t>
            </w:r>
          </w:p>
        </w:tc>
        <w:tc>
          <w:tcPr>
            <w:tcW w:w="44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Rajesh Vashist</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85"/>
        </w:trPr>
        <w:tc>
          <w:tcPr>
            <w:tcW w:w="3720" w:type="dxa"/>
            <w:vAlign w:val="bottom"/>
          </w:tcPr>
          <w:p>
            <w:pPr>
              <w:spacing w:after="0"/>
              <w:rPr>
                <w:sz w:val="24"/>
                <w:szCs w:val="24"/>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 Officer</w:t>
            </w:r>
          </w:p>
        </w:tc>
        <w:tc>
          <w:tcPr>
            <w:tcW w:w="2020" w:type="dxa"/>
            <w:vAlign w:val="bottom"/>
          </w:tcPr>
          <w:p>
            <w:pPr>
              <w:spacing w:after="0"/>
              <w:rPr>
                <w:sz w:val="24"/>
                <w:szCs w:val="24"/>
                <w:color w:val="auto"/>
              </w:rPr>
            </w:pPr>
          </w:p>
        </w:tc>
      </w:t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D. Chadwick</w:t>
            </w:r>
          </w:p>
        </w:tc>
        <w:tc>
          <w:tcPr>
            <w:tcW w:w="440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Arthur D. Chadwick</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Raman K. Chitkara</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9"/>
              </w:rPr>
              <w:t>Raman K. Chitkara</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 Frank</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9"/>
              </w:rPr>
              <w:t>Edward H. Frank</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Torsten G. Kreindl</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Torsten G. Kreindl</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Katherine E. Schuelke</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Katherine E. Schuelke</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Akira Takata</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Akira Takata</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Tom D. Yiu</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Tom D. Yiu</w:t>
            </w:r>
          </w:p>
        </w:tc>
        <w:tc>
          <w:tcPr>
            <w:tcW w:w="4400" w:type="dxa"/>
            <w:vAlign w:val="bottom"/>
          </w:tcPr>
          <w:p>
            <w:pPr>
              <w:spacing w:after="0"/>
              <w:rPr>
                <w:sz w:val="15"/>
                <w:szCs w:val="15"/>
                <w:color w:val="auto"/>
              </w:rPr>
            </w:pPr>
          </w:p>
        </w:tc>
        <w:tc>
          <w:tcPr>
            <w:tcW w:w="20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320" w:top="337" w:right="41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4.2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SiTime Corporation, a Delaware corporation (“we”, “us,” or “our”), has one class of securities registered pursuant to Section 12 of the Securities Exchange Act of 1934: our common stock, $0.0001 par value per share. The general terms and provisions of our common stock are summarized below. This summary does not purport to be complete and is qualified in its entirety by reference to our amended and restated certificate of incorporation and our and amended and restated bylaws, each of which has been filed as an exhibit to our most recent Annual Report on Form 10-K filed with the Securities and Exchange Commission (“SEC”), as may be amended by a document filed with one of our periodic reports filed with the SEC subsequent to the date of that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authorized to issue 200,000,000 shares of common stock. Each holder of common stock is entitled to one vote for each share held of record on all matters submitted to a vote of the stockholders. We have not provided for cumulative voting for the election of directors in our amended and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holders of common stock are entitled to share ratably in all assets remaining after payment of all of our debts and other liabilities, subject to the satisfaction of any liquidation preference granted to the holders of any outstanding shares of preferred stock. Holders of our common stock have no preemptive, conversion, or other subscription rights. There are no redemption or sinking fund provisions applicable to our common stock. All outstanding shares of common stock are fully paid and nonassessable.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are authorized to issue up to 10,000,000 shares of preferred stock, which can be issued in one or more series, with such rights, preferences, and privileges as determined by our board of directors with respect to each series.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and amended and restated bylaws could have the effect of delaying, deferring, or discouraging another party from acquiring control of us.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Certificate of Incorporation and Bylaws. </w:t>
      </w:r>
      <w:r>
        <w:rPr>
          <w:rFonts w:ascii="Arial" w:cs="Arial" w:eastAsia="Arial" w:hAnsi="Arial"/>
          <w:sz w:val="16"/>
          <w:szCs w:val="16"/>
          <w:color w:val="auto"/>
        </w:rPr>
        <w:t>Our amended and restated certificate of incorporation and amended and restated bylaws include provisions that:</w:t>
      </w:r>
    </w:p>
    <w:p>
      <w:pPr>
        <w:spacing w:after="0" w:line="140" w:lineRule="exact"/>
        <w:rPr>
          <w:sz w:val="20"/>
          <w:szCs w:val="20"/>
          <w:color w:val="auto"/>
        </w:rPr>
      </w:pPr>
    </w:p>
    <w:p>
      <w:pPr>
        <w:ind w:left="1120" w:right="80" w:hanging="589"/>
        <w:spacing w:after="0" w:line="259"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10,000,000 shares of undesignated preferred stock with terms, rights, and preferences determined by our board of directors that may be senior to our common stock, which preferred stock could decrease the amount of earnings and assets available for distribution to holders of our common stock or adversely affect the rights and powers, including voting rights, of the holders of our common stock;</w:t>
      </w:r>
    </w:p>
    <w:p>
      <w:pPr>
        <w:spacing w:after="0" w:line="294" w:lineRule="exact"/>
        <w:rPr>
          <w:rFonts w:ascii="Arial" w:cs="Arial" w:eastAsia="Arial" w:hAnsi="Arial"/>
          <w:sz w:val="18"/>
          <w:szCs w:val="18"/>
          <w:color w:val="auto"/>
        </w:rPr>
      </w:pPr>
    </w:p>
    <w:p>
      <w:pPr>
        <w:ind w:left="1080" w:hanging="536"/>
        <w:spacing w:after="0"/>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160" w:right="280" w:hanging="575"/>
        <w:spacing w:after="0" w:line="277" w:lineRule="auto"/>
        <w:tabs>
          <w:tab w:leader="none" w:pos="11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278" w:lineRule="exact"/>
        <w:rPr>
          <w:rFonts w:ascii="Arial" w:cs="Arial" w:eastAsia="Arial" w:hAnsi="Arial"/>
          <w:sz w:val="18"/>
          <w:szCs w:val="18"/>
          <w:color w:val="auto"/>
        </w:rPr>
      </w:pPr>
    </w:p>
    <w:p>
      <w:pPr>
        <w:ind w:left="1160" w:right="200" w:hanging="575"/>
        <w:spacing w:after="0" w:line="277" w:lineRule="auto"/>
        <w:tabs>
          <w:tab w:leader="none" w:pos="11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ind w:left="1160" w:hanging="575"/>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333" w:lineRule="exact"/>
        <w:rPr>
          <w:rFonts w:ascii="Arial" w:cs="Arial" w:eastAsia="Arial" w:hAnsi="Arial"/>
          <w:sz w:val="18"/>
          <w:szCs w:val="18"/>
          <w:color w:val="auto"/>
        </w:rPr>
      </w:pPr>
    </w:p>
    <w:p>
      <w:pPr>
        <w:ind w:left="1160" w:hanging="575"/>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333" w:lineRule="exact"/>
        <w:rPr>
          <w:rFonts w:ascii="Arial" w:cs="Arial" w:eastAsia="Arial" w:hAnsi="Arial"/>
          <w:sz w:val="18"/>
          <w:szCs w:val="18"/>
          <w:color w:val="auto"/>
        </w:rPr>
      </w:pPr>
    </w:p>
    <w:p>
      <w:pPr>
        <w:ind w:left="1160" w:hanging="575"/>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333" w:lineRule="exact"/>
        <w:rPr>
          <w:rFonts w:ascii="Arial" w:cs="Arial" w:eastAsia="Arial" w:hAnsi="Arial"/>
          <w:sz w:val="18"/>
          <w:szCs w:val="18"/>
          <w:color w:val="auto"/>
        </w:rPr>
      </w:pPr>
    </w:p>
    <w:p>
      <w:pPr>
        <w:ind w:left="1160" w:hanging="575"/>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w:t>
      </w:r>
    </w:p>
    <w:p>
      <w:pPr>
        <w:spacing w:after="0" w:line="344" w:lineRule="exact"/>
        <w:rPr>
          <w:rFonts w:ascii="Arial" w:cs="Arial" w:eastAsia="Arial" w:hAnsi="Arial"/>
          <w:sz w:val="17"/>
          <w:szCs w:val="17"/>
          <w:color w:val="auto"/>
        </w:rPr>
      </w:pPr>
    </w:p>
    <w:p>
      <w:pPr>
        <w:ind w:left="1160" w:right="380" w:hanging="575"/>
        <w:spacing w:after="0" w:line="308"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2/3% of our outstanding shares of capital stock to amend our amended and restated bylaws and certain provisions of our amended and restated certificate of incorporation;</w:t>
      </w:r>
    </w:p>
    <w:p>
      <w:pPr>
        <w:spacing w:after="0" w:line="254" w:lineRule="exact"/>
        <w:rPr>
          <w:rFonts w:ascii="Arial" w:cs="Arial" w:eastAsia="Arial" w:hAnsi="Arial"/>
          <w:sz w:val="17"/>
          <w:szCs w:val="17"/>
          <w:color w:val="auto"/>
        </w:rPr>
      </w:pPr>
    </w:p>
    <w:p>
      <w:pPr>
        <w:ind w:left="1160" w:right="260" w:hanging="575"/>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us to indemnify officers and directors against losses that they may incur in investigations and legal proceedings resulting from their services to us, which may include services in connection with takeover defense measures;</w:t>
      </w:r>
    </w:p>
    <w:p>
      <w:pPr>
        <w:spacing w:after="0" w:line="278" w:lineRule="exact"/>
        <w:rPr>
          <w:rFonts w:ascii="Arial" w:cs="Arial" w:eastAsia="Arial" w:hAnsi="Arial"/>
          <w:sz w:val="18"/>
          <w:szCs w:val="18"/>
          <w:color w:val="auto"/>
        </w:rPr>
      </w:pPr>
    </w:p>
    <w:p>
      <w:pPr>
        <w:ind w:left="1160" w:right="40" w:hanging="575"/>
        <w:spacing w:after="0" w:line="25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we otherwise consent in writing, establish the Court of Chancery of the State of Delaware as the sole and exclusive forum for: any derivative action or proceeding brought on our behalf; any action asserting a claim of breach of fiduciary duty; any action asserting a claim against us arising pursuant to the General Corporation Law of the State of Delaware (the “DGCL”), our amended and restated certificate of incorporation, or our amended and restated bylaws; or any action asserting a claim against us that is governed by the internal affairs doctrine; and</w:t>
      </w:r>
    </w:p>
    <w:p>
      <w:pPr>
        <w:spacing w:after="0" w:line="79" w:lineRule="exact"/>
        <w:rPr>
          <w:rFonts w:ascii="Arial" w:cs="Arial" w:eastAsia="Arial" w:hAnsi="Arial"/>
          <w:sz w:val="18"/>
          <w:szCs w:val="18"/>
          <w:color w:val="auto"/>
        </w:rPr>
      </w:pPr>
    </w:p>
    <w:p>
      <w:pPr>
        <w:jc w:val="both"/>
        <w:ind w:left="1160" w:right="60" w:hanging="575"/>
        <w:spacing w:after="0" w:line="263"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we otherwise consent in writing, establish the federal district courts of the United States as the exclusive forum for the resolution of any complaint asserting a cause of action against us or any of our directors, officers, other employees or agents arising under the Securities Act of 1933, as amended.</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Delaware anti-takeover statute. </w:t>
      </w:r>
      <w:r>
        <w:rPr>
          <w:rFonts w:ascii="Arial" w:cs="Arial" w:eastAsia="Arial" w:hAnsi="Arial"/>
          <w:sz w:val="18"/>
          <w:szCs w:val="18"/>
          <w:color w:val="auto"/>
        </w:rPr>
        <w:t>We are subject to Section 203 of the DGCL (“Section 203”). Section 203 generally prohibits a publicly-held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from engaging in a “business combination” with an “interested stockholder” for a period of three years after the date of the transaction in which the person became an interested stockholder, unless:</w:t>
      </w:r>
    </w:p>
    <w:p>
      <w:pPr>
        <w:spacing w:after="0" w:line="76" w:lineRule="exact"/>
        <w:rPr>
          <w:sz w:val="20"/>
          <w:szCs w:val="20"/>
          <w:color w:val="auto"/>
        </w:rPr>
      </w:pPr>
    </w:p>
    <w:p>
      <w:pPr>
        <w:ind w:left="1200" w:right="280" w:hanging="575"/>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78" w:lineRule="exact"/>
        <w:rPr>
          <w:rFonts w:ascii="Arial" w:cs="Arial" w:eastAsia="Arial" w:hAnsi="Arial"/>
          <w:sz w:val="18"/>
          <w:szCs w:val="18"/>
          <w:color w:val="auto"/>
        </w:rPr>
      </w:pPr>
    </w:p>
    <w:p>
      <w:pPr>
        <w:ind w:left="1200" w:right="240" w:hanging="575"/>
        <w:spacing w:after="0" w:line="25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(but not the outstanding voting stock owned by the interested stockholder) shares owned (a) by persons who are directors and also officers, and (b) by employee stock plans in which employee participants do not have the right to determine confidentially whether shares held subject to the plan will be tendered in a tender or exchange offer; or</w:t>
      </w:r>
    </w:p>
    <w:p>
      <w:pPr>
        <w:spacing w:after="0" w:line="295" w:lineRule="exact"/>
        <w:rPr>
          <w:rFonts w:ascii="Arial" w:cs="Arial" w:eastAsia="Arial" w:hAnsi="Arial"/>
          <w:sz w:val="18"/>
          <w:szCs w:val="18"/>
          <w:color w:val="auto"/>
        </w:rPr>
      </w:pPr>
    </w:p>
    <w:p>
      <w:pPr>
        <w:ind w:left="1200" w:right="20" w:hanging="575"/>
        <w:spacing w:after="0" w:line="263"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17" w:lineRule="exact"/>
        <w:rPr>
          <w:sz w:val="20"/>
          <w:szCs w:val="20"/>
          <w:color w:val="auto"/>
        </w:rPr>
      </w:pPr>
    </w:p>
    <w:p>
      <w:pPr>
        <w:ind w:left="1200" w:hanging="575"/>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33" w:lineRule="exact"/>
        <w:rPr>
          <w:rFonts w:ascii="Arial" w:cs="Arial" w:eastAsia="Arial" w:hAnsi="Arial"/>
          <w:sz w:val="18"/>
          <w:szCs w:val="18"/>
          <w:color w:val="auto"/>
        </w:rPr>
      </w:pPr>
    </w:p>
    <w:p>
      <w:pPr>
        <w:ind w:left="1200" w:hanging="575"/>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to or with the interested stockholder;</w:t>
      </w:r>
    </w:p>
    <w:p>
      <w:pPr>
        <w:spacing w:after="0" w:line="344" w:lineRule="exact"/>
        <w:rPr>
          <w:rFonts w:ascii="Arial" w:cs="Arial" w:eastAsia="Arial" w:hAnsi="Arial"/>
          <w:sz w:val="17"/>
          <w:szCs w:val="17"/>
          <w:color w:val="auto"/>
        </w:rPr>
      </w:pPr>
    </w:p>
    <w:p>
      <w:pPr>
        <w:ind w:left="1200" w:right="60" w:hanging="575"/>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101" w:name="page102"/>
    <w:bookmarkEnd w:id="101"/>
    <w:p>
      <w:pPr>
        <w:ind w:left="1200" w:right="400" w:hanging="575"/>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278" w:lineRule="exact"/>
        <w:rPr>
          <w:rFonts w:ascii="Arial" w:cs="Arial" w:eastAsia="Arial" w:hAnsi="Arial"/>
          <w:sz w:val="18"/>
          <w:szCs w:val="18"/>
          <w:color w:val="auto"/>
        </w:rPr>
      </w:pPr>
    </w:p>
    <w:p>
      <w:pPr>
        <w:ind w:left="1200" w:hanging="575"/>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controlling, or controlled by the entity or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“SITM.”</w:t>
      </w:r>
    </w:p>
    <w:p>
      <w:pPr>
        <w:sectPr>
          <w:pgSz w:w="11900" w:h="16838" w:orient="portrait"/>
          <w:cols w:equalWidth="0" w:num="1">
            <w:col w:w="11100"/>
          </w:cols>
          <w:pgMar w:left="320" w:top="125" w:right="47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Indemnification Agreement (the “</w:t>
      </w:r>
      <w:r>
        <w:rPr>
          <w:rFonts w:ascii="Arial" w:cs="Arial" w:eastAsia="Arial" w:hAnsi="Arial"/>
          <w:sz w:val="19"/>
          <w:szCs w:val="19"/>
          <w:b w:val="1"/>
          <w:bCs w:val="1"/>
          <w:color w:val="auto"/>
        </w:rPr>
        <w:t>Agreement</w:t>
      </w:r>
      <w:r>
        <w:rPr>
          <w:rFonts w:ascii="Arial" w:cs="Arial" w:eastAsia="Arial" w:hAnsi="Arial"/>
          <w:sz w:val="19"/>
          <w:szCs w:val="19"/>
          <w:color w:val="auto"/>
        </w:rPr>
        <w:t>”), dated as of __________ __, 20___, between SiTime Corporation,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____________________ (“</w:t>
      </w:r>
      <w:r>
        <w:rPr>
          <w:rFonts w:ascii="Arial" w:cs="Arial" w:eastAsia="Arial" w:hAnsi="Arial"/>
          <w:sz w:val="22"/>
          <w:szCs w:val="22"/>
          <w:b w:val="1"/>
          <w:bCs w:val="1"/>
          <w:color w:val="auto"/>
        </w:rPr>
        <w:t>Indemnitee</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0"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WHEREAS, Indemnitee is either a member of the Board of Directors of the Company (the “</w:t>
      </w:r>
      <w:r>
        <w:rPr>
          <w:rFonts w:ascii="Arial" w:cs="Arial" w:eastAsia="Arial" w:hAnsi="Arial"/>
          <w:sz w:val="22"/>
          <w:szCs w:val="22"/>
          <w:b w:val="1"/>
          <w:bCs w:val="1"/>
          <w:color w:val="auto"/>
        </w:rPr>
        <w:t>Board of Directors</w:t>
      </w:r>
      <w:r>
        <w:rPr>
          <w:rFonts w:ascii="Arial" w:cs="Arial" w:eastAsia="Arial" w:hAnsi="Arial"/>
          <w:sz w:val="22"/>
          <w:szCs w:val="22"/>
          <w:color w:val="auto"/>
        </w:rPr>
        <w:t>”) or an officer of the Company, or both, and in such capacity or capacities, or otherwise as an Agent (as hereinafter defined) of the Company, is performing a valuable service for the Company;</w:t>
      </w:r>
    </w:p>
    <w:p>
      <w:pPr>
        <w:spacing w:after="0" w:line="183"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WHEREAS, the Company is aware that competent and experienced persons are increasingly reluctant to serve as directors or officers of corporations or other business entities unless they are protected by comprehensive indemnification and liability insurance, due to increased exposure to litigation costs and risks resulting from their service to such corporations, and because the exposure frequently bears no reasonable relationship to the compensation of such directors and officers;</w:t>
      </w:r>
    </w:p>
    <w:p>
      <w:pPr>
        <w:spacing w:after="0" w:line="143"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WHEREAS, the Board of Directors of the Company has concluded that, to retain and attract talented and experienced individuals to serve or continue to serve as officers or directors of the Company or as an Agent, and to encourage such individuals to take the business risks necessary for the success of the Company, it is necessary for the Company contractually to indemnify directors, officers and Agents and to assume for itself to the fullest extent permitted by law expenses and damages in connection with claims against such officers, directors and Agents in connection with their service to the Company;</w:t>
      </w:r>
    </w:p>
    <w:p>
      <w:pPr>
        <w:spacing w:after="0" w:line="14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WHEREAS, Section 145 of the General Corporation Law of the State of Delaware (the “</w:t>
      </w:r>
      <w:r>
        <w:rPr>
          <w:rFonts w:ascii="Arial" w:cs="Arial" w:eastAsia="Arial" w:hAnsi="Arial"/>
          <w:sz w:val="21"/>
          <w:szCs w:val="21"/>
          <w:b w:val="1"/>
          <w:bCs w:val="1"/>
          <w:color w:val="auto"/>
        </w:rPr>
        <w:t>DGCL</w:t>
      </w:r>
      <w:r>
        <w:rPr>
          <w:rFonts w:ascii="Arial" w:cs="Arial" w:eastAsia="Arial" w:hAnsi="Arial"/>
          <w:sz w:val="21"/>
          <w:szCs w:val="21"/>
          <w:color w:val="auto"/>
        </w:rPr>
        <w:t>”), under which the Company is organized, empowers the Company to indemnify by agreement its officers, directors, employees and agents, and persons who serve, at the request of the Company, as directors, officers, employees or agents of other corporations or enterprises, and expressly provides that the indemnification provided by the DGCL is not exclusive;</w:t>
      </w:r>
    </w:p>
    <w:p>
      <w:pPr>
        <w:spacing w:after="0" w:line="17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the Company desires and has requested the Indemnitee to serve or continue to serve as a director, officer or Agent of the Company free from undue concern for claims for damages arising out of or related to such services to the Company;</w:t>
      </w:r>
    </w:p>
    <w:p>
      <w:pPr>
        <w:spacing w:after="0" w:line="18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WHEREAS, Indemnitee is willing to serve, continue to serve and to take on additional service for or on behalf of the Company on the condition that he or she be indemnified as herein provided;</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it is intended that Indemnitee shall be paid promptly by the Company all amounts necessary to effectuate in full the indemnity provided herein; and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certain defined terms are set forth in Section 17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ind w:firstLine="864"/>
        <w:spacing w:after="0" w:line="328" w:lineRule="auto"/>
        <w:rPr>
          <w:sz w:val="20"/>
          <w:szCs w:val="20"/>
          <w:color w:val="auto"/>
        </w:rPr>
      </w:pPr>
      <w:r>
        <w:rPr>
          <w:rFonts w:ascii="Arial" w:cs="Arial" w:eastAsia="Arial" w:hAnsi="Arial"/>
          <w:sz w:val="19"/>
          <w:szCs w:val="19"/>
          <w:color w:val="auto"/>
        </w:rPr>
        <w:t>NOW, THEREFORE, in consideration of the premises and the covenants in this Agreement, and of Indemnitee serving or continuing to serve the Company as an Agent and intending to be legally bound hereby, the parties hereto agree as follows:</w:t>
      </w:r>
    </w:p>
    <w:p>
      <w:pPr>
        <w:spacing w:after="0" w:line="105" w:lineRule="exact"/>
        <w:rPr>
          <w:sz w:val="20"/>
          <w:szCs w:val="20"/>
          <w:color w:val="auto"/>
        </w:rPr>
      </w:pPr>
    </w:p>
    <w:p>
      <w:pPr>
        <w:jc w:val="both"/>
        <w:ind w:firstLine="872"/>
        <w:spacing w:after="0" w:line="275" w:lineRule="auto"/>
        <w:tabs>
          <w:tab w:leader="none" w:pos="1674"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010000"/>
        </w:rPr>
        <w:t>Services by Indemnitee</w:t>
      </w:r>
      <w:r>
        <w:rPr>
          <w:rFonts w:ascii="Arial" w:cs="Arial" w:eastAsia="Arial" w:hAnsi="Arial"/>
          <w:sz w:val="19"/>
          <w:szCs w:val="19"/>
          <w:color w:val="000000"/>
        </w:rPr>
        <w:t>. Indemnitee agrees to serve or continue to serve (a) as a director or an officer of the</w:t>
      </w:r>
      <w:r>
        <w:rPr>
          <w:rFonts w:ascii="Arial" w:cs="Arial" w:eastAsia="Arial" w:hAnsi="Arial"/>
          <w:sz w:val="19"/>
          <w:szCs w:val="19"/>
          <w:color w:val="010000"/>
        </w:rPr>
        <w:t xml:space="preserve"> </w:t>
      </w:r>
      <w:r>
        <w:rPr>
          <w:rFonts w:ascii="Arial" w:cs="Arial" w:eastAsia="Arial" w:hAnsi="Arial"/>
          <w:sz w:val="19"/>
          <w:szCs w:val="19"/>
          <w:color w:val="000000"/>
        </w:rPr>
        <w:t>Company, or both, so long as Indemnitee is duly appointed or elected and qualified, and until such time as Indemnitee resigns or fails to stand for election or is removed from Indemnitee’s position in each case in accordance with the applicable provisions of the Certificate of Incorporation and Bylaws of the Company, or (b) otherwise as an Agent of the Company. Indemnitee may from time to time also perform other services at the request or for the convenience of, or otherwise benefiting the Company or any subsidiary of the Company. Indemnitee may at any time and for any reason resign or be removed from such position (subject to any other contractual obligation or other obligation imposed by operation of law), in which event the Company shall have no obligation under this Agreement to continue Indemnitee in any such position.</w:t>
      </w:r>
    </w:p>
    <w:p>
      <w:pPr>
        <w:spacing w:after="0" w:line="157" w:lineRule="exact"/>
        <w:rPr>
          <w:rFonts w:ascii="Arial" w:cs="Arial" w:eastAsia="Arial" w:hAnsi="Arial"/>
          <w:sz w:val="19"/>
          <w:szCs w:val="19"/>
          <w:color w:val="010000"/>
        </w:rPr>
      </w:pPr>
    </w:p>
    <w:p>
      <w:pPr>
        <w:ind w:firstLine="872"/>
        <w:spacing w:after="0" w:line="250" w:lineRule="auto"/>
        <w:tabs>
          <w:tab w:leader="none" w:pos="1674" w:val="left"/>
        </w:tabs>
        <w:numPr>
          <w:ilvl w:val="0"/>
          <w:numId w:val="38"/>
        </w:numPr>
        <w:rPr>
          <w:rFonts w:ascii="Arial" w:cs="Arial" w:eastAsia="Arial" w:hAnsi="Arial"/>
          <w:sz w:val="22"/>
          <w:szCs w:val="22"/>
          <w:color w:val="010000"/>
        </w:rPr>
      </w:pPr>
      <w:r>
        <w:rPr>
          <w:rFonts w:ascii="Arial" w:cs="Arial" w:eastAsia="Arial" w:hAnsi="Arial"/>
          <w:sz w:val="22"/>
          <w:szCs w:val="22"/>
          <w:u w:val="single" w:color="auto"/>
          <w:color w:val="010000"/>
        </w:rPr>
        <w:t>Indemnification of Indemnitee</w:t>
      </w:r>
      <w:r>
        <w:rPr>
          <w:rFonts w:ascii="Arial" w:cs="Arial" w:eastAsia="Arial" w:hAnsi="Arial"/>
          <w:sz w:val="22"/>
          <w:szCs w:val="22"/>
          <w:color w:val="000000"/>
        </w:rPr>
        <w:t>. Subject to the limitations set forth herein and particularly in Section 6 hereof,</w:t>
      </w:r>
      <w:r>
        <w:rPr>
          <w:rFonts w:ascii="Arial" w:cs="Arial" w:eastAsia="Arial" w:hAnsi="Arial"/>
          <w:sz w:val="22"/>
          <w:szCs w:val="22"/>
          <w:color w:val="010000"/>
        </w:rPr>
        <w:t xml:space="preserve"> </w:t>
      </w:r>
      <w:r>
        <w:rPr>
          <w:rFonts w:ascii="Arial" w:cs="Arial" w:eastAsia="Arial" w:hAnsi="Arial"/>
          <w:sz w:val="22"/>
          <w:szCs w:val="22"/>
          <w:color w:val="000000"/>
        </w:rPr>
        <w:t>the Company hereby agrees to indemnify Indemnitee as follows:</w:t>
      </w:r>
    </w:p>
    <w:p>
      <w:pPr>
        <w:spacing w:after="0" w:line="175" w:lineRule="exact"/>
        <w:rPr>
          <w:sz w:val="20"/>
          <w:szCs w:val="20"/>
          <w:color w:val="auto"/>
        </w:rPr>
      </w:pPr>
    </w:p>
    <w:p>
      <w:pPr>
        <w:jc w:val="both"/>
        <w:ind w:firstLine="872"/>
        <w:spacing w:after="0" w:line="277" w:lineRule="auto"/>
        <w:tabs>
          <w:tab w:leader="none" w:pos="1751" w:val="left"/>
        </w:tabs>
        <w:numPr>
          <w:ilvl w:val="0"/>
          <w:numId w:val="39"/>
        </w:numPr>
        <w:rPr>
          <w:rFonts w:ascii="Arial" w:cs="Arial" w:eastAsia="Arial" w:hAnsi="Arial"/>
          <w:sz w:val="19"/>
          <w:szCs w:val="19"/>
          <w:color w:val="010000"/>
        </w:rPr>
      </w:pPr>
      <w:r>
        <w:rPr>
          <w:rFonts w:ascii="Arial" w:cs="Arial" w:eastAsia="Arial" w:hAnsi="Arial"/>
          <w:sz w:val="19"/>
          <w:szCs w:val="19"/>
          <w:color w:val="010000"/>
        </w:rPr>
        <w:t>The Company shall, with respect to any Proceeding (as hereinafter defined), indemnify Indemnitee to the fullest extent permitted by applicable law or as such law may from time to time be amended (but, in the case of any such amendment, only to the extent such amendment permits the Company to provide broader indemnification rights than the law permitted the Company to provide before such amendment). The right to indemnification conferred herein shall be presumed to have been relied upon by Indemnitee in serving or continuing to serve the Company as an Agent and shall be enforceable as a contract right. Without in any way diminishing the scope of the indemnification provided by this Section 2(a), the rights of indemnification of Indemnitee shall include but shall not be limited to those rights hereinafter set forth.</w:t>
      </w:r>
    </w:p>
    <w:p>
      <w:pPr>
        <w:spacing w:after="0" w:line="151" w:lineRule="exact"/>
        <w:rPr>
          <w:rFonts w:ascii="Arial" w:cs="Arial" w:eastAsia="Arial" w:hAnsi="Arial"/>
          <w:sz w:val="19"/>
          <w:szCs w:val="19"/>
          <w:color w:val="010000"/>
        </w:rPr>
      </w:pPr>
    </w:p>
    <w:p>
      <w:pPr>
        <w:jc w:val="both"/>
        <w:ind w:firstLine="872"/>
        <w:spacing w:after="0" w:line="246" w:lineRule="auto"/>
        <w:tabs>
          <w:tab w:leader="none" w:pos="1763" w:val="left"/>
        </w:tabs>
        <w:numPr>
          <w:ilvl w:val="0"/>
          <w:numId w:val="39"/>
        </w:numPr>
        <w:rPr>
          <w:rFonts w:ascii="Arial" w:cs="Arial" w:eastAsia="Arial" w:hAnsi="Arial"/>
          <w:sz w:val="21"/>
          <w:szCs w:val="21"/>
          <w:color w:val="010000"/>
        </w:rPr>
      </w:pPr>
      <w:r>
        <w:rPr>
          <w:rFonts w:ascii="Arial" w:cs="Arial" w:eastAsia="Arial" w:hAnsi="Arial"/>
          <w:sz w:val="21"/>
          <w:szCs w:val="21"/>
          <w:color w:val="010000"/>
        </w:rPr>
        <w:t>The Company shall indemnify Indemnitee if Indemnitee is or was a party or is threatened to be made a party to any Proceeding (other than an action by or in the right of the Company) by reason of the fact that Indemnitee is or was an Agent of the Company, or any subsidiary of the Company, or by reason of the fact that Indemnitee is or was serving at the request of the Company as an Agent of another corporation, partnership, joint venture, trust or other enterprise, against Expenses (as hereinafter defined) or Liabilities (as hereinafter defined), actually and reasonably incurred by Indemnitee in connection with such Proceeding if Indemnitee acted in good faith and in a manner Indemnitee reasonably believed to be in or not opposed to the best interests of the Company, and, with respect to any criminal action or proceeding, had no reasonable cause to believe Indemnitee’s conduct was unlawful.</w:t>
      </w:r>
    </w:p>
    <w:p>
      <w:pPr>
        <w:spacing w:after="0" w:line="179" w:lineRule="exact"/>
        <w:rPr>
          <w:rFonts w:ascii="Arial" w:cs="Arial" w:eastAsia="Arial" w:hAnsi="Arial"/>
          <w:sz w:val="21"/>
          <w:szCs w:val="21"/>
          <w:color w:val="010000"/>
        </w:rPr>
      </w:pPr>
    </w:p>
    <w:p>
      <w:pPr>
        <w:jc w:val="both"/>
        <w:ind w:firstLine="872"/>
        <w:spacing w:after="0" w:line="235" w:lineRule="auto"/>
        <w:tabs>
          <w:tab w:leader="none" w:pos="1751" w:val="left"/>
        </w:tabs>
        <w:numPr>
          <w:ilvl w:val="0"/>
          <w:numId w:val="39"/>
        </w:numPr>
        <w:rPr>
          <w:rFonts w:ascii="Arial" w:cs="Arial" w:eastAsia="Arial" w:hAnsi="Arial"/>
          <w:sz w:val="22"/>
          <w:szCs w:val="22"/>
          <w:color w:val="010000"/>
        </w:rPr>
      </w:pPr>
      <w:r>
        <w:rPr>
          <w:rFonts w:ascii="Arial" w:cs="Arial" w:eastAsia="Arial" w:hAnsi="Arial"/>
          <w:sz w:val="22"/>
          <w:szCs w:val="22"/>
          <w:color w:val="010000"/>
        </w:rPr>
        <w:t>The Company shall indemnify Indemnitee if Indemnitee was or is a party or is threatened to be made a party to any Proceeding by or in the right of the Company or any subsidiary of the Company to procure a judgment in its favor by reason of the fact that Indemnitee is or was an Agent of the Company, or any subsidiary of the Company, or by reason of the fact that Indemnitee is or was serving at the request of the Company as an Agent of another corporation, partnership, joint venture, trust or other enterprise, against (i) Expenses and (ii) to the fullest extent permitted by law, Liabilities if Indemnitee acted in good faith and in a manner Indemnitee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4" w:name="page105"/>
    <w:bookmarkEnd w:id="104"/>
    <w:p>
      <w:pPr>
        <w:jc w:val="both"/>
        <w:spacing w:after="0" w:line="279" w:lineRule="auto"/>
        <w:rPr>
          <w:sz w:val="20"/>
          <w:szCs w:val="20"/>
          <w:color w:val="auto"/>
        </w:rPr>
      </w:pPr>
      <w:r>
        <w:rPr>
          <w:rFonts w:ascii="Arial" w:cs="Arial" w:eastAsia="Arial" w:hAnsi="Arial"/>
          <w:sz w:val="19"/>
          <w:szCs w:val="19"/>
          <w:color w:val="010000"/>
        </w:rPr>
        <w:t>reasonably believed to be in or not opposed to the best interests of the Company, except with respect to both clauses (i) and (ii) hereof, no indemnification shall be made in respect of any claim, issue or matter as to which Indemnitee shall have been adjudged to be liable to the Company unless and only to the extent that the Court of Chancery of the State of Delaware or the court in which such action or suit was brought shall determine upon application that, despite the adjudication of liability but in view of all the circumstances of the case, Indemnitee is fairly and reasonably entitled to indemnity for such expenses which the Court of Chancery of the State of Delaware or such other court shall deem proper.</w:t>
      </w:r>
    </w:p>
    <w:p>
      <w:pPr>
        <w:spacing w:after="0" w:line="150" w:lineRule="exact"/>
        <w:rPr>
          <w:sz w:val="20"/>
          <w:szCs w:val="20"/>
          <w:color w:val="auto"/>
        </w:rPr>
      </w:pPr>
    </w:p>
    <w:p>
      <w:pPr>
        <w:jc w:val="both"/>
        <w:ind w:firstLine="872"/>
        <w:spacing w:after="0" w:line="272" w:lineRule="auto"/>
        <w:tabs>
          <w:tab w:leader="none" w:pos="1674"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010000"/>
        </w:rPr>
        <w:t>Advancement of Expenses</w:t>
      </w:r>
      <w:r>
        <w:rPr>
          <w:rFonts w:ascii="Arial" w:cs="Arial" w:eastAsia="Arial" w:hAnsi="Arial"/>
          <w:sz w:val="19"/>
          <w:szCs w:val="19"/>
          <w:color w:val="000000"/>
        </w:rPr>
        <w:t>. All reasonable Expenses incurred by or on behalf of Indemnitee (including costs</w:t>
      </w:r>
      <w:r>
        <w:rPr>
          <w:rFonts w:ascii="Arial" w:cs="Arial" w:eastAsia="Arial" w:hAnsi="Arial"/>
          <w:sz w:val="19"/>
          <w:szCs w:val="19"/>
          <w:color w:val="010000"/>
        </w:rPr>
        <w:t xml:space="preserve"> </w:t>
      </w:r>
      <w:r>
        <w:rPr>
          <w:rFonts w:ascii="Arial" w:cs="Arial" w:eastAsia="Arial" w:hAnsi="Arial"/>
          <w:sz w:val="19"/>
          <w:szCs w:val="19"/>
          <w:color w:val="000000"/>
        </w:rPr>
        <w:t>of enforcement of this Agreement) shall be advanced from time to time by the Company to Indemnitee within thirty (30) days after the receipt by the Company of a written request for an advance of Expenses, whether prior to or after final disposition of a Proceeding (except to the extent that there has been a Final Adverse Determination (as hereinafter defined) that Indemnitee is not entitled to be indemnified for such Expenses), including without limitation any Proceeding brought by or in the right of the Company. The written request for an advancement of any and all Expenses under this paragraph shall contain reasonable detail of the Expenses incurred by Indemnitee. In the event that such written request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 By execution of this Agreement, Indemnitee shall be deemed to have made whatever undertaking as may be required by law at the time of any advancement of Expenses with respect to repayment to the Company of such Expenses. In the event that the Company shall breach its obligation to advance Expenses under this Section 3, the parties hereto agree that Indemnitee’s remedies available at law would not be adequate and that Indemnitee would be entitled to specific performance.</w:t>
      </w:r>
    </w:p>
    <w:p>
      <w:pPr>
        <w:spacing w:after="0" w:line="155" w:lineRule="exact"/>
        <w:rPr>
          <w:rFonts w:ascii="Arial" w:cs="Arial" w:eastAsia="Arial" w:hAnsi="Arial"/>
          <w:sz w:val="19"/>
          <w:szCs w:val="19"/>
          <w:color w:val="010000"/>
        </w:rPr>
      </w:pPr>
    </w:p>
    <w:p>
      <w:pPr>
        <w:jc w:val="both"/>
        <w:ind w:firstLine="872"/>
        <w:spacing w:after="0" w:line="233" w:lineRule="auto"/>
        <w:tabs>
          <w:tab w:leader="none" w:pos="1674"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010000"/>
        </w:rPr>
        <w:t>Presumptions and Effect of Certain Proceedings</w:t>
      </w:r>
      <w:r>
        <w:rPr>
          <w:rFonts w:ascii="Arial" w:cs="Arial" w:eastAsia="Arial" w:hAnsi="Arial"/>
          <w:sz w:val="22"/>
          <w:szCs w:val="22"/>
          <w:color w:val="000000"/>
        </w:rPr>
        <w:t>. Upon making a request for indemnification, Indemnitee</w:t>
      </w:r>
      <w:r>
        <w:rPr>
          <w:rFonts w:ascii="Arial" w:cs="Arial" w:eastAsia="Arial" w:hAnsi="Arial"/>
          <w:sz w:val="22"/>
          <w:szCs w:val="22"/>
          <w:color w:val="010000"/>
        </w:rPr>
        <w:t xml:space="preserve"> </w:t>
      </w:r>
      <w:r>
        <w:rPr>
          <w:rFonts w:ascii="Arial" w:cs="Arial" w:eastAsia="Arial" w:hAnsi="Arial"/>
          <w:sz w:val="22"/>
          <w:szCs w:val="22"/>
          <w:color w:val="000000"/>
        </w:rPr>
        <w:t>shall be presumed to be entitled to indemnification under this Agreement and the Company shall have the burden of proof to overcome that presumption in reaching any contrary determination. The termination of any Proceeding by judgment, order, settlement, arbitration award or conviction, or upon a plea of nolo contendere or its equivalent shall not affect this presumption or, except as determined by a judgment or other final adjudication adverse to Indemnitee, establish a presumption regarding any factual matter relevant to determining Indemnitee’s rights to indemnification hereunder. If the person or persons so empowered to make a determination pursuant to Section 5 hereof shall have failed to make the requested determination within the period provided for in Section 5 hereof, a determination that Indemnitee is entitled to indemnification shall be deemed to have been made.</w:t>
      </w:r>
    </w:p>
    <w:p>
      <w:pPr>
        <w:spacing w:after="0" w:line="192" w:lineRule="exact"/>
        <w:rPr>
          <w:rFonts w:ascii="Arial" w:cs="Arial" w:eastAsia="Arial" w:hAnsi="Arial"/>
          <w:sz w:val="22"/>
          <w:szCs w:val="22"/>
          <w:color w:val="010000"/>
        </w:rPr>
      </w:pPr>
    </w:p>
    <w:p>
      <w:pPr>
        <w:ind w:left="1680" w:hanging="808"/>
        <w:spacing w:after="0"/>
        <w:tabs>
          <w:tab w:leader="none" w:pos="1680"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010000"/>
        </w:rPr>
        <w:t>Procedure for Determination of Entitlement to Indemnification</w:t>
      </w:r>
      <w:r>
        <w:rPr>
          <w:rFonts w:ascii="Arial" w:cs="Arial" w:eastAsia="Arial" w:hAnsi="Arial"/>
          <w:sz w:val="22"/>
          <w:szCs w:val="22"/>
          <w:u w:val="single" w:color="auto"/>
          <w:color w:val="000000"/>
        </w:rPr>
        <w:t>.</w:t>
      </w:r>
    </w:p>
    <w:p>
      <w:pPr>
        <w:spacing w:after="0" w:line="206" w:lineRule="exact"/>
        <w:rPr>
          <w:sz w:val="20"/>
          <w:szCs w:val="20"/>
          <w:color w:val="auto"/>
        </w:rPr>
      </w:pPr>
    </w:p>
    <w:p>
      <w:pPr>
        <w:jc w:val="both"/>
        <w:ind w:firstLine="872"/>
        <w:spacing w:after="0" w:line="282" w:lineRule="auto"/>
        <w:tabs>
          <w:tab w:leader="none" w:pos="1751" w:val="left"/>
        </w:tabs>
        <w:numPr>
          <w:ilvl w:val="0"/>
          <w:numId w:val="41"/>
        </w:numPr>
        <w:rPr>
          <w:rFonts w:ascii="Arial" w:cs="Arial" w:eastAsia="Arial" w:hAnsi="Arial"/>
          <w:sz w:val="19"/>
          <w:szCs w:val="19"/>
          <w:color w:val="010000"/>
        </w:rPr>
      </w:pPr>
      <w:r>
        <w:rPr>
          <w:rFonts w:ascii="Arial" w:cs="Arial" w:eastAsia="Arial" w:hAnsi="Arial"/>
          <w:sz w:val="19"/>
          <w:szCs w:val="19"/>
          <w:color w:val="010000"/>
        </w:rPr>
        <w:t>Whenever Indemnitee believes that Indemnitee is entitled to indemnification pursuant to this Agreement, Indemnitee shall submit a written request for indemnification to the Company. Any request for indemnification shall include sufficient documentation or information reasonably available to Indemnitee for the determination of entitlement to indemnification. In any event, Indemnitee shall submit Indemnitee’s claim for indemnification within a reasonable time, not to exceed five (5) years after any judgment, order, settlement, dismissal, arbitration award,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jc w:val="both"/>
        <w:spacing w:after="0" w:line="274" w:lineRule="auto"/>
        <w:rPr>
          <w:sz w:val="20"/>
          <w:szCs w:val="20"/>
          <w:color w:val="auto"/>
        </w:rPr>
      </w:pPr>
      <w:r>
        <w:rPr>
          <w:rFonts w:ascii="Arial" w:cs="Arial" w:eastAsia="Arial" w:hAnsi="Arial"/>
          <w:sz w:val="19"/>
          <w:szCs w:val="19"/>
          <w:color w:val="010000"/>
        </w:rPr>
        <w:t>conviction, acceptance of a plea of nolo contendere or its equivalent, or final determination, whichever is the later date for which Indemnitee requests indemnification. The Secretary or other appropriate officer shall, promptly upon receipt of Indemnitee’s request for indemnification, advise the Board of Directors in writing that Indemnitee has made such request. Determination of Indemnitee’s entitlement to indemnification shall be made not later than sixty (60) days after the Company’s receipt of Indemnitee’s written request for such indemnification, provided that any request for indemnification for Liabilities, other than amounts paid in settlement, shall have been made after a determination thereof in a Proceeding. If it is so determined that the Indemnitee is entitled to indemnification, and Indemnitee has already paid the Liabilities, reimbursement to the Indemnitee shall be made within ten (10) days after such determination; otherwise, the Company shall pay the Liabilities on behalf of the Indemnitee if and when the Indemnitee becomes legally obligated to make payment.</w:t>
      </w:r>
    </w:p>
    <w:p>
      <w:pPr>
        <w:spacing w:after="0" w:line="158" w:lineRule="exact"/>
        <w:rPr>
          <w:sz w:val="20"/>
          <w:szCs w:val="20"/>
          <w:color w:val="auto"/>
        </w:rPr>
      </w:pPr>
    </w:p>
    <w:p>
      <w:pPr>
        <w:jc w:val="both"/>
        <w:ind w:firstLine="872"/>
        <w:spacing w:after="0" w:line="297" w:lineRule="auto"/>
        <w:tabs>
          <w:tab w:leader="none" w:pos="1763" w:val="left"/>
        </w:tabs>
        <w:numPr>
          <w:ilvl w:val="0"/>
          <w:numId w:val="42"/>
        </w:numPr>
        <w:rPr>
          <w:rFonts w:ascii="Arial" w:cs="Arial" w:eastAsia="Arial" w:hAnsi="Arial"/>
          <w:sz w:val="19"/>
          <w:szCs w:val="19"/>
          <w:color w:val="010000"/>
        </w:rPr>
      </w:pPr>
      <w:r>
        <w:rPr>
          <w:rFonts w:ascii="Arial" w:cs="Arial" w:eastAsia="Arial" w:hAnsi="Arial"/>
          <w:sz w:val="19"/>
          <w:szCs w:val="19"/>
          <w:color w:val="010000"/>
        </w:rPr>
        <w:t>The Company shall be entitled to select the forum in which Indemnitee’s entitlement to indemnification will be heard; provided, however, that if there is a Change in Control of the Company, Independent Legal Counsel (as hereinafter defined) shall determine whether Indemnitee is entitled to indemnification. The forum shall be any one of the following:</w:t>
      </w:r>
    </w:p>
    <w:p>
      <w:pPr>
        <w:spacing w:after="0" w:line="133" w:lineRule="exact"/>
        <w:rPr>
          <w:rFonts w:ascii="Arial" w:cs="Arial" w:eastAsia="Arial" w:hAnsi="Arial"/>
          <w:sz w:val="19"/>
          <w:szCs w:val="19"/>
          <w:color w:val="010000"/>
        </w:rPr>
      </w:pPr>
    </w:p>
    <w:p>
      <w:pPr>
        <w:ind w:left="2520" w:hanging="851"/>
        <w:spacing w:after="0"/>
        <w:tabs>
          <w:tab w:leader="none" w:pos="2520" w:val="left"/>
        </w:tabs>
        <w:numPr>
          <w:ilvl w:val="1"/>
          <w:numId w:val="42"/>
        </w:numPr>
        <w:rPr>
          <w:rFonts w:ascii="Arial" w:cs="Arial" w:eastAsia="Arial" w:hAnsi="Arial"/>
          <w:sz w:val="19"/>
          <w:szCs w:val="19"/>
          <w:color w:val="010000"/>
        </w:rPr>
      </w:pPr>
      <w:r>
        <w:rPr>
          <w:rFonts w:ascii="Arial" w:cs="Arial" w:eastAsia="Arial" w:hAnsi="Arial"/>
          <w:sz w:val="19"/>
          <w:szCs w:val="19"/>
          <w:color w:val="010000"/>
        </w:rPr>
        <w:t>a majority vote of Disinterested Directors (as hereinafter defined), even though less than a quorum;</w:t>
      </w:r>
    </w:p>
    <w:p>
      <w:pPr>
        <w:spacing w:after="0" w:line="240" w:lineRule="exact"/>
        <w:rPr>
          <w:rFonts w:ascii="Arial" w:cs="Arial" w:eastAsia="Arial" w:hAnsi="Arial"/>
          <w:sz w:val="19"/>
          <w:szCs w:val="19"/>
          <w:color w:val="010000"/>
        </w:rPr>
      </w:pPr>
    </w:p>
    <w:p>
      <w:pPr>
        <w:ind w:left="880" w:firstLine="789"/>
        <w:spacing w:after="0" w:line="250" w:lineRule="auto"/>
        <w:tabs>
          <w:tab w:leader="none" w:pos="2589" w:val="left"/>
        </w:tabs>
        <w:numPr>
          <w:ilvl w:val="1"/>
          <w:numId w:val="42"/>
        </w:numPr>
        <w:rPr>
          <w:rFonts w:ascii="Arial" w:cs="Arial" w:eastAsia="Arial" w:hAnsi="Arial"/>
          <w:sz w:val="22"/>
          <w:szCs w:val="22"/>
          <w:color w:val="010000"/>
        </w:rPr>
      </w:pPr>
      <w:r>
        <w:rPr>
          <w:rFonts w:ascii="Arial" w:cs="Arial" w:eastAsia="Arial" w:hAnsi="Arial"/>
          <w:sz w:val="22"/>
          <w:szCs w:val="22"/>
          <w:color w:val="010000"/>
        </w:rPr>
        <w:t>by a committee of Disinterested Directors designated by majority vote of Disinterested Directors, even though less than a quorum;</w:t>
      </w:r>
    </w:p>
    <w:p>
      <w:pPr>
        <w:spacing w:after="0" w:line="174" w:lineRule="exact"/>
        <w:rPr>
          <w:rFonts w:ascii="Arial" w:cs="Arial" w:eastAsia="Arial" w:hAnsi="Arial"/>
          <w:sz w:val="22"/>
          <w:szCs w:val="22"/>
          <w:color w:val="010000"/>
        </w:rPr>
      </w:pPr>
    </w:p>
    <w:p>
      <w:pPr>
        <w:ind w:left="2640" w:hanging="971"/>
        <w:spacing w:after="0"/>
        <w:tabs>
          <w:tab w:leader="none" w:pos="2640" w:val="left"/>
        </w:tabs>
        <w:numPr>
          <w:ilvl w:val="1"/>
          <w:numId w:val="42"/>
        </w:numPr>
        <w:rPr>
          <w:rFonts w:ascii="Arial" w:cs="Arial" w:eastAsia="Arial" w:hAnsi="Arial"/>
          <w:sz w:val="22"/>
          <w:szCs w:val="22"/>
          <w:color w:val="010000"/>
        </w:rPr>
      </w:pPr>
      <w:r>
        <w:rPr>
          <w:rFonts w:ascii="Arial" w:cs="Arial" w:eastAsia="Arial" w:hAnsi="Arial"/>
          <w:sz w:val="22"/>
          <w:szCs w:val="22"/>
          <w:color w:val="010000"/>
        </w:rPr>
        <w:t>Independent Legal Counsel, whose determination shall be made in a written opinion; or</w:t>
      </w:r>
    </w:p>
    <w:p>
      <w:pPr>
        <w:spacing w:after="0" w:line="206" w:lineRule="exact"/>
        <w:rPr>
          <w:rFonts w:ascii="Arial" w:cs="Arial" w:eastAsia="Arial" w:hAnsi="Arial"/>
          <w:sz w:val="22"/>
          <w:szCs w:val="22"/>
          <w:color w:val="010000"/>
        </w:rPr>
      </w:pPr>
    </w:p>
    <w:p>
      <w:pPr>
        <w:ind w:left="2620" w:hanging="951"/>
        <w:spacing w:after="0"/>
        <w:tabs>
          <w:tab w:leader="none" w:pos="2620" w:val="left"/>
        </w:tabs>
        <w:numPr>
          <w:ilvl w:val="1"/>
          <w:numId w:val="42"/>
        </w:numPr>
        <w:rPr>
          <w:rFonts w:ascii="Arial" w:cs="Arial" w:eastAsia="Arial" w:hAnsi="Arial"/>
          <w:sz w:val="22"/>
          <w:szCs w:val="22"/>
          <w:color w:val="010000"/>
        </w:rPr>
      </w:pPr>
      <w:r>
        <w:rPr>
          <w:rFonts w:ascii="Arial" w:cs="Arial" w:eastAsia="Arial" w:hAnsi="Arial"/>
          <w:sz w:val="22"/>
          <w:szCs w:val="22"/>
          <w:color w:val="010000"/>
        </w:rPr>
        <w:t>the stockholders of the Company.</w:t>
      </w:r>
    </w:p>
    <w:p>
      <w:pPr>
        <w:spacing w:after="0" w:line="206" w:lineRule="exact"/>
        <w:rPr>
          <w:sz w:val="20"/>
          <w:szCs w:val="20"/>
          <w:color w:val="auto"/>
        </w:rPr>
      </w:pPr>
    </w:p>
    <w:p>
      <w:pPr>
        <w:jc w:val="both"/>
        <w:ind w:firstLine="872"/>
        <w:spacing w:after="0" w:line="287" w:lineRule="auto"/>
        <w:tabs>
          <w:tab w:leader="none" w:pos="1674" w:val="left"/>
        </w:tabs>
        <w:numPr>
          <w:ilvl w:val="0"/>
          <w:numId w:val="43"/>
        </w:numPr>
        <w:rPr>
          <w:rFonts w:ascii="Arial" w:cs="Arial" w:eastAsia="Arial" w:hAnsi="Arial"/>
          <w:sz w:val="19"/>
          <w:szCs w:val="19"/>
          <w:color w:val="010000"/>
        </w:rPr>
      </w:pPr>
      <w:r>
        <w:rPr>
          <w:rFonts w:ascii="Arial" w:cs="Arial" w:eastAsia="Arial" w:hAnsi="Arial"/>
          <w:sz w:val="19"/>
          <w:szCs w:val="19"/>
          <w:u w:val="single" w:color="auto"/>
          <w:color w:val="010000"/>
        </w:rPr>
        <w:t>Specific Limitations on Indemnification</w:t>
      </w:r>
      <w:r>
        <w:rPr>
          <w:rFonts w:ascii="Arial" w:cs="Arial" w:eastAsia="Arial" w:hAnsi="Arial"/>
          <w:sz w:val="19"/>
          <w:szCs w:val="19"/>
          <w:color w:val="000000"/>
        </w:rPr>
        <w:t>. Notwithstanding anything in this Agreement to the contrary, the</w:t>
      </w:r>
      <w:r>
        <w:rPr>
          <w:rFonts w:ascii="Arial" w:cs="Arial" w:eastAsia="Arial" w:hAnsi="Arial"/>
          <w:sz w:val="19"/>
          <w:szCs w:val="19"/>
          <w:color w:val="010000"/>
        </w:rPr>
        <w:t xml:space="preserve"> </w:t>
      </w:r>
      <w:r>
        <w:rPr>
          <w:rFonts w:ascii="Arial" w:cs="Arial" w:eastAsia="Arial" w:hAnsi="Arial"/>
          <w:sz w:val="19"/>
          <w:szCs w:val="19"/>
          <w:color w:val="000000"/>
        </w:rPr>
        <w:t>Company shall not be obligated under this Agreement to make any payment to Indemnitee with respect to any Proceeding (and Indemnitee hereby waives and relinquishes any right under this Agreement, the Certificate of Incorporation, the Bylaws or otherwise to be indemnified and held harmless or to receive any advancement of Expenses):</w:t>
      </w:r>
    </w:p>
    <w:p>
      <w:pPr>
        <w:spacing w:after="0" w:line="143" w:lineRule="exact"/>
        <w:rPr>
          <w:sz w:val="20"/>
          <w:szCs w:val="20"/>
          <w:color w:val="auto"/>
        </w:rPr>
      </w:pPr>
    </w:p>
    <w:p>
      <w:pPr>
        <w:jc w:val="both"/>
        <w:ind w:firstLine="872"/>
        <w:spacing w:after="0" w:line="252" w:lineRule="auto"/>
        <w:tabs>
          <w:tab w:leader="none" w:pos="1751" w:val="left"/>
        </w:tabs>
        <w:numPr>
          <w:ilvl w:val="0"/>
          <w:numId w:val="44"/>
        </w:numPr>
        <w:rPr>
          <w:rFonts w:ascii="Arial" w:cs="Arial" w:eastAsia="Arial" w:hAnsi="Arial"/>
          <w:sz w:val="21"/>
          <w:szCs w:val="21"/>
          <w:color w:val="010000"/>
        </w:rPr>
      </w:pPr>
      <w:r>
        <w:rPr>
          <w:rFonts w:ascii="Arial" w:cs="Arial" w:eastAsia="Arial" w:hAnsi="Arial"/>
          <w:sz w:val="21"/>
          <w:szCs w:val="21"/>
          <w:color w:val="auto"/>
        </w:rPr>
        <w:t>To the extent that payment is actually made to Indemnitee under any insurance policy or is made to Indemnitee by the Company or an affiliate otherwise than pursuant to this Agreement. Notwithstanding the availability of such insurance, Indemnitee also may claim indemnification from the Company pursuant to this Agreement by assigning to the C</w:t>
      </w:r>
      <w:r>
        <w:rPr>
          <w:rFonts w:ascii="Arial" w:cs="Arial" w:eastAsia="Arial" w:hAnsi="Arial"/>
          <w:sz w:val="21"/>
          <w:szCs w:val="21"/>
          <w:color w:val="010000"/>
        </w:rPr>
        <w:t>ompany any claims under such insurance to the extent Indemnitee is paid by the Company;</w:t>
      </w:r>
    </w:p>
    <w:p>
      <w:pPr>
        <w:spacing w:after="0" w:line="173" w:lineRule="exact"/>
        <w:rPr>
          <w:rFonts w:ascii="Arial" w:cs="Arial" w:eastAsia="Arial" w:hAnsi="Arial"/>
          <w:sz w:val="21"/>
          <w:szCs w:val="21"/>
          <w:color w:val="010000"/>
        </w:rPr>
      </w:pPr>
    </w:p>
    <w:p>
      <w:pPr>
        <w:ind w:firstLine="872"/>
        <w:spacing w:after="0" w:line="250" w:lineRule="auto"/>
        <w:tabs>
          <w:tab w:leader="none" w:pos="1763" w:val="left"/>
        </w:tabs>
        <w:numPr>
          <w:ilvl w:val="0"/>
          <w:numId w:val="44"/>
        </w:numPr>
        <w:rPr>
          <w:rFonts w:ascii="Arial" w:cs="Arial" w:eastAsia="Arial" w:hAnsi="Arial"/>
          <w:sz w:val="22"/>
          <w:szCs w:val="22"/>
          <w:color w:val="010000"/>
        </w:rPr>
      </w:pPr>
      <w:r>
        <w:rPr>
          <w:rFonts w:ascii="Arial" w:cs="Arial" w:eastAsia="Arial" w:hAnsi="Arial"/>
          <w:sz w:val="22"/>
          <w:szCs w:val="22"/>
          <w:color w:val="010000"/>
        </w:rPr>
        <w:t>Provided there has been no Change in Control, for Liabilities in connection with Proceedings settled without the Company’s consent, which consent, however, shall not be unreasonably withheld;</w:t>
      </w:r>
    </w:p>
    <w:p>
      <w:pPr>
        <w:spacing w:after="0" w:line="174" w:lineRule="exact"/>
        <w:rPr>
          <w:rFonts w:ascii="Arial" w:cs="Arial" w:eastAsia="Arial" w:hAnsi="Arial"/>
          <w:sz w:val="22"/>
          <w:szCs w:val="22"/>
          <w:color w:val="010000"/>
        </w:rPr>
      </w:pPr>
    </w:p>
    <w:p>
      <w:pPr>
        <w:ind w:firstLine="872"/>
        <w:spacing w:after="0" w:line="250" w:lineRule="auto"/>
        <w:tabs>
          <w:tab w:leader="none" w:pos="1751" w:val="left"/>
        </w:tabs>
        <w:numPr>
          <w:ilvl w:val="0"/>
          <w:numId w:val="44"/>
        </w:numPr>
        <w:rPr>
          <w:rFonts w:ascii="Arial" w:cs="Arial" w:eastAsia="Arial" w:hAnsi="Arial"/>
          <w:sz w:val="22"/>
          <w:szCs w:val="22"/>
          <w:color w:val="010000"/>
        </w:rPr>
      </w:pPr>
      <w:r>
        <w:rPr>
          <w:rFonts w:ascii="Arial" w:cs="Arial" w:eastAsia="Arial" w:hAnsi="Arial"/>
          <w:sz w:val="22"/>
          <w:szCs w:val="22"/>
          <w:color w:val="010000"/>
        </w:rPr>
        <w:t>For an accounting of profits made from the purchase or sale by Indemnitee of securities of the Company within the meaning of section 16(b) of the Securities Exchange Act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010000"/>
        </w:rPr>
        <w:t>1934, as amended (the “</w:t>
      </w:r>
      <w:r>
        <w:rPr>
          <w:rFonts w:ascii="Arial" w:cs="Arial" w:eastAsia="Arial" w:hAnsi="Arial"/>
          <w:sz w:val="22"/>
          <w:szCs w:val="22"/>
          <w:b w:val="1"/>
          <w:bCs w:val="1"/>
          <w:color w:val="010000"/>
        </w:rPr>
        <w:t>Exchange Act</w:t>
      </w:r>
      <w:r>
        <w:rPr>
          <w:rFonts w:ascii="Arial" w:cs="Arial" w:eastAsia="Arial" w:hAnsi="Arial"/>
          <w:sz w:val="22"/>
          <w:szCs w:val="22"/>
          <w:color w:val="010000"/>
        </w:rPr>
        <w:t>”), or similar provisions of any state statutory or common law;</w:t>
      </w:r>
    </w:p>
    <w:p>
      <w:pPr>
        <w:spacing w:after="0" w:line="212" w:lineRule="exact"/>
        <w:rPr>
          <w:sz w:val="20"/>
          <w:szCs w:val="20"/>
          <w:color w:val="auto"/>
        </w:rPr>
      </w:pPr>
    </w:p>
    <w:p>
      <w:pPr>
        <w:ind w:left="1780" w:hanging="908"/>
        <w:spacing w:after="0"/>
        <w:tabs>
          <w:tab w:leader="none" w:pos="1780" w:val="left"/>
        </w:tabs>
        <w:numPr>
          <w:ilvl w:val="0"/>
          <w:numId w:val="45"/>
        </w:numPr>
        <w:rPr>
          <w:rFonts w:ascii="Arial" w:cs="Arial" w:eastAsia="Arial" w:hAnsi="Arial"/>
          <w:sz w:val="22"/>
          <w:szCs w:val="22"/>
          <w:color w:val="010000"/>
        </w:rPr>
      </w:pPr>
      <w:r>
        <w:rPr>
          <w:rFonts w:ascii="Arial" w:cs="Arial" w:eastAsia="Arial" w:hAnsi="Arial"/>
          <w:sz w:val="22"/>
          <w:szCs w:val="22"/>
          <w:color w:val="010000"/>
        </w:rPr>
        <w:t>To the extent it would be otherwise prohibited by law; or</w:t>
      </w:r>
    </w:p>
    <w:p>
      <w:pPr>
        <w:spacing w:after="0" w:line="206" w:lineRule="exact"/>
        <w:rPr>
          <w:rFonts w:ascii="Arial" w:cs="Arial" w:eastAsia="Arial" w:hAnsi="Arial"/>
          <w:sz w:val="22"/>
          <w:szCs w:val="22"/>
          <w:color w:val="010000"/>
        </w:rPr>
      </w:pPr>
    </w:p>
    <w:p>
      <w:pPr>
        <w:jc w:val="both"/>
        <w:ind w:firstLine="872"/>
        <w:spacing w:after="0"/>
        <w:tabs>
          <w:tab w:leader="none" w:pos="1751" w:val="left"/>
        </w:tabs>
        <w:numPr>
          <w:ilvl w:val="0"/>
          <w:numId w:val="45"/>
        </w:numPr>
        <w:rPr>
          <w:rFonts w:ascii="Arial" w:cs="Arial" w:eastAsia="Arial" w:hAnsi="Arial"/>
          <w:sz w:val="22"/>
          <w:szCs w:val="22"/>
          <w:color w:val="010000"/>
        </w:rPr>
      </w:pPr>
      <w:r>
        <w:rPr>
          <w:rFonts w:ascii="Arial" w:cs="Arial" w:eastAsia="Arial" w:hAnsi="Arial"/>
          <w:sz w:val="22"/>
          <w:szCs w:val="22"/>
          <w:color w:val="010000"/>
        </w:rPr>
        <w:t>In connection with a Proceeding commenced by Indemnitee (other than a Proceeding commenced by Indemnitee to enforce Indemnitee’s rights under this Agreement) unless the commencement of such Proceeding was authorized by the Board of Directors.</w:t>
      </w:r>
    </w:p>
    <w:p>
      <w:pPr>
        <w:spacing w:after="0" w:line="186" w:lineRule="exact"/>
        <w:rPr>
          <w:sz w:val="20"/>
          <w:szCs w:val="20"/>
          <w:color w:val="auto"/>
        </w:rPr>
      </w:pPr>
    </w:p>
    <w:p>
      <w:pPr>
        <w:jc w:val="both"/>
        <w:ind w:firstLine="872"/>
        <w:spacing w:after="0" w:line="236" w:lineRule="auto"/>
        <w:tabs>
          <w:tab w:leader="none" w:pos="1674" w:val="left"/>
        </w:tabs>
        <w:numPr>
          <w:ilvl w:val="0"/>
          <w:numId w:val="46"/>
        </w:numPr>
        <w:rPr>
          <w:rFonts w:ascii="Arial" w:cs="Arial" w:eastAsia="Arial" w:hAnsi="Arial"/>
          <w:sz w:val="22"/>
          <w:szCs w:val="22"/>
          <w:color w:val="010000"/>
        </w:rPr>
      </w:pPr>
      <w:r>
        <w:rPr>
          <w:rFonts w:ascii="Arial" w:cs="Arial" w:eastAsia="Arial" w:hAnsi="Arial"/>
          <w:sz w:val="22"/>
          <w:szCs w:val="22"/>
          <w:u w:val="single" w:color="auto"/>
          <w:color w:val="010000"/>
        </w:rPr>
        <w:t>Fees and Expenses of Independent Legal Counsel</w:t>
      </w:r>
      <w:r>
        <w:rPr>
          <w:rFonts w:ascii="Arial" w:cs="Arial" w:eastAsia="Arial" w:hAnsi="Arial"/>
          <w:sz w:val="22"/>
          <w:szCs w:val="22"/>
          <w:color w:val="000000"/>
        </w:rPr>
        <w:t>. The Company agrees to pay the reasonable fees and</w:t>
      </w:r>
      <w:r>
        <w:rPr>
          <w:rFonts w:ascii="Arial" w:cs="Arial" w:eastAsia="Arial" w:hAnsi="Arial"/>
          <w:sz w:val="22"/>
          <w:szCs w:val="22"/>
          <w:color w:val="010000"/>
        </w:rPr>
        <w:t xml:space="preserve"> </w:t>
      </w:r>
      <w:r>
        <w:rPr>
          <w:rFonts w:ascii="Arial" w:cs="Arial" w:eastAsia="Arial" w:hAnsi="Arial"/>
          <w:sz w:val="22"/>
          <w:szCs w:val="22"/>
          <w:color w:val="000000"/>
        </w:rPr>
        <w:t>expenses of Independent Legal Counsel should such Independent Legal Counsel be retained to make a determination of Indemnitee’s entitlement to indemnification pursuant to Section 5(b) of this Agreement, and to fully indemnify such Independent Legal Counsel against any and all expenses and losses incurred by any of them arising out of or relating to this Agreement or their engagement pursuant hereto.</w:t>
      </w:r>
    </w:p>
    <w:p>
      <w:pPr>
        <w:spacing w:after="0" w:line="187" w:lineRule="exact"/>
        <w:rPr>
          <w:rFonts w:ascii="Arial" w:cs="Arial" w:eastAsia="Arial" w:hAnsi="Arial"/>
          <w:sz w:val="22"/>
          <w:szCs w:val="22"/>
          <w:color w:val="010000"/>
        </w:rPr>
      </w:pPr>
    </w:p>
    <w:p>
      <w:pPr>
        <w:ind w:left="1680" w:hanging="808"/>
        <w:spacing w:after="0"/>
        <w:tabs>
          <w:tab w:leader="none" w:pos="1680" w:val="left"/>
        </w:tabs>
        <w:numPr>
          <w:ilvl w:val="0"/>
          <w:numId w:val="46"/>
        </w:numPr>
        <w:rPr>
          <w:rFonts w:ascii="Arial" w:cs="Arial" w:eastAsia="Arial" w:hAnsi="Arial"/>
          <w:sz w:val="22"/>
          <w:szCs w:val="22"/>
          <w:color w:val="010000"/>
        </w:rPr>
      </w:pPr>
      <w:r>
        <w:rPr>
          <w:rFonts w:ascii="Arial" w:cs="Arial" w:eastAsia="Arial" w:hAnsi="Arial"/>
          <w:sz w:val="22"/>
          <w:szCs w:val="22"/>
          <w:u w:val="single" w:color="auto"/>
          <w:color w:val="auto"/>
        </w:rPr>
        <w:t>Remedies of Indemnitee</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4" w:lineRule="auto"/>
        <w:tabs>
          <w:tab w:leader="none" w:pos="1751" w:val="left"/>
        </w:tabs>
        <w:numPr>
          <w:ilvl w:val="0"/>
          <w:numId w:val="47"/>
        </w:numPr>
        <w:rPr>
          <w:rFonts w:ascii="Arial" w:cs="Arial" w:eastAsia="Arial" w:hAnsi="Arial"/>
          <w:sz w:val="21"/>
          <w:szCs w:val="21"/>
          <w:color w:val="010000"/>
        </w:rPr>
      </w:pPr>
      <w:r>
        <w:rPr>
          <w:rFonts w:ascii="Arial" w:cs="Arial" w:eastAsia="Arial" w:hAnsi="Arial"/>
          <w:sz w:val="21"/>
          <w:szCs w:val="21"/>
          <w:color w:val="010000"/>
        </w:rPr>
        <w:t xml:space="preserve">In the event that (i) a determination pursuant to Section 5 hereof is made that Indemnitee is not entitled to indemnification, (ii) advances of Expenses are not made pursuant to this Agreement, (iii) payment has not been timely made following a determination of entitlement to indemnification pursuant to this Agreement, or (iv) Indemnitee otherwise seeks enforcement of this Agreement, Indemnitee shall be entitled to a final adjudication in the Court of Chancery of the State of Delaware of the remedy sought. Alternatively, unless court approval is required by law for the indemnification sought by Indemnitee, Indemnitee at Indemnitee’s option may seek an award in arbitration to be conducted by a single arbitrator in accordance with </w:t>
      </w:r>
      <w:r>
        <w:rPr>
          <w:rFonts w:ascii="Arial" w:cs="Arial" w:eastAsia="Arial" w:hAnsi="Arial"/>
          <w:sz w:val="21"/>
          <w:szCs w:val="21"/>
          <w:color w:val="000000"/>
        </w:rPr>
        <w:t>JAMS’ Comprehensive Arbitration Rules and Procedures</w:t>
      </w:r>
      <w:r>
        <w:rPr>
          <w:rFonts w:ascii="Arial" w:cs="Arial" w:eastAsia="Arial" w:hAnsi="Arial"/>
          <w:sz w:val="21"/>
          <w:szCs w:val="21"/>
          <w:color w:val="010000"/>
        </w:rPr>
        <w:t xml:space="preserve"> then in effect, which award is to be made within ninety (90) days following the filing of the demand for arbitration. The Company shall not oppose Indemnitee’s right to seek any such adjudication or arbitration award. In any such proceeding or arbitration Indemnitee shall be presumed to be entitled to indemnification and advancement of Expenses under this Agreement and the Company shall have the burden of proof to overcome that presumption.</w:t>
      </w:r>
    </w:p>
    <w:p>
      <w:pPr>
        <w:spacing w:after="0" w:line="188" w:lineRule="exact"/>
        <w:rPr>
          <w:rFonts w:ascii="Arial" w:cs="Arial" w:eastAsia="Arial" w:hAnsi="Arial"/>
          <w:sz w:val="21"/>
          <w:szCs w:val="21"/>
          <w:color w:val="010000"/>
        </w:rPr>
      </w:pPr>
    </w:p>
    <w:p>
      <w:pPr>
        <w:jc w:val="both"/>
        <w:ind w:firstLine="872"/>
        <w:spacing w:after="0" w:line="238" w:lineRule="auto"/>
        <w:tabs>
          <w:tab w:leader="none" w:pos="1763" w:val="left"/>
        </w:tabs>
        <w:numPr>
          <w:ilvl w:val="0"/>
          <w:numId w:val="47"/>
        </w:numPr>
        <w:rPr>
          <w:rFonts w:ascii="Arial" w:cs="Arial" w:eastAsia="Arial" w:hAnsi="Arial"/>
          <w:sz w:val="22"/>
          <w:szCs w:val="22"/>
          <w:color w:val="010000"/>
        </w:rPr>
      </w:pPr>
      <w:r>
        <w:rPr>
          <w:rFonts w:ascii="Arial" w:cs="Arial" w:eastAsia="Arial" w:hAnsi="Arial"/>
          <w:sz w:val="22"/>
          <w:szCs w:val="22"/>
          <w:color w:val="010000"/>
        </w:rPr>
        <w:t xml:space="preserve">In the event that a determination that Indemnitee is not entitled to indemnification, in whole or in part, has been made pursuant to Section 5 hereof, the decision in the judicial proceeding or arbitration provided in paragraph (a) of this Section 8 shall be made </w:t>
      </w:r>
      <w:r>
        <w:rPr>
          <w:rFonts w:ascii="Arial" w:cs="Arial" w:eastAsia="Arial" w:hAnsi="Arial"/>
          <w:sz w:val="22"/>
          <w:szCs w:val="22"/>
          <w:i w:val="1"/>
          <w:iCs w:val="1"/>
          <w:color w:val="010000"/>
        </w:rPr>
        <w:t>de novo</w:t>
      </w:r>
      <w:r>
        <w:rPr>
          <w:rFonts w:ascii="Arial" w:cs="Arial" w:eastAsia="Arial" w:hAnsi="Arial"/>
          <w:sz w:val="22"/>
          <w:szCs w:val="22"/>
          <w:color w:val="010000"/>
        </w:rPr>
        <w:t xml:space="preserve"> and Indemnitee shall not be prejudiced by reason of a determination that Indemnitee is not entitled to indemnification.</w:t>
      </w:r>
    </w:p>
    <w:p>
      <w:pPr>
        <w:spacing w:after="0" w:line="184" w:lineRule="exact"/>
        <w:rPr>
          <w:rFonts w:ascii="Arial" w:cs="Arial" w:eastAsia="Arial" w:hAnsi="Arial"/>
          <w:sz w:val="22"/>
          <w:szCs w:val="22"/>
          <w:color w:val="010000"/>
        </w:rPr>
      </w:pPr>
    </w:p>
    <w:p>
      <w:pPr>
        <w:jc w:val="both"/>
        <w:ind w:firstLine="872"/>
        <w:spacing w:after="0"/>
        <w:tabs>
          <w:tab w:leader="none" w:pos="1751" w:val="left"/>
        </w:tabs>
        <w:numPr>
          <w:ilvl w:val="0"/>
          <w:numId w:val="47"/>
        </w:numPr>
        <w:rPr>
          <w:rFonts w:ascii="Arial" w:cs="Arial" w:eastAsia="Arial" w:hAnsi="Arial"/>
          <w:sz w:val="22"/>
          <w:szCs w:val="22"/>
          <w:color w:val="010000"/>
        </w:rPr>
      </w:pPr>
      <w:r>
        <w:rPr>
          <w:rFonts w:ascii="Arial" w:cs="Arial" w:eastAsia="Arial" w:hAnsi="Arial"/>
          <w:sz w:val="22"/>
          <w:szCs w:val="22"/>
          <w:color w:val="010000"/>
        </w:rPr>
        <w:t>If a determination that Indemnitee is entitled to indemnification has been made pursuant to Section 5 hereof, or is deemed to have been made pursuant to Section 4 hereof or otherwise pursuant to the terms of this Agreement, the Company shall be bound by such determination.</w:t>
      </w:r>
    </w:p>
    <w:p>
      <w:pPr>
        <w:spacing w:after="0" w:line="186" w:lineRule="exact"/>
        <w:rPr>
          <w:rFonts w:ascii="Arial" w:cs="Arial" w:eastAsia="Arial" w:hAnsi="Arial"/>
          <w:sz w:val="22"/>
          <w:szCs w:val="22"/>
          <w:color w:val="010000"/>
        </w:rPr>
      </w:pPr>
    </w:p>
    <w:p>
      <w:pPr>
        <w:jc w:val="both"/>
        <w:ind w:firstLine="872"/>
        <w:spacing w:after="0" w:line="297" w:lineRule="auto"/>
        <w:tabs>
          <w:tab w:leader="none" w:pos="1763" w:val="left"/>
        </w:tabs>
        <w:numPr>
          <w:ilvl w:val="0"/>
          <w:numId w:val="47"/>
        </w:numPr>
        <w:rPr>
          <w:rFonts w:ascii="Arial" w:cs="Arial" w:eastAsia="Arial" w:hAnsi="Arial"/>
          <w:sz w:val="19"/>
          <w:szCs w:val="19"/>
          <w:color w:val="010000"/>
        </w:rPr>
      </w:pPr>
      <w:r>
        <w:rPr>
          <w:rFonts w:ascii="Arial" w:cs="Arial" w:eastAsia="Arial" w:hAnsi="Arial"/>
          <w:sz w:val="19"/>
          <w:szCs w:val="19"/>
          <w:color w:val="010000"/>
        </w:rPr>
        <w:t>The Company shall be precluded from asserting that the procedures and presumptions of this Agreement are not valid, binding and enforceable. The Company shall stipulate in any such court or before any such arbitrator that the Company is bound by all the provisions of this Agreement and is precluded from making any assertion to the contrary.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7" w:name="page108"/>
    <w:bookmarkEnd w:id="107"/>
    <w:p>
      <w:pPr>
        <w:jc w:val="both"/>
        <w:ind w:firstLine="872"/>
        <w:spacing w:after="0" w:line="297" w:lineRule="auto"/>
        <w:tabs>
          <w:tab w:leader="none" w:pos="1751" w:val="left"/>
        </w:tabs>
        <w:numPr>
          <w:ilvl w:val="0"/>
          <w:numId w:val="48"/>
        </w:numPr>
        <w:rPr>
          <w:rFonts w:ascii="Arial" w:cs="Arial" w:eastAsia="Arial" w:hAnsi="Arial"/>
          <w:sz w:val="19"/>
          <w:szCs w:val="19"/>
          <w:color w:val="010000"/>
        </w:rPr>
      </w:pPr>
      <w:r>
        <w:rPr>
          <w:rFonts w:ascii="Arial" w:cs="Arial" w:eastAsia="Arial" w:hAnsi="Arial"/>
          <w:sz w:val="19"/>
          <w:szCs w:val="19"/>
          <w:color w:val="010000"/>
        </w:rPr>
        <w:t>Expenses reasonably incurred by Indemnitee in connection with Indemnitee’s request for indemnification under, seeking enforcement of or to recover damages for breach of this Agreement shall be advanced by the Company when and as incurred by Indemnitee irrespective of any Final Adverse Determination that Indemnitee is not entitled to indemnification.</w:t>
      </w:r>
    </w:p>
    <w:p>
      <w:pPr>
        <w:spacing w:after="0" w:line="134" w:lineRule="exact"/>
        <w:rPr>
          <w:sz w:val="20"/>
          <w:szCs w:val="20"/>
          <w:color w:val="auto"/>
        </w:rPr>
      </w:pPr>
    </w:p>
    <w:p>
      <w:pPr>
        <w:ind w:right="20" w:firstLine="872"/>
        <w:spacing w:after="0" w:line="246" w:lineRule="auto"/>
        <w:tabs>
          <w:tab w:leader="none" w:pos="1674" w:val="left"/>
        </w:tabs>
        <w:numPr>
          <w:ilvl w:val="0"/>
          <w:numId w:val="49"/>
        </w:numPr>
        <w:rPr>
          <w:rFonts w:ascii="Arial" w:cs="Arial" w:eastAsia="Arial" w:hAnsi="Arial"/>
          <w:sz w:val="21"/>
          <w:szCs w:val="21"/>
          <w:color w:val="010000"/>
        </w:rPr>
      </w:pPr>
      <w:r>
        <w:rPr>
          <w:rFonts w:ascii="Arial" w:cs="Arial" w:eastAsia="Arial" w:hAnsi="Arial"/>
          <w:sz w:val="21"/>
          <w:szCs w:val="21"/>
          <w:u w:val="single" w:color="auto"/>
          <w:color w:val="auto"/>
        </w:rPr>
        <w:t>Contribution</w:t>
      </w:r>
      <w:r>
        <w:rPr>
          <w:rFonts w:ascii="Arial" w:cs="Arial" w:eastAsia="Arial" w:hAnsi="Arial"/>
          <w:sz w:val="21"/>
          <w:szCs w:val="21"/>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79" w:lineRule="exact"/>
        <w:rPr>
          <w:rFonts w:ascii="Arial" w:cs="Arial" w:eastAsia="Arial" w:hAnsi="Arial"/>
          <w:sz w:val="21"/>
          <w:szCs w:val="21"/>
          <w:color w:val="010000"/>
        </w:rPr>
      </w:pPr>
    </w:p>
    <w:p>
      <w:pPr>
        <w:ind w:right="140" w:firstLine="872"/>
        <w:spacing w:after="0" w:line="274" w:lineRule="auto"/>
        <w:tabs>
          <w:tab w:leader="none" w:pos="1782"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The Company represents that it presently has in place certain directors’ and officers’ liability insurance policies covering its directors and officers. Subject only to the provisions within this Section 10, the Company agrees that so long as Indemnitee shall have consented to serve or shall continue to serve as a director or officer of the Company, or both, or as an Agent of the Company, and thereafter so long as Indemnitee shall be subject to any possible Proceeding (such periods being hereinafter sometimes referred to as the “</w:t>
      </w:r>
      <w:r>
        <w:rPr>
          <w:rFonts w:ascii="Arial" w:cs="Arial" w:eastAsia="Arial" w:hAnsi="Arial"/>
          <w:sz w:val="19"/>
          <w:szCs w:val="19"/>
          <w:b w:val="1"/>
          <w:bCs w:val="1"/>
          <w:color w:val="auto"/>
        </w:rPr>
        <w:t>Indemnification Period</w:t>
      </w:r>
      <w:r>
        <w:rPr>
          <w:rFonts w:ascii="Arial" w:cs="Arial" w:eastAsia="Arial" w:hAnsi="Arial"/>
          <w:sz w:val="19"/>
          <w:szCs w:val="19"/>
          <w:color w:val="auto"/>
        </w:rPr>
        <w:t>”), the Company will use all reasonable efforts to maintain in effect for the benefit of Indemnitee one or more valid, binding and enforceable policies of directors’ and officers’ liability insurance from established and reputable insurers, providing, in all material respects, coverage both in scope and amount which are substantially similar to that presently provided or, following the Company’s initial public offering, than that provided as of the time of such initial public offering.</w:t>
      </w:r>
    </w:p>
    <w:p>
      <w:pPr>
        <w:spacing w:after="0" w:line="15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Anything in this Agreement to the contrary notwithstanding, to the extent that and for so long as the Company shall choose to continue to maintain any policies of directors’ and officers’ liability insurance during the Indemnification Period, the Company shall maintain similar and equivalent insurance for the benefit of Indemnitee during the Indemnification Period (unless such insurance shall be less favorable to Indemnitee than the Company’s existing policies).</w:t>
      </w:r>
    </w:p>
    <w:p>
      <w:pPr>
        <w:spacing w:after="0" w:line="143" w:lineRule="exact"/>
        <w:rPr>
          <w:sz w:val="20"/>
          <w:szCs w:val="20"/>
          <w:color w:val="auto"/>
        </w:rPr>
      </w:pPr>
    </w:p>
    <w:p>
      <w:pPr>
        <w:ind w:right="440" w:firstLine="872"/>
        <w:spacing w:after="0" w:line="252" w:lineRule="auto"/>
        <w:tabs>
          <w:tab w:leader="none" w:pos="1774" w:val="left"/>
        </w:tabs>
        <w:numPr>
          <w:ilvl w:val="0"/>
          <w:numId w:val="50"/>
        </w:numPr>
        <w:rPr>
          <w:rFonts w:ascii="Arial" w:cs="Arial" w:eastAsia="Arial" w:hAnsi="Arial"/>
          <w:sz w:val="21"/>
          <w:szCs w:val="21"/>
          <w:color w:val="010000"/>
        </w:rPr>
      </w:pPr>
      <w:r>
        <w:rPr>
          <w:rFonts w:ascii="Arial" w:cs="Arial" w:eastAsia="Arial" w:hAnsi="Arial"/>
          <w:sz w:val="21"/>
          <w:szCs w:val="21"/>
          <w:u w:val="single" w:color="auto"/>
          <w:color w:val="auto"/>
        </w:rPr>
        <w:t>Modification, Waiver, Termination and Cancellation</w:t>
      </w:r>
      <w:r>
        <w:rPr>
          <w:rFonts w:ascii="Arial" w:cs="Arial" w:eastAsia="Arial" w:hAnsi="Arial"/>
          <w:sz w:val="21"/>
          <w:szCs w:val="21"/>
          <w:color w:val="auto"/>
        </w:rPr>
        <w:t>. No supplement, modification, termination, cancellation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3" w:lineRule="exact"/>
        <w:rPr>
          <w:rFonts w:ascii="Arial" w:cs="Arial" w:eastAsia="Arial" w:hAnsi="Arial"/>
          <w:sz w:val="21"/>
          <w:szCs w:val="21"/>
          <w:color w:val="010000"/>
        </w:rPr>
      </w:pPr>
    </w:p>
    <w:p>
      <w:pPr>
        <w:ind w:right="180" w:firstLine="872"/>
        <w:spacing w:after="0" w:line="238" w:lineRule="auto"/>
        <w:tabs>
          <w:tab w:leader="none" w:pos="1782"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auto"/>
        </w:rPr>
        <w:t>Subrogation</w:t>
      </w:r>
      <w:r>
        <w:rPr>
          <w:rFonts w:ascii="Arial" w:cs="Arial" w:eastAsia="Arial" w:hAnsi="Arial"/>
          <w:sz w:val="22"/>
          <w:szCs w:val="22"/>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ind w:right="80" w:firstLine="864"/>
        <w:spacing w:after="0" w:line="275" w:lineRule="auto"/>
        <w:rPr>
          <w:sz w:val="20"/>
          <w:szCs w:val="20"/>
          <w:color w:val="auto"/>
        </w:rPr>
      </w:pPr>
      <w:r>
        <w:rPr>
          <w:rFonts w:ascii="Arial" w:cs="Arial" w:eastAsia="Arial" w:hAnsi="Arial"/>
          <w:sz w:val="19"/>
          <w:szCs w:val="19"/>
          <w:color w:val="010000"/>
        </w:rPr>
        <w:t xml:space="preserve">13. </w:t>
      </w:r>
      <w:r>
        <w:rPr>
          <w:rFonts w:ascii="Arial" w:cs="Arial" w:eastAsia="Arial" w:hAnsi="Arial"/>
          <w:sz w:val="19"/>
          <w:szCs w:val="19"/>
          <w:u w:val="single" w:color="auto"/>
          <w:color w:val="000000"/>
        </w:rPr>
        <w:t>Notice by Indemnitee and Defense of Claim</w:t>
      </w:r>
      <w:r>
        <w:rPr>
          <w:rFonts w:ascii="Arial" w:cs="Arial" w:eastAsia="Arial" w:hAnsi="Arial"/>
          <w:sz w:val="19"/>
          <w:szCs w:val="19"/>
          <w:color w:val="000000"/>
        </w:rPr>
        <w:t>. Indemnitee shall promptly notify the Company in</w:t>
      </w:r>
      <w:r>
        <w:rPr>
          <w:rFonts w:ascii="Arial" w:cs="Arial" w:eastAsia="Arial" w:hAnsi="Arial"/>
          <w:sz w:val="19"/>
          <w:szCs w:val="19"/>
          <w:color w:val="010000"/>
        </w:rPr>
        <w:t xml:space="preserve"> </w:t>
      </w:r>
      <w:r>
        <w:rPr>
          <w:rFonts w:ascii="Arial" w:cs="Arial" w:eastAsia="Arial" w:hAnsi="Arial"/>
          <w:sz w:val="19"/>
          <w:szCs w:val="19"/>
          <w:color w:val="000000"/>
        </w:rPr>
        <w:t>writing upon being served with any summons, citation, subpoena, complaint, indictment, information or other document relating to any matter, whether civil, criminal, administrative or investigative that may result in the right to indemnification or the advancement of Expenses, but the omission so to notify the Company will not relieve it from any liability that it may have to Indemnitee if such omission does not prejudice the Company’s rights. If such omission does prejudice the Company’s rights, the Company will be relieved from liability only to the extent of such prejudice. Notwithstanding the foregoing, such omission will not relieve the Company from any liability that it may have to Indemnitee otherwise than under this Agreement. With respect to any Proceeding as to which Indemnitee notifies the Company of the commencement thereof:</w:t>
      </w:r>
    </w:p>
    <w:p>
      <w:pPr>
        <w:spacing w:after="0" w:line="157" w:lineRule="exact"/>
        <w:rPr>
          <w:sz w:val="20"/>
          <w:szCs w:val="20"/>
          <w:color w:val="auto"/>
        </w:rPr>
      </w:pPr>
    </w:p>
    <w:p>
      <w:pPr>
        <w:ind w:left="1760" w:hanging="888"/>
        <w:spacing w:after="0"/>
        <w:tabs>
          <w:tab w:leader="none" w:pos="1760" w:val="left"/>
        </w:tabs>
        <w:numPr>
          <w:ilvl w:val="0"/>
          <w:numId w:val="51"/>
        </w:numPr>
        <w:rPr>
          <w:rFonts w:ascii="Arial" w:cs="Arial" w:eastAsia="Arial" w:hAnsi="Arial"/>
          <w:sz w:val="22"/>
          <w:szCs w:val="22"/>
          <w:color w:val="010000"/>
        </w:rPr>
      </w:pPr>
      <w:r>
        <w:rPr>
          <w:rFonts w:ascii="Arial" w:cs="Arial" w:eastAsia="Arial" w:hAnsi="Arial"/>
          <w:sz w:val="22"/>
          <w:szCs w:val="22"/>
          <w:color w:val="010000"/>
        </w:rPr>
        <w:t>The Company will be entitled to participate therein at its own expense; and</w:t>
      </w:r>
    </w:p>
    <w:p>
      <w:pPr>
        <w:spacing w:after="0" w:line="206" w:lineRule="exact"/>
        <w:rPr>
          <w:rFonts w:ascii="Arial" w:cs="Arial" w:eastAsia="Arial" w:hAnsi="Arial"/>
          <w:sz w:val="22"/>
          <w:szCs w:val="22"/>
          <w:color w:val="010000"/>
        </w:rPr>
      </w:pPr>
    </w:p>
    <w:p>
      <w:pPr>
        <w:jc w:val="both"/>
        <w:ind w:firstLine="872"/>
        <w:spacing w:after="0" w:line="274" w:lineRule="auto"/>
        <w:tabs>
          <w:tab w:leader="none" w:pos="1763" w:val="left"/>
        </w:tabs>
        <w:numPr>
          <w:ilvl w:val="0"/>
          <w:numId w:val="51"/>
        </w:numPr>
        <w:rPr>
          <w:rFonts w:ascii="Arial" w:cs="Arial" w:eastAsia="Arial" w:hAnsi="Arial"/>
          <w:sz w:val="19"/>
          <w:szCs w:val="19"/>
          <w:color w:val="010000"/>
        </w:rPr>
      </w:pPr>
      <w:r>
        <w:rPr>
          <w:rFonts w:ascii="Arial" w:cs="Arial" w:eastAsia="Arial" w:hAnsi="Arial"/>
          <w:sz w:val="19"/>
          <w:szCs w:val="19"/>
          <w:color w:val="010000"/>
        </w:rPr>
        <w:t>The Company jointly with any other indemnifying party similarly notified will be entitled to assume the defense thereof, with counsel reasonably satisfactory to Indemnitee; provided, however, that the Company shall not be entitled to assume the defense of any Proceeding if there has been a Change in Control or if Indemnitee shall have reasonably concluded that there may be a conflict of interest between the Company and Indemnitee with respect to such Proceeding. After notice from the Company to Indemnitee of its election to assume the defense thereof, the Company will not be liable to Indemnitee under this Agreement for any Expenses subsequently incurred by Indemnitee in connection with the defense thereof, other than reasonable costs of investigation or as otherwise provided below. Indemnitee shall have the right to employ Indemnitee’s own counsel in such Proceeding, but the fees and expenses of such counsel incurred after notice from the Company of its assumption of the defense thereof shall be at the expense of Indemnitee unless:</w:t>
      </w:r>
    </w:p>
    <w:p>
      <w:pPr>
        <w:spacing w:after="0" w:line="158" w:lineRule="exact"/>
        <w:rPr>
          <w:rFonts w:ascii="Arial" w:cs="Arial" w:eastAsia="Arial" w:hAnsi="Arial"/>
          <w:sz w:val="19"/>
          <w:szCs w:val="19"/>
          <w:color w:val="010000"/>
        </w:rPr>
      </w:pPr>
    </w:p>
    <w:p>
      <w:pPr>
        <w:ind w:left="2520" w:hanging="851"/>
        <w:spacing w:after="0"/>
        <w:tabs>
          <w:tab w:leader="none" w:pos="2520" w:val="left"/>
        </w:tabs>
        <w:numPr>
          <w:ilvl w:val="1"/>
          <w:numId w:val="51"/>
        </w:numPr>
        <w:rPr>
          <w:rFonts w:ascii="Arial" w:cs="Arial" w:eastAsia="Arial" w:hAnsi="Arial"/>
          <w:sz w:val="22"/>
          <w:szCs w:val="22"/>
          <w:color w:val="010000"/>
        </w:rPr>
      </w:pPr>
      <w:r>
        <w:rPr>
          <w:rFonts w:ascii="Arial" w:cs="Arial" w:eastAsia="Arial" w:hAnsi="Arial"/>
          <w:sz w:val="22"/>
          <w:szCs w:val="22"/>
          <w:color w:val="010000"/>
        </w:rPr>
        <w:t>the employment of counsel by Indemnitee has been authorized by the Company;</w:t>
      </w:r>
    </w:p>
    <w:p>
      <w:pPr>
        <w:spacing w:after="0" w:line="206" w:lineRule="exact"/>
        <w:rPr>
          <w:rFonts w:ascii="Arial" w:cs="Arial" w:eastAsia="Arial" w:hAnsi="Arial"/>
          <w:sz w:val="22"/>
          <w:szCs w:val="22"/>
          <w:color w:val="010000"/>
        </w:rPr>
      </w:pPr>
    </w:p>
    <w:p>
      <w:pPr>
        <w:ind w:left="880" w:firstLine="789"/>
        <w:spacing w:after="0" w:line="250" w:lineRule="auto"/>
        <w:tabs>
          <w:tab w:leader="none" w:pos="2589" w:val="left"/>
        </w:tabs>
        <w:numPr>
          <w:ilvl w:val="1"/>
          <w:numId w:val="51"/>
        </w:numPr>
        <w:rPr>
          <w:rFonts w:ascii="Arial" w:cs="Arial" w:eastAsia="Arial" w:hAnsi="Arial"/>
          <w:sz w:val="22"/>
          <w:szCs w:val="22"/>
          <w:color w:val="010000"/>
        </w:rPr>
      </w:pPr>
      <w:r>
        <w:rPr>
          <w:rFonts w:ascii="Arial" w:cs="Arial" w:eastAsia="Arial" w:hAnsi="Arial"/>
          <w:sz w:val="22"/>
          <w:szCs w:val="22"/>
          <w:color w:val="010000"/>
        </w:rPr>
        <w:t>Indemnitee shall have reasonably concluded that counsel engaged by the Company may not adequately represent Indemnitee due to, among other things, actual or potential differing interests; or</w:t>
      </w:r>
    </w:p>
    <w:p>
      <w:pPr>
        <w:spacing w:after="0" w:line="174" w:lineRule="exact"/>
        <w:rPr>
          <w:rFonts w:ascii="Arial" w:cs="Arial" w:eastAsia="Arial" w:hAnsi="Arial"/>
          <w:sz w:val="22"/>
          <w:szCs w:val="22"/>
          <w:color w:val="010000"/>
        </w:rPr>
      </w:pPr>
    </w:p>
    <w:p>
      <w:pPr>
        <w:jc w:val="both"/>
        <w:ind w:left="880" w:firstLine="789"/>
        <w:spacing w:after="0" w:line="297" w:lineRule="auto"/>
        <w:tabs>
          <w:tab w:leader="none" w:pos="2649" w:val="left"/>
        </w:tabs>
        <w:numPr>
          <w:ilvl w:val="1"/>
          <w:numId w:val="51"/>
        </w:numPr>
        <w:rPr>
          <w:rFonts w:ascii="Arial" w:cs="Arial" w:eastAsia="Arial" w:hAnsi="Arial"/>
          <w:sz w:val="19"/>
          <w:szCs w:val="19"/>
          <w:color w:val="010000"/>
        </w:rPr>
      </w:pPr>
      <w:r>
        <w:rPr>
          <w:rFonts w:ascii="Arial" w:cs="Arial" w:eastAsia="Arial" w:hAnsi="Arial"/>
          <w:sz w:val="19"/>
          <w:szCs w:val="19"/>
          <w:color w:val="010000"/>
        </w:rPr>
        <w:t>the Company shall not in fact have employed counsel to assume the defense in such Proceeding or shall not in fact have assumed such defense and be acting in connection therewith with reasonable diligence; in each of which cases the fees and expenses of such counsel shall be at the expense of the Company.</w:t>
      </w:r>
    </w:p>
    <w:p>
      <w:pPr>
        <w:spacing w:after="0" w:line="133" w:lineRule="exact"/>
        <w:rPr>
          <w:rFonts w:ascii="Arial" w:cs="Arial" w:eastAsia="Arial" w:hAnsi="Arial"/>
          <w:sz w:val="19"/>
          <w:szCs w:val="19"/>
          <w:color w:val="010000"/>
        </w:rPr>
      </w:pPr>
    </w:p>
    <w:p>
      <w:pPr>
        <w:jc w:val="both"/>
        <w:ind w:firstLine="872"/>
        <w:spacing w:after="0"/>
        <w:tabs>
          <w:tab w:leader="none" w:pos="1751" w:val="left"/>
        </w:tabs>
        <w:numPr>
          <w:ilvl w:val="0"/>
          <w:numId w:val="51"/>
        </w:numPr>
        <w:rPr>
          <w:rFonts w:ascii="Arial" w:cs="Arial" w:eastAsia="Arial" w:hAnsi="Arial"/>
          <w:sz w:val="22"/>
          <w:szCs w:val="22"/>
          <w:color w:val="010000"/>
        </w:rPr>
      </w:pPr>
      <w:r>
        <w:rPr>
          <w:rFonts w:ascii="Arial" w:cs="Arial" w:eastAsia="Arial" w:hAnsi="Arial"/>
          <w:sz w:val="22"/>
          <w:szCs w:val="22"/>
          <w:color w:val="010000"/>
        </w:rPr>
        <w:t>The Company shall not settle any Proceeding in any manner that would impose any penalty or limitation on Indemnitee without Indemnitee’s written consent; provided, however, that Indemnitee will not unreasonably withhold his or her consent to any proposed settlement.</w:t>
      </w:r>
    </w:p>
    <w:p>
      <w:pPr>
        <w:spacing w:after="0" w:line="186" w:lineRule="exact"/>
        <w:rPr>
          <w:sz w:val="20"/>
          <w:szCs w:val="20"/>
          <w:color w:val="auto"/>
        </w:rPr>
      </w:pPr>
    </w:p>
    <w:p>
      <w:pPr>
        <w:ind w:right="40" w:firstLine="872"/>
        <w:spacing w:after="0"/>
        <w:tabs>
          <w:tab w:leader="none" w:pos="1782"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hereunder shall be in writing and shall be deemed to have been duly given if (i) delivered by hand and receipted for by the party to whom said notice or other communication shall have been directed,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or (ii) mailed by certified or registered mail with postage prepaid, on the third business day after the date on which it is so mailed:</w:t>
      </w:r>
    </w:p>
    <w:p>
      <w:pPr>
        <w:spacing w:after="0" w:line="241" w:lineRule="exact"/>
        <w:rPr>
          <w:sz w:val="20"/>
          <w:szCs w:val="20"/>
          <w:color w:val="auto"/>
        </w:rPr>
      </w:pPr>
    </w:p>
    <w:p>
      <w:pPr>
        <w:ind w:left="1760" w:hanging="888"/>
        <w:spacing w:after="0"/>
        <w:tabs>
          <w:tab w:leader="none" w:pos="1760" w:val="left"/>
        </w:tabs>
        <w:numPr>
          <w:ilvl w:val="0"/>
          <w:numId w:val="53"/>
        </w:numPr>
        <w:rPr>
          <w:rFonts w:ascii="Arial" w:cs="Arial" w:eastAsia="Arial" w:hAnsi="Arial"/>
          <w:sz w:val="21"/>
          <w:szCs w:val="21"/>
          <w:color w:val="010000"/>
        </w:rPr>
      </w:pPr>
      <w:r>
        <w:rPr>
          <w:rFonts w:ascii="Arial" w:cs="Arial" w:eastAsia="Arial" w:hAnsi="Arial"/>
          <w:sz w:val="21"/>
          <w:szCs w:val="21"/>
          <w:color w:val="010000"/>
        </w:rPr>
        <w:t>If to Indemnitee, to the address set forth below Indemnitee’s signature on the signature page hereof.</w:t>
      </w:r>
    </w:p>
    <w:p>
      <w:pPr>
        <w:spacing w:after="0" w:line="217" w:lineRule="exact"/>
        <w:rPr>
          <w:rFonts w:ascii="Arial" w:cs="Arial" w:eastAsia="Arial" w:hAnsi="Arial"/>
          <w:sz w:val="21"/>
          <w:szCs w:val="21"/>
          <w:color w:val="010000"/>
        </w:rPr>
      </w:pPr>
    </w:p>
    <w:p>
      <w:pPr>
        <w:ind w:left="1780" w:hanging="908"/>
        <w:spacing w:after="0"/>
        <w:tabs>
          <w:tab w:leader="none" w:pos="1780" w:val="left"/>
        </w:tabs>
        <w:numPr>
          <w:ilvl w:val="0"/>
          <w:numId w:val="53"/>
        </w:numPr>
        <w:rPr>
          <w:rFonts w:ascii="Arial" w:cs="Arial" w:eastAsia="Arial" w:hAnsi="Arial"/>
          <w:sz w:val="22"/>
          <w:szCs w:val="22"/>
          <w:color w:val="010000"/>
        </w:rPr>
      </w:pPr>
      <w:r>
        <w:rPr>
          <w:rFonts w:ascii="Arial" w:cs="Arial" w:eastAsia="Arial" w:hAnsi="Arial"/>
          <w:sz w:val="22"/>
          <w:szCs w:val="22"/>
          <w:color w:val="010000"/>
        </w:rPr>
        <w:t>If to the Company,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SiTime Corporation</w:t>
      </w:r>
    </w:p>
    <w:p>
      <w:pPr>
        <w:ind w:left="1740"/>
        <w:spacing w:after="0" w:line="238" w:lineRule="auto"/>
        <w:rPr>
          <w:sz w:val="20"/>
          <w:szCs w:val="20"/>
          <w:color w:val="auto"/>
        </w:rPr>
      </w:pPr>
      <w:r>
        <w:rPr>
          <w:rFonts w:ascii="Arial" w:cs="Arial" w:eastAsia="Arial" w:hAnsi="Arial"/>
          <w:sz w:val="22"/>
          <w:szCs w:val="22"/>
          <w:color w:val="auto"/>
        </w:rPr>
        <w:t>5451 Patrick Henry Drive</w:t>
      </w:r>
    </w:p>
    <w:p>
      <w:pPr>
        <w:ind w:left="1740"/>
        <w:spacing w:after="0"/>
        <w:rPr>
          <w:sz w:val="20"/>
          <w:szCs w:val="20"/>
          <w:color w:val="auto"/>
        </w:rPr>
      </w:pPr>
      <w:r>
        <w:rPr>
          <w:rFonts w:ascii="Arial" w:cs="Arial" w:eastAsia="Arial" w:hAnsi="Arial"/>
          <w:sz w:val="22"/>
          <w:szCs w:val="22"/>
          <w:color w:val="auto"/>
        </w:rPr>
        <w:t>Santa Clara, CA 95054</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address as may have been furnished to Indemnitee by the Company or to the Company by Indemnitee, as the case may be.</w:t>
      </w:r>
    </w:p>
    <w:p>
      <w:pPr>
        <w:spacing w:after="0" w:line="175" w:lineRule="exact"/>
        <w:rPr>
          <w:sz w:val="20"/>
          <w:szCs w:val="20"/>
          <w:color w:val="auto"/>
        </w:rPr>
      </w:pPr>
    </w:p>
    <w:p>
      <w:pPr>
        <w:ind w:right="20" w:firstLine="872"/>
        <w:spacing w:after="0" w:line="235" w:lineRule="auto"/>
        <w:tabs>
          <w:tab w:leader="none" w:pos="1782"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Nonexclusivity</w:t>
      </w:r>
      <w:r>
        <w:rPr>
          <w:rFonts w:ascii="Arial" w:cs="Arial" w:eastAsia="Arial" w:hAnsi="Arial"/>
          <w:sz w:val="22"/>
          <w:szCs w:val="22"/>
          <w:color w:val="auto"/>
        </w:rPr>
        <w:t>. The rights of Indemnitee hereunder shall not be deemed exclusive of any other rights to which Indemnitee may be entitled under applicable law, the Company’s Certificate of Incorporation or Bylaws, or any agreements, vote of stockholders, resolution of the Board of Directors or otherwise, and to the extent that during the Indemnification Period the rights of the then existing directors and officers are more favorable to such directors or officers than the rights currently provided to Indemnitee thereunder or under this Agreement, Indemnitee shall be entitled to the full benefits of such more favorable rights.</w:t>
      </w:r>
    </w:p>
    <w:p>
      <w:pPr>
        <w:spacing w:after="0" w:line="187" w:lineRule="exact"/>
        <w:rPr>
          <w:rFonts w:ascii="Arial" w:cs="Arial" w:eastAsia="Arial" w:hAnsi="Arial"/>
          <w:sz w:val="22"/>
          <w:szCs w:val="22"/>
          <w:color w:val="010000"/>
        </w:rPr>
      </w:pPr>
    </w:p>
    <w:p>
      <w:pPr>
        <w:ind w:right="40" w:firstLine="872"/>
        <w:spacing w:after="0" w:line="270" w:lineRule="auto"/>
        <w:tabs>
          <w:tab w:leader="none" w:pos="1782" w:val="left"/>
        </w:tabs>
        <w:numPr>
          <w:ilvl w:val="0"/>
          <w:numId w:val="54"/>
        </w:numPr>
        <w:rPr>
          <w:rFonts w:ascii="Arial" w:cs="Arial" w:eastAsia="Arial" w:hAnsi="Arial"/>
          <w:sz w:val="19"/>
          <w:szCs w:val="19"/>
          <w:color w:val="010000"/>
        </w:rPr>
      </w:pPr>
      <w:r>
        <w:rPr>
          <w:rFonts w:ascii="Arial" w:cs="Arial" w:eastAsia="Arial" w:hAnsi="Arial"/>
          <w:sz w:val="19"/>
          <w:szCs w:val="19"/>
          <w:u w:val="single" w:color="auto"/>
          <w:color w:val="auto"/>
        </w:rPr>
        <w:t>Indemnification and Advancement Rights Primary</w:t>
      </w:r>
      <w:r>
        <w:rPr>
          <w:rFonts w:ascii="Arial" w:cs="Arial" w:eastAsia="Arial" w:hAnsi="Arial"/>
          <w:sz w:val="19"/>
          <w:szCs w:val="19"/>
          <w:color w:val="auto"/>
        </w:rPr>
        <w:t>. The Company hereby acknowledges that Indemnitee has or may have certain rights to indemnification, advancement of expenses and/or insurance provided by one or more parties other than the Company or an affiliate of the Company (collectively, the “</w:t>
      </w:r>
      <w:r>
        <w:rPr>
          <w:rFonts w:ascii="Arial" w:cs="Arial" w:eastAsia="Arial" w:hAnsi="Arial"/>
          <w:sz w:val="19"/>
          <w:szCs w:val="19"/>
          <w:b w:val="1"/>
          <w:bCs w:val="1"/>
          <w:color w:val="auto"/>
        </w:rPr>
        <w:t>Secondary Indemnitors</w:t>
      </w:r>
      <w:r>
        <w:rPr>
          <w:rFonts w:ascii="Arial" w:cs="Arial" w:eastAsia="Arial" w:hAnsi="Arial"/>
          <w:sz w:val="19"/>
          <w:szCs w:val="19"/>
          <w:color w:val="auto"/>
        </w:rPr>
        <w:t>”). The Company hereby acknowledges and the Company and Indemnitee hereby agree that: (i) the Company is the indemnitor of first resort (i.e., its obligations to Indemnitee are primary and any obligation of the Secondary Indemnitors to advance expenses or to provide indemnification for the same expenses or liabilities incurred by Indemnitee are secondary); (ii) the Company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and/or Bylaws of the Company (or any other agreement between the Company and Indemnitee), without regard to any rights Indemnitee may have against the Secondary Indemnitors; and (iii) the Company irrevocably waives, relinquishes and releases the Secondary Indemnitors from any and all claims against the Secondary Indemnitors that the Company may have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subrogation to the extent of such advancement or payment to all of the rights of recovery of Indemnitee against the Company. The Company and Indemnitee agree that the Secondary Indemnitors are express third party beneficiaries of the terms of this provision.</w:t>
      </w:r>
    </w:p>
    <w:p>
      <w:pPr>
        <w:spacing w:after="0" w:line="200" w:lineRule="exact"/>
        <w:rPr>
          <w:rFonts w:ascii="Arial" w:cs="Arial" w:eastAsia="Arial" w:hAnsi="Arial"/>
          <w:sz w:val="19"/>
          <w:szCs w:val="19"/>
          <w:color w:val="010000"/>
        </w:rPr>
      </w:pPr>
    </w:p>
    <w:p>
      <w:pPr>
        <w:spacing w:after="0" w:line="214" w:lineRule="exact"/>
        <w:rPr>
          <w:rFonts w:ascii="Arial" w:cs="Arial" w:eastAsia="Arial" w:hAnsi="Arial"/>
          <w:sz w:val="19"/>
          <w:szCs w:val="19"/>
          <w:color w:val="010000"/>
        </w:rPr>
      </w:pPr>
    </w:p>
    <w:p>
      <w:pPr>
        <w:ind w:left="1780" w:hanging="908"/>
        <w:spacing w:after="0"/>
        <w:tabs>
          <w:tab w:leader="none" w:pos="1780"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jc w:val="both"/>
        <w:ind w:firstLine="872"/>
        <w:spacing w:after="0" w:line="236" w:lineRule="auto"/>
        <w:tabs>
          <w:tab w:leader="none" w:pos="1751" w:val="left"/>
        </w:tabs>
        <w:numPr>
          <w:ilvl w:val="0"/>
          <w:numId w:val="55"/>
        </w:numPr>
        <w:rPr>
          <w:rFonts w:ascii="Arial" w:cs="Arial" w:eastAsia="Arial" w:hAnsi="Arial"/>
          <w:sz w:val="22"/>
          <w:szCs w:val="22"/>
          <w:color w:val="010000"/>
        </w:rPr>
      </w:pPr>
      <w:r>
        <w:rPr>
          <w:rFonts w:ascii="Arial" w:cs="Arial" w:eastAsia="Arial" w:hAnsi="Arial"/>
          <w:sz w:val="22"/>
          <w:szCs w:val="22"/>
          <w:color w:val="010000"/>
        </w:rPr>
        <w:t>“</w:t>
      </w:r>
      <w:r>
        <w:rPr>
          <w:rFonts w:ascii="Arial" w:cs="Arial" w:eastAsia="Arial" w:hAnsi="Arial"/>
          <w:sz w:val="22"/>
          <w:szCs w:val="22"/>
          <w:b w:val="1"/>
          <w:bCs w:val="1"/>
          <w:color w:val="010000"/>
        </w:rPr>
        <w:t>Agent</w:t>
      </w:r>
      <w:r>
        <w:rPr>
          <w:rFonts w:ascii="Arial" w:cs="Arial" w:eastAsia="Arial" w:hAnsi="Arial"/>
          <w:sz w:val="22"/>
          <w:szCs w:val="22"/>
          <w:color w:val="010000"/>
        </w:rPr>
        <w:t>” shall mean any person who is or was, or who has consented to serve as, a director, officer, employee, agent, fiduciary, joint venturer, partner, manager or other official of the Company or a subsidiary or an affiliate of the Company, or any other entity (including without limitation, an employee benefit plan), in each case either at the request of, for the convenience of, or otherwise to benefit the Company or a subsidiary of the Company. Any person who is or was serving as a director, officer, employee or agent of a subsidiary of the Company shall be deemed to be serving, or have served, at the request of the Company.</w:t>
      </w:r>
    </w:p>
    <w:p>
      <w:pPr>
        <w:spacing w:after="0" w:line="181" w:lineRule="exact"/>
        <w:rPr>
          <w:rFonts w:ascii="Arial" w:cs="Arial" w:eastAsia="Arial" w:hAnsi="Arial"/>
          <w:sz w:val="22"/>
          <w:szCs w:val="22"/>
          <w:color w:val="010000"/>
        </w:rPr>
      </w:pPr>
    </w:p>
    <w:p>
      <w:pPr>
        <w:ind w:left="1780" w:hanging="908"/>
        <w:spacing w:after="0"/>
        <w:tabs>
          <w:tab w:leader="none" w:pos="1780" w:val="left"/>
        </w:tabs>
        <w:numPr>
          <w:ilvl w:val="0"/>
          <w:numId w:val="55"/>
        </w:numPr>
        <w:rPr>
          <w:rFonts w:ascii="Arial" w:cs="Arial" w:eastAsia="Arial" w:hAnsi="Arial"/>
          <w:sz w:val="19"/>
          <w:szCs w:val="19"/>
          <w:color w:val="010000"/>
        </w:rPr>
      </w:pPr>
      <w:r>
        <w:rPr>
          <w:rFonts w:ascii="Arial" w:cs="Arial" w:eastAsia="Arial" w:hAnsi="Arial"/>
          <w:sz w:val="19"/>
          <w:szCs w:val="19"/>
          <w:color w:val="010000"/>
        </w:rPr>
        <w:t>“</w:t>
      </w:r>
      <w:r>
        <w:rPr>
          <w:rFonts w:ascii="Arial" w:cs="Arial" w:eastAsia="Arial" w:hAnsi="Arial"/>
          <w:sz w:val="19"/>
          <w:szCs w:val="19"/>
          <w:b w:val="1"/>
          <w:bCs w:val="1"/>
          <w:color w:val="010000"/>
        </w:rPr>
        <w:t>Change in Control</w:t>
      </w:r>
      <w:r>
        <w:rPr>
          <w:rFonts w:ascii="Arial" w:cs="Arial" w:eastAsia="Arial" w:hAnsi="Arial"/>
          <w:sz w:val="19"/>
          <w:szCs w:val="19"/>
          <w:color w:val="010000"/>
        </w:rPr>
        <w:t>” shall mean the occurrence, after the Company’s initial public offering, of any of the</w:t>
      </w:r>
    </w:p>
    <w:p>
      <w:pPr>
        <w:spacing w:after="0" w:line="4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010000"/>
        </w:rPr>
        <w:t>following:</w:t>
      </w:r>
    </w:p>
    <w:p>
      <w:pPr>
        <w:spacing w:after="0" w:line="188" w:lineRule="exact"/>
        <w:rPr>
          <w:rFonts w:ascii="Arial" w:cs="Arial" w:eastAsia="Arial" w:hAnsi="Arial"/>
          <w:sz w:val="19"/>
          <w:szCs w:val="19"/>
          <w:color w:val="010000"/>
        </w:rPr>
      </w:pPr>
    </w:p>
    <w:p>
      <w:pPr>
        <w:jc w:val="both"/>
        <w:ind w:left="880" w:firstLine="789"/>
        <w:spacing w:after="0" w:line="236" w:lineRule="auto"/>
        <w:tabs>
          <w:tab w:leader="none" w:pos="2529" w:val="left"/>
        </w:tabs>
        <w:numPr>
          <w:ilvl w:val="1"/>
          <w:numId w:val="55"/>
        </w:numPr>
        <w:rPr>
          <w:rFonts w:ascii="Arial" w:cs="Arial" w:eastAsia="Arial" w:hAnsi="Arial"/>
          <w:sz w:val="22"/>
          <w:szCs w:val="22"/>
          <w:color w:val="010000"/>
        </w:rPr>
      </w:pPr>
      <w:r>
        <w:rPr>
          <w:rFonts w:ascii="Arial" w:cs="Arial" w:eastAsia="Arial" w:hAnsi="Arial"/>
          <w:sz w:val="22"/>
          <w:szCs w:val="22"/>
          <w:color w:val="010000"/>
        </w:rPr>
        <w:t>Both (A) any “person” (as defined below) is or becomes the “beneficial owner” (as defined in Rule 13d-3 under the Exchange Act), directly or indirectly, of securities of the Company representing at least twenty percent (20%) of the total voting power represented by the Company’s then outstanding voting securities and (B) the beneficial ownership by such person of securities representing such percentage is not approved by a majority of the “Continuing Directors” (as defined below);</w:t>
      </w:r>
    </w:p>
    <w:p>
      <w:pPr>
        <w:spacing w:after="0" w:line="187" w:lineRule="exact"/>
        <w:rPr>
          <w:rFonts w:ascii="Arial" w:cs="Arial" w:eastAsia="Arial" w:hAnsi="Arial"/>
          <w:sz w:val="22"/>
          <w:szCs w:val="22"/>
          <w:color w:val="010000"/>
        </w:rPr>
      </w:pPr>
    </w:p>
    <w:p>
      <w:pPr>
        <w:jc w:val="both"/>
        <w:ind w:left="880" w:firstLine="789"/>
        <w:spacing w:after="0"/>
        <w:tabs>
          <w:tab w:leader="none" w:pos="2589" w:val="left"/>
        </w:tabs>
        <w:numPr>
          <w:ilvl w:val="1"/>
          <w:numId w:val="55"/>
        </w:numPr>
        <w:rPr>
          <w:rFonts w:ascii="Arial" w:cs="Arial" w:eastAsia="Arial" w:hAnsi="Arial"/>
          <w:sz w:val="22"/>
          <w:szCs w:val="22"/>
          <w:color w:val="010000"/>
        </w:rPr>
      </w:pPr>
      <w:r>
        <w:rPr>
          <w:rFonts w:ascii="Arial" w:cs="Arial" w:eastAsia="Arial" w:hAnsi="Arial"/>
          <w:sz w:val="22"/>
          <w:szCs w:val="22"/>
          <w:color w:val="010000"/>
        </w:rPr>
        <w:t>Any “person” is or becomes the “beneficial owner” (as defined in Rule 13d-3 under the Exchange Act), directly or indirectly, of securities of the Company representing at least fifty percent (50%) of the total voting power represented by the Company’s then outstanding voting securities;</w:t>
      </w:r>
    </w:p>
    <w:p>
      <w:pPr>
        <w:spacing w:after="0" w:line="186" w:lineRule="exact"/>
        <w:rPr>
          <w:rFonts w:ascii="Arial" w:cs="Arial" w:eastAsia="Arial" w:hAnsi="Arial"/>
          <w:sz w:val="22"/>
          <w:szCs w:val="22"/>
          <w:color w:val="010000"/>
        </w:rPr>
      </w:pPr>
    </w:p>
    <w:p>
      <w:pPr>
        <w:jc w:val="both"/>
        <w:ind w:left="880" w:firstLine="789"/>
        <w:spacing w:after="0" w:line="235" w:lineRule="auto"/>
        <w:tabs>
          <w:tab w:leader="none" w:pos="2649" w:val="left"/>
        </w:tabs>
        <w:numPr>
          <w:ilvl w:val="1"/>
          <w:numId w:val="55"/>
        </w:numPr>
        <w:rPr>
          <w:rFonts w:ascii="Arial" w:cs="Arial" w:eastAsia="Arial" w:hAnsi="Arial"/>
          <w:sz w:val="22"/>
          <w:szCs w:val="22"/>
          <w:color w:val="010000"/>
        </w:rPr>
      </w:pPr>
      <w:r>
        <w:rPr>
          <w:rFonts w:ascii="Arial" w:cs="Arial" w:eastAsia="Arial" w:hAnsi="Arial"/>
          <w:sz w:val="22"/>
          <w:szCs w:val="22"/>
          <w:color w:val="010000"/>
        </w:rPr>
        <w:t>A change in the composition of the Board of Directors occurs, as a result of which fewer than two-thirds of the incumbent directors are directors (the “</w:t>
      </w:r>
      <w:r>
        <w:rPr>
          <w:rFonts w:ascii="Arial" w:cs="Arial" w:eastAsia="Arial" w:hAnsi="Arial"/>
          <w:sz w:val="22"/>
          <w:szCs w:val="22"/>
          <w:b w:val="1"/>
          <w:bCs w:val="1"/>
          <w:color w:val="010000"/>
        </w:rPr>
        <w:t>Continuing Directors</w:t>
      </w:r>
      <w:r>
        <w:rPr>
          <w:rFonts w:ascii="Arial" w:cs="Arial" w:eastAsia="Arial" w:hAnsi="Arial"/>
          <w:sz w:val="22"/>
          <w:szCs w:val="22"/>
          <w:color w:val="010000"/>
        </w:rPr>
        <w:t>”) who either (A) had been directors of the Company on the “look-back date” (as defined below) (the “</w:t>
      </w:r>
      <w:r>
        <w:rPr>
          <w:rFonts w:ascii="Arial" w:cs="Arial" w:eastAsia="Arial" w:hAnsi="Arial"/>
          <w:sz w:val="22"/>
          <w:szCs w:val="22"/>
          <w:b w:val="1"/>
          <w:bCs w:val="1"/>
          <w:color w:val="010000"/>
        </w:rPr>
        <w:t>Original Directors</w:t>
      </w:r>
      <w:r>
        <w:rPr>
          <w:rFonts w:ascii="Arial" w:cs="Arial" w:eastAsia="Arial" w:hAnsi="Arial"/>
          <w:sz w:val="22"/>
          <w:szCs w:val="22"/>
          <w:color w:val="010000"/>
        </w:rPr>
        <w:t>”) or (B) were elected, or nominated for election, to the Board of Directors with the affirmative votes of at least a majority in the aggregate of the Original Directors who were still in office at the time of the election or nomination and directors whose election or nomination was previously so approved;</w:t>
      </w:r>
    </w:p>
    <w:p>
      <w:pPr>
        <w:spacing w:after="0" w:line="187" w:lineRule="exact"/>
        <w:rPr>
          <w:rFonts w:ascii="Arial" w:cs="Arial" w:eastAsia="Arial" w:hAnsi="Arial"/>
          <w:sz w:val="22"/>
          <w:szCs w:val="22"/>
          <w:color w:val="010000"/>
        </w:rPr>
      </w:pPr>
    </w:p>
    <w:p>
      <w:pPr>
        <w:jc w:val="both"/>
        <w:ind w:left="880" w:firstLine="789"/>
        <w:spacing w:after="0" w:line="282" w:lineRule="auto"/>
        <w:tabs>
          <w:tab w:leader="none" w:pos="2637" w:val="left"/>
        </w:tabs>
        <w:numPr>
          <w:ilvl w:val="1"/>
          <w:numId w:val="55"/>
        </w:numPr>
        <w:rPr>
          <w:rFonts w:ascii="Arial" w:cs="Arial" w:eastAsia="Arial" w:hAnsi="Arial"/>
          <w:sz w:val="19"/>
          <w:szCs w:val="19"/>
          <w:color w:val="010000"/>
        </w:rPr>
      </w:pPr>
      <w:r>
        <w:rPr>
          <w:rFonts w:ascii="Arial" w:cs="Arial" w:eastAsia="Arial" w:hAnsi="Arial"/>
          <w:sz w:val="19"/>
          <w:szCs w:val="19"/>
          <w:color w:val="010000"/>
        </w:rPr>
        <w:t>The stockholders of the Company approve a merger or consolidation of the Company with any other Company, if such merger or consolidation would result in the voting securities of the Company outstanding immediately prior thereto representing (either by remaining outstanding or by being converted into voting securities of the surviving entity) 50% or less of the total voting power represented by the voting securities of the Company or such surviving entity outstanding immediately after such merger or consolidation; or</w:t>
      </w:r>
    </w:p>
    <w:p>
      <w:pPr>
        <w:spacing w:after="0" w:line="147" w:lineRule="exact"/>
        <w:rPr>
          <w:rFonts w:ascii="Arial" w:cs="Arial" w:eastAsia="Arial" w:hAnsi="Arial"/>
          <w:sz w:val="19"/>
          <w:szCs w:val="19"/>
          <w:color w:val="010000"/>
        </w:rPr>
      </w:pPr>
    </w:p>
    <w:p>
      <w:pPr>
        <w:ind w:left="2560" w:hanging="891"/>
        <w:spacing w:after="0"/>
        <w:tabs>
          <w:tab w:leader="none" w:pos="2560" w:val="left"/>
        </w:tabs>
        <w:numPr>
          <w:ilvl w:val="1"/>
          <w:numId w:val="55"/>
        </w:numPr>
        <w:rPr>
          <w:rFonts w:ascii="Arial" w:cs="Arial" w:eastAsia="Arial" w:hAnsi="Arial"/>
          <w:sz w:val="19"/>
          <w:szCs w:val="19"/>
          <w:color w:val="010000"/>
        </w:rPr>
      </w:pPr>
      <w:r>
        <w:rPr>
          <w:rFonts w:ascii="Arial" w:cs="Arial" w:eastAsia="Arial" w:hAnsi="Arial"/>
          <w:sz w:val="19"/>
          <w:szCs w:val="19"/>
          <w:color w:val="010000"/>
        </w:rPr>
        <w:t>The stockholders of the Company approve (A) a plan of complete liquidation of the Company or</w:t>
      </w:r>
    </w:p>
    <w:p>
      <w:pPr>
        <w:spacing w:after="0" w:line="42"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1"/>
          <w:szCs w:val="21"/>
          <w:color w:val="010000"/>
        </w:rPr>
        <w:t>(B) an agreement for the sale or disposition by the Company of all or substantially all of the Company’s assets.</w:t>
      </w:r>
    </w:p>
    <w:p>
      <w:pPr>
        <w:spacing w:after="0" w:line="194"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color w:val="auto"/>
        </w:rPr>
        <w:t>For purposes of Subsections (i) and (ii) above, the term “</w:t>
      </w:r>
      <w:r>
        <w:rPr>
          <w:rFonts w:ascii="Arial" w:cs="Arial" w:eastAsia="Arial" w:hAnsi="Arial"/>
          <w:sz w:val="19"/>
          <w:szCs w:val="19"/>
          <w:b w:val="1"/>
          <w:bCs w:val="1"/>
          <w:color w:val="auto"/>
        </w:rPr>
        <w:t>person</w:t>
      </w:r>
      <w:r>
        <w:rPr>
          <w:rFonts w:ascii="Arial" w:cs="Arial" w:eastAsia="Arial" w:hAnsi="Arial"/>
          <w:sz w:val="19"/>
          <w:szCs w:val="19"/>
          <w:color w:val="auto"/>
        </w:rPr>
        <w:t>” shall have the same meaning as when used in sections 13(d) and 14(d) of the Exchange Act, but shall exclude (x) a trustee or other fiduciary holding securities under an employee benefit plan of the Company or of a parent or subsidiary of the Company or (y) a Company owned directly or indirectly by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stockholders of the Company in substantially the same proportions as their ownership of the common stock of the Company.</w:t>
      </w:r>
    </w:p>
    <w:p>
      <w:pPr>
        <w:spacing w:after="0" w:line="23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For purposes of Subsection (iii) above, the term “</w:t>
      </w:r>
      <w:r>
        <w:rPr>
          <w:rFonts w:ascii="Arial" w:cs="Arial" w:eastAsia="Arial" w:hAnsi="Arial"/>
          <w:sz w:val="22"/>
          <w:szCs w:val="22"/>
          <w:b w:val="1"/>
          <w:bCs w:val="1"/>
          <w:color w:val="auto"/>
        </w:rPr>
        <w:t>look-back date</w:t>
      </w:r>
      <w:r>
        <w:rPr>
          <w:rFonts w:ascii="Arial" w:cs="Arial" w:eastAsia="Arial" w:hAnsi="Arial"/>
          <w:sz w:val="22"/>
          <w:szCs w:val="22"/>
          <w:color w:val="auto"/>
        </w:rPr>
        <w:t>” shall mean the later of (x) the date first written above in the preamble to this Agreement or (y) the date 24 months prior to the date of the event that may constitute a “Change in Control.”</w:t>
      </w:r>
    </w:p>
    <w:p>
      <w:pPr>
        <w:spacing w:after="0" w:line="183"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Any other provision of this Section 17(b) notwithstanding, the term “Change in Control” shall not include a transaction, if undertaken at the election of the Company, the result of which is to sell all or substantially all of the assets of the Company to another corporation (the “</w:t>
      </w:r>
      <w:r>
        <w:rPr>
          <w:rFonts w:ascii="Arial" w:cs="Arial" w:eastAsia="Arial" w:hAnsi="Arial"/>
          <w:sz w:val="22"/>
          <w:szCs w:val="22"/>
          <w:b w:val="1"/>
          <w:bCs w:val="1"/>
          <w:color w:val="auto"/>
        </w:rPr>
        <w:t>Surviving Company</w:t>
      </w:r>
      <w:r>
        <w:rPr>
          <w:rFonts w:ascii="Arial" w:cs="Arial" w:eastAsia="Arial" w:hAnsi="Arial"/>
          <w:sz w:val="22"/>
          <w:szCs w:val="22"/>
          <w:color w:val="auto"/>
        </w:rPr>
        <w:t>”); provided that the Surviving Company is owned directly or indirectly by the stockholders of the Company immediately following such transaction in substantially the same proportions as their ownership of the Company’s common stock immediately preceding such transaction; and provided, further, that the Surviving Company expressly assumes this Agreement.</w:t>
      </w:r>
    </w:p>
    <w:p>
      <w:pPr>
        <w:spacing w:after="0" w:line="182" w:lineRule="exact"/>
        <w:rPr>
          <w:sz w:val="20"/>
          <w:szCs w:val="20"/>
          <w:color w:val="auto"/>
        </w:rPr>
      </w:pPr>
    </w:p>
    <w:p>
      <w:pPr>
        <w:ind w:firstLine="872"/>
        <w:spacing w:after="0" w:line="256" w:lineRule="auto"/>
        <w:tabs>
          <w:tab w:leader="none" w:pos="1751" w:val="left"/>
        </w:tabs>
        <w:numPr>
          <w:ilvl w:val="0"/>
          <w:numId w:val="56"/>
        </w:numPr>
        <w:rPr>
          <w:rFonts w:ascii="Arial" w:cs="Arial" w:eastAsia="Arial" w:hAnsi="Arial"/>
          <w:sz w:val="22"/>
          <w:szCs w:val="22"/>
          <w:color w:val="010000"/>
        </w:rPr>
      </w:pPr>
      <w:r>
        <w:rPr>
          <w:rFonts w:ascii="Arial" w:cs="Arial" w:eastAsia="Arial" w:hAnsi="Arial"/>
          <w:sz w:val="22"/>
          <w:szCs w:val="22"/>
          <w:color w:val="010000"/>
        </w:rPr>
        <w:t>“</w:t>
      </w:r>
      <w:r>
        <w:rPr>
          <w:rFonts w:ascii="Arial" w:cs="Arial" w:eastAsia="Arial" w:hAnsi="Arial"/>
          <w:sz w:val="22"/>
          <w:szCs w:val="22"/>
          <w:b w:val="1"/>
          <w:bCs w:val="1"/>
          <w:color w:val="010000"/>
        </w:rPr>
        <w:t>Disinterested Director</w:t>
      </w:r>
      <w:r>
        <w:rPr>
          <w:rFonts w:ascii="Arial" w:cs="Arial" w:eastAsia="Arial" w:hAnsi="Arial"/>
          <w:sz w:val="22"/>
          <w:szCs w:val="22"/>
          <w:color w:val="010000"/>
        </w:rPr>
        <w:t>” shall mean a director of the Company who is not or was not a party to the Proceeding in respect of which indemnification is being sought by Indemnitee.</w:t>
      </w:r>
    </w:p>
    <w:p>
      <w:pPr>
        <w:spacing w:after="0" w:line="162" w:lineRule="exact"/>
        <w:rPr>
          <w:rFonts w:ascii="Arial" w:cs="Arial" w:eastAsia="Arial" w:hAnsi="Arial"/>
          <w:sz w:val="22"/>
          <w:szCs w:val="22"/>
          <w:color w:val="010000"/>
        </w:rPr>
      </w:pPr>
    </w:p>
    <w:p>
      <w:pPr>
        <w:jc w:val="both"/>
        <w:ind w:firstLine="872"/>
        <w:spacing w:after="0" w:line="235" w:lineRule="auto"/>
        <w:tabs>
          <w:tab w:leader="none" w:pos="1763" w:val="left"/>
        </w:tabs>
        <w:numPr>
          <w:ilvl w:val="0"/>
          <w:numId w:val="56"/>
        </w:numPr>
        <w:rPr>
          <w:rFonts w:ascii="Arial" w:cs="Arial" w:eastAsia="Arial" w:hAnsi="Arial"/>
          <w:sz w:val="22"/>
          <w:szCs w:val="22"/>
          <w:color w:val="010000"/>
        </w:rPr>
      </w:pPr>
      <w:r>
        <w:rPr>
          <w:rFonts w:ascii="Arial" w:cs="Arial" w:eastAsia="Arial" w:hAnsi="Arial"/>
          <w:sz w:val="22"/>
          <w:szCs w:val="22"/>
          <w:color w:val="010000"/>
        </w:rPr>
        <w:t>“</w:t>
      </w:r>
      <w:r>
        <w:rPr>
          <w:rFonts w:ascii="Arial" w:cs="Arial" w:eastAsia="Arial" w:hAnsi="Arial"/>
          <w:sz w:val="22"/>
          <w:szCs w:val="22"/>
          <w:b w:val="1"/>
          <w:bCs w:val="1"/>
          <w:color w:val="010000"/>
        </w:rPr>
        <w:t>Expenses</w:t>
      </w:r>
      <w:r>
        <w:rPr>
          <w:rFonts w:ascii="Arial" w:cs="Arial" w:eastAsia="Arial" w:hAnsi="Arial"/>
          <w:sz w:val="22"/>
          <w:szCs w:val="22"/>
          <w:color w:val="010000"/>
        </w:rPr>
        <w:t>” shall include all direct and indirect costs (including, without limitation, attorneys’ fees, retainers, court costs, transcripts, fees of experts, witness fees, travel expenses, duplicating costs, printing and binding costs, telephone charges, postage, delivery service fees, all other disbursements or out-of-pocket expenses and reasonable compensation for time spent by Indemnitee for which Indemnitee is otherwise not compensated by the Company or any third party) actually and reasonably incurred in connection with either the investigation, defense, settlement or appeal of a Proceeding or establishing or enforcing a right to indemnification under this Agreement, applicable law or otherwise; provided, however, that “Expenses” shall not include any Liabilities.</w:t>
      </w:r>
    </w:p>
    <w:p>
      <w:pPr>
        <w:spacing w:after="0" w:line="183" w:lineRule="exact"/>
        <w:rPr>
          <w:rFonts w:ascii="Arial" w:cs="Arial" w:eastAsia="Arial" w:hAnsi="Arial"/>
          <w:sz w:val="22"/>
          <w:szCs w:val="22"/>
          <w:color w:val="010000"/>
        </w:rPr>
      </w:pPr>
    </w:p>
    <w:p>
      <w:pPr>
        <w:jc w:val="both"/>
        <w:ind w:firstLine="872"/>
        <w:spacing w:after="0" w:line="236" w:lineRule="auto"/>
        <w:tabs>
          <w:tab w:leader="none" w:pos="1751" w:val="left"/>
        </w:tabs>
        <w:numPr>
          <w:ilvl w:val="0"/>
          <w:numId w:val="56"/>
        </w:numPr>
        <w:rPr>
          <w:rFonts w:ascii="Arial" w:cs="Arial" w:eastAsia="Arial" w:hAnsi="Arial"/>
          <w:sz w:val="22"/>
          <w:szCs w:val="22"/>
          <w:color w:val="010000"/>
        </w:rPr>
      </w:pPr>
      <w:r>
        <w:rPr>
          <w:rFonts w:ascii="Arial" w:cs="Arial" w:eastAsia="Arial" w:hAnsi="Arial"/>
          <w:sz w:val="22"/>
          <w:szCs w:val="22"/>
          <w:color w:val="010000"/>
        </w:rPr>
        <w:t>“</w:t>
      </w:r>
      <w:r>
        <w:rPr>
          <w:rFonts w:ascii="Arial" w:cs="Arial" w:eastAsia="Arial" w:hAnsi="Arial"/>
          <w:sz w:val="22"/>
          <w:szCs w:val="22"/>
          <w:b w:val="1"/>
          <w:bCs w:val="1"/>
          <w:color w:val="010000"/>
        </w:rPr>
        <w:t>Final Adverse Determination</w:t>
      </w:r>
      <w:r>
        <w:rPr>
          <w:rFonts w:ascii="Arial" w:cs="Arial" w:eastAsia="Arial" w:hAnsi="Arial"/>
          <w:sz w:val="22"/>
          <w:szCs w:val="22"/>
          <w:color w:val="010000"/>
        </w:rPr>
        <w:t>” shall mean that a determination that Indemnitee is not entitled to indemnification shall have been made pursuant to Section 5 hereof and either (1) a final adjudication in the courts of the State of Delaware from which there is no further right of appeal or decision of an arbitrator pursuant to Section 8(a) hereof shall have denied Indemnitee’s right to indemnification hereunder, or (2) Indemnitee shall have failed to file a complaint in a Delaware court or seek an arbitrator’s award pursuant to Section 8(a) for a period of one hundred twenty (120) days after the determination made pursuant to Section 5 hereof.</w:t>
      </w:r>
    </w:p>
    <w:p>
      <w:pPr>
        <w:spacing w:after="0" w:line="181" w:lineRule="exact"/>
        <w:rPr>
          <w:rFonts w:ascii="Arial" w:cs="Arial" w:eastAsia="Arial" w:hAnsi="Arial"/>
          <w:sz w:val="22"/>
          <w:szCs w:val="22"/>
          <w:color w:val="010000"/>
        </w:rPr>
      </w:pPr>
    </w:p>
    <w:p>
      <w:pPr>
        <w:jc w:val="both"/>
        <w:ind w:firstLine="872"/>
        <w:spacing w:after="0" w:line="276" w:lineRule="auto"/>
        <w:tabs>
          <w:tab w:leader="none" w:pos="1727" w:val="left"/>
        </w:tabs>
        <w:numPr>
          <w:ilvl w:val="0"/>
          <w:numId w:val="56"/>
        </w:numPr>
        <w:rPr>
          <w:rFonts w:ascii="Arial" w:cs="Arial" w:eastAsia="Arial" w:hAnsi="Arial"/>
          <w:sz w:val="19"/>
          <w:szCs w:val="19"/>
          <w:color w:val="010000"/>
        </w:rPr>
      </w:pPr>
      <w:r>
        <w:rPr>
          <w:rFonts w:ascii="Arial" w:cs="Arial" w:eastAsia="Arial" w:hAnsi="Arial"/>
          <w:sz w:val="19"/>
          <w:szCs w:val="19"/>
          <w:color w:val="010000"/>
        </w:rPr>
        <w:t>“</w:t>
      </w:r>
      <w:r>
        <w:rPr>
          <w:rFonts w:ascii="Arial" w:cs="Arial" w:eastAsia="Arial" w:hAnsi="Arial"/>
          <w:sz w:val="19"/>
          <w:szCs w:val="19"/>
          <w:b w:val="1"/>
          <w:bCs w:val="1"/>
          <w:color w:val="010000"/>
        </w:rPr>
        <w:t>Independent Legal Counsel</w:t>
      </w:r>
      <w:r>
        <w:rPr>
          <w:rFonts w:ascii="Arial" w:cs="Arial" w:eastAsia="Arial" w:hAnsi="Arial"/>
          <w:sz w:val="19"/>
          <w:szCs w:val="19"/>
          <w:color w:val="010000"/>
        </w:rPr>
        <w:t>” shall mean a law firm or a member of a firm selected by the Company and approved by Indemnitee (which approval shall not be unreasonably withheld) or, if there has been a Change in Control, selected by Indemnitee and approved by the Company (which approval shall not be unreasonably withheld), that neither is presently nor in the past five (5) years has been retained to represent: (i) the Company or any of its subsidiaries or affiliates, or Indemnitee or any Company of which Indemnitee was or is a director, officer, employee or agent, or any subsidiary or affiliate of such a corporation, in any material matter, or (ii) any other party to the Proceeding giving rise to a claim for indemnification hereunder. Notwithstanding the foregoing, the term “Independent Legal Counsel” shall not include any person who, under the applicable standards of professional conduct then prevailing, would have a conflict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ind w:right="20"/>
        <w:spacing w:after="0" w:line="250" w:lineRule="auto"/>
        <w:rPr>
          <w:sz w:val="20"/>
          <w:szCs w:val="20"/>
          <w:color w:val="auto"/>
        </w:rPr>
      </w:pPr>
      <w:r>
        <w:rPr>
          <w:rFonts w:ascii="Arial" w:cs="Arial" w:eastAsia="Arial" w:hAnsi="Arial"/>
          <w:sz w:val="22"/>
          <w:szCs w:val="22"/>
          <w:color w:val="010000"/>
        </w:rPr>
        <w:t>of interest in representing either the Company or Indemnitee in an action to determine Indemnitee’s right to indemnification under this Agreement.</w:t>
      </w:r>
    </w:p>
    <w:p>
      <w:pPr>
        <w:spacing w:after="0" w:line="169" w:lineRule="exact"/>
        <w:rPr>
          <w:sz w:val="20"/>
          <w:szCs w:val="20"/>
          <w:color w:val="auto"/>
        </w:rPr>
      </w:pPr>
    </w:p>
    <w:p>
      <w:pPr>
        <w:jc w:val="both"/>
        <w:ind w:firstLine="872"/>
        <w:spacing w:after="0" w:line="239" w:lineRule="auto"/>
        <w:tabs>
          <w:tab w:leader="none" w:pos="1763"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w:t>
      </w:r>
      <w:r>
        <w:rPr>
          <w:rFonts w:ascii="Arial" w:cs="Arial" w:eastAsia="Arial" w:hAnsi="Arial"/>
          <w:sz w:val="22"/>
          <w:szCs w:val="22"/>
          <w:b w:val="1"/>
          <w:bCs w:val="1"/>
          <w:color w:val="010000"/>
        </w:rPr>
        <w:t>Liabilities</w:t>
      </w:r>
      <w:r>
        <w:rPr>
          <w:rFonts w:ascii="Arial" w:cs="Arial" w:eastAsia="Arial" w:hAnsi="Arial"/>
          <w:sz w:val="22"/>
          <w:szCs w:val="22"/>
          <w:color w:val="010000"/>
        </w:rPr>
        <w:t>” shall mean liabilities of any type whatsoever including, but not limited to, any judgments, fines, Employee Retirement Income Security Act excise taxes and penalties, penalties and amounts paid in settlement (including all interest assessments and other charges paid or payable in connection with or in respect of such judgments, fines, penalties or amounts paid in settlement) of any Proceeding.</w:t>
      </w:r>
    </w:p>
    <w:p>
      <w:pPr>
        <w:spacing w:after="0" w:line="180" w:lineRule="exact"/>
        <w:rPr>
          <w:rFonts w:ascii="Arial" w:cs="Arial" w:eastAsia="Arial" w:hAnsi="Arial"/>
          <w:sz w:val="22"/>
          <w:szCs w:val="22"/>
          <w:color w:val="010000"/>
        </w:rPr>
      </w:pPr>
    </w:p>
    <w:p>
      <w:pPr>
        <w:jc w:val="both"/>
        <w:ind w:firstLine="872"/>
        <w:spacing w:after="0" w:line="239" w:lineRule="auto"/>
        <w:tabs>
          <w:tab w:leader="none" w:pos="1763" w:val="left"/>
        </w:tabs>
        <w:numPr>
          <w:ilvl w:val="0"/>
          <w:numId w:val="57"/>
        </w:numPr>
        <w:rPr>
          <w:rFonts w:ascii="Arial" w:cs="Arial" w:eastAsia="Arial" w:hAnsi="Arial"/>
          <w:sz w:val="22"/>
          <w:szCs w:val="22"/>
          <w:color w:val="010000"/>
        </w:rPr>
      </w:pPr>
      <w:r>
        <w:rPr>
          <w:rFonts w:ascii="Arial" w:cs="Arial" w:eastAsia="Arial" w:hAnsi="Arial"/>
          <w:sz w:val="22"/>
          <w:szCs w:val="22"/>
          <w:color w:val="010000"/>
        </w:rPr>
        <w:t>“</w:t>
      </w:r>
      <w:r>
        <w:rPr>
          <w:rFonts w:ascii="Arial" w:cs="Arial" w:eastAsia="Arial" w:hAnsi="Arial"/>
          <w:sz w:val="22"/>
          <w:szCs w:val="22"/>
          <w:b w:val="1"/>
          <w:bCs w:val="1"/>
          <w:color w:val="010000"/>
        </w:rPr>
        <w:t>Proceeding</w:t>
      </w:r>
      <w:r>
        <w:rPr>
          <w:rFonts w:ascii="Arial" w:cs="Arial" w:eastAsia="Arial" w:hAnsi="Arial"/>
          <w:sz w:val="22"/>
          <w:szCs w:val="22"/>
          <w:color w:val="010000"/>
        </w:rPr>
        <w:t>” shall mean any threatened, pending or completed action, claim, suit, arbitration, alternate dispute resolution mechanism, investigation, administrative hearing or any other proceeding whether civil, criminal, administrative or investigative, in which Indemnitee was, is or will be involved as a party, as a witness or otherwise, that is associated with Indemnitee’s being an Agent of the Company.</w:t>
      </w:r>
    </w:p>
    <w:p>
      <w:pPr>
        <w:spacing w:after="0" w:line="186" w:lineRule="exact"/>
        <w:rPr>
          <w:sz w:val="20"/>
          <w:szCs w:val="20"/>
          <w:color w:val="auto"/>
        </w:rPr>
      </w:pPr>
    </w:p>
    <w:p>
      <w:pPr>
        <w:ind w:right="80" w:firstLine="872"/>
        <w:spacing w:after="0" w:line="235" w:lineRule="auto"/>
        <w:tabs>
          <w:tab w:leader="none" w:pos="1782"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Binding Effect; Duration and Scope of Agreement</w:t>
      </w:r>
      <w:r>
        <w:rPr>
          <w:rFonts w:ascii="Arial" w:cs="Arial" w:eastAsia="Arial" w:hAnsi="Arial"/>
          <w:sz w:val="22"/>
          <w:szCs w:val="22"/>
          <w:color w:val="auto"/>
        </w:rPr>
        <w:t>. This Agreement shall be binding upon the parties hereto and their respective successors and assigns (including any direct or indirect successor by purchase, merger, consolidation or otherwise to all or substantially all of the business or assets of the Company), spouses, heirs and personal and legal representatives. This Agreement shall be deemed to be effective as of the commencement date of the Indemnitee’s service as an officer or director of the Company and shall continue in effect during the Indemnification Period, regardless of whether Indemnitee continues to serve as an Agent.</w:t>
      </w:r>
    </w:p>
    <w:p>
      <w:pPr>
        <w:spacing w:after="0" w:line="187" w:lineRule="exact"/>
        <w:rPr>
          <w:rFonts w:ascii="Arial" w:cs="Arial" w:eastAsia="Arial" w:hAnsi="Arial"/>
          <w:sz w:val="22"/>
          <w:szCs w:val="22"/>
          <w:color w:val="010000"/>
        </w:rPr>
      </w:pPr>
    </w:p>
    <w:p>
      <w:pPr>
        <w:ind w:right="340" w:firstLine="872"/>
        <w:spacing w:after="0" w:line="250" w:lineRule="auto"/>
        <w:tabs>
          <w:tab w:leader="none" w:pos="1782"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or provisions of this Agreement (or any portion thereof) shall be held to be invalid, illegal or unenforceable for any reason whatsoever:</w:t>
      </w:r>
    </w:p>
    <w:p>
      <w:pPr>
        <w:spacing w:after="0" w:line="175" w:lineRule="exact"/>
        <w:rPr>
          <w:sz w:val="20"/>
          <w:szCs w:val="20"/>
          <w:color w:val="auto"/>
        </w:rPr>
      </w:pPr>
    </w:p>
    <w:p>
      <w:pPr>
        <w:ind w:firstLine="872"/>
        <w:spacing w:after="0" w:line="250" w:lineRule="auto"/>
        <w:tabs>
          <w:tab w:leader="none" w:pos="1751" w:val="left"/>
        </w:tabs>
        <w:numPr>
          <w:ilvl w:val="0"/>
          <w:numId w:val="59"/>
        </w:numPr>
        <w:rPr>
          <w:rFonts w:ascii="Arial" w:cs="Arial" w:eastAsia="Arial" w:hAnsi="Arial"/>
          <w:sz w:val="22"/>
          <w:szCs w:val="22"/>
          <w:color w:val="010000"/>
        </w:rPr>
      </w:pPr>
      <w:r>
        <w:rPr>
          <w:rFonts w:ascii="Arial" w:cs="Arial" w:eastAsia="Arial" w:hAnsi="Arial"/>
          <w:sz w:val="22"/>
          <w:szCs w:val="22"/>
          <w:color w:val="010000"/>
        </w:rPr>
        <w:t>the validity, legality and enforceability of the remaining provisions of this Agreement shall not in any way be affected or impaired thereby; and</w:t>
      </w:r>
    </w:p>
    <w:p>
      <w:pPr>
        <w:spacing w:after="0" w:line="174" w:lineRule="exact"/>
        <w:rPr>
          <w:rFonts w:ascii="Arial" w:cs="Arial" w:eastAsia="Arial" w:hAnsi="Arial"/>
          <w:sz w:val="22"/>
          <w:szCs w:val="22"/>
          <w:color w:val="010000"/>
        </w:rPr>
      </w:pPr>
    </w:p>
    <w:p>
      <w:pPr>
        <w:ind w:firstLine="872"/>
        <w:spacing w:after="0" w:line="250" w:lineRule="auto"/>
        <w:tabs>
          <w:tab w:leader="none" w:pos="1763" w:val="left"/>
        </w:tabs>
        <w:numPr>
          <w:ilvl w:val="0"/>
          <w:numId w:val="59"/>
        </w:numPr>
        <w:rPr>
          <w:rFonts w:ascii="Arial" w:cs="Arial" w:eastAsia="Arial" w:hAnsi="Arial"/>
          <w:sz w:val="22"/>
          <w:szCs w:val="22"/>
          <w:color w:val="010000"/>
        </w:rPr>
      </w:pPr>
      <w:r>
        <w:rPr>
          <w:rFonts w:ascii="Arial" w:cs="Arial" w:eastAsia="Arial" w:hAnsi="Arial"/>
          <w:sz w:val="22"/>
          <w:szCs w:val="22"/>
          <w:color w:val="010000"/>
        </w:rPr>
        <w:t>to the fullest extent legally possible, the provisions of this Agreement shall be construed so as to give effect to the intent of any provision held invalid, illegal or unenforceable.</w:t>
      </w:r>
    </w:p>
    <w:p>
      <w:pPr>
        <w:spacing w:after="0" w:line="175" w:lineRule="exact"/>
        <w:rPr>
          <w:sz w:val="20"/>
          <w:szCs w:val="20"/>
          <w:color w:val="auto"/>
        </w:rPr>
      </w:pPr>
    </w:p>
    <w:p>
      <w:pPr>
        <w:ind w:right="240" w:firstLine="872"/>
        <w:spacing w:after="0"/>
        <w:tabs>
          <w:tab w:leader="none" w:pos="1782"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laws of the State of Delaware, as applied to contracts between Delaware residents entered into and to be performed entirely within the State of Delaware, without regard to conflict of laws rules.</w:t>
      </w:r>
    </w:p>
    <w:p>
      <w:pPr>
        <w:spacing w:after="0" w:line="186" w:lineRule="exact"/>
        <w:rPr>
          <w:rFonts w:ascii="Arial" w:cs="Arial" w:eastAsia="Arial" w:hAnsi="Arial"/>
          <w:sz w:val="22"/>
          <w:szCs w:val="22"/>
          <w:color w:val="010000"/>
        </w:rPr>
      </w:pPr>
    </w:p>
    <w:p>
      <w:pPr>
        <w:ind w:right="80" w:firstLine="872"/>
        <w:spacing w:after="0" w:line="287" w:lineRule="auto"/>
        <w:tabs>
          <w:tab w:leader="none" w:pos="1782"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Except with respect to any arbitration commenced by Indemnitee pursuant to Section 8 of this Agreement, the Company and Indemnitee each irrevocably consent to the jurisdiction of the courts of the State of Delaware for all purposes in connection with any action or proceeding that arises out of or relates to this Agreement and agree that any action instituted under this Agreement shall be brought only in the state courts of the State of Delaware.</w:t>
      </w:r>
    </w:p>
    <w:p>
      <w:pPr>
        <w:spacing w:after="0" w:line="142" w:lineRule="exact"/>
        <w:rPr>
          <w:rFonts w:ascii="Arial" w:cs="Arial" w:eastAsia="Arial" w:hAnsi="Arial"/>
          <w:sz w:val="19"/>
          <w:szCs w:val="19"/>
          <w:color w:val="010000"/>
        </w:rPr>
      </w:pPr>
    </w:p>
    <w:p>
      <w:pPr>
        <w:jc w:val="both"/>
        <w:ind w:right="60" w:firstLine="872"/>
        <w:spacing w:after="0"/>
        <w:tabs>
          <w:tab w:leader="none" w:pos="1782"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represents the entire agreement between the parties hereto, and there are no other agreements, contracts or understandings between the parties hereto with respect to the subject matter of this Agreement, except as specifically referred to herein or as provided in Section 15 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ind w:left="-480" w:firstLine="872"/>
        <w:spacing w:after="0" w:line="328" w:lineRule="auto"/>
        <w:tabs>
          <w:tab w:leader="none" w:pos="1302"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shall for all purposes be deemed to be an original but all of which together shall constitute one and the same Agreement.</w:t>
      </w:r>
    </w:p>
    <w:p>
      <w:pPr>
        <w:spacing w:after="0" w:line="10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800" w:top="361" w:right="819" w:bottom="1440" w:gutter="0" w:footer="0" w:header="0"/>
        </w:sectPr>
      </w:pPr>
    </w:p>
    <w:bookmarkStart w:id="114" w:name="page115"/>
    <w:bookmarkEnd w:id="114"/>
    <w:p>
      <w:pPr>
        <w:ind w:firstLine="864"/>
        <w:spacing w:after="0" w:line="250" w:lineRule="auto"/>
        <w:rPr>
          <w:sz w:val="20"/>
          <w:szCs w:val="20"/>
          <w:color w:val="auto"/>
        </w:rPr>
      </w:pPr>
      <w:r>
        <w:rPr>
          <w:rFonts w:ascii="Arial" w:cs="Arial" w:eastAsia="Arial" w:hAnsi="Arial"/>
          <w:sz w:val="22"/>
          <w:szCs w:val="22"/>
          <w:color w:val="auto"/>
        </w:rPr>
        <w:t>IN WITNESS WHEREOF, the Company has caused this Agreement to be executed by a duly authorized officer and Indemnitee has executed this Agreement as of the date first above written.</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SITIME CORPORATION</w:t>
      </w:r>
      <w:r>
        <w:rPr>
          <w:rFonts w:ascii="Arial" w:cs="Arial" w:eastAsia="Arial" w:hAnsi="Arial"/>
          <w:sz w:val="22"/>
          <w:szCs w:val="22"/>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6985</wp:posOffset>
            </wp:positionV>
            <wp:extent cx="29400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-3175</wp:posOffset>
            </wp:positionV>
            <wp:extent cx="2940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-3175</wp:posOffset>
            </wp:positionV>
            <wp:extent cx="2940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INDEMNITEE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6985</wp:posOffset>
            </wp:positionV>
            <wp:extent cx="30175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-3175</wp:posOffset>
            </wp:positionV>
            <wp:extent cx="24771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170180</wp:posOffset>
            </wp:positionV>
            <wp:extent cx="27432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6985</wp:posOffset>
            </wp:positionV>
            <wp:extent cx="27432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0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88745"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11480"/>
                    </a:xfrm>
                    <a:prstGeom prst="rect">
                      <a:avLst/>
                    </a:prstGeom>
                    <a:noFill/>
                  </pic:spPr>
                </pic:pic>
              </a:graphicData>
            </a:graphic>
          </wp:anchor>
        </w:drawing>
        <w:t>Exhibit 10.22</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November 16, 2020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Fariborz Assaderaghi</w:t>
      </w:r>
    </w:p>
    <w:p>
      <w:pPr>
        <w:spacing w:after="0" w:line="200" w:lineRule="exact"/>
        <w:rPr>
          <w:sz w:val="20"/>
          <w:szCs w:val="20"/>
          <w:color w:val="auto"/>
        </w:rPr>
      </w:pPr>
    </w:p>
    <w:p>
      <w:pPr>
        <w:spacing w:after="0" w:line="24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Offer of Employment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Fari:</w:t>
      </w:r>
    </w:p>
    <w:p>
      <w:pPr>
        <w:spacing w:after="0" w:line="21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 am delighted to offer you a regular full-time position as Executive Vice President, Technology &amp; Engineering, reporting to me. I deeply believe we have an exceptional opportunity over the next decade to build an iconic semiconductor company that can change the world. We have worked successfully together in the past, so I am eagerly looking forward to collaborating again at SiTime Corporation (“SiTime” or the “Company”).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At SiTime, we believe in the principles of being creative, courageous, relentless, authentic, leaders, and a team. We believe employees who practice behaviors that align with these principles contribute greatly to the Company’s success.</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Your compensation will include an annual base salary of $330,000, (paid semi-monthly at a rate of $13,750), less applicable payroll deductions and all required withholdings.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Beginning January 1, 2021, you will be eligible to participate in the Executive Bonus and Retention Plan with a target bonus amount of 50% of base salary (equivalent to $165,000). The Plan is attached as </w:t>
      </w:r>
      <w:r>
        <w:rPr>
          <w:rFonts w:ascii="Arial" w:cs="Arial" w:eastAsia="Arial" w:hAnsi="Arial"/>
          <w:sz w:val="20"/>
          <w:szCs w:val="20"/>
          <w:u w:val="single" w:color="auto"/>
          <w:color w:val="auto"/>
        </w:rPr>
        <w:t>Exhibit A</w:t>
      </w:r>
      <w:r>
        <w:rPr>
          <w:rFonts w:ascii="Arial" w:cs="Arial" w:eastAsia="Arial" w:hAnsi="Arial"/>
          <w:sz w:val="20"/>
          <w:szCs w:val="20"/>
          <w:color w:val="auto"/>
          <w:highlight w:val="white"/>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Subject to approval of the Board of Directors of the Company or a committee thereof (the “Board”), the Company will grant you:</w:t>
      </w:r>
    </w:p>
    <w:p>
      <w:pPr>
        <w:jc w:val="both"/>
        <w:ind w:firstLine="8"/>
        <w:spacing w:after="0" w:line="227" w:lineRule="auto"/>
        <w:tabs>
          <w:tab w:leader="none" w:pos="249"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 award of 2,000 Restricted Stock Units (“RSUs”) which will vest in full on February 20, 2021; and (ii) an award of RSUs valued at $11,275,000 as of the grant date. The actual number of RSUs granted will be determined by dividing the award value by the average closing stock price per share of Company stock for the last twenty (20) trading days prior to the grant date. The grant date of the award is the date the Board approves the award. The award will be subject to the terms and conditions of the Company’s 2019 Stock Incentive Plan (the “Plan”) and standard form of time-based RSU agreement under the Plan. Twenty percent of the RSUs will vest on the first February 20, May 20, August 20, or November 20 falling in the one-year anniversary quarter of grantee’s employment start date, and 1/20 vesting in equal quarterly installments on each February 20, May 20, August 20, and November 20 thereafter, subject to your continued employment with the Company through the applicable vesting dates. Upon vesting, the RSUs are paid in shares of Company common stock on a one-for-one basis, subject to applicable withholding taxes.</w:t>
      </w: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You will also be eligible for change in control severance benefits under the terms of a Change of Control and Severance Agreement substantially in the form attached to this offer letter as </w:t>
      </w:r>
      <w:r>
        <w:rPr>
          <w:rFonts w:ascii="Arial" w:cs="Arial" w:eastAsia="Arial" w:hAnsi="Arial"/>
          <w:sz w:val="20"/>
          <w:szCs w:val="20"/>
          <w:u w:val="single" w:color="auto"/>
          <w:color w:val="auto"/>
        </w:rPr>
        <w:t>Exhibit B</w:t>
      </w:r>
      <w:r>
        <w:rPr>
          <w:rFonts w:ascii="Arial" w:cs="Arial" w:eastAsia="Arial" w:hAnsi="Arial"/>
          <w:sz w:val="20"/>
          <w:szCs w:val="20"/>
          <w:color w:val="auto"/>
          <w:highlight w:val="white"/>
        </w:rPr>
        <w:t>, subject to approval of the Board and the terms of an</w:t>
      </w:r>
      <w:r>
        <w:rPr>
          <w:rFonts w:ascii="Arial" w:cs="Arial" w:eastAsia="Arial" w:hAnsi="Arial"/>
          <w:sz w:val="20"/>
          <w:szCs w:val="20"/>
          <w:color w:val="auto"/>
        </w:rPr>
        <w:t xml:space="preserve"> approved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16" w:name="page117"/>
    <w:bookmarkEnd w:id="116"/>
    <w:p>
      <w:pPr>
        <w:jc w:val="both"/>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88745" cy="411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11480"/>
                    </a:xfrm>
                    <a:prstGeom prst="rect">
                      <a:avLst/>
                    </a:prstGeom>
                    <a:noFill/>
                  </pic:spPr>
                </pic:pic>
              </a:graphicData>
            </a:graphic>
          </wp:anchor>
        </w:drawing>
        <w:t>As a full time, regular employee of SiTime, you will be eligible to participate in our benefits programs. Benefits become effective on the first day of the month following date of hire. These programs will be outlined for you when you begin your employment.</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SiTime helps employees reach their financial retirement goals by offering a 401 (k) Plan with an employer match that vest immediately. Eligibility, enrollment timeframe, and other plan information will be provided during orientation.</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Your continued employment is also contingent upon reading and signing the Proprietary Information and Invention Assignment Agreement. Please review and sign this document within your first week of employment with SiTime.</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SiTime is an at-will employer and this offer of employment does not constitute a contract of employment. If employed by SiTime, your employment is for no definite or determinable period and may be terminated at any time, with or without prior notice, at the option of either you or the company, and not for a specified duration.</w:t>
      </w:r>
    </w:p>
    <w:p>
      <w:pPr>
        <w:spacing w:after="0" w:line="21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offer is contingent upon successfully passing a background check clearance, reference check, and satisfactory proof of your right to work in the United States. You agree to assist as needed and to complete any documentation at the Company’s request to meet these conditions. Pursuant to the Immigration Reform and Control Act of 1986, the Company is required to verify within the first three days of employment an individual’s employment eligibility in the United States. Documentation acceptable by the Immigration and Naturalization Service is listed on the attached I-9 Employment Eligibility Verification Form. To ensure compliance with the Act, please bring original copies of your documentation on your first day of employment. All job offers are contingent upon successful completion of the I-9 verification process.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offer will expire at the close of business on November 17, 2020 if not accepted, signed and returned to SiTime Corporation by this date.</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We are excited to offer you the challenge of contributing to SiTime’s growth. It is our sincere wish and intention that you find your experience here exciting and rewarding.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Rajesh Vashist</w:t>
      </w:r>
    </w:p>
    <w:p>
      <w:pPr>
        <w:spacing w:after="0"/>
        <w:rPr>
          <w:sz w:val="20"/>
          <w:szCs w:val="20"/>
          <w:color w:val="auto"/>
        </w:rPr>
      </w:pP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388745"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11480"/>
                    </a:xfrm>
                    <a:prstGeom prst="rect">
                      <a:avLst/>
                    </a:prstGeom>
                    <a:noFill/>
                  </pic:spPr>
                </pic:pic>
              </a:graphicData>
            </a:graphic>
          </wp:anchor>
        </w:drawing>
        <w:t>I have read and accept the above offer of employment: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60" w:type="dxa"/>
            <w:vAlign w:val="bottom"/>
          </w:tcPr>
          <w:p>
            <w:pPr>
              <w:spacing w:after="0"/>
              <w:rPr>
                <w:sz w:val="20"/>
                <w:szCs w:val="20"/>
                <w:color w:val="auto"/>
              </w:rPr>
            </w:pPr>
            <w:r>
              <w:rPr>
                <w:rFonts w:ascii="Arial" w:cs="Arial" w:eastAsia="Arial" w:hAnsi="Arial"/>
                <w:sz w:val="20"/>
                <w:szCs w:val="20"/>
                <w:color w:val="auto"/>
              </w:rPr>
              <w:t>Accepted by:</w:t>
            </w:r>
          </w:p>
        </w:tc>
        <w:tc>
          <w:tcPr>
            <w:tcW w:w="4940" w:type="dxa"/>
            <w:vAlign w:val="bottom"/>
            <w:gridSpan w:val="2"/>
          </w:tcPr>
          <w:p>
            <w:pPr>
              <w:spacing w:after="0"/>
              <w:rPr>
                <w:sz w:val="20"/>
                <w:szCs w:val="20"/>
                <w:color w:val="auto"/>
              </w:rPr>
            </w:pPr>
            <w:r>
              <w:rPr>
                <w:rFonts w:ascii="Arial" w:cs="Arial" w:eastAsia="Arial" w:hAnsi="Arial"/>
                <w:sz w:val="20"/>
                <w:szCs w:val="20"/>
                <w:color w:val="auto"/>
              </w:rPr>
              <w:t>/s/ Fariborz Assaderaghi</w:t>
            </w: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11/17/2020</w:t>
            </w:r>
          </w:p>
        </w:tc>
      </w:tr>
      <w:tr>
        <w:trPr>
          <w:trHeight w:val="231"/>
        </w:trPr>
        <w:tc>
          <w:tcPr>
            <w:tcW w:w="166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Fariborz Assaderaghi</w:t>
            </w:r>
          </w:p>
        </w:tc>
        <w:tc>
          <w:tcPr>
            <w:tcW w:w="1060" w:type="dxa"/>
            <w:vAlign w:val="bottom"/>
          </w:tcPr>
          <w:p>
            <w:pPr>
              <w:spacing w:after="0"/>
              <w:rPr>
                <w:sz w:val="20"/>
                <w:szCs w:val="20"/>
                <w:color w:val="auto"/>
              </w:rPr>
            </w:pPr>
          </w:p>
        </w:tc>
        <w:tc>
          <w:tcPr>
            <w:tcW w:w="1340" w:type="dxa"/>
            <w:vAlign w:val="bottom"/>
            <w:tcBorders>
              <w:top w:val="single" w:sz="8" w:color="auto"/>
            </w:tcBorders>
          </w:tcPr>
          <w:p>
            <w:pPr>
              <w:jc w:val="right"/>
              <w:ind w:right="361"/>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0"/>
                <w:szCs w:val="20"/>
                <w:color w:val="auto"/>
              </w:rPr>
            </w:pPr>
          </w:p>
        </w:tc>
      </w:tr>
      <w:tr>
        <w:trPr>
          <w:trHeight w:val="685"/>
        </w:trPr>
        <w:tc>
          <w:tcPr>
            <w:tcW w:w="1660" w:type="dxa"/>
            <w:vAlign w:val="bottom"/>
          </w:tcPr>
          <w:p>
            <w:pPr>
              <w:spacing w:after="0"/>
              <w:rPr>
                <w:sz w:val="20"/>
                <w:szCs w:val="20"/>
                <w:color w:val="auto"/>
              </w:rPr>
            </w:pPr>
            <w:r>
              <w:rPr>
                <w:rFonts w:ascii="Arial" w:cs="Arial" w:eastAsia="Arial" w:hAnsi="Arial"/>
                <w:sz w:val="20"/>
                <w:szCs w:val="20"/>
                <w:color w:val="auto"/>
              </w:rPr>
              <w:t>Start Date:</w:t>
            </w:r>
          </w:p>
        </w:tc>
        <w:tc>
          <w:tcPr>
            <w:tcW w:w="4940" w:type="dxa"/>
            <w:vAlign w:val="bottom"/>
            <w:gridSpan w:val="2"/>
          </w:tcPr>
          <w:p>
            <w:pPr>
              <w:spacing w:after="0"/>
              <w:rPr>
                <w:sz w:val="20"/>
                <w:szCs w:val="20"/>
                <w:color w:val="auto"/>
              </w:rPr>
            </w:pPr>
            <w:r>
              <w:rPr>
                <w:rFonts w:ascii="Arial" w:cs="Arial" w:eastAsia="Arial" w:hAnsi="Arial"/>
                <w:sz w:val="20"/>
                <w:szCs w:val="20"/>
                <w:color w:val="auto"/>
              </w:rPr>
              <w:t>December 14, 2020</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7"/>
        </w:trPr>
        <w:tc>
          <w:tcPr>
            <w:tcW w:w="1660" w:type="dxa"/>
            <w:vAlign w:val="bottom"/>
          </w:tcPr>
          <w:p>
            <w:pPr>
              <w:spacing w:after="0"/>
              <w:rPr>
                <w:sz w:val="20"/>
                <w:szCs w:val="20"/>
                <w:color w:val="auto"/>
              </w:rPr>
            </w:pPr>
            <w:r>
              <w:rPr>
                <w:rFonts w:ascii="Arial" w:cs="Arial" w:eastAsia="Arial" w:hAnsi="Arial"/>
                <w:sz w:val="20"/>
                <w:szCs w:val="20"/>
                <w:color w:val="auto"/>
              </w:rPr>
              <w:t>Enclosures:</w:t>
            </w:r>
          </w:p>
        </w:tc>
        <w:tc>
          <w:tcPr>
            <w:tcW w:w="6300" w:type="dxa"/>
            <w:vAlign w:val="bottom"/>
            <w:gridSpan w:val="4"/>
          </w:tcPr>
          <w:p>
            <w:pPr>
              <w:spacing w:after="0"/>
              <w:rPr>
                <w:sz w:val="20"/>
                <w:szCs w:val="20"/>
                <w:color w:val="auto"/>
              </w:rPr>
            </w:pPr>
            <w:r>
              <w:rPr>
                <w:rFonts w:ascii="Arial" w:cs="Arial" w:eastAsia="Arial" w:hAnsi="Arial"/>
                <w:sz w:val="20"/>
                <w:szCs w:val="20"/>
                <w:color w:val="auto"/>
              </w:rPr>
              <w:t>SiTime Confidential Information and Invention Assignment Agreement</w:t>
            </w:r>
          </w:p>
        </w:tc>
      </w:tr>
      <w:tr>
        <w:trPr>
          <w:trHeight w:val="237"/>
        </w:trPr>
        <w:tc>
          <w:tcPr>
            <w:tcW w:w="16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20"/>
                <w:szCs w:val="20"/>
                <w:color w:val="auto"/>
              </w:rPr>
              <w:t>I-9 Employment Eligibility Verification Form</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0139"/>
          </w:cols>
          <w:pgMar w:left="320" w:top="127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DIRECTOR COMPENSATION POLICY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(Approved February 13, 2021)</w:t>
      </w:r>
    </w:p>
    <w:p>
      <w:pPr>
        <w:spacing w:after="0" w:line="206" w:lineRule="exact"/>
        <w:rPr>
          <w:sz w:val="20"/>
          <w:szCs w:val="20"/>
          <w:color w:val="auto"/>
        </w:rPr>
      </w:pPr>
    </w:p>
    <w:p>
      <w:pPr>
        <w:ind w:right="100" w:firstLine="864"/>
        <w:spacing w:after="0" w:line="274"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SiTime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Independent Director Compensation Policy. The cash compensation and equity grants described in this Independent Director Compensation Policy shall be paid or be made, as applicable, automatically and without further action of the Board, to each member of the Board who is not an employee of the Company or any parent or subsidiary of the Company (each, an “</w:t>
      </w:r>
      <w:r>
        <w:rPr>
          <w:rFonts w:ascii="Arial" w:cs="Arial" w:eastAsia="Arial" w:hAnsi="Arial"/>
          <w:sz w:val="19"/>
          <w:szCs w:val="19"/>
          <w:b w:val="1"/>
          <w:bCs w:val="1"/>
          <w:i w:val="1"/>
          <w:iCs w:val="1"/>
          <w:color w:val="auto"/>
        </w:rPr>
        <w:t>Independent Director</w:t>
      </w:r>
      <w:r>
        <w:rPr>
          <w:rFonts w:ascii="Arial" w:cs="Arial" w:eastAsia="Arial" w:hAnsi="Arial"/>
          <w:sz w:val="19"/>
          <w:szCs w:val="19"/>
          <w:color w:val="auto"/>
        </w:rPr>
        <w:t>”) who may be eligible to receive such cash compensation or equity grants, unless such Independent Director declines the receipt of such cash compensation or equity grants by written notice to the Company. This Independent Director Compensation Policy shall remain in effect until it is revised or rescinded by further action of the Board. The terms and conditions of this Independent Director Compensation Policy shall supersede any prior cash or equity compensation arrangements between the Company and its directors.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Cash Compensation</w:t>
      </w:r>
    </w:p>
    <w:p>
      <w:pPr>
        <w:spacing w:after="0" w:line="212"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u w:val="single" w:color="auto"/>
          <w:color w:val="auto"/>
        </w:rPr>
        <w:t>Annual Cash Retainer for Board Service</w:t>
      </w:r>
      <w:r>
        <w:rPr>
          <w:rFonts w:ascii="Arial" w:cs="Arial" w:eastAsia="Arial" w:hAnsi="Arial"/>
          <w:sz w:val="22"/>
          <w:szCs w:val="22"/>
          <w:color w:val="auto"/>
        </w:rPr>
        <w:t>. Each Independent Director shall be eligible to receive an annual retainer of $40,000 for service on the Board.</w:t>
      </w:r>
    </w:p>
    <w:p>
      <w:pPr>
        <w:spacing w:after="0" w:line="175" w:lineRule="exact"/>
        <w:rPr>
          <w:sz w:val="20"/>
          <w:szCs w:val="20"/>
          <w:color w:val="auto"/>
        </w:rPr>
      </w:pPr>
    </w:p>
    <w:p>
      <w:pPr>
        <w:ind w:right="480" w:firstLine="864"/>
        <w:spacing w:after="0" w:line="250" w:lineRule="auto"/>
        <w:rPr>
          <w:sz w:val="20"/>
          <w:szCs w:val="20"/>
          <w:color w:val="auto"/>
        </w:rPr>
      </w:pPr>
      <w:r>
        <w:rPr>
          <w:rFonts w:ascii="Arial" w:cs="Arial" w:eastAsia="Arial" w:hAnsi="Arial"/>
          <w:sz w:val="22"/>
          <w:szCs w:val="22"/>
          <w:u w:val="single" w:color="auto"/>
          <w:color w:val="auto"/>
        </w:rPr>
        <w:t>Annual Cash Retainer for Committee Service</w:t>
      </w:r>
      <w:r>
        <w:rPr>
          <w:rFonts w:ascii="Arial" w:cs="Arial" w:eastAsia="Arial" w:hAnsi="Arial"/>
          <w:sz w:val="22"/>
          <w:szCs w:val="22"/>
          <w:color w:val="auto"/>
        </w:rPr>
        <w:t>. In addition, an Independent Director shall be eligible to receive the following additional annual cash retainers for service in the following roles: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Committee Chair:</w:t>
      </w:r>
    </w:p>
    <w:p>
      <w:pPr>
        <w:spacing w:after="0" w:line="206" w:lineRule="exact"/>
        <w:rPr>
          <w:sz w:val="20"/>
          <w:szCs w:val="20"/>
          <w:color w:val="auto"/>
        </w:rPr>
      </w:pPr>
    </w:p>
    <w:p>
      <w:pPr>
        <w:ind w:left="1740" w:hanging="436"/>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Audit: $20,000</w:t>
      </w:r>
    </w:p>
    <w:p>
      <w:pPr>
        <w:spacing w:after="0" w:line="206" w:lineRule="exact"/>
        <w:rPr>
          <w:rFonts w:ascii="Arial" w:cs="Arial" w:eastAsia="Arial" w:hAnsi="Arial"/>
          <w:sz w:val="22"/>
          <w:szCs w:val="22"/>
          <w:color w:val="auto"/>
        </w:rPr>
      </w:pPr>
    </w:p>
    <w:p>
      <w:pPr>
        <w:ind w:left="1740" w:hanging="436"/>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Compensation: $10,000</w:t>
      </w:r>
    </w:p>
    <w:p>
      <w:pPr>
        <w:spacing w:after="0" w:line="206" w:lineRule="exact"/>
        <w:rPr>
          <w:rFonts w:ascii="Arial" w:cs="Arial" w:eastAsia="Arial" w:hAnsi="Arial"/>
          <w:sz w:val="22"/>
          <w:szCs w:val="22"/>
          <w:color w:val="auto"/>
        </w:rPr>
      </w:pPr>
    </w:p>
    <w:p>
      <w:pPr>
        <w:ind w:left="880" w:right="6560" w:firstLine="424"/>
        <w:spacing w:after="0" w:line="435" w:lineRule="auto"/>
        <w:tabs>
          <w:tab w:leader="none" w:pos="17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Nominating/Governance: $10,000 Committee Member:</w:t>
      </w:r>
    </w:p>
    <w:p>
      <w:pPr>
        <w:ind w:left="1740" w:hanging="436"/>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Audit: $8,000</w:t>
      </w:r>
    </w:p>
    <w:p>
      <w:pPr>
        <w:spacing w:after="0" w:line="206" w:lineRule="exact"/>
        <w:rPr>
          <w:rFonts w:ascii="Arial" w:cs="Arial" w:eastAsia="Arial" w:hAnsi="Arial"/>
          <w:sz w:val="22"/>
          <w:szCs w:val="22"/>
          <w:color w:val="auto"/>
        </w:rPr>
      </w:pPr>
    </w:p>
    <w:p>
      <w:pPr>
        <w:ind w:left="1740" w:hanging="436"/>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Compensation: $5,000</w:t>
      </w:r>
    </w:p>
    <w:p>
      <w:pPr>
        <w:spacing w:after="0" w:line="206" w:lineRule="exact"/>
        <w:rPr>
          <w:rFonts w:ascii="Arial" w:cs="Arial" w:eastAsia="Arial" w:hAnsi="Arial"/>
          <w:sz w:val="22"/>
          <w:szCs w:val="22"/>
          <w:color w:val="auto"/>
        </w:rPr>
      </w:pPr>
    </w:p>
    <w:p>
      <w:pPr>
        <w:ind w:left="880" w:right="6660" w:firstLine="424"/>
        <w:spacing w:after="0" w:line="504" w:lineRule="auto"/>
        <w:tabs>
          <w:tab w:leader="none" w:pos="17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Nominating/Governance: $5,000 Lead Independent Director: $20,000</w:t>
      </w:r>
    </w:p>
    <w:p>
      <w:pPr>
        <w:ind w:right="60" w:firstLine="864"/>
        <w:spacing w:after="0" w:line="250" w:lineRule="auto"/>
        <w:rPr>
          <w:sz w:val="20"/>
          <w:szCs w:val="20"/>
          <w:color w:val="auto"/>
        </w:rPr>
      </w:pPr>
      <w:r>
        <w:rPr>
          <w:rFonts w:ascii="Arial" w:cs="Arial" w:eastAsia="Arial" w:hAnsi="Arial"/>
          <w:sz w:val="22"/>
          <w:szCs w:val="22"/>
          <w:color w:val="auto"/>
        </w:rPr>
        <w:t>The annual retainers shall be paid by the Company in quarterly installments or more frequently as deemed advisable by the officers of the Company for administrative or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ind w:left="880"/>
        <w:spacing w:after="0"/>
        <w:rPr>
          <w:sz w:val="20"/>
          <w:szCs w:val="20"/>
          <w:color w:val="auto"/>
        </w:rPr>
      </w:pPr>
      <w:r>
        <w:rPr>
          <w:rFonts w:ascii="Arial" w:cs="Arial" w:eastAsia="Arial" w:hAnsi="Arial"/>
          <w:sz w:val="22"/>
          <w:szCs w:val="22"/>
          <w:b w:val="1"/>
          <w:bCs w:val="1"/>
          <w:color w:val="auto"/>
        </w:rPr>
        <w:t>Equity Compensation</w:t>
      </w:r>
    </w:p>
    <w:p>
      <w:pPr>
        <w:spacing w:after="0" w:line="212"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color w:val="auto"/>
        </w:rPr>
        <w:t>The Independent Directors shall be granted the following restricted stock unit (“</w:t>
      </w:r>
      <w:r>
        <w:rPr>
          <w:rFonts w:ascii="Arial" w:cs="Arial" w:eastAsia="Arial" w:hAnsi="Arial"/>
          <w:sz w:val="22"/>
          <w:szCs w:val="22"/>
          <w:u w:val="single" w:color="auto"/>
          <w:color w:val="auto"/>
        </w:rPr>
        <w:t>RSU</w:t>
      </w:r>
      <w:r>
        <w:rPr>
          <w:rFonts w:ascii="Arial" w:cs="Arial" w:eastAsia="Arial" w:hAnsi="Arial"/>
          <w:sz w:val="22"/>
          <w:szCs w:val="22"/>
          <w:color w:val="auto"/>
        </w:rPr>
        <w:t>”) awards. The RSUs shall be granted under and shall be subject to the terms and conditions of the Company’s 2019 Stock Incentive Plan or its successor (the “</w:t>
      </w:r>
      <w:r>
        <w:rPr>
          <w:rFonts w:ascii="Arial" w:cs="Arial" w:eastAsia="Arial" w:hAnsi="Arial"/>
          <w:sz w:val="22"/>
          <w:szCs w:val="22"/>
          <w:u w:val="single" w:color="auto"/>
          <w:color w:val="auto"/>
        </w:rPr>
        <w:t>Plan</w:t>
      </w:r>
      <w:r>
        <w:rPr>
          <w:rFonts w:ascii="Arial" w:cs="Arial" w:eastAsia="Arial" w:hAnsi="Arial"/>
          <w:sz w:val="22"/>
          <w:szCs w:val="22"/>
          <w:color w:val="auto"/>
        </w:rPr>
        <w:t>”) and an RSU agreement, including attached exhibits, in substantially the same form approved by the Board for employee grants subject to the terms specified below.</w:t>
      </w:r>
    </w:p>
    <w:p>
      <w:pPr>
        <w:spacing w:after="0" w:line="185" w:lineRule="exact"/>
        <w:rPr>
          <w:sz w:val="20"/>
          <w:szCs w:val="20"/>
          <w:color w:val="auto"/>
        </w:rPr>
      </w:pPr>
    </w:p>
    <w:p>
      <w:pPr>
        <w:ind w:left="880" w:firstLine="797"/>
        <w:spacing w:after="0" w:line="244" w:lineRule="auto"/>
        <w:rPr>
          <w:sz w:val="20"/>
          <w:szCs w:val="20"/>
          <w:color w:val="auto"/>
        </w:rPr>
      </w:pPr>
      <w:r>
        <w:rPr>
          <w:rFonts w:ascii="Arial" w:cs="Arial" w:eastAsia="Arial" w:hAnsi="Arial"/>
          <w:sz w:val="21"/>
          <w:szCs w:val="21"/>
          <w:u w:val="single" w:color="auto"/>
          <w:color w:val="auto"/>
        </w:rPr>
        <w:t>Annual Awards</w:t>
      </w:r>
      <w:r>
        <w:rPr>
          <w:rFonts w:ascii="Arial" w:cs="Arial" w:eastAsia="Arial" w:hAnsi="Arial"/>
          <w:sz w:val="21"/>
          <w:szCs w:val="21"/>
          <w:color w:val="auto"/>
        </w:rPr>
        <w:t>: On the first business day following the conclusion of each regular annual meeting of the Company’s stockholders, commencing with the 2021 annual meeting, each Independent Director who has served on the Board for at least six months and will continue serving as a member of the Board thereafter, shall receive a grant of RSUs (“</w:t>
      </w:r>
      <w:r>
        <w:rPr>
          <w:rFonts w:ascii="Arial" w:cs="Arial" w:eastAsia="Arial" w:hAnsi="Arial"/>
          <w:sz w:val="21"/>
          <w:szCs w:val="21"/>
          <w:u w:val="single" w:color="auto"/>
          <w:color w:val="auto"/>
        </w:rPr>
        <w:t>Annual RSU Award</w:t>
      </w:r>
      <w:r>
        <w:rPr>
          <w:rFonts w:ascii="Arial" w:cs="Arial" w:eastAsia="Arial" w:hAnsi="Arial"/>
          <w:sz w:val="21"/>
          <w:szCs w:val="21"/>
          <w:color w:val="auto"/>
        </w:rPr>
        <w:t>”) under the Plan with respect to a number of shares of common stock equal to $175,000 divided by the average closing price of the Company’s common stock on The Nasdaq Global Market for the period of twenty (20) trading days ending on the day prior to the date of grant. Each Annual RSU Award shall become fully vested on the February 20, May 20, August 20, or November 20 falling in the one-year anniversary quarter of the annual meeting, provided that (i) if the next years’ annual meeting date occurs prior to such vesting date and (ii) such Independent Director’s service will not continue following the annual meeting, then the Annual RSU Award for such Independent Director will vest on the day prior to the date of the annual meeting. Notwithstanding the foregoing, each Annual RSU Award shall become 100% vested if a Change in Control as defined in the Plan occurs during such Independent Director’s service.</w:t>
      </w:r>
    </w:p>
    <w:p>
      <w:pPr>
        <w:spacing w:after="0" w:line="186" w:lineRule="exact"/>
        <w:rPr>
          <w:sz w:val="20"/>
          <w:szCs w:val="20"/>
          <w:color w:val="auto"/>
        </w:rPr>
      </w:pPr>
    </w:p>
    <w:p>
      <w:pPr>
        <w:ind w:left="880" w:right="40" w:firstLine="797"/>
        <w:spacing w:after="0" w:line="274" w:lineRule="auto"/>
        <w:rPr>
          <w:sz w:val="20"/>
          <w:szCs w:val="20"/>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Each Independent Director who first joins the Board after the date hereof and who was not previously an employee of the Company or a parent or subsidiary thereof shall receive a grant of RSUs (“</w:t>
      </w:r>
      <w:r>
        <w:rPr>
          <w:rFonts w:ascii="Arial" w:cs="Arial" w:eastAsia="Arial" w:hAnsi="Arial"/>
          <w:sz w:val="19"/>
          <w:szCs w:val="19"/>
          <w:u w:val="single" w:color="auto"/>
          <w:color w:val="auto"/>
        </w:rPr>
        <w:t>Initial RSU</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w:t>
      </w:r>
      <w:r>
        <w:rPr>
          <w:rFonts w:ascii="Arial" w:cs="Arial" w:eastAsia="Arial" w:hAnsi="Arial"/>
          <w:sz w:val="19"/>
          <w:szCs w:val="19"/>
          <w:color w:val="auto"/>
        </w:rPr>
        <w:t>”) under the Plan on the date of his or her election to the Board with respect to a number of shares of common stock equal to $250,000 divided by the average closing price of the Company’s common stock on The Nasdaq Global Market for the period of twenty (20) trading days ending on the day prior to the date of grant. The Initial RSU Award shall vest annually over a 3-year period on the February 20, May 20, August 20, or November 20 falling in the anniversary quarter of the date of grant at an annual rate of 1/3 of the total number of RSUs subject to such award. Notwithstanding the foregoing, each Initial RSU Award shall become 100% vested if a Change in Control as defined in the Plan occurs during such Independent Director’s service.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Annual Limitations</w:t>
      </w:r>
    </w:p>
    <w:p>
      <w:pPr>
        <w:spacing w:after="0" w:line="212" w:lineRule="exact"/>
        <w:rPr>
          <w:sz w:val="20"/>
          <w:szCs w:val="20"/>
          <w:color w:val="auto"/>
        </w:rPr>
      </w:pPr>
    </w:p>
    <w:p>
      <w:pPr>
        <w:ind w:right="40" w:firstLine="864"/>
        <w:spacing w:after="0" w:line="236" w:lineRule="auto"/>
        <w:rPr>
          <w:sz w:val="20"/>
          <w:szCs w:val="20"/>
          <w:color w:val="auto"/>
        </w:rPr>
      </w:pPr>
      <w:r>
        <w:rPr>
          <w:rFonts w:ascii="Arial" w:cs="Arial" w:eastAsia="Arial" w:hAnsi="Arial"/>
          <w:sz w:val="22"/>
          <w:szCs w:val="22"/>
          <w:color w:val="auto"/>
        </w:rPr>
        <w:t>The grant date fair value of all equity awards (as determined in accordance with Financial Accounting Standards Board Accounting Standards Codification Topic 718, or any successor thereto) granted under the Plan, plus the amount of cash compensation paid, to any Independent Director as compensation for services as an Independent Director during any calendar year may not exceed $500,000 (provided that such limit shall be increased to $750,000 for the first calendar year that the Independent Director serves on the Board).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571" w:right="3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gridSpan w:val="3"/>
          </w:tcPr>
          <w:p>
            <w:pPr>
              <w:ind w:left="60"/>
              <w:spacing w:after="0"/>
              <w:rPr>
                <w:sz w:val="20"/>
                <w:szCs w:val="20"/>
                <w:color w:val="auto"/>
              </w:rPr>
            </w:pPr>
            <w:r>
              <w:rPr>
                <w:rFonts w:ascii="Arial" w:cs="Arial" w:eastAsia="Arial" w:hAnsi="Arial"/>
                <w:sz w:val="18"/>
                <w:szCs w:val="18"/>
                <w:b w:val="1"/>
                <w:bCs w:val="1"/>
                <w:color w:val="auto"/>
              </w:rPr>
              <w:t>Subsidiaries of SiTime Corporation</w:t>
            </w:r>
          </w:p>
        </w:tc>
      </w:tr>
      <w:tr>
        <w:trPr>
          <w:trHeight w:val="682"/>
        </w:trPr>
        <w:tc>
          <w:tcPr>
            <w:tcW w:w="20" w:type="dxa"/>
            <w:vAlign w:val="bottom"/>
          </w:tcPr>
          <w:p>
            <w:pPr>
              <w:spacing w:after="0"/>
              <w:rPr>
                <w:sz w:val="24"/>
                <w:szCs w:val="24"/>
                <w:color w:val="auto"/>
              </w:rPr>
            </w:pPr>
          </w:p>
        </w:tc>
        <w:tc>
          <w:tcPr>
            <w:tcW w:w="23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5"/>
              </w:rPr>
              <w:t>Subsidiary</w:t>
            </w:r>
          </w:p>
        </w:tc>
        <w:tc>
          <w:tcPr>
            <w:tcW w:w="1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w:t>
            </w: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SiTime Ukraine, LLC</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Pr>
          <w:p>
            <w:pPr>
              <w:jc w:val="center"/>
              <w:spacing w:after="0" w:line="201" w:lineRule="exact"/>
              <w:rPr>
                <w:sz w:val="20"/>
                <w:szCs w:val="20"/>
                <w:color w:val="auto"/>
              </w:rPr>
            </w:pPr>
            <w:r>
              <w:rPr>
                <w:rFonts w:ascii="Arial" w:cs="Arial" w:eastAsia="Arial" w:hAnsi="Arial"/>
                <w:sz w:val="18"/>
                <w:szCs w:val="18"/>
                <w:color w:val="auto"/>
                <w:w w:val="93"/>
              </w:rPr>
              <w:t>Ukraine</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SiTime Netherlands, B.V.</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SiTime Japan GK</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Japan</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SiTime France</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France</w:t>
            </w:r>
          </w:p>
        </w:tc>
      </w:tr>
    </w:tbl>
    <w:p>
      <w:pPr>
        <w:sectPr>
          <w:pgSz w:w="11900" w:h="16838" w:orient="portrait"/>
          <w:cols w:equalWidth="0" w:num="1">
            <w:col w:w="10120"/>
          </w:cols>
          <w:pgMar w:left="144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333-235255 and 333-236847) of SiTime Corporation of our report dated February 16, 2021, relating to the consolidated financial statements and financial statement schedule, which appears in this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620" w:hanging="612"/>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SiTime Corporation;</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840" w:val="left"/>
          <w:tab w:leader="none" w:pos="806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620" w:hanging="612"/>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SiTime Corporation;</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840" w:val="left"/>
          <w:tab w:leader="none" w:pos="784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Executive Vice President, Chief Financial Officer</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10"/>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220" w:hanging="605"/>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420" w:hanging="605"/>
        <w:spacing w:after="0" w:line="277" w:lineRule="auto"/>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10"/>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220" w:hanging="605"/>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420" w:hanging="605"/>
        <w:spacing w:after="0" w:line="277" w:lineRule="auto"/>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Executive Vice President, 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2"/>
    </w:lvl>
  </w:abstractNum>
  <w:abstractNum w:abstractNumId="25">
    <w:nsid w:val="542289EC"/>
    <w:multiLevelType w:val="hybridMultilevel"/>
    <w:lvl w:ilvl="0">
      <w:lvlJc w:val="left"/>
      <w:lvlText w:val="%1."/>
      <w:numFmt w:val="decimal"/>
      <w:start w:val="4"/>
    </w:lvl>
  </w:abstractNum>
  <w:abstractNum w:abstractNumId="26">
    <w:nsid w:val="6DE91B18"/>
    <w:multiLevelType w:val="hybridMultilevel"/>
    <w:lvl w:ilvl="0">
      <w:lvlJc w:val="left"/>
      <w:lvlText w:val="%1."/>
      <w:numFmt w:val="decimal"/>
      <w:start w:val="6"/>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1."/>
      <w:numFmt w:val="decimal"/>
      <w:start w:val="3"/>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decimal"/>
      <w:start w:val="3"/>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2"/>
    </w:lvl>
    <w:lvl w:ilvl="1">
      <w:lvlJc w:val="left"/>
      <w:lvlText w:val="(%2)"/>
      <w:numFmt w:val="lowerRoman"/>
      <w:start w:val="1"/>
    </w:lvl>
  </w:abstractNum>
  <w:abstractNum w:abstractNumId="42">
    <w:nsid w:val="23F9C13C"/>
    <w:multiLevelType w:val="hybridMultilevel"/>
    <w:lvl w:ilvl="0">
      <w:lvlJc w:val="left"/>
      <w:lvlText w:val="%1."/>
      <w:numFmt w:val="decimal"/>
      <w:start w:val="6"/>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4"/>
    </w:lvl>
  </w:abstractNum>
  <w:abstractNum w:abstractNumId="45">
    <w:nsid w:val="39386575"/>
    <w:multiLevelType w:val="hybridMultilevel"/>
    <w:lvl w:ilvl="0">
      <w:lvlJc w:val="left"/>
      <w:lvlText w:val="%1."/>
      <w:numFmt w:val="decimal"/>
      <w:start w:val="7"/>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5"/>
    </w:lvl>
  </w:abstractNum>
  <w:abstractNum w:abstractNumId="48">
    <w:nsid w:val="235BA861"/>
    <w:multiLevelType w:val="hybridMultilevel"/>
    <w:lvl w:ilvl="0">
      <w:lvlJc w:val="left"/>
      <w:lvlText w:val="%1."/>
      <w:numFmt w:val="decimal"/>
      <w:start w:val="9"/>
    </w:lvl>
  </w:abstractNum>
  <w:abstractNum w:abstractNumId="49">
    <w:nsid w:val="47398C89"/>
    <w:multiLevelType w:val="hybridMultilevel"/>
    <w:lvl w:ilvl="0">
      <w:lvlJc w:val="left"/>
      <w:lvlText w:val="%1."/>
      <w:numFmt w:val="decimal"/>
      <w:start w:val="11"/>
    </w:lvl>
  </w:abstractNum>
  <w:abstractNum w:abstractNumId="50">
    <w:nsid w:val="354FE9F9"/>
    <w:multiLevelType w:val="hybridMultilevel"/>
    <w:lvl w:ilvl="0">
      <w:lvlJc w:val="left"/>
      <w:lvlText w:val="(%1)"/>
      <w:numFmt w:val="lowerLetter"/>
      <w:start w:val="1"/>
    </w:lvl>
    <w:lvl w:ilvl="1">
      <w:lvlJc w:val="left"/>
      <w:lvlText w:val="(%2)"/>
      <w:numFmt w:val="lowerRoman"/>
      <w:start w:val="1"/>
    </w:lvl>
  </w:abstractNum>
  <w:abstractNum w:abstractNumId="51">
    <w:nsid w:val="15B5AF5C"/>
    <w:multiLevelType w:val="hybridMultilevel"/>
    <w:lvl w:ilvl="0">
      <w:lvlJc w:val="left"/>
      <w:lvlText w:val="%1."/>
      <w:numFmt w:val="decimal"/>
      <w:start w:val="14"/>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decimal"/>
      <w:start w:val="15"/>
    </w:lvl>
  </w:abstractNum>
  <w:abstractNum w:abstractNumId="54">
    <w:nsid w:val="10233C99"/>
    <w:multiLevelType w:val="hybridMultilevel"/>
    <w:lvl w:ilvl="0">
      <w:lvlJc w:val="left"/>
      <w:lvlText w:val="(%1)"/>
      <w:numFmt w:val="lowerLetter"/>
      <w:start w:val="1"/>
    </w:lvl>
    <w:lvl w:ilvl="1">
      <w:lvlJc w:val="left"/>
      <w:lvlText w:val="(%2)"/>
      <w:numFmt w:val="lowerRoman"/>
      <w:start w:val="1"/>
    </w:lvl>
  </w:abstractNum>
  <w:abstractNum w:abstractNumId="55">
    <w:nsid w:val="3F6AB60F"/>
    <w:multiLevelType w:val="hybridMultilevel"/>
    <w:lvl w:ilvl="0">
      <w:lvlJc w:val="left"/>
      <w:lvlText w:val="(%1)"/>
      <w:numFmt w:val="lowerLetter"/>
      <w:start w:val="3"/>
    </w:lvl>
  </w:abstractNum>
  <w:abstractNum w:abstractNumId="56">
    <w:nsid w:val="61574095"/>
    <w:multiLevelType w:val="hybridMultilevel"/>
    <w:lvl w:ilvl="0">
      <w:lvlJc w:val="left"/>
      <w:lvlText w:val="(%1)"/>
      <w:numFmt w:val="lowerLetter"/>
      <w:start w:val="7"/>
    </w:lvl>
  </w:abstractNum>
  <w:abstractNum w:abstractNumId="57">
    <w:nsid w:val="7E0C57B1"/>
    <w:multiLevelType w:val="hybridMultilevel"/>
    <w:lvl w:ilvl="0">
      <w:lvlJc w:val="left"/>
      <w:lvlText w:val="%1."/>
      <w:numFmt w:val="decimal"/>
      <w:start w:val="18"/>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20"/>
    </w:lvl>
  </w:abstractNum>
  <w:abstractNum w:abstractNumId="60">
    <w:nsid w:val="310C50B3"/>
    <w:multiLevelType w:val="hybridMultilevel"/>
    <w:lvl w:ilvl="0">
      <w:lvlJc w:val="left"/>
      <w:lvlText w:val="%1."/>
      <w:numFmt w:val="decimal"/>
      <w:start w:val="23"/>
    </w:lvl>
  </w:abstractNum>
  <w:abstractNum w:abstractNumId="61">
    <w:nsid w:val="5FF87E05"/>
    <w:multiLevelType w:val="hybridMultilevel"/>
    <w:lvl w:ilvl="0">
      <w:lvlJc w:val="left"/>
      <w:lvlText w:val="(%1)"/>
      <w:numFmt w:val="lowerRoman"/>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7"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jpeg"/><Relationship Id="rId177" Type="http://schemas.openxmlformats.org/officeDocument/2006/relationships/image" Target="media/image147.png"/><Relationship Id="rId178" Type="http://schemas.openxmlformats.org/officeDocument/2006/relationships/image" Target="media/image148.jpeg"/><Relationship Id="rId179" Type="http://schemas.openxmlformats.org/officeDocument/2006/relationships/image" Target="media/image149.png"/><Relationship Id="rId180" Type="http://schemas.openxmlformats.org/officeDocument/2006/relationships/image" Target="media/image150.jpe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25" Type="http://schemas.openxmlformats.org/officeDocument/2006/relationships/hyperlink" Target="http://www.sec.gov/Archives/edgar/data/1451809/000119312519301287/d630610dex31.htm" TargetMode="External"/><Relationship Id="rId126" Type="http://schemas.openxmlformats.org/officeDocument/2006/relationships/hyperlink" Target="http://www.sec.gov/Archives/edgar/data/1451809/000119312520164650/d920552dex32.htm" TargetMode="External"/><Relationship Id="rId127" Type="http://schemas.openxmlformats.org/officeDocument/2006/relationships/hyperlink" Target="http://www.sec.gov/Archives/edgar/data/0001451809/000119312519272678/d701682dex41.htm" TargetMode="External"/><Relationship Id="rId128" Type="http://schemas.openxmlformats.org/officeDocument/2006/relationships/hyperlink" Target="http://www.sec.gov/Archives/edgar/data/1451809/000119312519287290/d701682dex102.htm" TargetMode="External"/><Relationship Id="rId129" Type="http://schemas.openxmlformats.org/officeDocument/2006/relationships/hyperlink" Target="http://www.sec.gov/Archives/edgar/data/0001451809/000119312519272678/d701682dex103.htm" TargetMode="External"/><Relationship Id="rId130" Type="http://schemas.openxmlformats.org/officeDocument/2006/relationships/hyperlink" Target="http://www.sec.gov/Archives/edgar/data/0001451809/000119312519272678/d701682dex104.htm" TargetMode="External"/><Relationship Id="rId131" Type="http://schemas.openxmlformats.org/officeDocument/2006/relationships/hyperlink" Target="http://www.sec.gov/Archives/edgar/data/0001451809/000119312519272678/d701682dex105.htm" TargetMode="External"/><Relationship Id="rId132" Type="http://schemas.openxmlformats.org/officeDocument/2006/relationships/hyperlink" Target="http://www.sec.gov/Archives/edgar/data/1451809/000119312519272678/d701682dex106.htm" TargetMode="External"/><Relationship Id="rId133" Type="http://schemas.openxmlformats.org/officeDocument/2006/relationships/hyperlink" Target="http://www.sec.gov/Archives/edgar/data/0001451809/000119312519272678/d701682dex107.htm" TargetMode="External"/><Relationship Id="rId134" Type="http://schemas.openxmlformats.org/officeDocument/2006/relationships/hyperlink" Target="http://www.sec.gov/Archives/edgar/data/1451809/000119312519272678/d701682dex108.htm" TargetMode="External"/><Relationship Id="rId135" Type="http://schemas.openxmlformats.org/officeDocument/2006/relationships/hyperlink" Target="http://www.sec.gov/Archives/edgar/data/1451809/000119312519287290/d701682dex109.htm" TargetMode="External"/><Relationship Id="rId136" Type="http://schemas.openxmlformats.org/officeDocument/2006/relationships/hyperlink" Target="http://www.sec.gov/Archives/edgar/data/0001451809/000119312519272678/d701682dex1012.htm" TargetMode="External"/><Relationship Id="rId138" Type="http://schemas.openxmlformats.org/officeDocument/2006/relationships/hyperlink" Target="http://www.sec.gov/Archives/edgar/data/0001451809/000119312519272678/d701682dex1015.htm" TargetMode="External"/><Relationship Id="rId139" Type="http://schemas.openxmlformats.org/officeDocument/2006/relationships/hyperlink" Target="http://www.sec.gov/Archives/edgar/data/0001451809/000119312519272678/d701682dex1016.htm" TargetMode="External"/><Relationship Id="rId140" Type="http://schemas.openxmlformats.org/officeDocument/2006/relationships/hyperlink" Target="http://www.sec.gov/Archives/edgar/data/1451809/000119312519272678/d701682dex1017.htm" TargetMode="External"/><Relationship Id="rId141" Type="http://schemas.openxmlformats.org/officeDocument/2006/relationships/hyperlink" Target="http://www.sec.gov/Archives/edgar/data/0001451809/000119312519272678/d701682dex1018.htm" TargetMode="External"/><Relationship Id="rId142" Type="http://schemas.openxmlformats.org/officeDocument/2006/relationships/hyperlink" Target="http://www.sec.gov/Archives/edgar/data/1451809/000119312519272678/d701682dex1019.htm" TargetMode="External"/><Relationship Id="rId143" Type="http://schemas.openxmlformats.org/officeDocument/2006/relationships/hyperlink" Target="http://www.sec.gov/Archives/edgar/data/0001451809/000119312519272678/d701682dex1020.htm" TargetMode="External"/><Relationship Id="rId144" Type="http://schemas.openxmlformats.org/officeDocument/2006/relationships/hyperlink" Target="http://www.sec.gov/Archives/edgar/data/1451809/000156459020022872/sitm-ex101_83.htm" TargetMode="External"/><Relationship Id="rId145" Type="http://schemas.openxmlformats.org/officeDocument/2006/relationships/hyperlink" Target="http://www.sec.gov/Archives/edgar/data/1451809/000156459020022872/sitm-ex102_82.htm" TargetMode="External"/><Relationship Id="rId146" Type="http://schemas.openxmlformats.org/officeDocument/2006/relationships/hyperlink" Target="http://www.sec.gov/Archives/edgar/data/1451809/000119312520164650/d920552dex101.htm" TargetMode="External"/><Relationship Id="rId147" Type="http://schemas.openxmlformats.org/officeDocument/2006/relationships/hyperlink" Target="http://www.sec.gov/Archives/edgar/data/1451809/000156459020037732/sitm-ex102_208.htm" TargetMode="External"/><Relationship Id="rId148" Type="http://schemas.openxmlformats.org/officeDocument/2006/relationships/hyperlink" Target="http://www.sec.gov/Archives/edgar/data/1451809/000156459020037732/sitm-ex103_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2021-02-16T06:09:33Z</dcterms:created>
  <dcterms:modified xsi:type="dcterms:W3CDTF">2021-02-16T06:09:33Z</dcterms:modified>
</cp:coreProperties>
</file>