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7618672.xml.htm"/>
      <w:bookmarkStart w:id="1" w:name="kswkform4_17876186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Assaderaghi Fariborz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SITIME CORPORATION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5451 PATRICK HENRY DR.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SANTA CLARA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95054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SITIME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SITM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See Remarks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45"/>
        <w:gridCol w:w="453"/>
        <w:gridCol w:w="841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08/20/2026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4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9,701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8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598.81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68,235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Includes an aggregate of 57,770 shares of common stock issuable pursuant to previously reported restricted stock units and performance-based restricted stock units that have not vested. These unvested units include 27,319 restricted stock units that vest over time, and 30,451 performance-based restricted stock units that vest based on certain absolute and relative price performance of the issuer's common stock over various performance periods.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Executive Vice President, Engineering &amp; Technology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Samsheer Ahamad,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08/24/2026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34679" TargetMode="External"/><Relationship Id="rId5" Type="http://schemas.openxmlformats.org/officeDocument/2006/relationships/hyperlink" Target="http://www.sec.gov/cgi-bin/browse-edgar?action=getcompany&amp;CIK=000145180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634</Words>
  <Characters>3522</Characters>
  <CharactersWithSpaces>4086</CharactersWithSpaces>
  <Paragraphs>98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