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3660" w:right="1620" w:hanging="3639"/>
        <w:spacing w:after="0" w:line="297"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00"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77"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128905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ectPr>
          <w:pgSz w:w="11900" w:h="16838" w:orient="portrait"/>
          <w:cols w:equalWidth="0" w:num="1">
            <w:col w:w="11240"/>
          </w:cols>
          <w:pgMar w:left="320" w:top="665" w:right="339" w:bottom="1440" w:gutter="0" w:footer="0" w:header="0"/>
        </w:sectPr>
      </w:pPr>
    </w:p>
    <w:p>
      <w:pPr>
        <w:spacing w:after="0" w:line="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Delaware</w:t>
      </w:r>
    </w:p>
    <w:p>
      <w:pPr>
        <w:ind w:left="2020"/>
        <w:spacing w:after="0" w:line="225"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02-0713868</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5" w:lineRule="exact"/>
        <w:rPr>
          <w:sz w:val="24"/>
          <w:szCs w:val="24"/>
          <w:color w:val="auto"/>
        </w:rPr>
      </w:pPr>
    </w:p>
    <w:p>
      <w:pPr>
        <w:sectPr>
          <w:pgSz w:w="11900" w:h="16838" w:orient="portrait"/>
          <w:cols w:equalWidth="0" w:num="2">
            <w:col w:w="7620" w:space="320"/>
            <w:col w:w="3300"/>
          </w:cols>
          <w:pgMar w:left="320" w:top="665" w:right="339" w:bottom="1440" w:gutter="0" w:footer="0" w:header="0"/>
          <w:type w:val="continuous"/>
        </w:sectPr>
      </w:pPr>
    </w:p>
    <w:p>
      <w:pPr>
        <w:ind w:left="1820"/>
        <w:spacing w:after="0"/>
        <w:rPr>
          <w:sz w:val="20"/>
          <w:szCs w:val="20"/>
          <w:color w:val="auto"/>
        </w:rPr>
      </w:pPr>
      <w:r>
        <w:rPr>
          <w:rFonts w:ascii="Arial" w:cs="Arial" w:eastAsia="Arial" w:hAnsi="Arial"/>
          <w:sz w:val="18"/>
          <w:szCs w:val="18"/>
          <w:b w:val="1"/>
          <w:bCs w:val="1"/>
          <w:color w:val="auto"/>
        </w:rPr>
        <w:t>5451 Patrick Henry Drive</w:t>
      </w:r>
    </w:p>
    <w:p>
      <w:pPr>
        <w:spacing w:after="0" w:line="16" w:lineRule="exact"/>
        <w:rPr>
          <w:sz w:val="24"/>
          <w:szCs w:val="24"/>
          <w:color w:val="auto"/>
        </w:rPr>
      </w:pPr>
    </w:p>
    <w:p>
      <w:pPr>
        <w:ind w:left="2180"/>
        <w:spacing w:after="0"/>
        <w:tabs>
          <w:tab w:leader="none" w:pos="8180" w:val="left"/>
        </w:tabs>
        <w:rPr>
          <w:sz w:val="20"/>
          <w:szCs w:val="20"/>
          <w:color w:val="auto"/>
        </w:rPr>
      </w:pPr>
      <w:r>
        <w:rPr>
          <w:rFonts w:ascii="Arial" w:cs="Arial" w:eastAsia="Arial" w:hAnsi="Arial"/>
          <w:sz w:val="18"/>
          <w:szCs w:val="18"/>
          <w:b w:val="1"/>
          <w:bCs w:val="1"/>
          <w:color w:val="auto"/>
        </w:rPr>
        <w:t>Santa Clara, CA</w:t>
      </w:r>
      <w:r>
        <w:rPr>
          <w:sz w:val="20"/>
          <w:szCs w:val="20"/>
          <w:color w:val="auto"/>
        </w:rPr>
        <w:tab/>
      </w:r>
      <w:r>
        <w:rPr>
          <w:rFonts w:ascii="Arial" w:cs="Arial" w:eastAsia="Arial" w:hAnsi="Arial"/>
          <w:sz w:val="16"/>
          <w:szCs w:val="16"/>
          <w:b w:val="1"/>
          <w:bCs w:val="1"/>
          <w:color w:val="auto"/>
        </w:rPr>
        <w:t>95054</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820" w:type="dxa"/>
            <w:vAlign w:val="bottom"/>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SITM</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99"/>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 w:lineRule="exact"/>
        <w:rPr>
          <w:sz w:val="24"/>
          <w:szCs w:val="24"/>
          <w:color w:val="auto"/>
        </w:rPr>
      </w:pPr>
    </w:p>
    <w:p>
      <w:pPr>
        <w:ind w:left="60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w:t>
      </w:r>
    </w:p>
    <w:p>
      <w:pPr>
        <w:spacing w:after="0" w:line="17" w:lineRule="exact"/>
        <w:rPr>
          <w:sz w:val="24"/>
          <w:szCs w:val="24"/>
          <w:color w:val="auto"/>
        </w:rPr>
      </w:pPr>
    </w:p>
    <w:p>
      <w:pPr>
        <w:ind w:right="300"/>
        <w:spacing w:after="0" w:line="231" w:lineRule="auto"/>
        <w:rPr>
          <w:sz w:val="20"/>
          <w:szCs w:val="20"/>
          <w:color w:val="auto"/>
        </w:rPr>
      </w:pPr>
      <w:r>
        <w:rPr>
          <w:rFonts w:ascii="Arial" w:cs="Arial" w:eastAsia="Arial" w:hAnsi="Arial"/>
          <w:sz w:val="16"/>
          <w:szCs w:val="16"/>
          <w:color w:val="auto"/>
        </w:rPr>
        <w:t>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October 28, 2022, the registrant had 21,439,491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374015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6"/>
            <w:vMerge w:val="restart"/>
          </w:tcPr>
          <w:p>
            <w:pPr>
              <w:spacing w:after="0"/>
              <w:rPr>
                <w:sz w:val="20"/>
                <w:szCs w:val="20"/>
                <w:color w:val="auto"/>
              </w:rPr>
            </w:pPr>
            <w:r>
              <w:rPr>
                <w:rFonts w:ascii="Arial" w:cs="Arial" w:eastAsia="Arial" w:hAnsi="Arial"/>
                <w:sz w:val="18"/>
                <w:szCs w:val="18"/>
                <w:color w:val="0000FF"/>
                <w:w w:val="92"/>
              </w:rPr>
              <w:t>Risk Factor Summary</w:t>
            </w:r>
          </w:p>
        </w:tc>
        <w:tc>
          <w:tcPr>
            <w:tcW w:w="7680" w:type="dxa"/>
            <w:vAlign w:val="bottom"/>
            <w:gridSpan w:val="16"/>
            <w:vMerge w:val="restart"/>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620" w:type="dxa"/>
            <w:vAlign w:val="bottom"/>
            <w:tcBorders>
              <w:bottom w:val="single" w:sz="8" w:color="0000EE"/>
            </w:tcBorders>
            <w:gridSpan w:val="6"/>
            <w:vMerge w:val="continue"/>
          </w:tcPr>
          <w:p>
            <w:pPr>
              <w:spacing w:after="0"/>
              <w:rPr>
                <w:sz w:val="13"/>
                <w:szCs w:val="13"/>
                <w:color w:val="auto"/>
              </w:rPr>
            </w:pPr>
          </w:p>
        </w:tc>
        <w:tc>
          <w:tcPr>
            <w:tcW w:w="7680" w:type="dxa"/>
            <w:vAlign w:val="bottom"/>
            <w:gridSpan w:val="16"/>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83"/>
              </w:rPr>
              <w:t>Financial Statements (Unaudited)</w:t>
            </w:r>
          </w:p>
        </w:tc>
        <w:tc>
          <w:tcPr>
            <w:tcW w:w="20" w:type="dxa"/>
            <w:vAlign w:val="bottom"/>
            <w:tcBorders>
              <w:top w:val="single" w:sz="8" w:color="0000EE"/>
              <w:bottom w:val="single" w:sz="8" w:color="0000FF"/>
            </w:tcBorders>
          </w:tcPr>
          <w:p>
            <w:pPr>
              <w:spacing w:after="0"/>
              <w:rPr>
                <w:sz w:val="15"/>
                <w:szCs w:val="15"/>
                <w:color w:val="auto"/>
              </w:rPr>
            </w:pPr>
          </w:p>
        </w:tc>
        <w:tc>
          <w:tcPr>
            <w:tcW w:w="14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13"/>
          </w:tcPr>
          <w:p>
            <w:pPr>
              <w:spacing w:after="0" w:line="182" w:lineRule="exact"/>
              <w:rPr>
                <w:sz w:val="20"/>
                <w:szCs w:val="20"/>
                <w:color w:val="auto"/>
              </w:rPr>
            </w:pPr>
            <w:r>
              <w:rPr>
                <w:rFonts w:ascii="Arial" w:cs="Arial" w:eastAsia="Arial" w:hAnsi="Arial"/>
                <w:sz w:val="18"/>
                <w:szCs w:val="18"/>
                <w:color w:val="0000FF"/>
                <w:w w:val="88"/>
              </w:rPr>
              <w:t>Condensed Consolidated Balance</w:t>
            </w:r>
          </w:p>
        </w:tc>
        <w:tc>
          <w:tcPr>
            <w:tcW w:w="6860" w:type="dxa"/>
            <w:vAlign w:val="bottom"/>
            <w:gridSpan w:val="9"/>
          </w:tcPr>
          <w:p>
            <w:pPr>
              <w:ind w:left="4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1"/>
              </w:rPr>
              <w:t>Condensed Consolidated Statements of</w:t>
            </w:r>
          </w:p>
        </w:tc>
        <w:tc>
          <w:tcPr>
            <w:tcW w:w="6360" w:type="dxa"/>
            <w:vAlign w:val="bottom"/>
            <w:gridSpan w:val="8"/>
          </w:tcPr>
          <w:p>
            <w:pPr>
              <w:spacing w:after="0" w:line="182" w:lineRule="exact"/>
              <w:rPr>
                <w:sz w:val="20"/>
                <w:szCs w:val="20"/>
                <w:color w:val="auto"/>
              </w:rPr>
            </w:pPr>
            <w:r>
              <w:rPr>
                <w:rFonts w:ascii="Arial" w:cs="Arial" w:eastAsia="Arial" w:hAnsi="Arial"/>
                <w:sz w:val="18"/>
                <w:szCs w:val="18"/>
                <w:color w:val="0000FF"/>
              </w:rPr>
              <w:t>Operations and Comprehensive Income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4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6"/>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8"/>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1"/>
              </w:rPr>
              <w:t>OTHER INFORMATION</w:t>
            </w:r>
          </w:p>
        </w:tc>
        <w:tc>
          <w:tcPr>
            <w:tcW w:w="100" w:type="dxa"/>
            <w:vAlign w:val="bottom"/>
            <w:tcBorders>
              <w:bottom w:val="single" w:sz="8" w:color="0000FF"/>
            </w:tcBorders>
          </w:tcPr>
          <w:p>
            <w:pPr>
              <w:spacing w:after="0"/>
              <w:rPr>
                <w:sz w:val="15"/>
                <w:szCs w:val="15"/>
                <w:color w:val="auto"/>
              </w:rPr>
            </w:pPr>
          </w:p>
        </w:tc>
        <w:tc>
          <w:tcPr>
            <w:tcW w:w="7400" w:type="dxa"/>
            <w:vAlign w:val="bottom"/>
            <w:gridSpan w:val="13"/>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00" w:type="dxa"/>
            <w:vAlign w:val="bottom"/>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740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796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line="182"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business is subject to numerous risks, as more fully described in Part II, Item 1A titled “Risk Factors.”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6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macroeconomic conditions have harmed and may continue to harm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w:t>
      </w:r>
    </w:p>
    <w:p>
      <w:pPr>
        <w:spacing w:after="0" w:line="117" w:lineRule="exact"/>
        <w:rPr>
          <w:rFonts w:ascii="Arial" w:cs="Arial" w:eastAsia="Arial" w:hAnsi="Arial"/>
          <w:sz w:val="18"/>
          <w:szCs w:val="18"/>
          <w:color w:val="auto"/>
        </w:rPr>
      </w:pPr>
    </w:p>
    <w:p>
      <w:pPr>
        <w:ind w:left="1020" w:right="240" w:hanging="503"/>
        <w:spacing w:after="0" w:line="26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77"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rFonts w:ascii="Arial" w:cs="Arial" w:eastAsia="Arial" w:hAnsi="Arial"/>
          <w:sz w:val="18"/>
          <w:szCs w:val="18"/>
          <w:color w:val="auto"/>
        </w:rPr>
      </w:pPr>
    </w:p>
    <w:p>
      <w:pPr>
        <w:ind w:left="1020" w:right="64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2"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expand or further diversify our customer base, our business, financial condition, and results of operations could suffer;</w:t>
      </w:r>
    </w:p>
    <w:p>
      <w:pPr>
        <w:spacing w:after="0" w:line="126" w:lineRule="exact"/>
        <w:rPr>
          <w:rFonts w:ascii="Arial" w:cs="Arial" w:eastAsia="Arial" w:hAnsi="Arial"/>
          <w:sz w:val="16"/>
          <w:szCs w:val="16"/>
          <w:color w:val="auto"/>
        </w:rPr>
      </w:pPr>
    </w:p>
    <w:p>
      <w:pPr>
        <w:ind w:left="1020" w:right="1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spacing w:after="0" w:line="48" w:lineRule="exact"/>
        <w:rPr>
          <w:rFonts w:ascii="Arial" w:cs="Arial" w:eastAsia="Arial" w:hAnsi="Arial"/>
          <w:sz w:val="18"/>
          <w:szCs w:val="18"/>
          <w:color w:val="auto"/>
        </w:rPr>
      </w:pPr>
    </w:p>
    <w:p>
      <w:pPr>
        <w:ind w:left="1020" w:hanging="503"/>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spacing w:after="0" w:line="7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24"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not able to successfully introduce and ship in volume new products in a timely manner, our business and revenue will suffer;</w:t>
      </w:r>
    </w:p>
    <w:p>
      <w:pPr>
        <w:spacing w:after="0" w:line="128" w:lineRule="exact"/>
        <w:rPr>
          <w:rFonts w:ascii="Arial" w:cs="Arial" w:eastAsia="Arial" w:hAnsi="Arial"/>
          <w:sz w:val="17"/>
          <w:szCs w:val="17"/>
          <w:color w:val="auto"/>
        </w:rPr>
      </w:pPr>
    </w:p>
    <w:p>
      <w:pPr>
        <w:ind w:left="1020" w:right="5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uncertainty related to the ongoing COVID-19 pandemic could adversely impact our business, results of operations and financial condition, as well as the businesses of our suppliers and customers;</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gross margins may fluctuate due to a variety of factors, which could negatively impact our results of operations and our financial condition;</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recent periods may not be indicative of future performance and our revenue may fluctuate over time;</w:t>
      </w:r>
    </w:p>
    <w:p>
      <w:pPr>
        <w:spacing w:after="0" w:line="103" w:lineRule="exact"/>
        <w:rPr>
          <w:rFonts w:ascii="Arial" w:cs="Arial" w:eastAsia="Arial" w:hAnsi="Arial"/>
          <w:sz w:val="18"/>
          <w:szCs w:val="18"/>
          <w:color w:val="auto"/>
        </w:rPr>
      </w:pPr>
    </w:p>
    <w:p>
      <w:pPr>
        <w:jc w:val="both"/>
        <w:ind w:left="1020" w:right="8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66"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Defects in our products could harm our relationships with our customers and damage our reputation;</w:t>
      </w:r>
    </w:p>
    <w:p>
      <w:pPr>
        <w:spacing w:after="0" w:line="103"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compete effectively, we may lose or fail to gain market share, which could negatively impact our operating results and our business;</w:t>
      </w:r>
    </w:p>
    <w:p>
      <w:pPr>
        <w:spacing w:after="0" w:line="48"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accurately predict our future capital needs, and we may not be able to obtain additional financing to fund our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seek, or be required to seek debt financing in the immediate or near term;</w:t>
      </w:r>
    </w:p>
    <w:p>
      <w:pPr>
        <w:spacing w:after="0" w:line="117" w:lineRule="exact"/>
        <w:rPr>
          <w:rFonts w:ascii="Arial" w:cs="Arial" w:eastAsia="Arial" w:hAnsi="Arial"/>
          <w:sz w:val="18"/>
          <w:szCs w:val="18"/>
          <w:color w:val="auto"/>
        </w:rPr>
      </w:pPr>
    </w:p>
    <w:p>
      <w:pPr>
        <w:ind w:left="503" w:right="1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significant tariffs or other trade restrictions are placed on our products or third-party suppliers, our revenue and results of operations may be materially harmed;</w:t>
      </w:r>
    </w:p>
    <w:p>
      <w:pPr>
        <w:spacing w:after="0" w:line="62" w:lineRule="exact"/>
        <w:rPr>
          <w:rFonts w:ascii="Arial" w:cs="Arial" w:eastAsia="Arial" w:hAnsi="Arial"/>
          <w:sz w:val="18"/>
          <w:szCs w:val="18"/>
          <w:color w:val="auto"/>
        </w:rPr>
      </w:pPr>
    </w:p>
    <w:p>
      <w:pPr>
        <w:ind w:left="503" w:right="32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spacing w:after="0" w:line="48" w:lineRule="exact"/>
        <w:rPr>
          <w:rFonts w:ascii="Arial" w:cs="Arial" w:eastAsia="Arial" w:hAnsi="Arial"/>
          <w:sz w:val="18"/>
          <w:szCs w:val="18"/>
          <w:color w:val="auto"/>
        </w:rPr>
      </w:pPr>
    </w:p>
    <w:p>
      <w:pPr>
        <w:ind w:left="503" w:right="5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76" w:lineRule="exact"/>
        <w:rPr>
          <w:rFonts w:ascii="Arial" w:cs="Arial" w:eastAsia="Arial" w:hAnsi="Arial"/>
          <w:sz w:val="18"/>
          <w:szCs w:val="18"/>
          <w:color w:val="auto"/>
        </w:rPr>
      </w:pPr>
    </w:p>
    <w:p>
      <w:pPr>
        <w:ind w:left="503" w:right="8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103" w:lineRule="exact"/>
        <w:rPr>
          <w:rFonts w:ascii="Arial" w:cs="Arial" w:eastAsia="Arial" w:hAnsi="Arial"/>
          <w:sz w:val="18"/>
          <w:szCs w:val="18"/>
          <w:color w:val="auto"/>
        </w:rPr>
      </w:pPr>
    </w:p>
    <w:p>
      <w:pPr>
        <w:jc w:val="both"/>
        <w:ind w:left="503" w:right="120" w:hanging="503"/>
        <w:spacing w:after="0" w:line="256"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66" w:lineRule="exact"/>
        <w:rPr>
          <w:rFonts w:ascii="Arial" w:cs="Arial" w:eastAsia="Arial" w:hAnsi="Arial"/>
          <w:sz w:val="18"/>
          <w:szCs w:val="18"/>
          <w:color w:val="auto"/>
        </w:rPr>
      </w:pPr>
    </w:p>
    <w:p>
      <w:pPr>
        <w:ind w:left="503" w:hanging="503"/>
        <w:spacing w:after="0" w:line="249"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86"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future sales of our common stock could cause the market price of our common stock to decline; and</w:t>
      </w:r>
    </w:p>
    <w:p>
      <w:pPr>
        <w:spacing w:after="0" w:line="103" w:lineRule="exact"/>
        <w:rPr>
          <w:rFonts w:ascii="Arial" w:cs="Arial" w:eastAsia="Arial" w:hAnsi="Arial"/>
          <w:sz w:val="18"/>
          <w:szCs w:val="18"/>
          <w:color w:val="auto"/>
        </w:rPr>
      </w:pPr>
    </w:p>
    <w:p>
      <w:pPr>
        <w:ind w:left="503" w:right="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71"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436"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SITIME CORPORATION</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2022</w:t>
            </w:r>
          </w:p>
        </w:tc>
        <w:tc>
          <w:tcPr>
            <w:tcW w:w="140" w:type="dxa"/>
            <w:vAlign w:val="bottom"/>
          </w:tcPr>
          <w:p>
            <w:pPr>
              <w:spacing w:after="0"/>
              <w:rPr>
                <w:sz w:val="14"/>
                <w:szCs w:val="14"/>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4"/>
                <w:szCs w:val="14"/>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559,461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Short-term investments in held-to-maturity securities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522,178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44,896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45,385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23,630</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662,208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625,943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net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738,054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678,209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16,552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37,385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760" w:type="dxa"/>
            <w:vAlign w:val="bottom"/>
          </w:tcPr>
          <w:p>
            <w:pPr>
              <w:ind w:left="200"/>
              <w:spacing w:after="0" w:line="175" w:lineRule="exact"/>
              <w:rPr>
                <w:sz w:val="20"/>
                <w:szCs w:val="20"/>
                <w:color w:val="auto"/>
              </w:rPr>
            </w:pPr>
            <w:r>
              <w:rPr>
                <w:rFonts w:ascii="Arial" w:cs="Arial" w:eastAsia="Arial" w:hAnsi="Arial"/>
                <w:sz w:val="18"/>
                <w:szCs w:val="18"/>
                <w:color w:val="auto"/>
              </w:rPr>
              <w:t>Common stock, $0.0001 par value - 200,000 shares authorized;</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60" w:type="dxa"/>
            <w:vAlign w:val="bottom"/>
          </w:tcPr>
          <w:p>
            <w:pPr>
              <w:ind w:left="340"/>
              <w:spacing w:after="0" w:line="189" w:lineRule="exact"/>
              <w:rPr>
                <w:sz w:val="20"/>
                <w:szCs w:val="20"/>
                <w:color w:val="auto"/>
              </w:rPr>
            </w:pPr>
            <w:r>
              <w:rPr>
                <w:rFonts w:ascii="Arial" w:cs="Arial" w:eastAsia="Arial" w:hAnsi="Arial"/>
                <w:sz w:val="18"/>
                <w:szCs w:val="18"/>
                <w:color w:val="auto"/>
              </w:rPr>
              <w:t>21,436 and 20,825 shares issued and outstanding at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September 30, 2022 and December 31, 2021</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700,777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663,614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(6,337 )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(31,119 )</w:t>
            </w:r>
          </w:p>
        </w:tc>
      </w:tr>
      <w:tr>
        <w:trPr>
          <w:trHeight w:val="210"/>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694,442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738,054</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678,209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-3231515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-3231515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-2390775</wp:posOffset>
            </wp:positionV>
            <wp:extent cx="122555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555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-1816735</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-1250950</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t>SITIME CORPORATION</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73,095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63,029</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222,766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25,799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77,563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47,296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41,695</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145,203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23,878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13,005</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19,886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43,764</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27,621</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123,329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3,532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(238 )</w:t>
            </w:r>
          </w:p>
        </w:tc>
        <w:tc>
          <w:tcPr>
            <w:tcW w:w="32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(110 )</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(264 )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8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13,964</w:t>
            </w:r>
          </w:p>
        </w:tc>
        <w:tc>
          <w:tcPr>
            <w:tcW w:w="4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24,905</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(123 )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24,782</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860" w:type="dxa"/>
            <w:vAlign w:val="bottom"/>
          </w:tcPr>
          <w:p>
            <w:pPr>
              <w:ind w:left="20"/>
              <w:spacing w:after="0" w:line="155" w:lineRule="exact"/>
              <w:rPr>
                <w:sz w:val="20"/>
                <w:szCs w:val="20"/>
                <w:color w:val="auto"/>
              </w:rPr>
            </w:pPr>
            <w:r>
              <w:rPr>
                <w:rFonts w:ascii="Arial" w:cs="Arial" w:eastAsia="Arial" w:hAnsi="Arial"/>
                <w:sz w:val="17"/>
                <w:szCs w:val="17"/>
                <w:color w:val="auto"/>
              </w:rPr>
              <w:t>Net income attributable to common stockholders and</w:t>
            </w:r>
          </w:p>
        </w:tc>
        <w:tc>
          <w:tcPr>
            <w:tcW w:w="800" w:type="dxa"/>
            <w:vAlign w:val="bottom"/>
            <w:vMerge w:val="restart"/>
          </w:tcPr>
          <w:p>
            <w:pPr>
              <w:jc w:val="right"/>
              <w:ind w:right="615"/>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5,783</w:t>
            </w:r>
          </w:p>
        </w:tc>
        <w:tc>
          <w:tcPr>
            <w:tcW w:w="26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13,960</w:t>
            </w:r>
          </w:p>
        </w:tc>
        <w:tc>
          <w:tcPr>
            <w:tcW w:w="46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24,782</w:t>
            </w:r>
          </w:p>
        </w:tc>
        <w:tc>
          <w:tcPr>
            <w:tcW w:w="24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60" w:type="dxa"/>
            <w:vAlign w:val="bottom"/>
          </w:tcPr>
          <w:p>
            <w:pPr>
              <w:ind w:left="160"/>
              <w:spacing w:after="0" w:line="190" w:lineRule="exact"/>
              <w:rPr>
                <w:sz w:val="20"/>
                <w:szCs w:val="20"/>
                <w:color w:val="auto"/>
              </w:rPr>
            </w:pPr>
            <w:r>
              <w:rPr>
                <w:rFonts w:ascii="Arial" w:cs="Arial" w:eastAsia="Arial" w:hAnsi="Arial"/>
                <w:sz w:val="18"/>
                <w:szCs w:val="18"/>
                <w:color w:val="auto"/>
              </w:rPr>
              <w:t>comprehensive income</w:t>
            </w:r>
          </w:p>
        </w:tc>
        <w:tc>
          <w:tcPr>
            <w:tcW w:w="8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6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Net income per share attributable to common</w:t>
            </w:r>
          </w:p>
        </w:tc>
        <w:tc>
          <w:tcPr>
            <w:tcW w:w="800" w:type="dxa"/>
            <w:vAlign w:val="bottom"/>
            <w:vMerge w:val="restart"/>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46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ind w:left="160"/>
              <w:spacing w:after="0" w:line="190" w:lineRule="exact"/>
              <w:rPr>
                <w:sz w:val="20"/>
                <w:szCs w:val="20"/>
                <w:color w:val="auto"/>
              </w:rPr>
            </w:pPr>
            <w:r>
              <w:rPr>
                <w:rFonts w:ascii="Arial" w:cs="Arial" w:eastAsia="Arial" w:hAnsi="Arial"/>
                <w:sz w:val="18"/>
                <w:szCs w:val="18"/>
                <w:color w:val="auto"/>
              </w:rPr>
              <w:t>stockholders, basic</w:t>
            </w: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5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60" w:type="dxa"/>
            <w:vAlign w:val="bottom"/>
          </w:tcPr>
          <w:p>
            <w:pPr>
              <w:ind w:left="20"/>
              <w:spacing w:after="0" w:line="155" w:lineRule="exact"/>
              <w:rPr>
                <w:sz w:val="20"/>
                <w:szCs w:val="20"/>
                <w:color w:val="auto"/>
              </w:rPr>
            </w:pPr>
            <w:r>
              <w:rPr>
                <w:rFonts w:ascii="Arial" w:cs="Arial" w:eastAsia="Arial" w:hAnsi="Arial"/>
                <w:sz w:val="17"/>
                <w:szCs w:val="17"/>
                <w:color w:val="auto"/>
              </w:rPr>
              <w:t>Net income per share attributable to common</w:t>
            </w:r>
          </w:p>
        </w:tc>
        <w:tc>
          <w:tcPr>
            <w:tcW w:w="800" w:type="dxa"/>
            <w:vAlign w:val="bottom"/>
            <w:vMerge w:val="restart"/>
          </w:tcPr>
          <w:p>
            <w:pPr>
              <w:jc w:val="right"/>
              <w:ind w:right="615"/>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0.66</w:t>
            </w:r>
          </w:p>
        </w:tc>
        <w:tc>
          <w:tcPr>
            <w:tcW w:w="46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60" w:type="dxa"/>
            <w:vAlign w:val="bottom"/>
          </w:tcPr>
          <w:p>
            <w:pPr>
              <w:ind w:left="160"/>
              <w:spacing w:after="0" w:line="190" w:lineRule="exact"/>
              <w:rPr>
                <w:sz w:val="20"/>
                <w:szCs w:val="20"/>
                <w:color w:val="auto"/>
              </w:rPr>
            </w:pPr>
            <w:r>
              <w:rPr>
                <w:rFonts w:ascii="Arial" w:cs="Arial" w:eastAsia="Arial" w:hAnsi="Arial"/>
                <w:sz w:val="18"/>
                <w:szCs w:val="18"/>
                <w:color w:val="auto"/>
              </w:rPr>
              <w:t>stockholders, diluted</w:t>
            </w:r>
          </w:p>
        </w:tc>
        <w:tc>
          <w:tcPr>
            <w:tcW w:w="8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6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Weighted-average shares used to compute basic</w:t>
            </w:r>
          </w:p>
        </w:tc>
        <w:tc>
          <w:tcPr>
            <w:tcW w:w="800" w:type="dxa"/>
            <w:vAlign w:val="bottom"/>
            <w:shd w:val="clear" w:color="auto" w:fill="CFF0FC"/>
          </w:tcPr>
          <w:p>
            <w:pPr>
              <w:spacing w:after="0"/>
              <w:rPr>
                <w:sz w:val="13"/>
                <w:szCs w:val="13"/>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21,353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19,149</w:t>
            </w: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21,143</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18,658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ind w:left="160"/>
              <w:spacing w:after="0" w:line="190" w:lineRule="exact"/>
              <w:rPr>
                <w:sz w:val="20"/>
                <w:szCs w:val="20"/>
                <w:color w:val="auto"/>
              </w:rPr>
            </w:pPr>
            <w:r>
              <w:rPr>
                <w:rFonts w:ascii="Arial" w:cs="Arial" w:eastAsia="Arial" w:hAnsi="Arial"/>
                <w:sz w:val="18"/>
                <w:szCs w:val="18"/>
                <w:color w:val="auto"/>
              </w:rPr>
              <w:t>net income per share</w:t>
            </w: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60" w:type="dxa"/>
            <w:vAlign w:val="bottom"/>
          </w:tcPr>
          <w:p>
            <w:pPr>
              <w:ind w:left="20"/>
              <w:spacing w:after="0" w:line="155" w:lineRule="exact"/>
              <w:rPr>
                <w:sz w:val="20"/>
                <w:szCs w:val="20"/>
                <w:color w:val="auto"/>
              </w:rPr>
            </w:pPr>
            <w:r>
              <w:rPr>
                <w:rFonts w:ascii="Arial" w:cs="Arial" w:eastAsia="Arial" w:hAnsi="Arial"/>
                <w:sz w:val="17"/>
                <w:szCs w:val="17"/>
                <w:color w:val="auto"/>
              </w:rPr>
              <w:t>Weighted-average shares used to compute diluted</w:t>
            </w:r>
          </w:p>
        </w:tc>
        <w:tc>
          <w:tcPr>
            <w:tcW w:w="8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87"/>
              </w:rPr>
              <w:t>22,614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21,252</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22,688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20,770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60" w:type="dxa"/>
            <w:vAlign w:val="bottom"/>
          </w:tcPr>
          <w:p>
            <w:pPr>
              <w:ind w:left="160"/>
              <w:spacing w:after="0" w:line="190" w:lineRule="exact"/>
              <w:rPr>
                <w:sz w:val="20"/>
                <w:szCs w:val="20"/>
                <w:color w:val="auto"/>
              </w:rPr>
            </w:pPr>
            <w:r>
              <w:rPr>
                <w:rFonts w:ascii="Arial" w:cs="Arial" w:eastAsia="Arial" w:hAnsi="Arial"/>
                <w:sz w:val="18"/>
                <w:szCs w:val="18"/>
                <w:color w:val="auto"/>
              </w:rPr>
              <w:t>net income per share</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-2159635</wp:posOffset>
            </wp:positionV>
            <wp:extent cx="7683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-2159635</wp:posOffset>
            </wp:positionV>
            <wp:extent cx="7683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-2159635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-1310640</wp:posOffset>
            </wp:positionV>
            <wp:extent cx="3214370"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14370" cy="2825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-796290</wp:posOffset>
            </wp:positionV>
            <wp:extent cx="3214370"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4370" cy="2825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-282575</wp:posOffset>
            </wp:positionV>
            <wp:extent cx="321437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4370" cy="28321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600"/>
        <w:spacing w:after="0"/>
        <w:rPr>
          <w:sz w:val="20"/>
          <w:szCs w:val="20"/>
          <w:color w:val="auto"/>
        </w:rPr>
      </w:pPr>
      <w:r>
        <w:rPr>
          <w:rFonts w:ascii="Arial" w:cs="Arial" w:eastAsia="Arial" w:hAnsi="Arial"/>
          <w:sz w:val="18"/>
          <w:szCs w:val="18"/>
          <w:b w:val="1"/>
          <w:bCs w:val="1"/>
          <w:color w:val="auto"/>
        </w:rPr>
        <w:t>SITIME CORPORATION</w:t>
      </w:r>
    </w:p>
    <w:p>
      <w:pPr>
        <w:spacing w:after="0" w:line="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160" w:type="dxa"/>
            <w:vAlign w:val="bottom"/>
            <w:gridSpan w:val="3"/>
            <w:vMerge w:val="restart"/>
          </w:tcPr>
          <w:p>
            <w:pPr>
              <w:jc w:val="right"/>
              <w:ind w:right="39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1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21,286</w:t>
            </w: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692,402</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5" w:lineRule="exact"/>
              <w:rPr>
                <w:sz w:val="20"/>
                <w:szCs w:val="20"/>
                <w:color w:val="auto"/>
              </w:rPr>
            </w:pPr>
            <w:r>
              <w:rPr>
                <w:rFonts w:ascii="Arial" w:cs="Arial" w:eastAsia="Arial" w:hAnsi="Arial"/>
                <w:sz w:val="18"/>
                <w:szCs w:val="18"/>
                <w:color w:val="auto"/>
              </w:rPr>
              <w:t>Issuance of common stock in connection with At-The-Market</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line="189" w:lineRule="exact"/>
              <w:rPr>
                <w:sz w:val="20"/>
                <w:szCs w:val="20"/>
                <w:color w:val="auto"/>
              </w:rPr>
            </w:pPr>
            <w:r>
              <w:rPr>
                <w:rFonts w:ascii="Arial" w:cs="Arial" w:eastAsia="Arial" w:hAnsi="Arial"/>
                <w:sz w:val="18"/>
                <w:szCs w:val="18"/>
                <w:color w:val="auto"/>
                <w:w w:val="95"/>
              </w:rPr>
              <w:t>offering net of underwriting discounts and commissions and other</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(10,944 )</w:t>
            </w:r>
          </w:p>
        </w:tc>
        <w:tc>
          <w:tcPr>
            <w:tcW w:w="100" w:type="dxa"/>
            <w:vAlign w:val="bottom"/>
            <w:shd w:val="clear" w:color="auto" w:fill="CFF0FC"/>
          </w:tcPr>
          <w:p>
            <w:pPr>
              <w:spacing w:after="0"/>
              <w:rPr>
                <w:sz w:val="15"/>
                <w:szCs w:val="15"/>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(10,944 )</w:t>
            </w:r>
          </w:p>
        </w:tc>
        <w:tc>
          <w:tcPr>
            <w:tcW w:w="0" w:type="dxa"/>
            <w:vAlign w:val="bottom"/>
          </w:tcPr>
          <w:p>
            <w:pPr>
              <w:spacing w:after="0"/>
              <w:rPr>
                <w:sz w:val="1"/>
                <w:szCs w:val="1"/>
                <w:color w:val="auto"/>
              </w:rPr>
            </w:pPr>
          </w:p>
        </w:tc>
      </w:tr>
      <w:tr>
        <w:trPr>
          <w:trHeight w:val="217"/>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060" w:type="dxa"/>
            <w:vAlign w:val="bottom"/>
          </w:tcPr>
          <w:p>
            <w:pPr>
              <w:jc w:val="right"/>
              <w:spacing w:after="0"/>
              <w:rPr>
                <w:sz w:val="20"/>
                <w:szCs w:val="20"/>
                <w:color w:val="auto"/>
              </w:rPr>
            </w:pPr>
            <w:r>
              <w:rPr>
                <w:rFonts w:ascii="Arial" w:cs="Arial" w:eastAsia="Arial" w:hAnsi="Arial"/>
                <w:sz w:val="18"/>
                <w:szCs w:val="18"/>
                <w:color w:val="auto"/>
              </w:rPr>
              <w:t>21,436</w:t>
            </w:r>
          </w:p>
        </w:tc>
        <w:tc>
          <w:tcPr>
            <w:tcW w:w="240" w:type="dxa"/>
            <w:vAlign w:val="bottom"/>
          </w:tcPr>
          <w:p>
            <w:pPr>
              <w:spacing w:after="0"/>
              <w:rPr>
                <w:sz w:val="18"/>
                <w:szCs w:val="18"/>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700,777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(6,337 )</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694,442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19,061</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368,862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(64,938 )</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5"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19,254</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376,973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060" w:type="dxa"/>
            <w:vAlign w:val="bottom"/>
          </w:tcPr>
          <w:p>
            <w:pPr>
              <w:jc w:val="right"/>
              <w:spacing w:after="0"/>
              <w:rPr>
                <w:sz w:val="20"/>
                <w:szCs w:val="20"/>
                <w:color w:val="auto"/>
              </w:rPr>
            </w:pPr>
            <w:r>
              <w:rPr>
                <w:rFonts w:ascii="Arial" w:cs="Arial" w:eastAsia="Arial" w:hAnsi="Arial"/>
                <w:sz w:val="18"/>
                <w:szCs w:val="18"/>
                <w:color w:val="auto"/>
              </w:rPr>
              <w:t>20,825</w:t>
            </w:r>
          </w:p>
        </w:tc>
        <w:tc>
          <w:tcPr>
            <w:tcW w:w="1100" w:type="dxa"/>
            <w:vAlign w:val="bottom"/>
            <w:gridSpan w:val="2"/>
          </w:tcPr>
          <w:p>
            <w:pPr>
              <w:jc w:val="right"/>
              <w:ind w:right="6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663,614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(31,119 )</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632,497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Issuance of common stock in connection with At-The-Market</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w w:val="95"/>
              </w:rPr>
              <w:t>offering net of underwriting discounts and commissions and other</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5"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(27,886 )</w:t>
            </w:r>
          </w:p>
        </w:tc>
        <w:tc>
          <w:tcPr>
            <w:tcW w:w="100" w:type="dxa"/>
            <w:vAlign w:val="bottom"/>
          </w:tcPr>
          <w:p>
            <w:pPr>
              <w:spacing w:after="0"/>
              <w:rPr>
                <w:sz w:val="15"/>
                <w:szCs w:val="15"/>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(27,886 )</w:t>
            </w:r>
          </w:p>
        </w:tc>
        <w:tc>
          <w:tcPr>
            <w:tcW w:w="0" w:type="dxa"/>
            <w:vAlign w:val="bottom"/>
          </w:tcPr>
          <w:p>
            <w:pPr>
              <w:spacing w:after="0"/>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21,436</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700,777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694,442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060" w:type="dxa"/>
            <w:vAlign w:val="bottom"/>
          </w:tcPr>
          <w:p>
            <w:pPr>
              <w:jc w:val="right"/>
              <w:spacing w:after="0"/>
              <w:rPr>
                <w:sz w:val="20"/>
                <w:szCs w:val="20"/>
                <w:color w:val="auto"/>
              </w:rPr>
            </w:pPr>
            <w:r>
              <w:rPr>
                <w:rFonts w:ascii="Arial" w:cs="Arial" w:eastAsia="Arial" w:hAnsi="Arial"/>
                <w:sz w:val="18"/>
                <w:szCs w:val="18"/>
                <w:color w:val="auto"/>
              </w:rPr>
              <w:t>17,150</w:t>
            </w:r>
          </w:p>
        </w:tc>
        <w:tc>
          <w:tcPr>
            <w:tcW w:w="1100" w:type="dxa"/>
            <w:vAlign w:val="bottom"/>
            <w:gridSpan w:val="2"/>
          </w:tcPr>
          <w:p>
            <w:pPr>
              <w:jc w:val="right"/>
              <w:ind w:right="6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173,274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(63,396 )</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109,880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9"/>
              </w:rPr>
              <w:t>Issuance of common stock upon follow-on public offering net of</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underwriting discounts and commissions and other offering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181,588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5"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19,254</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376,973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-3710940</wp:posOffset>
            </wp:positionV>
            <wp:extent cx="7747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-3710940</wp:posOffset>
            </wp:positionV>
            <wp:extent cx="6858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-3710940</wp:posOffset>
            </wp:positionV>
            <wp:extent cx="6858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-3710940</wp:posOffset>
            </wp:positionV>
            <wp:extent cx="6858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-2596515</wp:posOffset>
            </wp:positionV>
            <wp:extent cx="3274695"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74695" cy="3003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-1250950</wp:posOffset>
            </wp:positionV>
            <wp:extent cx="327469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3003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600"/>
        <w:spacing w:after="0"/>
        <w:rPr>
          <w:sz w:val="20"/>
          <w:szCs w:val="20"/>
          <w:color w:val="auto"/>
        </w:rPr>
      </w:pPr>
      <w:r>
        <w:rPr>
          <w:rFonts w:ascii="Arial" w:cs="Arial" w:eastAsia="Arial" w:hAnsi="Arial"/>
          <w:sz w:val="18"/>
          <w:szCs w:val="18"/>
          <w:b w:val="1"/>
          <w:bCs w:val="1"/>
          <w:color w:val="auto"/>
        </w:rPr>
        <w:t>SITIME CORPORATION</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920" w:type="dxa"/>
            <w:vAlign w:val="bottom"/>
          </w:tcPr>
          <w:p>
            <w:pPr>
              <w:jc w:val="right"/>
              <w:ind w:right="741"/>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24,782</w:t>
            </w:r>
          </w:p>
        </w:tc>
        <w:tc>
          <w:tcPr>
            <w:tcW w:w="280" w:type="dxa"/>
            <w:vAlign w:val="bottom"/>
          </w:tcPr>
          <w:p>
            <w:pPr>
              <w:spacing w:after="0"/>
              <w:rPr>
                <w:sz w:val="17"/>
                <w:szCs w:val="17"/>
                <w:color w:val="auto"/>
              </w:rPr>
            </w:pPr>
          </w:p>
        </w:tc>
        <w:tc>
          <w:tcPr>
            <w:tcW w:w="960" w:type="dxa"/>
            <w:vAlign w:val="bottom"/>
          </w:tcPr>
          <w:p>
            <w:pPr>
              <w:jc w:val="right"/>
              <w:ind w:right="779"/>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12,418</w:t>
            </w:r>
          </w:p>
        </w:tc>
        <w:tc>
          <w:tcPr>
            <w:tcW w:w="100" w:type="dxa"/>
            <w:vAlign w:val="bottom"/>
          </w:tcPr>
          <w:p>
            <w:pPr>
              <w:spacing w:after="0"/>
              <w:rPr>
                <w:sz w:val="17"/>
                <w:szCs w:val="17"/>
                <w:color w:val="auto"/>
              </w:rPr>
            </w:pPr>
          </w:p>
        </w:tc>
      </w:tr>
      <w:tr>
        <w:trPr>
          <w:trHeight w:val="158"/>
        </w:trPr>
        <w:tc>
          <w:tcPr>
            <w:tcW w:w="776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Adjustments to reconcile net income to net cash provided by</w:t>
            </w:r>
          </w:p>
        </w:tc>
        <w:tc>
          <w:tcPr>
            <w:tcW w:w="9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4"/>
        </w:trPr>
        <w:tc>
          <w:tcPr>
            <w:tcW w:w="776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operating activities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3"/>
        </w:trPr>
        <w:tc>
          <w:tcPr>
            <w:tcW w:w="7760" w:type="dxa"/>
            <w:vAlign w:val="bottom"/>
          </w:tcPr>
          <w:p>
            <w:pPr>
              <w:ind w:left="380"/>
              <w:spacing w:after="0"/>
              <w:rPr>
                <w:sz w:val="20"/>
                <w:szCs w:val="20"/>
                <w:color w:val="auto"/>
              </w:rPr>
            </w:pPr>
            <w:r>
              <w:rPr>
                <w:rFonts w:ascii="Arial" w:cs="Arial" w:eastAsia="Arial" w:hAnsi="Arial"/>
                <w:sz w:val="17"/>
                <w:szCs w:val="17"/>
                <w:color w:val="auto"/>
              </w:rPr>
              <w:t>Depreciation and amortization expense</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8,497</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5,554</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Stock-based compensation expense</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41,795</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21,537</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380"/>
              <w:spacing w:after="0"/>
              <w:rPr>
                <w:sz w:val="20"/>
                <w:szCs w:val="20"/>
                <w:color w:val="auto"/>
              </w:rPr>
            </w:pPr>
            <w:r>
              <w:rPr>
                <w:rFonts w:ascii="Arial" w:cs="Arial" w:eastAsia="Arial" w:hAnsi="Arial"/>
                <w:sz w:val="17"/>
                <w:szCs w:val="17"/>
                <w:color w:val="auto"/>
              </w:rPr>
              <w:t>Non-cash interest</w:t>
            </w:r>
          </w:p>
        </w:tc>
        <w:tc>
          <w:tcPr>
            <w:tcW w:w="920" w:type="dxa"/>
            <w:vAlign w:val="bottom"/>
          </w:tcPr>
          <w:p>
            <w:pPr>
              <w:spacing w:after="0"/>
              <w:rPr>
                <w:sz w:val="17"/>
                <w:szCs w:val="17"/>
                <w:color w:val="auto"/>
              </w:rPr>
            </w:pPr>
          </w:p>
        </w:tc>
        <w:tc>
          <w:tcPr>
            <w:tcW w:w="900" w:type="dxa"/>
            <w:vAlign w:val="bottom"/>
            <w:gridSpan w:val="2"/>
          </w:tcPr>
          <w:p>
            <w:pPr>
              <w:jc w:val="right"/>
              <w:ind w:right="115"/>
              <w:spacing w:after="0"/>
              <w:rPr>
                <w:sz w:val="20"/>
                <w:szCs w:val="20"/>
                <w:color w:val="auto"/>
              </w:rPr>
            </w:pPr>
            <w:r>
              <w:rPr>
                <w:rFonts w:ascii="Arial" w:cs="Arial" w:eastAsia="Arial" w:hAnsi="Arial"/>
                <w:sz w:val="17"/>
                <w:szCs w:val="17"/>
                <w:color w:val="auto"/>
              </w:rPr>
              <w:t>(2,241 )</w:t>
            </w:r>
          </w:p>
        </w:tc>
        <w:tc>
          <w:tcPr>
            <w:tcW w:w="9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7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Changes in assets and liabilities: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560"/>
              <w:spacing w:after="0"/>
              <w:rPr>
                <w:sz w:val="20"/>
                <w:szCs w:val="20"/>
                <w:color w:val="auto"/>
              </w:rPr>
            </w:pPr>
            <w:r>
              <w:rPr>
                <w:rFonts w:ascii="Arial" w:cs="Arial" w:eastAsia="Arial" w:hAnsi="Arial"/>
                <w:sz w:val="17"/>
                <w:szCs w:val="17"/>
                <w:color w:val="auto"/>
              </w:rPr>
              <w:t>Accounts receivable, net</w:t>
            </w:r>
          </w:p>
        </w:tc>
        <w:tc>
          <w:tcPr>
            <w:tcW w:w="920" w:type="dxa"/>
            <w:vAlign w:val="bottom"/>
          </w:tcPr>
          <w:p>
            <w:pPr>
              <w:spacing w:after="0"/>
              <w:rPr>
                <w:sz w:val="17"/>
                <w:szCs w:val="17"/>
                <w:color w:val="auto"/>
              </w:rPr>
            </w:pPr>
          </w:p>
        </w:tc>
        <w:tc>
          <w:tcPr>
            <w:tcW w:w="900" w:type="dxa"/>
            <w:vAlign w:val="bottom"/>
            <w:gridSpan w:val="2"/>
          </w:tcPr>
          <w:p>
            <w:pPr>
              <w:jc w:val="right"/>
              <w:ind w:right="115"/>
              <w:spacing w:after="0"/>
              <w:rPr>
                <w:sz w:val="20"/>
                <w:szCs w:val="20"/>
                <w:color w:val="auto"/>
              </w:rPr>
            </w:pPr>
            <w:r>
              <w:rPr>
                <w:rFonts w:ascii="Arial" w:cs="Arial" w:eastAsia="Arial" w:hAnsi="Arial"/>
                <w:sz w:val="17"/>
                <w:szCs w:val="17"/>
                <w:color w:val="auto"/>
              </w:rPr>
              <w:t>(6,520 )</w:t>
            </w:r>
          </w:p>
        </w:tc>
        <w:tc>
          <w:tcPr>
            <w:tcW w:w="9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(8,546 )</w:t>
            </w:r>
          </w:p>
        </w:tc>
      </w:tr>
      <w:tr>
        <w:trPr>
          <w:trHeight w:val="203"/>
        </w:trPr>
        <w:tc>
          <w:tcPr>
            <w:tcW w:w="7760" w:type="dxa"/>
            <w:vAlign w:val="bottom"/>
            <w:shd w:val="clear" w:color="auto" w:fill="CFF0FC"/>
          </w:tcPr>
          <w:p>
            <w:pPr>
              <w:ind w:left="560"/>
              <w:spacing w:after="0"/>
              <w:rPr>
                <w:sz w:val="20"/>
                <w:szCs w:val="20"/>
                <w:color w:val="auto"/>
              </w:rPr>
            </w:pPr>
            <w:r>
              <w:rPr>
                <w:rFonts w:ascii="Arial" w:cs="Arial" w:eastAsia="Arial" w:hAnsi="Arial"/>
                <w:sz w:val="17"/>
                <w:szCs w:val="17"/>
                <w:color w:val="auto"/>
              </w:rPr>
              <w:t>Related party accounts receivable</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731</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560"/>
              <w:spacing w:after="0"/>
              <w:rPr>
                <w:sz w:val="20"/>
                <w:szCs w:val="20"/>
                <w:color w:val="auto"/>
              </w:rPr>
            </w:pPr>
            <w:r>
              <w:rPr>
                <w:rFonts w:ascii="Arial" w:cs="Arial" w:eastAsia="Arial" w:hAnsi="Arial"/>
                <w:sz w:val="17"/>
                <w:szCs w:val="17"/>
                <w:color w:val="auto"/>
              </w:rPr>
              <w:t>Inventories</w:t>
            </w:r>
          </w:p>
        </w:tc>
        <w:tc>
          <w:tcPr>
            <w:tcW w:w="920" w:type="dxa"/>
            <w:vAlign w:val="bottom"/>
          </w:tcPr>
          <w:p>
            <w:pPr>
              <w:spacing w:after="0"/>
              <w:rPr>
                <w:sz w:val="17"/>
                <w:szCs w:val="17"/>
                <w:color w:val="auto"/>
              </w:rPr>
            </w:pPr>
          </w:p>
        </w:tc>
        <w:tc>
          <w:tcPr>
            <w:tcW w:w="900" w:type="dxa"/>
            <w:vAlign w:val="bottom"/>
            <w:gridSpan w:val="2"/>
          </w:tcPr>
          <w:p>
            <w:pPr>
              <w:jc w:val="right"/>
              <w:ind w:right="115"/>
              <w:spacing w:after="0"/>
              <w:rPr>
                <w:sz w:val="20"/>
                <w:szCs w:val="20"/>
                <w:color w:val="auto"/>
              </w:rPr>
            </w:pPr>
            <w:r>
              <w:rPr>
                <w:rFonts w:ascii="Arial" w:cs="Arial" w:eastAsia="Arial" w:hAnsi="Arial"/>
                <w:sz w:val="17"/>
                <w:szCs w:val="17"/>
                <w:color w:val="auto"/>
                <w:w w:val="99"/>
              </w:rPr>
              <w:t>(21,755 )</w:t>
            </w:r>
          </w:p>
        </w:tc>
        <w:tc>
          <w:tcPr>
            <w:tcW w:w="9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(7,284 )</w:t>
            </w:r>
          </w:p>
        </w:tc>
      </w:tr>
      <w:tr>
        <w:trPr>
          <w:trHeight w:val="203"/>
        </w:trPr>
        <w:tc>
          <w:tcPr>
            <w:tcW w:w="7760" w:type="dxa"/>
            <w:vAlign w:val="bottom"/>
            <w:shd w:val="clear" w:color="auto" w:fill="CFF0FC"/>
          </w:tcPr>
          <w:p>
            <w:pPr>
              <w:ind w:left="560"/>
              <w:spacing w:after="0"/>
              <w:rPr>
                <w:sz w:val="20"/>
                <w:szCs w:val="20"/>
                <w:color w:val="auto"/>
              </w:rPr>
            </w:pPr>
            <w:r>
              <w:rPr>
                <w:rFonts w:ascii="Arial" w:cs="Arial" w:eastAsia="Arial" w:hAnsi="Arial"/>
                <w:sz w:val="17"/>
                <w:szCs w:val="17"/>
                <w:color w:val="auto"/>
              </w:rPr>
              <w:t>Prepaid expenses and other assets</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(949 )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(1,257 )</w:t>
            </w:r>
          </w:p>
        </w:tc>
      </w:tr>
      <w:tr>
        <w:trPr>
          <w:trHeight w:val="203"/>
        </w:trPr>
        <w:tc>
          <w:tcPr>
            <w:tcW w:w="7760" w:type="dxa"/>
            <w:vAlign w:val="bottom"/>
          </w:tcPr>
          <w:p>
            <w:pPr>
              <w:ind w:left="560"/>
              <w:spacing w:after="0"/>
              <w:rPr>
                <w:sz w:val="20"/>
                <w:szCs w:val="20"/>
                <w:color w:val="auto"/>
              </w:rPr>
            </w:pPr>
            <w:r>
              <w:rPr>
                <w:rFonts w:ascii="Arial" w:cs="Arial" w:eastAsia="Arial" w:hAnsi="Arial"/>
                <w:sz w:val="17"/>
                <w:szCs w:val="17"/>
                <w:color w:val="auto"/>
              </w:rPr>
              <w:t>Accounts payable</w:t>
            </w:r>
          </w:p>
        </w:tc>
        <w:tc>
          <w:tcPr>
            <w:tcW w:w="920" w:type="dxa"/>
            <w:vAlign w:val="bottom"/>
          </w:tcPr>
          <w:p>
            <w:pPr>
              <w:spacing w:after="0"/>
              <w:rPr>
                <w:sz w:val="17"/>
                <w:szCs w:val="17"/>
                <w:color w:val="auto"/>
              </w:rPr>
            </w:pPr>
          </w:p>
        </w:tc>
        <w:tc>
          <w:tcPr>
            <w:tcW w:w="900" w:type="dxa"/>
            <w:vAlign w:val="bottom"/>
            <w:gridSpan w:val="2"/>
          </w:tcPr>
          <w:p>
            <w:pPr>
              <w:jc w:val="right"/>
              <w:ind w:right="115"/>
              <w:spacing w:after="0"/>
              <w:rPr>
                <w:sz w:val="20"/>
                <w:szCs w:val="20"/>
                <w:color w:val="auto"/>
              </w:rPr>
            </w:pPr>
            <w:r>
              <w:rPr>
                <w:rFonts w:ascii="Arial" w:cs="Arial" w:eastAsia="Arial" w:hAnsi="Arial"/>
                <w:sz w:val="17"/>
                <w:szCs w:val="17"/>
                <w:color w:val="auto"/>
              </w:rPr>
              <w:t>(2,729 )</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3,204</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Accrued expenses and other liabilities</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(5,935 )</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8,056</w:t>
            </w:r>
          </w:p>
        </w:tc>
        <w:tc>
          <w:tcPr>
            <w:tcW w:w="100" w:type="dxa"/>
            <w:vAlign w:val="bottom"/>
            <w:shd w:val="clear" w:color="auto" w:fill="CFF0FC"/>
          </w:tcPr>
          <w:p>
            <w:pPr>
              <w:spacing w:after="0"/>
              <w:rPr>
                <w:sz w:val="17"/>
                <w:szCs w:val="17"/>
                <w:color w:val="auto"/>
              </w:rPr>
            </w:pPr>
          </w:p>
        </w:tc>
      </w:tr>
      <w:tr>
        <w:trPr>
          <w:trHeight w:val="196"/>
        </w:trPr>
        <w:tc>
          <w:tcPr>
            <w:tcW w:w="7760" w:type="dxa"/>
            <w:vAlign w:val="bottom"/>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9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34,945</w:t>
            </w:r>
          </w:p>
        </w:tc>
        <w:tc>
          <w:tcPr>
            <w:tcW w:w="280" w:type="dxa"/>
            <w:vAlign w:val="bottom"/>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34,413</w:t>
            </w:r>
          </w:p>
        </w:tc>
        <w:tc>
          <w:tcPr>
            <w:tcW w:w="100" w:type="dxa"/>
            <w:vAlign w:val="bottom"/>
          </w:tcPr>
          <w:p>
            <w:pPr>
              <w:spacing w:after="0"/>
              <w:rPr>
                <w:sz w:val="17"/>
                <w:szCs w:val="17"/>
                <w:color w:val="auto"/>
              </w:rPr>
            </w:pPr>
          </w:p>
        </w:tc>
      </w:tr>
      <w:tr>
        <w:trPr>
          <w:trHeight w:val="196"/>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rPr>
                <w:sz w:val="20"/>
                <w:szCs w:val="20"/>
                <w:color w:val="auto"/>
              </w:rPr>
            </w:pPr>
            <w:r>
              <w:rPr>
                <w:rFonts w:ascii="Arial" w:cs="Arial" w:eastAsia="Arial" w:hAnsi="Arial"/>
                <w:sz w:val="17"/>
                <w:szCs w:val="17"/>
                <w:color w:val="auto"/>
              </w:rPr>
              <w:t>Purchase of held to maturity securities</w:t>
            </w:r>
          </w:p>
        </w:tc>
        <w:tc>
          <w:tcPr>
            <w:tcW w:w="920" w:type="dxa"/>
            <w:vAlign w:val="bottom"/>
          </w:tcPr>
          <w:p>
            <w:pPr>
              <w:spacing w:after="0"/>
              <w:rPr>
                <w:sz w:val="17"/>
                <w:szCs w:val="17"/>
                <w:color w:val="auto"/>
              </w:rPr>
            </w:pPr>
          </w:p>
        </w:tc>
        <w:tc>
          <w:tcPr>
            <w:tcW w:w="900" w:type="dxa"/>
            <w:vAlign w:val="bottom"/>
            <w:gridSpan w:val="2"/>
          </w:tcPr>
          <w:p>
            <w:pPr>
              <w:jc w:val="right"/>
              <w:ind w:right="115"/>
              <w:spacing w:after="0"/>
              <w:rPr>
                <w:sz w:val="20"/>
                <w:szCs w:val="20"/>
                <w:color w:val="auto"/>
              </w:rPr>
            </w:pPr>
            <w:r>
              <w:rPr>
                <w:rFonts w:ascii="Arial" w:cs="Arial" w:eastAsia="Arial" w:hAnsi="Arial"/>
                <w:sz w:val="17"/>
                <w:szCs w:val="17"/>
                <w:color w:val="auto"/>
                <w:w w:val="87"/>
              </w:rPr>
              <w:t>(519,937 )</w:t>
            </w:r>
          </w:p>
        </w:tc>
        <w:tc>
          <w:tcPr>
            <w:tcW w:w="9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7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property and equipment</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w w:val="99"/>
              </w:rPr>
              <w:t>(25,004 )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3"/>
              </w:rPr>
              <w:t>(20,067 )</w:t>
            </w:r>
          </w:p>
        </w:tc>
      </w:tr>
      <w:tr>
        <w:trPr>
          <w:trHeight w:val="203"/>
        </w:trPr>
        <w:tc>
          <w:tcPr>
            <w:tcW w:w="7760" w:type="dxa"/>
            <w:vAlign w:val="bottom"/>
          </w:tcPr>
          <w:p>
            <w:pPr>
              <w:ind w:left="200"/>
              <w:spacing w:after="0"/>
              <w:rPr>
                <w:sz w:val="20"/>
                <w:szCs w:val="20"/>
                <w:color w:val="auto"/>
              </w:rPr>
            </w:pPr>
            <w:r>
              <w:rPr>
                <w:rFonts w:ascii="Arial" w:cs="Arial" w:eastAsia="Arial" w:hAnsi="Arial"/>
                <w:sz w:val="17"/>
                <w:szCs w:val="17"/>
                <w:color w:val="auto"/>
              </w:rPr>
              <w:t>Cash paid for intangibles</w:t>
            </w:r>
          </w:p>
        </w:tc>
        <w:tc>
          <w:tcPr>
            <w:tcW w:w="920" w:type="dxa"/>
            <w:vAlign w:val="bottom"/>
          </w:tcPr>
          <w:p>
            <w:pPr>
              <w:spacing w:after="0"/>
              <w:rPr>
                <w:sz w:val="17"/>
                <w:szCs w:val="17"/>
                <w:color w:val="auto"/>
              </w:rPr>
            </w:pPr>
          </w:p>
        </w:tc>
        <w:tc>
          <w:tcPr>
            <w:tcW w:w="900" w:type="dxa"/>
            <w:vAlign w:val="bottom"/>
            <w:gridSpan w:val="2"/>
          </w:tcPr>
          <w:p>
            <w:pPr>
              <w:jc w:val="right"/>
              <w:ind w:right="115"/>
              <w:spacing w:after="0"/>
              <w:rPr>
                <w:sz w:val="20"/>
                <w:szCs w:val="20"/>
                <w:color w:val="auto"/>
              </w:rPr>
            </w:pPr>
            <w:r>
              <w:rPr>
                <w:rFonts w:ascii="Arial" w:cs="Arial" w:eastAsia="Arial" w:hAnsi="Arial"/>
                <w:sz w:val="17"/>
                <w:szCs w:val="17"/>
                <w:color w:val="auto"/>
              </w:rPr>
              <w:t>(2,969 )</w:t>
            </w:r>
          </w:p>
        </w:tc>
        <w:tc>
          <w:tcPr>
            <w:tcW w:w="9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(2,417 )</w:t>
            </w:r>
          </w:p>
        </w:tc>
      </w:tr>
      <w:tr>
        <w:trPr>
          <w:trHeight w:val="196"/>
        </w:trPr>
        <w:tc>
          <w:tcPr>
            <w:tcW w:w="77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(547,910</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(22,484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76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w w:val="99"/>
              </w:rPr>
              <w:t>(27,886 )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760" w:type="dxa"/>
            <w:vAlign w:val="bottom"/>
          </w:tcPr>
          <w:p>
            <w:pPr>
              <w:ind w:left="200"/>
              <w:spacing w:after="0"/>
              <w:rPr>
                <w:sz w:val="20"/>
                <w:szCs w:val="20"/>
                <w:color w:val="auto"/>
              </w:rPr>
            </w:pPr>
            <w:r>
              <w:rPr>
                <w:rFonts w:ascii="Arial" w:cs="Arial" w:eastAsia="Arial" w:hAnsi="Arial"/>
                <w:sz w:val="17"/>
                <w:szCs w:val="17"/>
                <w:color w:val="auto"/>
              </w:rPr>
              <w:t>Proceeds from public offering</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23,685</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181,928</w:t>
            </w:r>
          </w:p>
        </w:tc>
        <w:tc>
          <w:tcPr>
            <w:tcW w:w="100" w:type="dxa"/>
            <w:vAlign w:val="bottom"/>
          </w:tcPr>
          <w:p>
            <w:pPr>
              <w:spacing w:after="0"/>
              <w:rPr>
                <w:sz w:val="17"/>
                <w:szCs w:val="17"/>
                <w:color w:val="auto"/>
              </w:rPr>
            </w:pPr>
          </w:p>
        </w:tc>
      </w:tr>
      <w:tr>
        <w:trPr>
          <w:trHeight w:val="202"/>
        </w:trPr>
        <w:tc>
          <w:tcPr>
            <w:tcW w:w="77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for offering costs</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(687 )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(340 )</w:t>
            </w:r>
          </w:p>
        </w:tc>
      </w:tr>
      <w:tr>
        <w:trPr>
          <w:trHeight w:val="196"/>
        </w:trPr>
        <w:tc>
          <w:tcPr>
            <w:tcW w:w="7760" w:type="dxa"/>
            <w:vAlign w:val="bottom"/>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9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(4,888</w:t>
            </w:r>
          </w:p>
        </w:tc>
        <w:tc>
          <w:tcPr>
            <w:tcW w:w="2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181,588</w:t>
            </w:r>
          </w:p>
        </w:tc>
        <w:tc>
          <w:tcPr>
            <w:tcW w:w="100" w:type="dxa"/>
            <w:vAlign w:val="bottom"/>
          </w:tcPr>
          <w:p>
            <w:pPr>
              <w:spacing w:after="0"/>
              <w:rPr>
                <w:sz w:val="17"/>
                <w:szCs w:val="17"/>
                <w:color w:val="auto"/>
              </w:rPr>
            </w:pPr>
          </w:p>
        </w:tc>
      </w:tr>
      <w:tr>
        <w:trPr>
          <w:trHeight w:val="196"/>
        </w:trPr>
        <w:tc>
          <w:tcPr>
            <w:tcW w:w="7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Net increase (decrease) in cash and cash equivalents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(517,853</w:t>
            </w:r>
          </w:p>
        </w:tc>
        <w:tc>
          <w:tcPr>
            <w:tcW w:w="28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193,517</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Beginning of period</w:t>
            </w:r>
          </w:p>
        </w:tc>
        <w:tc>
          <w:tcPr>
            <w:tcW w:w="9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559,461</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73,525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200"/>
              <w:spacing w:after="0"/>
              <w:rPr>
                <w:sz w:val="20"/>
                <w:szCs w:val="20"/>
                <w:color w:val="auto"/>
              </w:rPr>
            </w:pPr>
            <w:r>
              <w:rPr>
                <w:rFonts w:ascii="Arial" w:cs="Arial" w:eastAsia="Arial" w:hAnsi="Arial"/>
                <w:sz w:val="17"/>
                <w:szCs w:val="17"/>
                <w:color w:val="auto"/>
              </w:rPr>
              <w:t>End of period</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41,608</w:t>
            </w: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267,042</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60" w:type="dxa"/>
            <w:vAlign w:val="bottom"/>
          </w:tcPr>
          <w:p>
            <w:pPr>
              <w:ind w:left="200"/>
              <w:spacing w:after="0"/>
              <w:rPr>
                <w:sz w:val="20"/>
                <w:szCs w:val="20"/>
                <w:color w:val="auto"/>
              </w:rPr>
            </w:pPr>
            <w:r>
              <w:rPr>
                <w:rFonts w:ascii="Arial" w:cs="Arial" w:eastAsia="Arial" w:hAnsi="Arial"/>
                <w:sz w:val="17"/>
                <w:szCs w:val="17"/>
                <w:color w:val="auto"/>
              </w:rPr>
              <w:t>Income taxes paid</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rPr>
                <w:sz w:val="20"/>
                <w:szCs w:val="20"/>
                <w:color w:val="auto"/>
              </w:rPr>
            </w:pPr>
            <w:r>
              <w:rPr>
                <w:rFonts w:ascii="Arial" w:cs="Arial" w:eastAsia="Arial" w:hAnsi="Arial"/>
                <w:sz w:val="17"/>
                <w:szCs w:val="17"/>
                <w:color w:val="auto"/>
              </w:rPr>
              <w:t>Unpaid property and equipment</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1,830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3,928</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Unpaid intangibles, net</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1,615</w:t>
            </w: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7"/>
                <w:szCs w:val="17"/>
                <w:color w:val="auto"/>
              </w:rPr>
              <w:t>Right-of-use assets acquired under operating leases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4,599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-2806700</wp:posOffset>
            </wp:positionV>
            <wp:extent cx="1250950" cy="170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50950" cy="1708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-1997075</wp:posOffset>
            </wp:positionV>
            <wp:extent cx="6858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-1997075</wp:posOffset>
            </wp:positionV>
            <wp:extent cx="6858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-1486535</wp:posOffset>
            </wp:positionV>
            <wp:extent cx="12509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095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-942340</wp:posOffset>
            </wp:positionV>
            <wp:extent cx="685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08"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precision timing solutions.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to address the broad set of end markets that it serves.</w:t>
      </w:r>
    </w:p>
    <w:p>
      <w:pPr>
        <w:spacing w:after="0" w:line="7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2021. The year-end condensed balance sheet data was derived from audited financial statements, but does not include all disclosures required by GAAP.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Disease (“the COVID-19 pandemic”)</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COVID-19 pandemic has continued to impact the Company's workforce and the operations of its customers and suppliers during 2022. In response to the ongoing COVID-19 pandemic and related government measures, the Company implemented safety measures to protect its employees and contractors at its locations around the world.</w:t>
      </w:r>
    </w:p>
    <w:p>
      <w:pPr>
        <w:spacing w:after="0" w:line="6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As the COVID-19 pandemic continues, the timing and overall demand of the Company's products and availability of supply chain may negatively and materially impact the Company's business operations and financial results. To date, the Company has experienced minimal impact from any supplier disruption resulting from the COVID-19 pandemic, however, due to the changing nature and continuing uncertainty around the COVID-19 pandemic, the Company's ability to predict the impact of the COVID-19 pandemic on its business and financial results in future periods remains limited.</w:t>
      </w:r>
    </w:p>
    <w:p>
      <w:pPr>
        <w:spacing w:after="0" w:line="4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continues to actively monitor the effects and potential impacts of the COVID-19 pandemic on its business and may take further actions altering its business operations that it determines to be in the best interests of its employees, customers, partners, suppliers, and stakeholders, or as required by federal, state, or local authorities. It is not clear what the potential effects any such alterations or modifications may have on the Company's business, including the effects on its customers, employees, operations, and prospects, or on the financial results for 2022 and beyond.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Company’s significant accounting policies are disclosed in the Company’s audited consolidated financial statements and related notes thereto included in the Annual Report on Form 10-K for the year ended December 31, 2021. There has been no changes to these accounting policies through September 30,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are no new accounting pronouncements that are pending to be adopted by the Company.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income per share attributable to common stockholders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90"/>
              </w:rPr>
              <w:t>(in thousands, except per share data)</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24,782</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shd w:val="clear" w:color="auto" w:fill="CFF0FC"/>
          </w:tcPr>
          <w:p>
            <w:pPr>
              <w:spacing w:after="0"/>
              <w:rPr>
                <w:sz w:val="22"/>
                <w:szCs w:val="22"/>
                <w:color w:val="auto"/>
              </w:rPr>
            </w:pPr>
          </w:p>
        </w:tc>
      </w:tr>
      <w:tr>
        <w:trPr>
          <w:trHeight w:val="197"/>
        </w:trPr>
        <w:tc>
          <w:tcPr>
            <w:tcW w:w="58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Weighted-average shares outstanding</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Weighted average shares used to compute basic net income per share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18,658</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7"/>
              </w:rPr>
              <w:t>Weighted average shares used to compute diluted net income per share</w:t>
            </w: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ind w:left="200"/>
              <w:spacing w:after="0" w:line="196" w:lineRule="exact"/>
              <w:rPr>
                <w:sz w:val="20"/>
                <w:szCs w:val="20"/>
                <w:color w:val="auto"/>
              </w:rPr>
            </w:pPr>
            <w:r>
              <w:rPr>
                <w:rFonts w:ascii="Arial" w:cs="Arial" w:eastAsia="Arial" w:hAnsi="Arial"/>
                <w:sz w:val="18"/>
                <w:szCs w:val="18"/>
                <w:color w:val="auto"/>
              </w:rPr>
              <w:t>Net income attributable to common stockholders per share, basic</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0.27</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0.73</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5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 attributable to common stockholders per share, diluted</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-934085</wp:posOffset>
            </wp:positionV>
            <wp:extent cx="271716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7165"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-350520</wp:posOffset>
            </wp:positionV>
            <wp:extent cx="271716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7165"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spacing w:after="0" w:line="290"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September 30, 2022 and 2021, the Company had 365,102 potential shares and no potential shares from share-based awards that are anti-dilutive, respectively. During the nine months ended September 30, 2022 and 2021, the Company had 265,235 and 5,350 potential shares from share-based awards that are anti-dilutive,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carrying amounts of the Company’s financial instruments, which include cash equivalents, short-term investments and accounts receivable, accounts payable, accrued liabilities, and other current liabilities, approximate their fair values due to their short maturities.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On September 30, 2022 and December 31, 2021, cash balances in bank checking and savings accounts of $35.3 million and $339.3 million, respectively, were valued using Level 1 of the fair value hierarchy. On September 30, 2022 and December 31, 2021, highly liquid money market funds and treasury bills of $6.3 million and $220.2 million, respectively, were valued using Level 1 of the fair value hierarchy, quoted prices in active markets for identical assets, and are included in cash equivalents.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 in held-to-maturity securities</w:t>
      </w:r>
    </w:p>
    <w:p>
      <w:pPr>
        <w:spacing w:after="0" w:line="10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As of September 30, 2022 the Company had entered into treasury bills with maturities ranging from 3 to 6 months, which the Company intends to hold until maturity and have classified as held-to-maturity securities. The held-to-maturity securities are recorded at amortized cost totaling $520.0 million with gross unrealized gains of $2.2 million and net carrying value of $522.2 million. The carrying value of our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14"/>
                <w:szCs w:val="14"/>
                <w:color w:val="auto"/>
              </w:rPr>
            </w:pPr>
          </w:p>
        </w:tc>
      </w:tr>
      <w:tr>
        <w:trPr>
          <w:trHeight w:val="210"/>
        </w:trPr>
        <w:tc>
          <w:tcPr>
            <w:tcW w:w="37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gross</w:t>
            </w:r>
          </w:p>
        </w:tc>
        <w:tc>
          <w:tcPr>
            <w:tcW w:w="3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44,946</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38,426</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jc w:val="right"/>
              <w:ind w:right="168"/>
              <w:spacing w:after="0"/>
              <w:rPr>
                <w:sz w:val="20"/>
                <w:szCs w:val="20"/>
                <w:color w:val="auto"/>
              </w:rPr>
            </w:pPr>
            <w:r>
              <w:rPr>
                <w:rFonts w:ascii="Arial" w:cs="Arial" w:eastAsia="Arial" w:hAnsi="Arial"/>
                <w:sz w:val="18"/>
                <w:szCs w:val="18"/>
                <w:color w:val="auto"/>
              </w:rPr>
              <w:t>(50 )</w:t>
            </w:r>
          </w:p>
        </w:tc>
        <w:tc>
          <w:tcPr>
            <w:tcW w:w="3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(50 )</w:t>
            </w:r>
          </w:p>
        </w:tc>
      </w:tr>
      <w:tr>
        <w:trPr>
          <w:trHeight w:val="249"/>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44,896</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3780" w:type="dxa"/>
            <w:vAlign w:val="bottom"/>
          </w:tcPr>
          <w:p>
            <w:pPr>
              <w:spacing w:after="0"/>
              <w:rPr>
                <w:sz w:val="24"/>
                <w:szCs w:val="24"/>
                <w:color w:val="auto"/>
              </w:rPr>
            </w:pPr>
          </w:p>
        </w:tc>
        <w:tc>
          <w:tcPr>
            <w:tcW w:w="2980" w:type="dxa"/>
            <w:vAlign w:val="bottom"/>
          </w:tcPr>
          <w:p>
            <w:pPr>
              <w:jc w:val="right"/>
              <w:ind w:right="101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780" w:type="dxa"/>
            <w:vAlign w:val="bottom"/>
            <w:tcBorders>
              <w:bottom w:val="single" w:sz="8" w:color="9A9A9A"/>
            </w:tcBorders>
          </w:tcPr>
          <w:p>
            <w:pPr>
              <w:spacing w:after="0"/>
              <w:rPr>
                <w:sz w:val="7"/>
                <w:szCs w:val="7"/>
                <w:color w:val="auto"/>
              </w:rPr>
            </w:pPr>
          </w:p>
        </w:tc>
        <w:tc>
          <w:tcPr>
            <w:tcW w:w="29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-496570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-479425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4"/>
                <w:szCs w:val="14"/>
                <w:b w:val="1"/>
                <w:bCs w:val="1"/>
                <w:color w:val="auto"/>
                <w:w w:val="91"/>
              </w:rPr>
              <w:t>As of</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7"/>
          </w:tcPr>
          <w:p>
            <w:pPr>
              <w:jc w:val="center"/>
              <w:ind w:left="1315"/>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5,940</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31,914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7,531</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45,385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6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4"/>
                <w:szCs w:val="14"/>
                <w:b w:val="1"/>
                <w:bCs w:val="1"/>
                <w:color w:val="auto"/>
                <w:w w:val="91"/>
              </w:rPr>
              <w:t>As of</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gridSpan w:val="3"/>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7"/>
          </w:tcPr>
          <w:p>
            <w:pPr>
              <w:jc w:val="center"/>
              <w:ind w:left="1315"/>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8,141</w:t>
            </w: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gridSpan w:val="3"/>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67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5"/>
          </w:tcPr>
          <w:p>
            <w:pPr>
              <w:jc w:val="center"/>
              <w:ind w:right="250"/>
              <w:spacing w:after="0"/>
              <w:rPr>
                <w:sz w:val="20"/>
                <w:szCs w:val="20"/>
                <w:color w:val="auto"/>
              </w:rPr>
            </w:pPr>
            <w:r>
              <w:rPr>
                <w:rFonts w:ascii="Arial" w:cs="Arial" w:eastAsia="Arial" w:hAnsi="Arial"/>
                <w:sz w:val="14"/>
                <w:szCs w:val="14"/>
                <w:b w:val="1"/>
                <w:bCs w:val="1"/>
                <w:color w:val="auto"/>
                <w:w w:val="85"/>
              </w:rPr>
              <w:t>As of</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7"/>
          </w:tcPr>
          <w:p>
            <w:pPr>
              <w:jc w:val="center"/>
              <w:ind w:left="1335"/>
              <w:spacing w:after="0"/>
              <w:rPr>
                <w:sz w:val="20"/>
                <w:szCs w:val="20"/>
                <w:color w:val="auto"/>
              </w:rPr>
            </w:pPr>
            <w:r>
              <w:rPr>
                <w:rFonts w:ascii="Arial" w:cs="Arial" w:eastAsia="Arial" w:hAnsi="Arial"/>
                <w:sz w:val="14"/>
                <w:szCs w:val="14"/>
                <w:b w:val="1"/>
                <w:bCs w:val="1"/>
                <w:color w:val="auto"/>
                <w:w w:val="89"/>
              </w:rPr>
              <w:t>(in thousands)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 and manufacturing equipment</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6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2,960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7,734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6,609</w:t>
            </w: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84,276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4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(28,162 )</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(21,102 )</w:t>
            </w:r>
          </w:p>
        </w:tc>
        <w:tc>
          <w:tcPr>
            <w:tcW w:w="0" w:type="dxa"/>
            <w:vAlign w:val="bottom"/>
          </w:tcPr>
          <w:p>
            <w:pPr>
              <w:spacing w:after="0"/>
              <w:rPr>
                <w:sz w:val="1"/>
                <w:szCs w:val="1"/>
                <w:color w:val="auto"/>
              </w:rPr>
            </w:pPr>
          </w:p>
        </w:tc>
      </w:tr>
      <w:tr>
        <w:trPr>
          <w:trHeight w:val="210"/>
        </w:trPr>
        <w:tc>
          <w:tcPr>
            <w:tcW w:w="67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56,114</w:t>
            </w:r>
          </w:p>
        </w:tc>
        <w:tc>
          <w:tcPr>
            <w:tcW w:w="2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gridSpan w:val="2"/>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-3693795</wp:posOffset>
            </wp:positionV>
            <wp:extent cx="7683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-2133600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-2116455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-453390</wp:posOffset>
            </wp:positionV>
            <wp:extent cx="7747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7747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Depreciation expense related to property and equipment was $2.7 million and $0.7 million for the three months ended September 30, 2022 and 2021, respectively, and $7.2 million and $1.9 million for the nine months ended September 30, 2022 and 2021,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December 31, 2021</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4"/>
              </w:rPr>
              <w:t>Gross Assets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Assets</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Gross Assets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3"/>
              </w:rPr>
              <w:t>Net Assets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 use software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(8,732 )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(8,633 )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(6,527 )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21,137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Amortization expense for intangible assets was $0.5 million and $0.5 million for the three months ended September 30, 2022 and 2021, respectively, and $1.3 million and $1.6 million for the nine months ended September 30, 2022 and 2021,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estimated aggregate future amortization expense for intangible assets subject to amortization as of September 30, 2022 is summarized as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(remainder)</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 and beyond</w:t>
            </w:r>
          </w:p>
        </w:tc>
        <w:tc>
          <w:tcPr>
            <w:tcW w:w="8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5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1780"/>
              <w:spacing w:after="0"/>
              <w:rPr>
                <w:sz w:val="20"/>
                <w:szCs w:val="20"/>
                <w:color w:val="auto"/>
              </w:rPr>
            </w:pPr>
            <w:r>
              <w:rPr>
                <w:rFonts w:ascii="Arial" w:cs="Arial" w:eastAsia="Arial" w:hAnsi="Arial"/>
                <w:sz w:val="14"/>
                <w:szCs w:val="14"/>
                <w:b w:val="1"/>
                <w:bCs w:val="1"/>
                <w:color w:val="auto"/>
                <w:w w:val="85"/>
              </w:rPr>
              <w:t>As of</w:t>
            </w: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benefits</w:t>
            </w: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Revenue reserves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2,990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non-recurring engineering services</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Short term lease liability</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customer rebates</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18,452</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Company recorded reduction of research and development expenses related to non-recurring engineering service arrangements in the condensed consolidated statement of operations of $2.9 million and $0.9 million during the three months ended September 30, 2022 and 2021, respectively, and $7.7 million and $1.0 million during the nine months ended September 30, 2022 and 2021, respectively.</w:t>
      </w:r>
    </w:p>
    <w:p>
      <w:pPr>
        <w:spacing w:after="0" w:line="7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Through June 30, 2022, the Company had recorded $2.7 million of accrued customer rebates as contra revenue under a customer agreement. In July 2022, the Company entered into an agreement with the customer to waive the accrued customer rebate balance as of June 30, 2022. During the three months ended September 30, 2022, the Company recognized the waiver of $2.7 million of accrued customer rebate as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2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Company leases real estate property under operating leases. The Company leases office space in California, Michigan, Malaysia, Japan, Taiwan, the Netherlands, and Ukraine all under non-cancellable operating leases with various expiration dates through April 2027. In January 2021, the Company signed an amendment to its Santa Clara, California office space lease where the lessor provided the Company lease incentives of $0.4 million and extended the term of the lease by three months. The amendment was accounted as a single modified lease and the remaining payments were remeasured using an updated discount rate. During the nine months ended September 30, 2022, the Company commenced seven operating leases with 2 to 7 year lease terms, and recorded right-of-use assets of $4.9 million, current lease liabilities of $1.0 million, and long-term lease liabilities of $4.1 million upon the commencement of these leases.</w:t>
      </w:r>
    </w:p>
    <w:p>
      <w:pPr>
        <w:spacing w:after="0" w:line="79"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remaining lease terms vary from a few months to 7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September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7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7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2021</w:t>
            </w:r>
          </w:p>
        </w:tc>
        <w:tc>
          <w:tcPr>
            <w:tcW w:w="160" w:type="dxa"/>
            <w:vAlign w:val="bottom"/>
            <w:gridSpan w:val="2"/>
          </w:tcPr>
          <w:p>
            <w:pPr>
              <w:spacing w:after="0"/>
              <w:rPr>
                <w:sz w:val="17"/>
                <w:szCs w:val="17"/>
                <w:color w:val="auto"/>
              </w:rPr>
            </w:pPr>
          </w:p>
        </w:tc>
      </w:tr>
      <w:tr>
        <w:trPr>
          <w:trHeight w:val="169"/>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Right-of-use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8"/>
                <w:szCs w:val="18"/>
                <w:color w:val="auto"/>
              </w:rPr>
              <w:t>Lease liabilities included in accrued expenses and other current liabilities</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 non-current</w:t>
            </w:r>
          </w:p>
        </w:tc>
        <w:tc>
          <w:tcPr>
            <w:tcW w:w="2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1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0"/>
                <w:szCs w:val="20"/>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4.4 %</w:t>
            </w:r>
          </w:p>
        </w:tc>
        <w:tc>
          <w:tcPr>
            <w:tcW w:w="1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-737235</wp:posOffset>
            </wp:positionV>
            <wp:extent cx="6858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-737235</wp:posOffset>
            </wp:positionV>
            <wp:extent cx="6858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-454025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three and nine months ended September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96"/>
        </w:trPr>
        <w:tc>
          <w:tcPr>
            <w:tcW w:w="49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4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2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396</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1,303</w:t>
            </w:r>
          </w:p>
        </w:tc>
        <w:tc>
          <w:tcPr>
            <w:tcW w:w="128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516</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3,749</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-170815</wp:posOffset>
            </wp:positionV>
            <wp:extent cx="7683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right="880"/>
        <w:spacing w:after="0" w:line="367" w:lineRule="auto"/>
        <w:rPr>
          <w:sz w:val="20"/>
          <w:szCs w:val="20"/>
          <w:color w:val="auto"/>
        </w:rPr>
      </w:pPr>
      <w:r>
        <w:rPr>
          <w:rFonts w:ascii="Arial" w:cs="Arial" w:eastAsia="Arial" w:hAnsi="Arial"/>
          <w:sz w:val="18"/>
          <w:szCs w:val="18"/>
          <w:color w:val="auto"/>
        </w:rPr>
        <w:t xml:space="preserve">Cash paid for operating lease liabilities was $1.8 million and $1.5 million for the nine months ended September 30, 2022 and 2021, respectively. </w:t>
      </w:r>
      <w:r>
        <w:rPr>
          <w:rFonts w:ascii="Arial" w:cs="Arial" w:eastAsia="Arial" w:hAnsi="Arial"/>
          <w:sz w:val="18"/>
          <w:szCs w:val="18"/>
          <w:b w:val="1"/>
          <w:bCs w:val="1"/>
          <w:color w:val="auto"/>
        </w:rPr>
        <w:t>Operating Lease Cash Flows</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September 30,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8"/>
                <w:szCs w:val="18"/>
                <w:color w:val="auto"/>
              </w:rPr>
            </w:pPr>
          </w:p>
        </w:tc>
      </w:tr>
      <w:tr>
        <w:trPr>
          <w:trHeight w:val="216"/>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8"/>
                <w:szCs w:val="18"/>
                <w:color w:val="auto"/>
              </w:rPr>
            </w:pPr>
          </w:p>
        </w:tc>
      </w:tr>
      <w:tr>
        <w:trPr>
          <w:trHeight w:val="216"/>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tcPr>
          <w:p>
            <w:pPr>
              <w:ind w:left="20"/>
              <w:spacing w:after="0"/>
              <w:rPr>
                <w:sz w:val="20"/>
                <w:szCs w:val="20"/>
                <w:color w:val="auto"/>
              </w:rPr>
            </w:pPr>
            <w:r>
              <w:rPr>
                <w:rFonts w:ascii="Arial" w:cs="Arial" w:eastAsia="Arial" w:hAnsi="Arial"/>
                <w:sz w:val="18"/>
                <w:szCs w:val="18"/>
                <w:color w:val="auto"/>
              </w:rPr>
              <w:t>2027 and beyond</w:t>
            </w: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r>
      <w:tr>
        <w:trPr>
          <w:trHeight w:val="21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4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11,947</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46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(1,109 )</w:t>
            </w:r>
          </w:p>
        </w:tc>
      </w:tr>
      <w:tr>
        <w:trPr>
          <w:trHeight w:val="21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46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10,838</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46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(2,303 )</w:t>
            </w:r>
          </w:p>
        </w:tc>
      </w:tr>
      <w:tr>
        <w:trPr>
          <w:trHeight w:val="250"/>
        </w:trPr>
        <w:tc>
          <w:tcPr>
            <w:tcW w:w="8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lease liabilities</w:t>
            </w: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During the three months ended September 30, 2022, the Company entered into an operating lease that commences in November 2022 with a three year term, for which the Company expects to record right-of-use asset of approximately $0.2 million and lease liability of approximately $0.2 million at the commencement of the 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0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On February 22, 2021, the Company completed a follow-on public offering, in which it issued and sold 1,500,000 shares of its common stock, resulting in net proceeds to the Company of $181.6 million after deducting underwriting discounts and commissions of $8.6 million and deferred offering costs of $0.3 million.</w:t>
      </w:r>
    </w:p>
    <w:p>
      <w:pPr>
        <w:spacing w:after="0" w:line="6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November 10, 2021 the Company completed a follow-on public offering, in which it issued and sold 1,300,000 shares of its common stock, resulting in net proceeds to the Company of $279.0 million after deducting underwriting discounts and commissions of $13.2 million and deferred offering costs of $0.3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7"/>
          <w:szCs w:val="17"/>
          <w:color w:val="auto"/>
        </w:rPr>
        <w:t>On May 4, 2022, the Company entered into a Sales Agreement ("Sales Agreement"), with Stifel, Nicolaus &amp; Company, Incorporated ("Stifel"), under which the Company may offer and sell from time to time at its sole discretion, up to an aggregate of 800,000 shares of its common stock, par value $0.0001 per share, through Stifel as its sales agent.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800,000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During the three months ended September 30, 2022, the Company sold 25,334 shares of its common stock to Stifel under the Sales Agreement at a weighted average price of $122.09 per share resulting in net proceeds to the Company of $2.9 million, after deducting underwriting discounts and commissions of $0.1 million and deferred offering costs of $0.1 million. During the nine months ended September 30, 2022, the Company sold 125,334 shares of its common stock to Stifel under the Sales Agreement at a weighted average price of $188.98 per share resulting in net proceeds to the Company of $23.0 million, after deducting underwriting discounts and commissions of $0.5 million and deferred offering costs of $0.6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summarizes the RSU, performance based restricted stock unit awards ("PRSU"), and multi-year performance restricted stock units ("MYPSU") activity for the three and nine months ended September 30,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RSU</w:t>
            </w:r>
          </w:p>
        </w:tc>
        <w:tc>
          <w:tcPr>
            <w:tcW w:w="220" w:type="dxa"/>
            <w:vAlign w:val="bottom"/>
          </w:tcPr>
          <w:p>
            <w:pPr>
              <w:spacing w:after="0"/>
              <w:rPr>
                <w:sz w:val="15"/>
                <w:szCs w:val="15"/>
                <w:color w:val="auto"/>
              </w:rPr>
            </w:pPr>
          </w:p>
        </w:tc>
        <w:tc>
          <w:tcPr>
            <w:tcW w:w="116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PRSU</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MYPSU</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r>
      <w:tr>
        <w:trPr>
          <w:trHeight w:val="175"/>
        </w:trPr>
        <w:tc>
          <w:tcPr>
            <w:tcW w:w="316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16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5"/>
                <w:szCs w:val="15"/>
                <w:color w:val="auto"/>
              </w:rPr>
            </w:pPr>
          </w:p>
        </w:tc>
      </w:tr>
      <w:tr>
        <w:trPr>
          <w:trHeight w:val="185"/>
        </w:trPr>
        <w:tc>
          <w:tcPr>
            <w:tcW w:w="31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per share</w:t>
            </w:r>
          </w:p>
        </w:tc>
        <w:tc>
          <w:tcPr>
            <w:tcW w:w="26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r>
      <w:tr>
        <w:trPr>
          <w:trHeight w:val="223"/>
        </w:trPr>
        <w:tc>
          <w:tcPr>
            <w:tcW w:w="3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4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2,227,197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58,954</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173,291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11,202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311,872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7"/>
                <w:szCs w:val="17"/>
                <w:color w:val="auto"/>
              </w:rPr>
            </w:pPr>
          </w:p>
        </w:tc>
      </w:tr>
      <w:tr>
        <w:trPr>
          <w:trHeight w:val="203"/>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(217,358 )</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(5,352 )</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117.3</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6"/>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March 31,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2,177,778</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70,156</w:t>
            </w:r>
          </w:p>
        </w:tc>
        <w:tc>
          <w:tcPr>
            <w:tcW w:w="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311,872</w:t>
            </w:r>
          </w:p>
        </w:tc>
        <w:tc>
          <w:tcPr>
            <w:tcW w:w="4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104,555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217.7</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(214,327 )</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2"/>
        </w:trPr>
        <w:tc>
          <w:tcPr>
            <w:tcW w:w="31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(21,962 )</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89.5</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36"/>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June 30,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2,046,044</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2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70,156</w:t>
            </w:r>
          </w:p>
        </w:tc>
        <w:tc>
          <w:tcPr>
            <w:tcW w:w="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311,872</w:t>
            </w:r>
          </w:p>
        </w:tc>
        <w:tc>
          <w:tcPr>
            <w:tcW w:w="4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3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95,760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179.5</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203"/>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(228,443 )</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(16,913 )</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120.8</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36"/>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September 30,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1,896,448</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2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70,156</w:t>
            </w:r>
          </w:p>
        </w:tc>
        <w:tc>
          <w:tcPr>
            <w:tcW w:w="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311,872</w:t>
            </w:r>
          </w:p>
        </w:tc>
        <w:tc>
          <w:tcPr>
            <w:tcW w:w="4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-1104900</wp:posOffset>
            </wp:positionV>
            <wp:extent cx="7683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-1104900</wp:posOffset>
            </wp:positionV>
            <wp:extent cx="6858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-1104900</wp:posOffset>
            </wp:positionV>
            <wp:extent cx="6858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-573405</wp:posOffset>
            </wp:positionV>
            <wp:extent cx="346329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63290" cy="15430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August 4, 2020, the Compensation Committee of the Company adopted and approved the Executive Bonus and Retention Plan (the “Bonus and Retention Plan”). In each of January and July 2021, the Compensation Committee approved target bonus amounts and performance goals for the first half and second half, respectively, of the fiscal year 2021 (the “2021 Goals”). In January 2022, the Compensation Committee approved target bonus amounts and performance goals for the first half of the fiscal year 2022 (the “1H2022 Goals”), and in August 2022 the Compensation Committee approved target bonus amounts and performance goals for the second half of the fiscal year 2022 (the “2H2022 Goals”). The 2021 Goals, 1H2022 Goals and the 2H2022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$0.4 million for 2H2022 Goals was recorded as accrued expenses and other current liabilities in the condensed consolidated balance sheet as of September 30, 2022. Actual payouts for 1H2022 Goals ranged from 113% to 130% of target, based on performance.</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April 2022, the Company approved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 granted in the above table. Such expense is included in the non-cash adjustment within stock-based compensation expense on the condensed consolidated cash flow statements. The liability of $0.8 million was recorded as accrued expenses and other current liabilities in the condensed consolidated balance sheet as of September 30,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In December 2021, the Compensation Committee of the Company approved PRSUs with performance goals for the year 2022 (the “PRSU 2022 Goals”).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PRSU 2022 Goals are based on the achievement of revenue. These grants are included in the PRSU awards granted in the table above.</w:t>
      </w:r>
    </w:p>
    <w:p>
      <w:pPr>
        <w:spacing w:after="0" w:line="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Equity based awards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14,470</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38,633</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Liability based awards - to be settled in equity</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stock-based compensation - equity and liability based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15,703</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Liability-based awards - cash settled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15,703</w:t>
            </w:r>
          </w:p>
        </w:tc>
        <w:tc>
          <w:tcPr>
            <w:tcW w:w="2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7,388</w:t>
            </w:r>
          </w:p>
        </w:tc>
        <w:tc>
          <w:tcPr>
            <w:tcW w:w="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41,795</w:t>
            </w:r>
          </w:p>
        </w:tc>
        <w:tc>
          <w:tcPr>
            <w:tcW w:w="2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-2262505</wp:posOffset>
            </wp:positionV>
            <wp:extent cx="76835" cy="316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-2262505</wp:posOffset>
            </wp:positionV>
            <wp:extent cx="68580" cy="316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-2262505</wp:posOffset>
            </wp:positionV>
            <wp:extent cx="68580" cy="316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316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-1079500</wp:posOffset>
            </wp:positionV>
            <wp:extent cx="2802890" cy="317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02890" cy="3175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-333375</wp:posOffset>
            </wp:positionV>
            <wp:extent cx="76835" cy="4800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4800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-333375</wp:posOffset>
            </wp:positionV>
            <wp:extent cx="68580" cy="480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4800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-333375</wp:posOffset>
            </wp:positionV>
            <wp:extent cx="68580" cy="480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4800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4800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48006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p>
      <w:pPr>
        <w:spacing w:after="0" w:line="215"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Stock-based compensation expense recorded to additional paid-in capital Equity based awards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based awards - settled in equity</w:t>
      </w:r>
    </w:p>
    <w:p>
      <w:pPr>
        <w:spacing w:after="0" w:line="23"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Total stock-based compensation expense recorded to 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14,470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6,771</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38,633</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19,580</w:t>
            </w:r>
          </w:p>
        </w:tc>
      </w:tr>
      <w:tr>
        <w:trPr>
          <w:trHeight w:val="230"/>
        </w:trPr>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2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r>
      <w:tr>
        <w:trPr>
          <w:trHeight w:val="27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16,400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8,111</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42,051</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22,111</w:t>
            </w:r>
          </w:p>
        </w:tc>
      </w:tr>
      <w:tr>
        <w:trPr>
          <w:trHeight w:val="81"/>
        </w:trPr>
        <w:tc>
          <w:tcPr>
            <w:tcW w:w="3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-693420</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-402590</wp:posOffset>
            </wp:positionV>
            <wp:extent cx="7132320" cy="403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5280" w:space="440"/>
            <w:col w:w="5520"/>
          </w:cols>
          <w:pgMar w:left="320" w:top="328"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unrecognized compensation costs and related weighted average period of recognition as of September 30, 2022: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right"/>
              <w:ind w:right="1656"/>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6"/>
                <w:szCs w:val="16"/>
                <w:color w:val="auto"/>
              </w:rPr>
            </w:pPr>
          </w:p>
        </w:tc>
      </w:tr>
      <w:tr>
        <w:trPr>
          <w:trHeight w:val="201"/>
        </w:trPr>
        <w:tc>
          <w:tcPr>
            <w:tcW w:w="7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196"/>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r>
      <w:tr>
        <w:trPr>
          <w:trHeight w:val="146"/>
        </w:trPr>
        <w:tc>
          <w:tcPr>
            <w:tcW w:w="7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278"/>
              <w:spacing w:after="0" w:line="147" w:lineRule="exact"/>
              <w:rPr>
                <w:sz w:val="20"/>
                <w:szCs w:val="20"/>
                <w:color w:val="auto"/>
              </w:rPr>
            </w:pPr>
            <w:r>
              <w:rPr>
                <w:rFonts w:ascii="Arial" w:cs="Arial" w:eastAsia="Arial" w:hAnsi="Arial"/>
                <w:sz w:val="14"/>
                <w:szCs w:val="14"/>
                <w:b w:val="1"/>
                <w:bCs w:val="1"/>
                <w:color w:val="auto"/>
              </w:rPr>
              <w:t>Unrecognized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360" w:type="dxa"/>
            <w:vAlign w:val="bottom"/>
          </w:tcPr>
          <w:p>
            <w:pPr>
              <w:spacing w:after="0"/>
              <w:rPr>
                <w:sz w:val="12"/>
                <w:szCs w:val="12"/>
                <w:color w:val="auto"/>
              </w:rPr>
            </w:pP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Compensation Costs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7"/>
              </w:rPr>
              <w:t>Weighted Average Period of</w:t>
            </w:r>
          </w:p>
        </w:tc>
        <w:tc>
          <w:tcPr>
            <w:tcW w:w="100" w:type="dxa"/>
            <w:vAlign w:val="bottom"/>
          </w:tcPr>
          <w:p>
            <w:pPr>
              <w:spacing w:after="0"/>
              <w:rPr>
                <w:sz w:val="12"/>
                <w:szCs w:val="12"/>
                <w:color w:val="auto"/>
              </w:rPr>
            </w:pPr>
          </w:p>
        </w:tc>
      </w:tr>
      <w:tr>
        <w:trPr>
          <w:trHeight w:val="185"/>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Recognition (in years)</w:t>
            </w:r>
          </w:p>
        </w:tc>
        <w:tc>
          <w:tcPr>
            <w:tcW w:w="100" w:type="dxa"/>
            <w:vAlign w:val="bottom"/>
          </w:tcPr>
          <w:p>
            <w:pPr>
              <w:spacing w:after="0"/>
              <w:rPr>
                <w:sz w:val="16"/>
                <w:szCs w:val="16"/>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PRSUs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MYPSUs</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Liability-based awards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81"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provision for income taxes and the effective tax rates for the three and nine months ended September 30,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780" w:type="dxa"/>
            <w:vAlign w:val="bottom"/>
            <w:gridSpan w:val="6"/>
          </w:tcPr>
          <w:p>
            <w:pPr>
              <w:jc w:val="right"/>
              <w:ind w:right="333"/>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0"/>
        </w:trPr>
        <w:tc>
          <w:tcPr>
            <w:tcW w:w="586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5"/>
        </w:trPr>
        <w:tc>
          <w:tcPr>
            <w:tcW w:w="5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97"/>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right"/>
              <w:ind w:right="737"/>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5,786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260" w:type="dxa"/>
            <w:vAlign w:val="bottom"/>
          </w:tcPr>
          <w:p>
            <w:pPr>
              <w:spacing w:after="0"/>
              <w:rPr>
                <w:sz w:val="18"/>
                <w:szCs w:val="18"/>
                <w:color w:val="auto"/>
              </w:rPr>
            </w:pPr>
          </w:p>
        </w:tc>
        <w:tc>
          <w:tcPr>
            <w:tcW w:w="1120" w:type="dxa"/>
            <w:vAlign w:val="bottom"/>
            <w:gridSpan w:val="2"/>
          </w:tcPr>
          <w:p>
            <w:pPr>
              <w:jc w:val="right"/>
              <w:ind w:right="93"/>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(123 )</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c>
          <w:tcPr>
            <w:tcW w:w="60" w:type="dxa"/>
            <w:vAlign w:val="bottom"/>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7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18"/>
                <w:szCs w:val="18"/>
                <w:color w:val="auto"/>
              </w:rPr>
            </w:pPr>
          </w:p>
        </w:tc>
        <w:tc>
          <w:tcPr>
            <w:tcW w:w="1120" w:type="dxa"/>
            <w:vAlign w:val="bottom"/>
            <w:gridSpan w:val="2"/>
          </w:tcPr>
          <w:p>
            <w:pPr>
              <w:jc w:val="right"/>
              <w:ind w:right="13"/>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6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September 30, 2022.</w:t>
      </w:r>
    </w:p>
    <w:p>
      <w:pPr>
        <w:spacing w:after="0" w:line="30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income tax provision was less than $0.1 million for both the three months ended September 30, 2022 and 2021, and $0.1 million for both the nine months ended September 30, 2022 and 2021. The effective tax rate was less than 1% for both the three months ended September 30, 2022 and 2021, and was less than 1% and 1% for the nine months ended September 30, 2022 and 2021, respectively. The provision for income taxes primarily comes from the foreign subsidiaries’ local country obligations. The U.S. effective tax rate is less than 1% and is due to minimum state tax. There is no federal provision for income taxes because the Company has incurred operating losses since inception and has projected an operating loss in the current year.</w:t>
      </w:r>
    </w:p>
    <w:p>
      <w:pPr>
        <w:spacing w:after="0" w:line="225"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The Company's tax provision for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3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As of September 30, 2022 and December 31, 2021, the Company had $2.4 million and $2.4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8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and nine months ended September 30, 2022 and 2021, the Company had immaterial amounts related to the accrual of interest and penalties.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73"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Segment, Geographic and Customer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precision timing solutions.</w:t>
      </w:r>
    </w:p>
    <w:p>
      <w:pPr>
        <w:spacing w:after="0" w:line="104"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Revenue by geographic area is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right"/>
              <w:ind w:right="715"/>
              <w:spacing w:after="0"/>
              <w:rPr>
                <w:sz w:val="20"/>
                <w:szCs w:val="20"/>
                <w:color w:val="auto"/>
              </w:rPr>
            </w:pPr>
            <w:r>
              <w:rPr>
                <w:rFonts w:ascii="Arial" w:cs="Arial" w:eastAsia="Arial" w:hAnsi="Arial"/>
                <w:sz w:val="13"/>
                <w:szCs w:val="13"/>
                <w:b w:val="1"/>
                <w:bCs w:val="1"/>
                <w:color w:val="auto"/>
                <w:w w:val="71"/>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Taiwan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26,730</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74,347</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45,008</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16,547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23,063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52,054</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9,691</w:t>
            </w:r>
          </w:p>
        </w:tc>
        <w:tc>
          <w:tcPr>
            <w:tcW w:w="100" w:type="dxa"/>
            <w:vAlign w:val="bottom"/>
            <w:shd w:val="clear" w:color="auto" w:fill="CFF0FC"/>
          </w:tcPr>
          <w:p>
            <w:pPr>
              <w:spacing w:after="0"/>
              <w:rPr>
                <w:sz w:val="19"/>
                <w:szCs w:val="19"/>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36,314</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73,095</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63,029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222,766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143,067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Revenue from sales to three of the Company's distributors accounted for 22%, 18%, and 15% of its consolidated revenues for the three months ended September 30, 2022, and 20%, 17%, and 8% of its consolidated revenues for the three months ended September 30, 2021. Revenue from sales to the largest end customer through a distributor accounted for 25% and 20% for the three months ended September 30, 2022 and 2021, respectively. The Company's end customers predominantly purchase the Company's products from distributors. No other distributors or customers accounted for 10% or more of the Company's consolidated revenues for the three months ended September 30, 2022 and 2021, respectively.</w:t>
      </w:r>
    </w:p>
    <w:p>
      <w:pPr>
        <w:spacing w:after="0" w:line="58"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Revenue from sales to three of the Company's distributors accounted for 17%, 16%, and 12% of its consolidated revenues for the nine months ended September 30, 2022, and 22%, 16%, and 11% of its consolidated revenues for the nine months ended September 30, 2021. Revenue from sales to the largest end customer through a distributor accounted for 19% and 23% for the nine months ended September 30, 2022 and 2021, respectively. No other distributors or customers accounted for 10% or more of the Company's consolidated revenues for the nine months ended September 30, 2022 and 2021, respectively.</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sets forth the Company’s total property and equipment and intangible assets attributable to operations by country as of the periods presented:</w:t>
      </w:r>
    </w:p>
    <w:p>
      <w:pPr>
        <w:spacing w:after="0" w:line="162"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32385</wp:posOffset>
            </wp:positionV>
            <wp:extent cx="22459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440" w:type="dxa"/>
            <w:vAlign w:val="bottom"/>
          </w:tcPr>
          <w:p>
            <w:pPr>
              <w:ind w:left="220"/>
              <w:spacing w:after="0"/>
              <w:rPr>
                <w:sz w:val="20"/>
                <w:szCs w:val="20"/>
                <w:color w:val="auto"/>
              </w:rPr>
            </w:pPr>
            <w:r>
              <w:rPr>
                <w:rFonts w:ascii="Arial" w:cs="Arial" w:eastAsia="Arial" w:hAnsi="Arial"/>
                <w:sz w:val="14"/>
                <w:szCs w:val="14"/>
                <w:b w:val="1"/>
                <w:bCs w:val="1"/>
                <w:color w:val="auto"/>
                <w:w w:val="91"/>
              </w:rPr>
              <w:t>September 30, 2022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7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48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Malaysia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2"/>
              </w:rPr>
              <w:t>30 %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16"/>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Taiwan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2"/>
              </w:rPr>
              <w:t>15 %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obligations and the unique facts and circumstances involved in each particular agreement. Historically, the Company has had no material indemnification claims under these agreements.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The Company entered into an agreement with MegaChips Corporation ("MegaChips"), whereby the Company appointed MegaChips as a non-exclusive sales representative of its products in Japan. The Company sold products through MegaChips to distributors, resellers, or direct customers in Japan. The Company paid MegaChips a fixed percentage of the revenue as sales commission, which was recorded as commission expense and included in sales and marketing in the consolidated statements of operations and comprehensive loss. In connection with the Company's efforts to contract directly with distributors in Japan, the Company entered into a termination agreement with MegaChips pursuant to which the Company and MegaChips mutually terminated the Distribution Agreement effective November 3, 2021.</w:t>
      </w:r>
    </w:p>
    <w:p>
      <w:pPr>
        <w:spacing w:after="0" w:line="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also entered into a service and secondment agreement with MegaChips LSI USA Corporation, a wholly owned subsidiary of MegaChips, in 2020 that terminated on August 31, 2021.</w:t>
      </w:r>
    </w:p>
    <w:p>
      <w:pPr>
        <w:spacing w:after="0" w:line="4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MegaChips is the largest stockholder of the Company and held approximately 23.3% and 24.0% of the Company’s outstanding common stock as of September 30, 2022 and December 31, 2021, respectively.</w:t>
      </w:r>
    </w:p>
    <w:p>
      <w:pPr>
        <w:spacing w:after="0" w:line="76"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In May 2021, the Company signed a consulting agreement with Akira Takata, a member of the Board of Directors of the Company, to provide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Mr. Takata through December 31, 2022, for which he continues to receive monthly cash fees, reimbursement of expenses, and an equity award of 300 RSUs that fully vest on November 20,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Transactions</w:t>
            </w:r>
          </w:p>
        </w:tc>
        <w:tc>
          <w:tcPr>
            <w:tcW w:w="1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gridSpan w:val="4"/>
            <w:vMerge w:val="continue"/>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77"/>
              <w:spacing w:after="0" w:line="156" w:lineRule="exact"/>
              <w:rPr>
                <w:sz w:val="20"/>
                <w:szCs w:val="20"/>
                <w:color w:val="auto"/>
              </w:rPr>
            </w:pPr>
            <w:r>
              <w:rPr>
                <w:rFonts w:ascii="Arial" w:cs="Arial" w:eastAsia="Arial" w:hAnsi="Arial"/>
                <w:sz w:val="14"/>
                <w:szCs w:val="14"/>
                <w:b w:val="1"/>
                <w:bCs w:val="1"/>
                <w:color w:val="auto"/>
              </w:rPr>
              <w:t>(in</w:t>
            </w:r>
          </w:p>
        </w:tc>
        <w:tc>
          <w:tcPr>
            <w:tcW w:w="1420" w:type="dxa"/>
            <w:vAlign w:val="bottom"/>
            <w:gridSpan w:val="3"/>
          </w:tcPr>
          <w:p>
            <w:pPr>
              <w:jc w:val="right"/>
              <w:ind w:right="779"/>
              <w:spacing w:after="0" w:line="156" w:lineRule="exact"/>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0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MegaChips</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4"/>
          </w:tcPr>
          <w:p>
            <w:pPr>
              <w:ind w:left="20"/>
              <w:spacing w:after="0"/>
              <w:rPr>
                <w:sz w:val="20"/>
                <w:szCs w:val="20"/>
                <w:color w:val="auto"/>
              </w:rPr>
            </w:pPr>
            <w:r>
              <w:rPr>
                <w:rFonts w:ascii="Arial" w:cs="Arial" w:eastAsia="Arial" w:hAnsi="Arial"/>
                <w:sz w:val="18"/>
                <w:szCs w:val="18"/>
                <w:color w:val="auto"/>
              </w:rPr>
              <w:t>Sales through distribution agreement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Commission expense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4"/>
          </w:tcPr>
          <w:p>
            <w:pPr>
              <w:ind w:left="20"/>
              <w:spacing w:after="0"/>
              <w:rPr>
                <w:sz w:val="20"/>
                <w:szCs w:val="20"/>
                <w:color w:val="auto"/>
              </w:rPr>
            </w:pPr>
            <w:r>
              <w:rPr>
                <w:rFonts w:ascii="Arial" w:cs="Arial" w:eastAsia="Arial" w:hAnsi="Arial"/>
                <w:sz w:val="18"/>
                <w:szCs w:val="18"/>
                <w:b w:val="1"/>
                <w:bCs w:val="1"/>
                <w:color w:val="auto"/>
              </w:rPr>
              <w:t>Affiliates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Consulting fees</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79"/>
              </w:rPr>
              <w:t>47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41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Payments</w:t>
            </w:r>
          </w:p>
        </w:tc>
        <w:tc>
          <w:tcPr>
            <w:tcW w:w="1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00" w:type="dxa"/>
            <w:vAlign w:val="bottom"/>
            <w:gridSpan w:val="4"/>
            <w:vMerge w:val="continue"/>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ind w:left="720"/>
              <w:spacing w:after="0" w:line="156"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60"/>
              <w:spacing w:after="0" w:line="156" w:lineRule="exact"/>
              <w:rPr>
                <w:sz w:val="20"/>
                <w:szCs w:val="20"/>
                <w:color w:val="auto"/>
              </w:rPr>
            </w:pPr>
            <w:r>
              <w:rPr>
                <w:rFonts w:ascii="Arial" w:cs="Arial" w:eastAsia="Arial" w:hAnsi="Arial"/>
                <w:sz w:val="14"/>
                <w:szCs w:val="14"/>
                <w:b w:val="1"/>
                <w:bCs w:val="1"/>
                <w:color w:val="auto"/>
                <w:w w:val="74"/>
              </w:rPr>
              <w:t>thousands)</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ind w:right="60"/>
              <w:spacing w:after="0" w:line="156" w:lineRule="exact"/>
              <w:rPr>
                <w:sz w:val="20"/>
                <w:szCs w:val="20"/>
                <w:color w:val="auto"/>
              </w:rPr>
            </w:pPr>
            <w:r>
              <w:rPr>
                <w:rFonts w:ascii="Arial" w:cs="Arial" w:eastAsia="Arial" w:hAnsi="Arial"/>
                <w:sz w:val="14"/>
                <w:szCs w:val="14"/>
                <w:b w:val="1"/>
                <w:bCs w:val="1"/>
                <w:color w:val="auto"/>
                <w:w w:val="76"/>
              </w:rPr>
              <w:t>thousands)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0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MegaChips</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4"/>
          </w:tcPr>
          <w:p>
            <w:pPr>
              <w:ind w:left="20"/>
              <w:spacing w:after="0"/>
              <w:rPr>
                <w:sz w:val="20"/>
                <w:szCs w:val="20"/>
                <w:color w:val="auto"/>
              </w:rPr>
            </w:pPr>
            <w:r>
              <w:rPr>
                <w:rFonts w:ascii="Arial" w:cs="Arial" w:eastAsia="Arial" w:hAnsi="Arial"/>
                <w:sz w:val="18"/>
                <w:szCs w:val="18"/>
                <w:color w:val="auto"/>
              </w:rPr>
              <w:t>Cash paid for commissions</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Affiliates</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4"/>
          </w:tcPr>
          <w:p>
            <w:pPr>
              <w:ind w:left="20"/>
              <w:spacing w:after="0"/>
              <w:rPr>
                <w:sz w:val="20"/>
                <w:szCs w:val="20"/>
                <w:color w:val="auto"/>
              </w:rPr>
            </w:pPr>
            <w:r>
              <w:rPr>
                <w:rFonts w:ascii="Arial" w:cs="Arial" w:eastAsia="Arial" w:hAnsi="Arial"/>
                <w:sz w:val="18"/>
                <w:szCs w:val="18"/>
                <w:color w:val="auto"/>
              </w:rPr>
              <w:t>Cash paid for consulting fees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79"/>
              </w:rPr>
              <w:t>47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51" w:lineRule="exact"/>
        <w:rPr>
          <w:sz w:val="20"/>
          <w:szCs w:val="20"/>
          <w:color w:val="auto"/>
        </w:rPr>
      </w:pPr>
    </w:p>
    <w:p>
      <w:pPr>
        <w:ind w:left="760" w:right="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focus on precision timing solutions that deliver benefits to customers in our end markets, and to aggressively expand our presence in these markets;</w:t>
      </w:r>
    </w:p>
    <w:p>
      <w:pPr>
        <w:spacing w:after="0" w:line="49"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employees, revenue and other operating results, liquidity, and cash flows, and its impact on the businesses of our suppliers and customers, and our anticipated responses thereto;</w:t>
      </w:r>
    </w:p>
    <w:p>
      <w:pPr>
        <w:spacing w:after="0" w:line="61" w:lineRule="exact"/>
        <w:rPr>
          <w:rFonts w:ascii="Arial" w:cs="Arial" w:eastAsia="Arial" w:hAnsi="Arial"/>
          <w:sz w:val="18"/>
          <w:szCs w:val="18"/>
          <w:color w:val="auto"/>
        </w:rPr>
      </w:pPr>
    </w:p>
    <w:p>
      <w:pPr>
        <w:ind w:left="760" w:right="6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ability to address market and customer demands and to timely develop new or enhanced precision timing solutions to meet those demands;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90" w:lineRule="exact"/>
        <w:rPr>
          <w:rFonts w:ascii="Arial" w:cs="Arial" w:eastAsia="Arial" w:hAnsi="Arial"/>
          <w:sz w:val="18"/>
          <w:szCs w:val="18"/>
          <w:color w:val="auto"/>
        </w:rPr>
      </w:pPr>
    </w:p>
    <w:p>
      <w:pPr>
        <w:ind w:left="760" w:right="3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to meet our cash needs for at least the next 12 months and our future capital requirements over the longer term, including the potential impact of the COVID-19 pandemic thereon;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largest customer;</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success, cost, and timing of the introduction of new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103" w:lineRule="exact"/>
        <w:rPr>
          <w:rFonts w:ascii="Arial" w:cs="Arial" w:eastAsia="Arial" w:hAnsi="Arial"/>
          <w:sz w:val="18"/>
          <w:szCs w:val="18"/>
          <w:color w:val="auto"/>
        </w:rPr>
      </w:pPr>
    </w:p>
    <w:p>
      <w:pPr>
        <w:jc w:val="both"/>
        <w:ind w:left="760" w:hanging="378"/>
        <w:spacing w:after="0" w:line="23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expand sales and marketing efforts through increased collaboration with our distributors, and contracted sales representatives, and as well as our plans to invest in digital customer experience and lead generation, branding, and segment marketing to leverage our existing portfolio to grow revenues;</w:t>
      </w:r>
    </w:p>
    <w:p>
      <w:pPr>
        <w:spacing w:after="0" w:line="6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goal to become the leading precision timing solution provider for advanced and challenging applications;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positioning of being designed into current and future systems;</w:t>
      </w:r>
    </w:p>
    <w:p>
      <w:pPr>
        <w:spacing w:after="0" w:line="90" w:lineRule="exact"/>
        <w:rPr>
          <w:rFonts w:ascii="Arial" w:cs="Arial" w:eastAsia="Arial" w:hAnsi="Arial"/>
          <w:sz w:val="18"/>
          <w:szCs w:val="18"/>
          <w:color w:val="auto"/>
        </w:rPr>
      </w:pPr>
    </w:p>
    <w:p>
      <w:pPr>
        <w:ind w:left="760" w:right="54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enable the smallest footprints in the industry, as well as deliver superior reliability and performance;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our existing and future markets;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performance of, and our relationships with, our third-party suppliers and manufacturers;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and our customers’ ability to respond successfully to technological or industry developments;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intellectual property and related litigation;</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capital requirements, expectations regarding renewal of loans, and needs for additional financing.</w:t>
      </w:r>
    </w:p>
    <w:p>
      <w:pPr>
        <w:spacing w:after="0" w:line="223" w:lineRule="exact"/>
        <w:rPr>
          <w:sz w:val="20"/>
          <w:szCs w:val="20"/>
          <w:color w:val="auto"/>
        </w:rPr>
      </w:pPr>
    </w:p>
    <w:p>
      <w:pPr>
        <w:ind w:right="420"/>
        <w:spacing w:after="0" w:line="223" w:lineRule="exact"/>
        <w:rPr>
          <w:sz w:val="20"/>
          <w:szCs w:val="20"/>
          <w:color w:val="auto"/>
        </w:rPr>
      </w:pPr>
      <w:r>
        <w:rPr>
          <w:rFonts w:ascii="Arial" w:cs="Arial" w:eastAsia="Arial" w:hAnsi="Arial"/>
          <w:sz w:val="18"/>
          <w:szCs w:val="18"/>
          <w:color w:val="auto"/>
        </w:rPr>
        <w:t>In addition, any statements contained herein that are statements regarding events or results that may occur in the future may be deemed to be forward-looking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subject to a number of risks and uncertainties that could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9" w:name="page20"/>
    <w:bookmarkEnd w:id="19"/>
    <w:p>
      <w:pPr>
        <w:spacing w:after="0" w:line="246" w:lineRule="auto"/>
        <w:rPr>
          <w:sz w:val="20"/>
          <w:szCs w:val="20"/>
          <w:color w:val="auto"/>
        </w:rPr>
      </w:pPr>
      <w:r>
        <w:rPr>
          <w:rFonts w:ascii="Arial" w:cs="Arial" w:eastAsia="Arial" w:hAnsi="Arial"/>
          <w:sz w:val="18"/>
          <w:szCs w:val="18"/>
          <w:color w:val="auto"/>
        </w:rPr>
        <w:t>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18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SiTime is a leading provider of precision timing solutions to the electronics industry. Our precision timing solutions are the heartbeat of our customers’ electronic systems, solve complex timing problems and enable industry-leading electronics products. We provide precision timing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IoT and consumer. Cumulatively, we have sold to over 15,000 customers to date.</w:t>
      </w:r>
    </w:p>
    <w:p>
      <w:pPr>
        <w:spacing w:after="0" w:line="27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Today, electronic devices are rapidly proliferating, driven by new customer experiences, data &amp; health monitoring, and cloudification, which, in turn, require faster bandwidth and response times (latency). For example, automobiles today have more electronics and connectivity than five years ago. Similarly, 5G is delivering up to 10x more bandwidth than 4G. Individuals and corporations are adopting cloudification whole-heartedly, necessitating large investments in data centers. The electronics in all of these applications require precision timing solutions that deliver superior timing performance, even in the presence of environmentally stressful conditions such as high vibration, shock, airflow, and temperature extremes. We expect that the demand for precision timing solutions will continue to increase in the future.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At the heart of SiTime’s precision timing solutions are our MEMS, analog/mixed-signal, and systems technologies. All of our oscillators and clocks contain MEMS and analog die, packaged in plastic, ceramic, or chip-scale packages. We develop all these technologies in-house, which enables us to co-optimize designs and deliver high performance and low-power solutions with reliability. We have a deep understanding of mechanical, electrical, and thermal properties of materials, which is a key requirement for developing our proprietary MEMS processes. To maximize first-silicon success, we have also developed our own MEMS simulation tools. Our analog/mixed-signal die are developed in industry-standard processes and deliver high levels of electrical performance using programmable phase-locked loops, temperature sensors, regulators, data converters, receivers, and drivers. We combine our MEMS and analog die in packages and perform thermal/mechanical/electrical optimization, temperature compensation, and test and trim automation to deliver superior performance with high manufacturability. Our solutions have embedded non-volatile memory that allow for programmability of our devices.</w:t>
      </w:r>
    </w:p>
    <w:p>
      <w:pPr>
        <w:spacing w:after="0" w:line="164"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We commenced commercial shipments of our first oscillator products in 2006. Substantially all of our revenue to date has been derived from sales of oscillator systems across our target end markets. In addition to oscillator systems, we intend to expand our products to include clock IC and timing sync solutions in the future. We seek to aggressively expand our presence in our end markets with these two product categories.</w:t>
      </w:r>
    </w:p>
    <w:p>
      <w:pPr>
        <w:spacing w:after="0" w:line="158"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We sell our products primarily through distributors in Asia, who in turn sell to our end customers. We also sell products directly to some of our end customers. Based on sell-through information provided by our distributors, we believe the majority of our end customers are headquartered in the 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180"/>
        <w:spacing w:after="0" w:line="249" w:lineRule="auto"/>
        <w:rPr>
          <w:sz w:val="20"/>
          <w:szCs w:val="20"/>
          <w:color w:val="auto"/>
        </w:rPr>
      </w:pPr>
      <w:r>
        <w:rPr>
          <w:rFonts w:ascii="Arial" w:cs="Arial" w:eastAsia="Arial" w:hAnsi="Arial"/>
          <w:sz w:val="18"/>
          <w:szCs w:val="18"/>
          <w:color w:val="auto"/>
        </w:rPr>
        <w:t>We operate a fabless business model, allowing us to focus on the design, sales, and marketing of our products, quickly scale production, and significantly reduce our capital expenditures. We leverage our global network of distributors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There are a number of industry-wide supply constraints affecting the supply of analog circuits manufactured by certain foundries, including Taiwan Semiconductor Manufacturing Company, and affecting outsourced semiconductor assembly and test providers. We believe that the effects of the industry-wide supply constraints on other timing device suppliers contributed in part to our revenue and gross margin growth in 2021 and the first half of 2022, however we may not be able to sustain these revenue and gross margin increases. In addition, macroeconomic events such as rising inflation, recession, equity market volatility, growing geopolitical tensions, war, decreased spending, supply chain disruptions, and the COVID-19 pandemic have harmed and may continue to harm our business and results of operations. We believe that the macroeconomic events in 2022 and the industry-wide supply constraints have led to an inventory buildup at some of our customers and their contract manufacturers, which has and may continue to adversely affect demand for our products. The future effects of macroeconomic events on our business and results of operations, including demand for our products, are uncertain and difficult to predict.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employees in Finland, France, Japan, Malaysia, the Netherlands, Taiwan, Ukraine and the U.S.</w:t>
      </w:r>
    </w:p>
    <w:p>
      <w:pPr>
        <w:spacing w:after="0" w:line="21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maintain an office in Lviv, Ukraine. In connection with Russia’s invasion of Ukraine in February 2022, we have prioritized the safety and welfare of our employees and their families in Ukraine. We have also worked with our employees worldwide to minimize any disruption to our operations and business as a result of Russia’s invasion of Ukraine. We no longer engage contractors in Russia.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jc w:val="both"/>
        <w:ind w:right="660"/>
        <w:spacing w:after="0" w:line="248" w:lineRule="auto"/>
        <w:rPr>
          <w:sz w:val="20"/>
          <w:szCs w:val="20"/>
          <w:color w:val="auto"/>
        </w:rPr>
      </w:pPr>
      <w:r>
        <w:rPr>
          <w:rFonts w:ascii="Arial" w:cs="Arial" w:eastAsia="Arial" w:hAnsi="Arial"/>
          <w:sz w:val="18"/>
          <w:szCs w:val="18"/>
          <w:color w:val="auto"/>
        </w:rPr>
        <w:t>The COVID-19 pandemic has continued to impact our workforce and the operations of our customers and suppliers during 2022. In response to the ongoing COVID -19 pandemic and related government measures, we implemented safety measures to protect our employees and contractors at our locations around the world.</w:t>
      </w:r>
    </w:p>
    <w:p>
      <w:pPr>
        <w:spacing w:after="0" w:line="8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the COVID-19 pandemic continues, the timing and overall demand of our products and availability of supply chain may negatively and materially impact our business operations and financial results. To date, we have experienced minimal impact from any supplier disruption resulting from the COVID-19 pandemic, however, due to the changing nature and continuing uncertainty around the COVID-19 pandemic, our ability to predict the impact of the pandemic on our business and financial results in future periods remains limited.</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continue to actively monitor the effects and potential impacts of the COVID-19 pandemic on our business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2022 and beyond.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Three Months Ended September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 September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7"/>
          </w:tcPr>
          <w:p>
            <w:pPr>
              <w:ind w:left="520"/>
              <w:spacing w:after="0"/>
              <w:rPr>
                <w:sz w:val="20"/>
                <w:szCs w:val="20"/>
                <w:color w:val="auto"/>
              </w:rPr>
            </w:pPr>
            <w:r>
              <w:rPr>
                <w:rFonts w:ascii="Arial" w:cs="Arial" w:eastAsia="Arial" w:hAnsi="Arial"/>
                <w:sz w:val="14"/>
                <w:szCs w:val="14"/>
                <w:b w:val="1"/>
                <w:bCs w:val="1"/>
                <w:color w:val="auto"/>
                <w:w w:val="93"/>
              </w:rPr>
              <w:t>(in thousands except percentage)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73,095</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63,029</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ind w:left="140"/>
              <w:spacing w:after="0"/>
              <w:rPr>
                <w:sz w:val="20"/>
                <w:szCs w:val="20"/>
                <w:color w:val="auto"/>
              </w:rPr>
            </w:pPr>
            <w:r>
              <w:rPr>
                <w:rFonts w:ascii="Arial" w:cs="Arial" w:eastAsia="Arial" w:hAnsi="Arial"/>
                <w:sz w:val="16"/>
                <w:szCs w:val="16"/>
                <w:color w:val="auto"/>
                <w:w w:val="89"/>
              </w:rPr>
              <w:t>10,066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16 %</w:t>
            </w:r>
          </w:p>
        </w:tc>
        <w:tc>
          <w:tcPr>
            <w:tcW w:w="200" w:type="dxa"/>
            <w:vAlign w:val="bottom"/>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222,766</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143,067</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ind w:left="140"/>
              <w:spacing w:after="0"/>
              <w:rPr>
                <w:sz w:val="20"/>
                <w:szCs w:val="20"/>
                <w:color w:val="auto"/>
              </w:rPr>
            </w:pPr>
            <w:r>
              <w:rPr>
                <w:rFonts w:ascii="Arial" w:cs="Arial" w:eastAsia="Arial" w:hAnsi="Arial"/>
                <w:sz w:val="16"/>
                <w:szCs w:val="16"/>
                <w:color w:val="auto"/>
                <w:w w:val="89"/>
              </w:rPr>
              <w:t>79,699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Revenue increased by $10.1 million, or 16%, for the three months ended September 30, 2022 compared to the same period in the prior year. The increase was primarily related to an increase in average selling prices (“ASPs”) of our products and a $2.7 million increase in revenue recorded from the waiver of accrued customer rebate offset by a 20% decrease in volume of shipments year over year. The</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44" w:right="299" w:bottom="1440" w:gutter="0" w:footer="0" w:header="0"/>
        </w:sectPr>
      </w:pPr>
    </w:p>
    <w:bookmarkStart w:id="21" w:name="page22"/>
    <w:bookmarkEnd w:id="21"/>
    <w:p>
      <w:pPr>
        <w:jc w:val="both"/>
        <w:ind w:right="300"/>
        <w:spacing w:after="0" w:line="256" w:lineRule="auto"/>
        <w:rPr>
          <w:sz w:val="20"/>
          <w:szCs w:val="20"/>
          <w:color w:val="auto"/>
        </w:rPr>
      </w:pPr>
      <w:r>
        <w:rPr>
          <w:rFonts w:ascii="Arial" w:cs="Arial" w:eastAsia="Arial" w:hAnsi="Arial"/>
          <w:sz w:val="18"/>
          <w:szCs w:val="18"/>
          <w:color w:val="auto"/>
        </w:rPr>
        <w:t>ASP increase was related to change in mix of the products we shipped. The decrease in sales volume was driven by lower demand for our products from new and existing customers. We may not be able to sustain our revenue growth or ASP increases in the future at this current rate as we could face lower demand due to macroeconomic conditions and more pricing pressure in future periods.</w:t>
      </w:r>
    </w:p>
    <w:p>
      <w:pPr>
        <w:spacing w:after="0" w:line="24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Revenue increased by $79.7 million, or 56%, for the nine months ended September 30, 2022 compared to the same period in the prior year. The increase was primarily related to 15% higher volume of shipments year over year, an increase in ASPs of our products and $2.7 million recognized as revenue from the waiver of accrued rebates from a customer. The increase in sales volume was driven by higher demand for our products from new and existing customers, including new design wins at new and existing customers. The ASP increase was related to change in mix of the products we shipped and increase in selling prices for certain products.</w:t>
      </w:r>
    </w:p>
    <w:p>
      <w:pPr>
        <w:spacing w:after="0" w:line="18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Sales attributable to our largest end customer accounted for 25% and 20% of our revenue for the three months ended September 30, 2022 and 2021, respectively, and 19% and 23% of our revenue for the nine months ended September 30, 2022 and 2021, respectively. Our end customers predominantly purchase our products from distributors. Our top three distributors by revenue together accounted for approximately 55% and 45% of our revenue for the three months ended September 30, 2022 and 2021, respectively, and 45% and 61% of our revenue for the nine months ended September 30, 2022 and 2021, respectively. Revenue attributable to our largest ten end customers accounted for 80% and 46% of our revenue for the three months ended September 30, 2022 and 2021, respectively, and 72% and 63% of our revenue for the nine months ended September 30, 2022 and 2021,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08" w:lineRule="exact"/>
        <w:rPr>
          <w:sz w:val="20"/>
          <w:szCs w:val="20"/>
          <w:color w:val="auto"/>
        </w:rPr>
      </w:pPr>
    </w:p>
    <w:p>
      <w:pPr>
        <w:jc w:val="both"/>
        <w:ind w:right="460"/>
        <w:spacing w:after="0" w:line="268"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 September</w:t>
            </w:r>
          </w:p>
        </w:tc>
        <w:tc>
          <w:tcPr>
            <w:tcW w:w="240" w:type="dxa"/>
            <w:vAlign w:val="bottom"/>
          </w:tcPr>
          <w:p>
            <w:pPr>
              <w:spacing w:after="0"/>
              <w:rPr>
                <w:sz w:val="14"/>
                <w:szCs w:val="14"/>
                <w:color w:val="auto"/>
              </w:rPr>
            </w:pPr>
          </w:p>
        </w:tc>
        <w:tc>
          <w:tcPr>
            <w:tcW w:w="9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Nine Months Ended September</w:t>
            </w:r>
          </w:p>
        </w:tc>
        <w:tc>
          <w:tcPr>
            <w:tcW w:w="220" w:type="dxa"/>
            <w:vAlign w:val="bottom"/>
          </w:tcPr>
          <w:p>
            <w:pPr>
              <w:spacing w:after="0"/>
              <w:rPr>
                <w:sz w:val="14"/>
                <w:szCs w:val="14"/>
                <w:color w:val="auto"/>
              </w:rPr>
            </w:pPr>
          </w:p>
        </w:tc>
        <w:tc>
          <w:tcPr>
            <w:tcW w:w="9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460" w:type="dxa"/>
            <w:vAlign w:val="bottom"/>
            <w:gridSpan w:val="7"/>
          </w:tcPr>
          <w:p>
            <w:pPr>
              <w:ind w:left="80"/>
              <w:spacing w:after="0"/>
              <w:rPr>
                <w:sz w:val="20"/>
                <w:szCs w:val="20"/>
                <w:color w:val="auto"/>
              </w:rPr>
            </w:pPr>
            <w:r>
              <w:rPr>
                <w:rFonts w:ascii="Arial" w:cs="Arial" w:eastAsia="Arial" w:hAnsi="Arial"/>
                <w:sz w:val="14"/>
                <w:szCs w:val="14"/>
                <w:b w:val="1"/>
                <w:bCs w:val="1"/>
                <w:color w:val="auto"/>
              </w:rPr>
              <w:t>thousands except percentage)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380" w:type="dxa"/>
            <w:vAlign w:val="bottom"/>
            <w:gridSpan w:val="7"/>
          </w:tcPr>
          <w:p>
            <w:pPr>
              <w:ind w:left="60"/>
              <w:spacing w:after="0"/>
              <w:rPr>
                <w:sz w:val="20"/>
                <w:szCs w:val="20"/>
                <w:color w:val="auto"/>
              </w:rPr>
            </w:pPr>
            <w:r>
              <w:rPr>
                <w:rFonts w:ascii="Arial" w:cs="Arial" w:eastAsia="Arial" w:hAnsi="Arial"/>
                <w:sz w:val="14"/>
                <w:szCs w:val="14"/>
                <w:b w:val="1"/>
                <w:bCs w:val="1"/>
                <w:color w:val="auto"/>
              </w:rPr>
              <w:t>thousands except percentage)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25,799</w:t>
            </w:r>
          </w:p>
        </w:tc>
        <w:tc>
          <w:tcPr>
            <w:tcW w:w="46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21,334</w:t>
            </w:r>
          </w:p>
        </w:tc>
        <w:tc>
          <w:tcPr>
            <w:tcW w:w="2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21 %</w:t>
            </w: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77,563</w:t>
            </w:r>
          </w:p>
        </w:tc>
        <w:tc>
          <w:tcPr>
            <w:tcW w:w="44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55,727</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140"/>
              <w:spacing w:after="0"/>
              <w:rPr>
                <w:sz w:val="20"/>
                <w:szCs w:val="20"/>
                <w:color w:val="auto"/>
              </w:rPr>
            </w:pPr>
            <w:r>
              <w:rPr>
                <w:rFonts w:ascii="Arial" w:cs="Arial" w:eastAsia="Arial" w:hAnsi="Arial"/>
                <w:sz w:val="16"/>
                <w:szCs w:val="16"/>
                <w:color w:val="auto"/>
                <w:w w:val="89"/>
              </w:rPr>
              <w:t>21,836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47,296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41,695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13 %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145,203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87,340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w w:val="89"/>
              </w:rPr>
              <w:t>57,863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5"/>
              <w:spacing w:after="0"/>
              <w:rPr>
                <w:sz w:val="20"/>
                <w:szCs w:val="20"/>
                <w:color w:val="auto"/>
              </w:rPr>
            </w:pPr>
            <w:r>
              <w:rPr>
                <w:rFonts w:ascii="Arial" w:cs="Arial" w:eastAsia="Arial" w:hAnsi="Arial"/>
                <w:sz w:val="16"/>
                <w:szCs w:val="16"/>
                <w:color w:val="auto"/>
              </w:rPr>
              <w:t>65 %</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66 %</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5"/>
              <w:spacing w:after="0"/>
              <w:rPr>
                <w:sz w:val="20"/>
                <w:szCs w:val="20"/>
                <w:color w:val="auto"/>
              </w:rPr>
            </w:pPr>
            <w:r>
              <w:rPr>
                <w:rFonts w:ascii="Arial" w:cs="Arial" w:eastAsia="Arial" w:hAnsi="Arial"/>
                <w:sz w:val="16"/>
                <w:szCs w:val="16"/>
                <w:color w:val="auto"/>
              </w:rPr>
              <w:t>65 %</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61 %</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Gross profit increased by $5.6 million in the three months ended September 30, 2022 compared to the same period in the prior year. Gross profit increased $5.0 million mainly from higher revenue from increase in ASPs of our product mix and $2.7 million from the reversal of customer rebates. This increase was partially offset by higher other manufacturing and overhead costs of $2.1 million.</w:t>
      </w:r>
    </w:p>
    <w:p>
      <w:pPr>
        <w:spacing w:after="0" w:line="24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Gross profit increased by $57.9 million in the nine months ended September 30, 2022 compared to the same period in the prior year. Gross profit increased $61.5 million mainly from higher sales volume and an increase in ASPs of our product mix and $2.7 million from the reversal of customer rebates. This increase was partially offset by higher other manufacturing and overhead costs of $6.3 million.</w:t>
      </w:r>
    </w:p>
    <w:p>
      <w:pPr>
        <w:spacing w:after="0" w:line="20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Gross margin was lower by 1% in the three months ended September 30, 2022 compared to the same period in the prior year. The gross margin decreased primarily from lower sales volume of 19% and higher manufacturing costs, partially offset by an increase in ASPs and reversal of customer rebates.</w:t>
      </w:r>
    </w:p>
    <w:p>
      <w:pPr>
        <w:spacing w:after="0" w:line="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Gross margin was higher by 4% in the nine months ended September 30, 2022 compared to the same period in the prior year. The gross margin increased from higher sales volume of 15%, an increase in ASPs and reversal of customer rebates. Our other manufacturing costs remained flat as a percentage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see increases in our manufacturing costs in the remainder of fiscal year 2022 due to an industry wide increase in costs.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68"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21"/>
              <w:spacing w:after="0"/>
              <w:rPr>
                <w:sz w:val="20"/>
                <w:szCs w:val="20"/>
                <w:color w:val="auto"/>
              </w:rPr>
            </w:pPr>
            <w:r>
              <w:rPr>
                <w:rFonts w:ascii="Arial" w:cs="Arial" w:eastAsia="Arial" w:hAnsi="Arial"/>
                <w:sz w:val="14"/>
                <w:szCs w:val="14"/>
                <w:b w:val="1"/>
                <w:bCs w:val="1"/>
                <w:color w:val="auto"/>
                <w:w w:val="95"/>
              </w:rPr>
              <w:t>Nine Months Ended September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40" w:type="dxa"/>
            <w:vAlign w:val="bottom"/>
            <w:gridSpan w:val="8"/>
          </w:tcPr>
          <w:p>
            <w:pPr>
              <w:ind w:left="160"/>
              <w:spacing w:after="0"/>
              <w:rPr>
                <w:sz w:val="20"/>
                <w:szCs w:val="20"/>
                <w:color w:val="auto"/>
              </w:rPr>
            </w:pPr>
            <w:r>
              <w:rPr>
                <w:rFonts w:ascii="Arial" w:cs="Arial" w:eastAsia="Arial" w:hAnsi="Arial"/>
                <w:sz w:val="14"/>
                <w:szCs w:val="14"/>
                <w:b w:val="1"/>
                <w:bCs w:val="1"/>
                <w:color w:val="auto"/>
              </w:rPr>
              <w:t>(in thousands except percentage)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8"/>
          </w:tcPr>
          <w:p>
            <w:pPr>
              <w:ind w:left="120"/>
              <w:spacing w:after="0"/>
              <w:rPr>
                <w:sz w:val="20"/>
                <w:szCs w:val="20"/>
                <w:color w:val="auto"/>
              </w:rPr>
            </w:pPr>
            <w:r>
              <w:rPr>
                <w:rFonts w:ascii="Arial" w:cs="Arial" w:eastAsia="Arial" w:hAnsi="Arial"/>
                <w:sz w:val="14"/>
                <w:szCs w:val="14"/>
                <w:b w:val="1"/>
                <w:bCs w:val="1"/>
                <w:color w:val="auto"/>
              </w:rPr>
              <w:t>(in thousands except percentage)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23,878</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13,005</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10,873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84 %</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66,490</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36,252</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ind w:left="140"/>
              <w:spacing w:after="0"/>
              <w:rPr>
                <w:sz w:val="20"/>
                <w:szCs w:val="20"/>
                <w:color w:val="auto"/>
              </w:rPr>
            </w:pPr>
            <w:r>
              <w:rPr>
                <w:rFonts w:ascii="Arial" w:cs="Arial" w:eastAsia="Arial" w:hAnsi="Arial"/>
                <w:sz w:val="16"/>
                <w:szCs w:val="16"/>
                <w:color w:val="auto"/>
                <w:w w:val="89"/>
              </w:rPr>
              <w:t>30,238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w w:val="98"/>
              </w:rPr>
              <w:t>Selling, general and administrative</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19,886</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36 %</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56,839</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18,414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43,764</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27,621</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16,143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58 %</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123,329</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74,677</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ind w:left="140"/>
              <w:spacing w:after="0"/>
              <w:rPr>
                <w:sz w:val="20"/>
                <w:szCs w:val="20"/>
                <w:color w:val="auto"/>
              </w:rPr>
            </w:pPr>
            <w:r>
              <w:rPr>
                <w:rFonts w:ascii="Arial" w:cs="Arial" w:eastAsia="Arial" w:hAnsi="Arial"/>
                <w:sz w:val="16"/>
                <w:szCs w:val="16"/>
                <w:color w:val="auto"/>
                <w:w w:val="89"/>
              </w:rPr>
              <w:t>48,652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Our research and development efforts are focused on the design and development of precision timing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17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Research and development expense increased by $10.9 million, or 84%, for the three months ended September 30, 2022 compared to the same period in the prior year, primarily due to higher personnel costs of $3.5 million due to increased headcount, an increase in stock-based compensation expense of $4.7 million, higher ongoing new product related expenses of $3.4 million, and an increase in depreciation and amortization of lab equipment and licenses of $0.8 million, offset by an increase in non-recurring engineering contra-expense recognized of $2.0 million.</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Research and development expense increased by $30.2 million, or 83%, for the nine months ended September 30, 2022 compared to the same period in the prior year, primarily due to higher ongoing new product related expenses of $13.2 million, higher personnel costs of $10.4 million due to increased headcount, an increase in stock-based compensation expense of $9.6 million, and an increase in depreciation and amortization of lab equipment and licenses of $1.7 million offset by an increase in non-recurring engineering contra-expense recognized of $5.2 million.</w:t>
      </w:r>
    </w:p>
    <w:p>
      <w:pPr>
        <w:spacing w:after="0" w:line="16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There is no guarantee we will enter into a non-recurring engineering arrangement or recognize such contra-expense in any future period. Based on our current contracts, we expect the non-recurring engineering contra-expense to decline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04" w:lineRule="exact"/>
        <w:rPr>
          <w:sz w:val="20"/>
          <w:szCs w:val="20"/>
          <w:color w:val="auto"/>
        </w:rPr>
      </w:pPr>
    </w:p>
    <w:p>
      <w:pPr>
        <w:jc w:val="both"/>
        <w:ind w:right="160"/>
        <w:spacing w:after="0" w:line="268"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66"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Selling, general and administrative expense increased by $5.3 million, or 36%, for the three months ended September 30, 2022 compared to the same period in the prior year, primarily due to higher stock-based compensation expense of $3.7 million, higher consulting fees of $0.9 million, and higher advertising spend of $0.5 million.</w:t>
      </w:r>
    </w:p>
    <w:p>
      <w:pPr>
        <w:spacing w:after="0" w:line="175" w:lineRule="exact"/>
        <w:rPr>
          <w:sz w:val="20"/>
          <w:szCs w:val="20"/>
          <w:color w:val="auto"/>
        </w:rPr>
      </w:pPr>
    </w:p>
    <w:p>
      <w:pPr>
        <w:ind w:right="520"/>
        <w:spacing w:after="0" w:line="278" w:lineRule="auto"/>
        <w:rPr>
          <w:sz w:val="20"/>
          <w:szCs w:val="20"/>
          <w:color w:val="auto"/>
        </w:rPr>
      </w:pPr>
      <w:r>
        <w:rPr>
          <w:rFonts w:ascii="Arial" w:cs="Arial" w:eastAsia="Arial" w:hAnsi="Arial"/>
          <w:sz w:val="17"/>
          <w:szCs w:val="17"/>
          <w:color w:val="auto"/>
        </w:rPr>
        <w:t>Selling, general and administrative expense increased by $18.4 million, or 48% for the nine months ended September 30, 2022 compared to the same period in the prior year, primarily due to higher stock-based compensation expense of $10.3 million, higher consulting fees of $4.3 million, higher personnel costs of $2.6 million related to increased headcount and commissions and higher advertising spend of $1.0 million.</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36"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interest income on our cash balances and foreign exchange gains and losses.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480" w:type="dxa"/>
            <w:vAlign w:val="bottom"/>
            <w:gridSpan w:val="6"/>
          </w:tcPr>
          <w:p>
            <w:pPr>
              <w:jc w:val="right"/>
              <w:ind w:right="299"/>
              <w:spacing w:after="0"/>
              <w:rPr>
                <w:sz w:val="20"/>
                <w:szCs w:val="20"/>
                <w:color w:val="auto"/>
              </w:rPr>
            </w:pPr>
            <w:r>
              <w:rPr>
                <w:rFonts w:ascii="Arial" w:cs="Arial" w:eastAsia="Arial" w:hAnsi="Arial"/>
                <w:sz w:val="14"/>
                <w:szCs w:val="14"/>
                <w:b w:val="1"/>
                <w:bCs w:val="1"/>
                <w:color w:val="auto"/>
                <w:w w:val="96"/>
              </w:rPr>
              <w:t>Three Months Ended September</w:t>
            </w:r>
          </w:p>
        </w:tc>
        <w:tc>
          <w:tcPr>
            <w:tcW w:w="260" w:type="dxa"/>
            <w:vAlign w:val="bottom"/>
          </w:tcPr>
          <w:p>
            <w:pPr>
              <w:spacing w:after="0"/>
              <w:rPr>
                <w:sz w:val="14"/>
                <w:szCs w:val="14"/>
                <w:color w:val="auto"/>
              </w:rPr>
            </w:pPr>
          </w:p>
        </w:tc>
        <w:tc>
          <w:tcPr>
            <w:tcW w:w="9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259"/>
              <w:spacing w:after="0"/>
              <w:rPr>
                <w:sz w:val="20"/>
                <w:szCs w:val="20"/>
                <w:color w:val="auto"/>
              </w:rPr>
            </w:pPr>
            <w:r>
              <w:rPr>
                <w:rFonts w:ascii="Arial" w:cs="Arial" w:eastAsia="Arial" w:hAnsi="Arial"/>
                <w:sz w:val="14"/>
                <w:szCs w:val="14"/>
                <w:b w:val="1"/>
                <w:bCs w:val="1"/>
                <w:color w:val="auto"/>
                <w:w w:val="96"/>
              </w:rPr>
              <w:t>Nine Months Ended September</w:t>
            </w:r>
          </w:p>
        </w:tc>
        <w:tc>
          <w:tcPr>
            <w:tcW w:w="240" w:type="dxa"/>
            <w:vAlign w:val="bottom"/>
          </w:tcPr>
          <w:p>
            <w:pPr>
              <w:spacing w:after="0"/>
              <w:rPr>
                <w:sz w:val="14"/>
                <w:szCs w:val="14"/>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gridSpan w:val="8"/>
          </w:tcPr>
          <w:p>
            <w:pPr>
              <w:ind w:left="140"/>
              <w:spacing w:after="0"/>
              <w:rPr>
                <w:sz w:val="20"/>
                <w:szCs w:val="20"/>
                <w:color w:val="auto"/>
              </w:rPr>
            </w:pPr>
            <w:r>
              <w:rPr>
                <w:rFonts w:ascii="Arial" w:cs="Arial" w:eastAsia="Arial" w:hAnsi="Arial"/>
                <w:sz w:val="14"/>
                <w:szCs w:val="14"/>
                <w:b w:val="1"/>
                <w:bCs w:val="1"/>
                <w:color w:val="auto"/>
              </w:rPr>
              <w:t>(in thousands except percentage)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2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thousands except percentage)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w:t>
            </w:r>
          </w:p>
        </w:tc>
        <w:tc>
          <w:tcPr>
            <w:tcW w:w="4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4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2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7"/>
                <w:szCs w:val="17"/>
                <w:color w:val="auto"/>
              </w:rPr>
            </w:pPr>
          </w:p>
        </w:tc>
        <w:tc>
          <w:tcPr>
            <w:tcW w:w="1000" w:type="dxa"/>
            <w:vAlign w:val="bottom"/>
            <w:gridSpan w:val="2"/>
          </w:tcPr>
          <w:p>
            <w:pPr>
              <w:jc w:val="right"/>
              <w:ind w:right="105"/>
              <w:spacing w:after="0"/>
              <w:rPr>
                <w:sz w:val="20"/>
                <w:szCs w:val="20"/>
                <w:color w:val="auto"/>
              </w:rPr>
            </w:pPr>
            <w:r>
              <w:rPr>
                <w:rFonts w:ascii="Arial" w:cs="Arial" w:eastAsia="Arial" w:hAnsi="Arial"/>
                <w:sz w:val="16"/>
                <w:szCs w:val="16"/>
                <w:color w:val="auto"/>
              </w:rPr>
              <w:t>(238 )</w:t>
            </w:r>
          </w:p>
        </w:tc>
        <w:tc>
          <w:tcPr>
            <w:tcW w:w="240" w:type="dxa"/>
            <w:vAlign w:val="bottom"/>
          </w:tcPr>
          <w:p>
            <w:pPr>
              <w:spacing w:after="0"/>
              <w:rPr>
                <w:sz w:val="17"/>
                <w:szCs w:val="17"/>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(110 )</w:t>
            </w:r>
          </w:p>
        </w:tc>
        <w:tc>
          <w:tcPr>
            <w:tcW w:w="2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(128 )</w:t>
            </w: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116 %</w:t>
            </w:r>
          </w:p>
        </w:tc>
        <w:tc>
          <w:tcPr>
            <w:tcW w:w="220" w:type="dxa"/>
            <w:vAlign w:val="bottom"/>
          </w:tcPr>
          <w:p>
            <w:pPr>
              <w:spacing w:after="0"/>
              <w:rPr>
                <w:sz w:val="17"/>
                <w:szCs w:val="17"/>
                <w:color w:val="auto"/>
              </w:rPr>
            </w:pP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(264 )</w:t>
            </w:r>
          </w:p>
        </w:tc>
        <w:tc>
          <w:tcPr>
            <w:tcW w:w="220" w:type="dxa"/>
            <w:vAlign w:val="bottom"/>
          </w:tcPr>
          <w:p>
            <w:pPr>
              <w:spacing w:after="0"/>
              <w:rPr>
                <w:sz w:val="17"/>
                <w:szCs w:val="17"/>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(178 )</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(86 )</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other income (expense), net</w:t>
            </w:r>
          </w:p>
        </w:tc>
        <w:tc>
          <w:tcPr>
            <w:tcW w:w="2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2,364</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gridSpan w:val="2"/>
            <w:shd w:val="clear" w:color="auto" w:fill="CFF0FC"/>
          </w:tcPr>
          <w:p>
            <w:pPr>
              <w:ind w:left="320"/>
              <w:spacing w:after="0"/>
              <w:rPr>
                <w:sz w:val="20"/>
                <w:szCs w:val="20"/>
                <w:color w:val="auto"/>
              </w:rPr>
            </w:pPr>
            <w:r>
              <w:rPr>
                <w:rFonts w:ascii="Arial" w:cs="Arial" w:eastAsia="Arial" w:hAnsi="Arial"/>
                <w:sz w:val="16"/>
                <w:szCs w:val="16"/>
                <w:color w:val="auto"/>
              </w:rPr>
              <w:t>n/a</w:t>
            </w:r>
          </w:p>
        </w:tc>
        <w:tc>
          <w:tcPr>
            <w:tcW w:w="2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3,031</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3,209</w:t>
            </w: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Other income (expense), net increased by $2.4 million and $3.2 million for the three and nine months ended September 30, 2022, respectively, compared to the same period in the prior year, primarily related to higher interest income earned on short term investments and net unrealized gain on foreign exchange rates due to increased activities in our foreign subsidiaries and favorable exchange rate fluctuations.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8"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0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w w:val="94"/>
              </w:rPr>
              <w:t>Three Months Ended September 30,</w:t>
            </w:r>
          </w:p>
        </w:tc>
        <w:tc>
          <w:tcPr>
            <w:tcW w:w="9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2"/>
              </w:rPr>
              <w:t>Nine Months Ended September</w:t>
            </w:r>
          </w:p>
        </w:tc>
        <w:tc>
          <w:tcPr>
            <w:tcW w:w="9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800" w:type="dxa"/>
            <w:vAlign w:val="bottom"/>
            <w:gridSpan w:val="7"/>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8"/>
          </w:tcPr>
          <w:p>
            <w:pPr>
              <w:ind w:left="160"/>
              <w:spacing w:after="0"/>
              <w:rPr>
                <w:sz w:val="20"/>
                <w:szCs w:val="20"/>
                <w:color w:val="auto"/>
              </w:rPr>
            </w:pPr>
            <w:r>
              <w:rPr>
                <w:rFonts w:ascii="Arial" w:cs="Arial" w:eastAsia="Arial" w:hAnsi="Arial"/>
                <w:sz w:val="14"/>
                <w:szCs w:val="14"/>
                <w:b w:val="1"/>
                <w:bCs w:val="1"/>
                <w:color w:val="auto"/>
              </w:rPr>
              <w:t>(in thousands except percentage)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8"/>
          </w:tcPr>
          <w:p>
            <w:pPr>
              <w:ind w:left="160"/>
              <w:spacing w:after="0"/>
              <w:rPr>
                <w:sz w:val="20"/>
                <w:szCs w:val="20"/>
                <w:color w:val="auto"/>
              </w:rPr>
            </w:pPr>
            <w:r>
              <w:rPr>
                <w:rFonts w:ascii="Arial" w:cs="Arial" w:eastAsia="Arial" w:hAnsi="Arial"/>
                <w:sz w:val="14"/>
                <w:szCs w:val="14"/>
                <w:b w:val="1"/>
                <w:bCs w:val="1"/>
                <w:color w:val="auto"/>
              </w:rPr>
              <w:t>(in thousands except percentage)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760" w:type="dxa"/>
            <w:vAlign w:val="bottom"/>
            <w:shd w:val="clear" w:color="auto" w:fill="CFF0FC"/>
          </w:tcPr>
          <w:p>
            <w:pPr>
              <w:jc w:val="right"/>
              <w:ind w:right="585"/>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(3 )   $</w:t>
            </w:r>
          </w:p>
        </w:tc>
        <w:tc>
          <w:tcPr>
            <w:tcW w:w="13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(4 )   $</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(25%)</w:t>
            </w:r>
          </w:p>
        </w:tc>
        <w:tc>
          <w:tcPr>
            <w:tcW w:w="720" w:type="dxa"/>
            <w:vAlign w:val="bottom"/>
            <w:gridSpan w:val="2"/>
            <w:shd w:val="clear" w:color="auto" w:fill="CFF0FC"/>
          </w:tcPr>
          <w:p>
            <w:pPr>
              <w:jc w:val="right"/>
              <w:ind w:right="428"/>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(123 )  $</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(67 )  $</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(56 )</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2022 and December 31, 2021, we had cash and cash equivalents of $41.6 million and $559.5 million, respectively. As of September 30, 2022 we also held $522.2 million of short-term investments in held-to-maturity securities which consisted of treasury bills. Our principal use of cash is to fund our operations to support growth.</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February 2021, we completed a follow-on public offering, in which we issued and sold 1,500,000 shares of our common stock, resulting in net proceeds to us of $181.6 million after deducting underwriting discounts and commissions and deferred offering costs.</w:t>
      </w:r>
    </w:p>
    <w:p>
      <w:pPr>
        <w:spacing w:after="0" w:line="15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 November 2021, we completed a follow-on public offering, in which we issued and sold 1,300,000 shares of our common stock, resulting in net proceeds to us of $279.0 million after deducting underwriting discounts and commissions and deferred offering costs.</w:t>
      </w:r>
    </w:p>
    <w:p>
      <w:pPr>
        <w:spacing w:after="0" w:line="18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In May 2022, we entered into a Sales Agreement ("Sales Agreement") with Stifel, Nicolaus &amp; Company, Incorporated ("Stifel"), under which we may offer and sell from time to time at our sole discretion, up to an aggregate of 800,000 shares of our common stock, par value $0.0001 per share, through Stifel as our sales agent. During the nine months ended September 30, 2022, we sold 125,334 shares of our common stock under the Sales Agreement at a weighted average price of $188.98 per share resulting in net proceeds to us of $23.0 million, after deducting underwriting discounts and commissions and deferred offering costs.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w:t>
      </w:r>
    </w:p>
    <w:p>
      <w:pPr>
        <w:spacing w:after="0" w:line="8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purchase obligations primarily include design and simulation licenses. For information about our contractual obligations refer to "Note 5 - Lease" and “Note 9 – Commitments and Contingencies” of the Notes to Condensed Consolidated Financial Statements.</w:t>
      </w:r>
    </w:p>
    <w:p>
      <w:pPr>
        <w:spacing w:after="0" w:line="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expect to continue our investing activities, primarily in the purchase of property and equipment and capitalized software, to support research and development, sales and marketing, product support, and administrative staff.</w:t>
      </w:r>
    </w:p>
    <w:p>
      <w:pPr>
        <w:spacing w:after="0" w:line="157"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648" w:right="299" w:bottom="1440" w:gutter="0" w:footer="0" w:header="0"/>
        </w:sectPr>
      </w:pPr>
    </w:p>
    <w:bookmarkStart w:id="24" w:name="page25"/>
    <w:bookmarkEnd w:id="24"/>
    <w:p>
      <w:pPr>
        <w:ind w:right="400"/>
        <w:spacing w:after="0" w:line="277" w:lineRule="auto"/>
        <w:rPr>
          <w:sz w:val="20"/>
          <w:szCs w:val="20"/>
          <w:color w:val="auto"/>
        </w:rPr>
      </w:pPr>
      <w:r>
        <w:rPr>
          <w:rFonts w:ascii="Arial" w:cs="Arial" w:eastAsia="Arial" w:hAnsi="Arial"/>
          <w:sz w:val="18"/>
          <w:szCs w:val="18"/>
          <w:color w:val="auto"/>
        </w:rPr>
        <w:t>any such additional financing will be available on terms acceptable to us, if at all. If we are unable to raise additional capital when we need it, it would harm our business, results of operations and financial condition.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1"/>
              </w:rPr>
              <w:t>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480" w:type="dxa"/>
            <w:vAlign w:val="bottom"/>
            <w:gridSpan w:val="2"/>
          </w:tcPr>
          <w:p>
            <w:pPr>
              <w:jc w:val="right"/>
              <w:ind w:right="128"/>
              <w:spacing w:after="0"/>
              <w:rPr>
                <w:sz w:val="20"/>
                <w:szCs w:val="20"/>
                <w:color w:val="auto"/>
              </w:rPr>
            </w:pPr>
            <w:r>
              <w:rPr>
                <w:rFonts w:ascii="Arial" w:cs="Arial" w:eastAsia="Arial" w:hAnsi="Arial"/>
                <w:sz w:val="18"/>
                <w:szCs w:val="18"/>
                <w:color w:val="auto"/>
              </w:rPr>
              <w:t>(547,910 )</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(22,484 )</w:t>
            </w: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(4,888 )</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181,588</w:t>
            </w:r>
          </w:p>
        </w:tc>
        <w:tc>
          <w:tcPr>
            <w:tcW w:w="100" w:type="dxa"/>
            <w:vAlign w:val="bottom"/>
            <w:shd w:val="clear" w:color="auto" w:fill="CFF0FC"/>
          </w:tcPr>
          <w:p>
            <w:pPr>
              <w:spacing w:after="0"/>
              <w:rPr>
                <w:sz w:val="18"/>
                <w:szCs w:val="18"/>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8"/>
              <w:spacing w:after="0"/>
              <w:rPr>
                <w:sz w:val="20"/>
                <w:szCs w:val="20"/>
                <w:color w:val="auto"/>
              </w:rPr>
            </w:pPr>
            <w:r>
              <w:rPr>
                <w:rFonts w:ascii="Arial" w:cs="Arial" w:eastAsia="Arial" w:hAnsi="Arial"/>
                <w:sz w:val="18"/>
                <w:szCs w:val="18"/>
                <w:color w:val="auto"/>
              </w:rPr>
              <w:t>(517,853 )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193,517</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the nine months ended September 30, 2022, net cash provided by operating activities of $34.9 million was primarily due to a net profit of $24.8 million and non-cash expenses of $48.1 million, partially offset by a net outflow in operating assets and liabilities of $37.9 million. Non-cash expenses were mainly related to depreciation and amortization, stock-based compensation expense and non-cash interest. Net outflow in operating assets and liabilities increased primarily due to an increase in inventories as we built our wafer inventory levels, an increase in prepaid expenses and other assets due to timing of payments, and lower accrued expenses primarily due to timing of accrued payroll and related benefit payments, partially offset by higher accounts payable due to timing of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investing activities consist primarily of purchase of short-term investments,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66" w:lineRule="exact"/>
        <w:rPr>
          <w:sz w:val="20"/>
          <w:szCs w:val="20"/>
          <w:color w:val="auto"/>
        </w:rPr>
      </w:pPr>
    </w:p>
    <w:p>
      <w:pPr>
        <w:jc w:val="both"/>
        <w:ind w:right="360"/>
        <w:spacing w:after="0" w:line="303" w:lineRule="auto"/>
        <w:rPr>
          <w:sz w:val="20"/>
          <w:szCs w:val="20"/>
          <w:color w:val="auto"/>
        </w:rPr>
      </w:pPr>
      <w:r>
        <w:rPr>
          <w:rFonts w:ascii="Arial" w:cs="Arial" w:eastAsia="Arial" w:hAnsi="Arial"/>
          <w:sz w:val="16"/>
          <w:szCs w:val="16"/>
          <w:color w:val="auto"/>
        </w:rPr>
        <w:t>In the nine months ended September 30, 2022, net cash used in investing activities was $547.9 million. We paid $519.9 million to purchase short-term investments in held-to-maturity securities. We paid $25.0 million largely to purchase test and other manufacturing equipment to support the increase in demand of our products and other property and equipment for general business purposes. We paid $3.0 million to purchase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Our financing activities have primarily consisted of proceeds from issuance of shares and withholding of taxes on restricted stock units. During the nine months ended September 30, 2022, we sold 125,334 shares of our common stock under the Sales Agreement resulting in net proceeds to us of $22.6 million, after deducting underwriting discounts and commissions of $0.5 million and deferred offering costs of $0.6 million. The net proceeds from the Sales Agreement were offset by tax withholdings paid on behalf of employees for net share settlement of $27.9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 (2) inventory; (3) stock-based compensation; and (4) accounting for income taxes.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policies and estimates in Management’s Discussion and Analysis of Financial Condition and Results of Operations, in our Annual Report on Form 10-K for the year ended December 31, 2021 filed with the SEC on February 25, 2022.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Finland, France, Japan, Malaysia, the Netherlands, Taiwan,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We had cash and cash equivalents of $41.6 million and $559.5 million as of September 30, 2022 and December 31, 2021, respectively, consisting of bank deposits, money market funds and treasury bills. We also had short-term investments in held-to-maturity securities of $522.2 million consisting of treasury bills as of September 30, 2022. Such interest-earning instruments carry a degree of interest rate risk. During the nine months ended September 30, 2022 we have generated $3.3 million in interest income due to higher cash balance and rising interest rates.</w:t>
      </w:r>
    </w:p>
    <w:p>
      <w:pPr>
        <w:spacing w:after="0" w:line="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As of September 30, 2022, a hypothetical 10% increase or decrease in market interest rates would change the interest income on our interest-earning instruments of $522.2 million, by an increase or decrease of approximately $0.3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7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4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120"/>
        <w:spacing w:after="0" w:line="316"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macroeconomic conditions have harmed and may continue to harm our business.</w:t>
      </w:r>
    </w:p>
    <w:p>
      <w:pPr>
        <w:spacing w:after="0" w:line="11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are a global company and therefore our business, results of operations and financial condition are impacted by global macroeconomic conditions. Macroeconomic events such as rising inflation, recession, equity market volatility, growing geopolitical tensions, war, declines in income or asset values, decreased spending, changes to fuel and other energy costs, public health crises, supply chain disruptions, trade restrictions and sanctions, and the COVID-19 pandemic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products could result in significant decreases in our sales and margins. The future effects of macroeconomic events on our business are uncertain and difficult to predict.</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receivables due to credit defaults. As a result, global macroeconomic conditions have had and may continue to have a material adverse effect on our business, results of operations, and financial condition.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0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adverse macroeconomic events such as global recessions, and we are currently experiencing a decrease in demand for our products. These downturns have been characterized by diminished product demand, production overcapacity, high inventory levels for us and our customers, and erosion of average selling prices. Any downturns in the semiconductor industry could harm our business, financial condition, and results of operations. In the last few years, the semiconductor industry experienced an upturn.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7" w:name="page28"/>
    <w:bookmarkEnd w:id="27"/>
    <w:p>
      <w:pPr>
        <w:ind w:right="260"/>
        <w:spacing w:after="0" w:line="258" w:lineRule="auto"/>
        <w:rPr>
          <w:sz w:val="20"/>
          <w:szCs w:val="20"/>
          <w:color w:val="auto"/>
        </w:rPr>
      </w:pPr>
      <w:r>
        <w:rPr>
          <w:rFonts w:ascii="Arial" w:cs="Arial" w:eastAsia="Arial" w:hAnsi="Arial"/>
          <w:sz w:val="17"/>
          <w:szCs w:val="17"/>
          <w:color w:val="auto"/>
        </w:rPr>
        <w:t>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are currently a number of industry-wide supply constraints affecting the supply of analog circuits manufactured by certain foundries, including TSMC, and affecting outsourced semiconductor assembly and test providers (“OSATs”), which in the past has limited and may in the future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7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6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currently primarily rely on Advanced Semiconductor Engineering, Inc. (“ASE”), Carsem (M) Sdn. Bhd. (“Carsem”), and United Test and Assembly Center Ltd. (“UTAC”) for assembly and testing, as well as Daishinku Corp. (“Daishinku”) and UTAC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8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6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outsource the fabrication and assembly of all of our products to third parties that are primarily located in Germany and Asia. In addition, we conduct research and development activities in the United States, Japan, the Netherlands, Taiwan, Ukraine and Finland. We also conduct marketing and administrative functions in the United States, Japan, the Netherlands, China, Taiwan, Malaysia, and Ukraine. Certain of the critical functions for our business are performed in locations outside of the United States. In addition, members of our sales force are located in various locations outside of the United States. In addition, approximately 86% and 91% of our revenue for three months ended September 30, 2022 and 2021, respectively, and approximately 88% and 93% of our revenue for the nine months ended September 30, 2022 and 2021,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ind w:left="1020" w:right="28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and military conflicts, including the effects of Russia’s invasion of Ukraine;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instability, including the effects of rising inflation and increased interest rates;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compliance with local laws and regulations and unanticipated changes in local laws and regulations, including tax laws and regulations;</w:t>
      </w:r>
    </w:p>
    <w:p>
      <w:pPr>
        <w:spacing w:after="0" w:line="115" w:lineRule="exact"/>
        <w:rPr>
          <w:rFonts w:ascii="Arial" w:cs="Arial" w:eastAsia="Arial" w:hAnsi="Arial"/>
          <w:sz w:val="17"/>
          <w:szCs w:val="17"/>
          <w:color w:val="auto"/>
        </w:rPr>
      </w:pPr>
    </w:p>
    <w:p>
      <w:pPr>
        <w:ind w:left="1020" w:right="1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w:t>
      </w:r>
    </w:p>
    <w:p>
      <w:pPr>
        <w:spacing w:after="0" w:line="48"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1020" w:right="160" w:hanging="503"/>
        <w:spacing w:after="0" w:line="32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6" w:lineRule="exact"/>
        <w:rPr>
          <w:rFonts w:ascii="Arial" w:cs="Arial" w:eastAsia="Arial" w:hAnsi="Arial"/>
          <w:sz w:val="16"/>
          <w:szCs w:val="16"/>
          <w:color w:val="auto"/>
        </w:rPr>
      </w:pPr>
    </w:p>
    <w:p>
      <w:pPr>
        <w:ind w:left="1020" w:right="24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03"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03"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7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and China. If 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further impact our business remains uncertain but it may materially adversely affect our business, financial condition, or results of operations.</w:t>
      </w:r>
    </w:p>
    <w:p>
      <w:pPr>
        <w:spacing w:after="0" w:line="58"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5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25% and 20% of our revenue for the three months ended September 30, 2022 and 2021, respectively, and 19% and 23% of our revenue for the nine months ended September 30, 2022 and 2021, respectively. Revenue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right="20"/>
        <w:spacing w:after="0" w:line="276" w:lineRule="auto"/>
        <w:rPr>
          <w:sz w:val="20"/>
          <w:szCs w:val="20"/>
          <w:color w:val="auto"/>
        </w:rPr>
      </w:pPr>
      <w:r>
        <w:rPr>
          <w:rFonts w:ascii="Arial" w:cs="Arial" w:eastAsia="Arial" w:hAnsi="Arial"/>
          <w:sz w:val="16"/>
          <w:szCs w:val="16"/>
          <w:color w:val="auto"/>
        </w:rPr>
        <w:t>attributable to this end customer increased from three months ended September 30, 2021 to 2022. Revenue attributable to this end customer increased in absolute dollars but decreased as a percentage of revenue from the nine months ended September 30, 2021 to 2022.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53"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color w:val="auto"/>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7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sell our products primarily through distributors, who in turn sell to our end customers. We also sell directly to our end customers. Our top three distributors by revenue together accounted for approximately 55% and 45% of our revenue for the three months ended September 30, 2022 and 2021, respectively, and approximately 45% and 61% of our revenue for the nine months ended September 30, 2022 and 2021, respectively. Based on our shipment information, we believe that revenue attributable to our ten largest end customers accounted for 80% and 46% of our revenue in the three months ended September 30, 2022 and 2021, respectively, and 72% and 63% of our revenue for the nine months ended September 30, 2022 and 2021, respectively. Sales attributable to our largest end customer accounted for approximately 25% and 20% of our revenue for the three months ended September 30, 2022 and 2021, respectively, and approximately 19% and 23% of our revenue for the nine months ended September 30, 2022 and 2021,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If we are unable to expand or further diversify our customer base, it could harm our business, financial condition, and results of operations.</w:t>
      </w:r>
    </w:p>
    <w:p>
      <w:pPr>
        <w:spacing w:after="0" w:line="7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sell our products primarily through distributors,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right="280"/>
        <w:spacing w:after="0" w:line="249"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Though our ASP increased in 2021 compared to 2020, we may not be able to sustain ASP increases in the future. Factors relating to our business that may contribute to fluctuations in our operating results include the following factors, as well as other factors described elsewhere in this report:</w:t>
      </w:r>
    </w:p>
    <w:p>
      <w:pPr>
        <w:spacing w:after="0" w:line="74"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03"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and fluctuations in sales by product manufacturers that incorporate our precision timing solutions into their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w:t>
      </w:r>
    </w:p>
    <w:p>
      <w:pPr>
        <w:spacing w:after="0" w:line="1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6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60"/>
        <w:spacing w:after="0" w:line="288"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4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8"/>
          <w:szCs w:val="18"/>
          <w:b w:val="1"/>
          <w:bCs w:val="1"/>
          <w:i w:val="1"/>
          <w:iCs w:val="1"/>
          <w:color w:val="auto"/>
        </w:rPr>
        <w:t>.</w:t>
      </w:r>
    </w:p>
    <w:p>
      <w:pPr>
        <w:spacing w:after="0" w:line="67"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6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7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7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7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target markets include the communications and enterprise, automotive, industrial, aerospace, and mobile, IoT, and consumer markets. Substantially all of our revenue to date has been attributable to sales of MEMS oscillators. We intend to also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6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160"/>
        <w:spacing w:after="0" w:line="261"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7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3"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9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If we increase operations in other currencies in the future, we may experience foreign exchange gains or losses due to the volatility of other currencies compared to the U.S. dollar. Certain of our employees are located in Malaysia, the Netherlands, Taiwan, Japan, Finland, France,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7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1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COVID-19 pandemic has continued to impact our workforce and the operations of our customers and suppliers. In response to the ongoing COVID-19 pandemic and related government measures, we implemented safety measures to protect our employees and contractors at our locations around the world. The effects of the ongoing COVID-19 pandemic on our business are evolving and difficult to predict. To date, the COVID-19 pandemic has significantly and negatively impacted the global economy and it is unclear how long the pandemic will continue to do so. Among other things, the continued COVID-19 pandemic may result in:</w:t>
      </w:r>
    </w:p>
    <w:p>
      <w:pPr>
        <w:spacing w:after="0" w:line="78"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our supply chain; or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117"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The COVID-19 pandemic has also caused significant uncertainty and volatility in global financial markets and the trading prices for the common stock of technology companies, including us.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5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Though we believe the production capabilities of our suppliers has been and will likely continue to be, impacted as a result of safety measures, closures of production facilities, lack of supplies, or delays caused by the COVID-19 pandemic, to date we believe we have experienced minimal impact from any delay and disruption in the manufacture, shipment, and sales of our products. However, as the COVID-19 pandemic continues, the effects of the pandemic, including timing and overall demand for our products, and availability of supply chain, may negatively and materially impact our business, results of operations, and financial condition. Further, as safety measures terminate and individuals return to work in offices, we may experience a reduction in demand for certain of our products that are incorporated in our customers’ products that experienced higher demand during the COVID-19 pandemic. Any disruption in the manufacture, shipment, or sales of our products may negatively and materially impact our operating results.</w:t>
      </w:r>
    </w:p>
    <w:p>
      <w:pPr>
        <w:spacing w:after="0" w:line="6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Given the changing nature and continuing uncertainty surrounding COVID-19 due to public health challenges, rapidly changing governmental directives, and economic disruption, and the duration of the foregoing, the potential impact that the COVID-19 pandemic could have on our business, results of operations, and financial condition, and on the other risk factors described in this “Risk Factors” section, remain unclear.</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27"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4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 to see increases in our manufacturing costs in fiscal year 2022 due to an industry wide increase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7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Our recent revenue should not be considered indicative of our future performance. Our revenue was $73.1 million and $63 million for the three months ended September 30, 2022 and 2021, respectively, and $222.8 million and $143.1 million for the nine months ended September 30, 2022 and 2021,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macroeconomic conditions, a decrease in the growth of our overall market or market saturation, and our failure to capitalize on growth opportunities.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1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60"/>
        <w:spacing w:after="0" w:line="261" w:lineRule="auto"/>
        <w:rPr>
          <w:sz w:val="20"/>
          <w:szCs w:val="20"/>
          <w:color w:val="auto"/>
        </w:rPr>
      </w:pPr>
      <w:r>
        <w:rPr>
          <w:rFonts w:ascii="Arial" w:cs="Arial" w:eastAsia="Arial" w:hAnsi="Arial"/>
          <w:sz w:val="17"/>
          <w:szCs w:val="17"/>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8" w:lineRule="exact"/>
        <w:rPr>
          <w:sz w:val="20"/>
          <w:szCs w:val="20"/>
          <w:color w:val="auto"/>
        </w:rPr>
      </w:pPr>
    </w:p>
    <w:p>
      <w:pPr>
        <w:ind w:right="200"/>
        <w:spacing w:after="0" w:line="356"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49"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9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in our products or failures to meet product specifications could harm our relationships with our customers and damage our reputation.</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9"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4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7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0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and quartz products to smaller companies, including start-ups,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Skyworks Solutions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as well as semiconductor suppliers such as Skyworks Solutions Inc. In the Aerospace-defense market for oscillators, we also typically complete against, small, specialized companies that offer quartz-based solutions for various applications.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caused by the COVID-19 pandemic, in the future and significantly reduce their pricing so as to compete against us. Our ability to compete successfully will depend on a number of factors, including:</w:t>
      </w:r>
    </w:p>
    <w:p>
      <w:pPr>
        <w:spacing w:after="0" w:line="49" w:lineRule="exact"/>
        <w:rPr>
          <w:sz w:val="20"/>
          <w:szCs w:val="20"/>
          <w:color w:val="auto"/>
        </w:rPr>
      </w:pPr>
    </w:p>
    <w:p>
      <w:pPr>
        <w:ind w:left="1020" w:right="26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capacity with our foundry and assembly partners to manufacture and assemble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6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7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100"/>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49" w:lineRule="exact"/>
        <w:rPr>
          <w:sz w:val="20"/>
          <w:szCs w:val="20"/>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failure to identify, attract, reward, and retain people in leadership positions in our organization who share and further our culture, values, and mission;</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27"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7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7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7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4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4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240"/>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September 30, 2022, substantially all of which are large distributors, OEMs, and system manufacturers, we had $0.1 million and $0.1 million in allowance for credit losses as of September 30, 2022 and December 31, 2021, respectively. If our credit losses, however, were to exceed our current or future allowance for credit losses, our business, financial condition, and results of operations would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 be required to seek, debt financing in the immediate or near term.</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9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If significant tariffs or other trade restrictions are placed on our products or third-party suppliers, our revenue and results of operations may be materially harmed.</w:t>
      </w:r>
    </w:p>
    <w:p>
      <w:pPr>
        <w:spacing w:after="0" w:line="63"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3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49"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ind w:right="20"/>
        <w:spacing w:after="0" w:line="275" w:lineRule="auto"/>
        <w:rPr>
          <w:sz w:val="20"/>
          <w:szCs w:val="20"/>
          <w:color w:val="auto"/>
        </w:rPr>
      </w:pPr>
      <w:r>
        <w:rPr>
          <w:rFonts w:ascii="Arial" w:cs="Arial" w:eastAsia="Arial" w:hAnsi="Arial"/>
          <w:sz w:val="16"/>
          <w:szCs w:val="16"/>
          <w:color w:val="auto"/>
        </w:rPr>
        <w:t>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government contracting regulations, we could suffer a loss of revenue or other penalties.</w:t>
      </w:r>
    </w:p>
    <w:p>
      <w:pPr>
        <w:spacing w:after="0" w:line="1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6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7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160"/>
        <w:spacing w:after="0" w:line="246" w:lineRule="auto"/>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spacing w:after="0" w:line="5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7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4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impacted by information technology system failures or network disruptions, and lack of redundancy.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ind w:right="280"/>
        <w:spacing w:after="0" w:line="246" w:lineRule="auto"/>
        <w:rPr>
          <w:sz w:val="20"/>
          <w:szCs w:val="20"/>
          <w:color w:val="auto"/>
        </w:rPr>
      </w:pPr>
      <w:r>
        <w:rPr>
          <w:rFonts w:ascii="Arial" w:cs="Arial" w:eastAsia="Arial" w:hAnsi="Arial"/>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1"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of December 31, 2021, we had U.S. federal and state net operating loss (“NOL”), carryforwards of approximately $259.6 million and $64.5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September 30, 2022, we had 96 issued U.S. patents, expiring generally between 2026 and 2039 and 32 pending U.S. patent applications (including three provisional applications). We also had three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ind w:right="600"/>
        <w:spacing w:after="0" w:line="277" w:lineRule="auto"/>
        <w:rPr>
          <w:sz w:val="20"/>
          <w:szCs w:val="20"/>
          <w:color w:val="auto"/>
        </w:rPr>
      </w:pPr>
      <w:r>
        <w:rPr>
          <w:rFonts w:ascii="Arial" w:cs="Arial" w:eastAsia="Arial" w:hAnsi="Arial"/>
          <w:sz w:val="18"/>
          <w:szCs w:val="18"/>
          <w:color w:val="auto"/>
        </w:rPr>
        <w:t>sell our solutions at competitive prices may be adversely affected and our business, financial condition, and results of operations could be adversely affected.</w:t>
      </w:r>
    </w:p>
    <w:p>
      <w:pPr>
        <w:spacing w:after="0" w:line="4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67"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7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5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9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The District Court ruled in our favor, VTT filed an appeal with the U.S. Court of Appeals for the Federal Circuit (“CAFC”), on June 9, 2021, a hearing was held at the CAFC, and on June 10, 2021 the CAFC affirmed the District Court’s judgment.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53"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if securities analysts or investors perceive these results to be negative, it could have a substantial adverse effect on the price of our common stock.</w:t>
      </w:r>
    </w:p>
    <w:p>
      <w:pPr>
        <w:spacing w:after="0" w:line="12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87"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76"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5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MegaChips owns 5,000,000 shares of our common stock, representing approximately 23.3% of our outstanding common stock as of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so long as MegaChips or its successors in interest continue to hold the largest ownership position in our outstanding common stock, we expect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MegaChips to continue to hold at least one out of eight seats on our board of directors, and to be influential in electing members of our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long as MegaChips continues to be our largest stockholder, it will continue to have significant influence over us.</w:t>
      </w:r>
    </w:p>
    <w:p>
      <w:pPr>
        <w:spacing w:after="0" w:line="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example, as long as MegaChips continues to hold a significant or the largest ownership position in our outstanding common stock, MegaChips may have the ability to affect the outcome of any stockholder vote during this period. As a result, MegaChips will have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ability to exert significant influence over many matters affecting us, either through its board representative or as a stockholder, including:</w:t>
      </w:r>
    </w:p>
    <w:p>
      <w:pPr>
        <w:spacing w:after="0" w:line="11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0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6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04"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67"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88" w:lineRule="exact"/>
        <w:rPr>
          <w:sz w:val="20"/>
          <w:szCs w:val="20"/>
          <w:color w:val="auto"/>
        </w:rPr>
      </w:pPr>
    </w:p>
    <w:p>
      <w:pPr>
        <w:ind w:left="1020" w:right="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left="1020" w:right="1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48"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15" w:lineRule="exact"/>
        <w:rPr>
          <w:rFonts w:ascii="Arial" w:cs="Arial" w:eastAsia="Arial" w:hAnsi="Arial"/>
          <w:sz w:val="17"/>
          <w:szCs w:val="17"/>
          <w:color w:val="auto"/>
        </w:rPr>
      </w:pPr>
    </w:p>
    <w:p>
      <w:pPr>
        <w:ind w:left="1020" w:right="5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77" w:lineRule="exact"/>
        <w:rPr>
          <w:sz w:val="20"/>
          <w:szCs w:val="20"/>
          <w:color w:val="auto"/>
        </w:rPr>
      </w:pPr>
    </w:p>
    <w:p>
      <w:pPr>
        <w:ind w:right="120"/>
        <w:spacing w:after="0" w:line="331"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5"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5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4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dilutive issuances of equity securities, or the incurrence of debt, any of which could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76" w:lineRule="exact"/>
        <w:rPr>
          <w:sz w:val="20"/>
          <w:szCs w:val="20"/>
          <w:color w:val="auto"/>
        </w:rPr>
      </w:pPr>
    </w:p>
    <w:p>
      <w:pPr>
        <w:ind w:left="1020" w:right="2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76"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2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100" w:type="dxa"/>
            <w:vAlign w:val="bottom"/>
            <w:gridSpan w:val="10"/>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80" w:type="dxa"/>
            <w:vAlign w:val="bottom"/>
            <w:gridSpan w:val="15"/>
          </w:tcPr>
          <w:p>
            <w:pPr>
              <w:spacing w:after="0"/>
              <w:rPr>
                <w:rFonts w:ascii="Arial" w:cs="Arial" w:eastAsia="Arial" w:hAnsi="Arial"/>
                <w:sz w:val="18"/>
                <w:szCs w:val="18"/>
                <w:color w:val="0000FF"/>
                <w:w w:val="93"/>
              </w:rPr>
            </w:pPr>
            <w:hyperlink r:id="rId206">
              <w:r>
                <w:rPr>
                  <w:rFonts w:ascii="Arial" w:cs="Arial" w:eastAsia="Arial" w:hAnsi="Arial"/>
                  <w:sz w:val="18"/>
                  <w:szCs w:val="18"/>
                  <w:color w:val="0000FF"/>
                  <w:w w:val="93"/>
                </w:rPr>
                <w:t xml:space="preserve">Restated Certificate of Incorporation of SiTime Corporation (the “Company”) </w:t>
              </w:r>
            </w:hyperlink>
            <w:r>
              <w:rPr>
                <w:rFonts w:ascii="Arial" w:cs="Arial" w:eastAsia="Arial" w:hAnsi="Arial"/>
                <w:sz w:val="18"/>
                <w:szCs w:val="18"/>
                <w:color w:val="0000FF"/>
                <w:w w:val="93"/>
              </w:rPr>
              <w:t>(incorporated by reference to Exhibit 3.1 to the Company’s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Current Report on Form 8-K filed November 26, 2019).</w:t>
            </w: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80" w:type="dxa"/>
            <w:vAlign w:val="bottom"/>
            <w:gridSpan w:val="15"/>
          </w:tcPr>
          <w:p>
            <w:pPr>
              <w:spacing w:after="0"/>
              <w:rPr>
                <w:rFonts w:ascii="Arial" w:cs="Arial" w:eastAsia="Arial" w:hAnsi="Arial"/>
                <w:sz w:val="18"/>
                <w:szCs w:val="18"/>
                <w:color w:val="0000FF"/>
                <w:w w:val="92"/>
              </w:rPr>
            </w:pPr>
            <w:hyperlink r:id="rId207">
              <w:r>
                <w:rPr>
                  <w:rFonts w:ascii="Arial" w:cs="Arial" w:eastAsia="Arial" w:hAnsi="Arial"/>
                  <w:sz w:val="18"/>
                  <w:szCs w:val="18"/>
                  <w:color w:val="0000FF"/>
                  <w:w w:val="92"/>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r:id="rId207">
              <w:r>
                <w:rPr>
                  <w:rFonts w:ascii="Arial" w:cs="Arial" w:eastAsia="Arial" w:hAnsi="Arial"/>
                  <w:sz w:val="18"/>
                  <w:szCs w:val="18"/>
                  <w:color w:val="0000FF"/>
                  <w:w w:val="89"/>
                </w:rPr>
                <w:t>filed June 29, 2021).</w:t>
              </w:r>
            </w:hyperlink>
          </w:p>
        </w:tc>
        <w:tc>
          <w:tcPr>
            <w:tcW w:w="8420" w:type="dxa"/>
            <w:vAlign w:val="bottom"/>
            <w:tcBorders>
              <w:top w:val="single" w:sz="8" w:color="0000FF"/>
            </w:tcBorders>
            <w:gridSpan w:val="8"/>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80" w:type="dxa"/>
            <w:vAlign w:val="bottom"/>
            <w:gridSpan w:val="15"/>
          </w:tcPr>
          <w:p>
            <w:pPr>
              <w:spacing w:after="0"/>
              <w:rPr>
                <w:rFonts w:ascii="Arial" w:cs="Arial" w:eastAsia="Arial" w:hAnsi="Arial"/>
                <w:sz w:val="18"/>
                <w:szCs w:val="18"/>
                <w:color w:val="0000FF"/>
                <w:w w:val="91"/>
              </w:rPr>
            </w:pPr>
            <w:hyperlink r:id="rId208">
              <w:r>
                <w:rPr>
                  <w:rFonts w:ascii="Arial" w:cs="Arial" w:eastAsia="Arial" w:hAnsi="Arial"/>
                  <w:sz w:val="18"/>
                  <w:szCs w:val="18"/>
                  <w:color w:val="0000FF"/>
                  <w:w w:val="91"/>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Form S-1 (File No. 333-234305) (the “S-1”)).</w:t>
              </w:r>
            </w:hyperlink>
          </w:p>
        </w:tc>
        <w:tc>
          <w:tcPr>
            <w:tcW w:w="67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080" w:type="dxa"/>
            <w:vAlign w:val="bottom"/>
            <w:gridSpan w:val="15"/>
          </w:tcPr>
          <w:p>
            <w:pPr>
              <w:spacing w:after="0"/>
              <w:rPr>
                <w:rFonts w:ascii="Arial" w:cs="Arial" w:eastAsia="Arial" w:hAnsi="Arial"/>
                <w:sz w:val="18"/>
                <w:szCs w:val="18"/>
                <w:color w:val="0000FF"/>
                <w:w w:val="95"/>
              </w:rPr>
            </w:pPr>
            <w:hyperlink r:id="rId209">
              <w:r>
                <w:rPr>
                  <w:rFonts w:ascii="Arial" w:cs="Arial" w:eastAsia="Arial" w:hAnsi="Arial"/>
                  <w:sz w:val="18"/>
                  <w:szCs w:val="18"/>
                  <w:color w:val="0000FF"/>
                  <w:w w:val="95"/>
                </w:rPr>
                <w:t>Description of Securities Registered Pursuant to Section 12 of the Securities Exchange Act of 1934 (incorporated by reference to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8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Company’s Annual Report on Form 10-K filed February 16, 2021).</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680" w:type="dxa"/>
            <w:vAlign w:val="bottom"/>
            <w:tcBorders>
              <w:top w:val="single" w:sz="8" w:color="0000FF"/>
            </w:tcBorders>
            <w:gridSpan w:val="3"/>
          </w:tcPr>
          <w:p>
            <w:pPr>
              <w:spacing w:after="0"/>
              <w:rPr>
                <w:sz w:val="14"/>
                <w:szCs w:val="14"/>
                <w:color w:val="auto"/>
              </w:rPr>
            </w:pPr>
          </w:p>
        </w:tc>
        <w:tc>
          <w:tcPr>
            <w:tcW w:w="3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620" w:type="dxa"/>
            <w:vAlign w:val="bottom"/>
            <w:tcBorders>
              <w:top w:val="single" w:sz="8" w:color="0000FF"/>
            </w:tcBorders>
            <w:gridSpan w:val="2"/>
          </w:tcPr>
          <w:p>
            <w:pPr>
              <w:spacing w:after="0"/>
              <w:rPr>
                <w:sz w:val="14"/>
                <w:szCs w:val="14"/>
                <w:color w:val="auto"/>
              </w:rPr>
            </w:pPr>
          </w:p>
        </w:tc>
        <w:tc>
          <w:tcPr>
            <w:tcW w:w="4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1"/>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1"/>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w w:val="91"/>
              </w:rPr>
              <w:t>Inline XBRL Instance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8"/>
                <w:szCs w:val="18"/>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0"/>
                <w:szCs w:val="20"/>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3560" w:firstLine="21"/>
        <w:spacing w:after="0" w:line="500" w:lineRule="auto"/>
        <w:tabs>
          <w:tab w:leader="none" w:pos="11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9512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520" w:right="20" w:hanging="512"/>
        <w:spacing w:after="0" w:line="213" w:lineRule="exact"/>
        <w:tabs>
          <w:tab w:leader="none" w:pos="3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pacing w:after="0" w:line="198"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Arthur D. Chadwick</w:t>
      </w:r>
    </w:p>
    <w:p>
      <w:pPr>
        <w:jc w:val="center"/>
        <w:ind w:left="600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225" w:lineRule="exact"/>
        <w:rPr>
          <w:sz w:val="20"/>
          <w:szCs w:val="20"/>
          <w:color w:val="auto"/>
        </w:rPr>
      </w:pPr>
    </w:p>
    <w:p>
      <w:pPr>
        <w:ind w:left="260" w:hanging="239"/>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52" w:lineRule="exact"/>
        <w:rPr>
          <w:rFonts w:ascii="Arial" w:cs="Arial" w:eastAsia="Arial" w:hAnsi="Arial"/>
          <w:sz w:val="18"/>
          <w:szCs w:val="18"/>
          <w:color w:val="auto"/>
        </w:rPr>
      </w:pPr>
    </w:p>
    <w:p>
      <w:pPr>
        <w:jc w:val="both"/>
        <w:ind w:left="260" w:right="520" w:hanging="239"/>
        <w:spacing w:after="0" w:line="263"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760" w:right="300" w:hanging="509"/>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760" w:right="580" w:hanging="509"/>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760" w:right="740" w:hanging="509"/>
        <w:spacing w:after="0" w:line="342" w:lineRule="auto"/>
        <w:tabs>
          <w:tab w:leader="none" w:pos="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760" w:right="300" w:hanging="509"/>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60" w:right="220" w:hanging="509"/>
        <w:spacing w:after="0" w:line="308" w:lineRule="auto"/>
        <w:tabs>
          <w:tab w:leader="none" w:pos="7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760" w:right="180" w:hanging="509"/>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Rajesh Vashist</w:t>
      </w:r>
    </w:p>
    <w:p>
      <w:pPr>
        <w:ind w:left="79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676275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25" w:lineRule="exact"/>
        <w:rPr>
          <w:sz w:val="20"/>
          <w:szCs w:val="20"/>
          <w:color w:val="auto"/>
        </w:rPr>
      </w:pPr>
    </w:p>
    <w:p>
      <w:pPr>
        <w:ind w:left="260" w:hanging="239"/>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52" w:lineRule="exact"/>
        <w:rPr>
          <w:rFonts w:ascii="Arial" w:cs="Arial" w:eastAsia="Arial" w:hAnsi="Arial"/>
          <w:sz w:val="18"/>
          <w:szCs w:val="18"/>
          <w:color w:val="auto"/>
        </w:rPr>
      </w:pPr>
    </w:p>
    <w:p>
      <w:pPr>
        <w:jc w:val="both"/>
        <w:ind w:left="260" w:right="520" w:hanging="239"/>
        <w:spacing w:after="0" w:line="263"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760" w:right="300" w:hanging="509"/>
        <w:spacing w:after="0" w:line="263"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760" w:right="580" w:hanging="509"/>
        <w:spacing w:after="0" w:line="263"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760" w:right="740" w:hanging="509"/>
        <w:spacing w:after="0" w:line="342" w:lineRule="auto"/>
        <w:tabs>
          <w:tab w:leader="none" w:pos="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760" w:right="300" w:hanging="509"/>
        <w:spacing w:after="0" w:line="263"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60" w:right="220" w:hanging="509"/>
        <w:spacing w:after="0" w:line="308" w:lineRule="auto"/>
        <w:tabs>
          <w:tab w:leader="none" w:pos="7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760" w:right="180" w:hanging="509"/>
        <w:spacing w:after="0" w:line="277"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5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Arthur D. Chadwick</w:t>
      </w:r>
    </w:p>
    <w:p>
      <w:pPr>
        <w:ind w:left="694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220" w:firstLine="479"/>
        <w:spacing w:after="0" w:line="248"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95" w:lineRule="exact"/>
        <w:rPr>
          <w:sz w:val="20"/>
          <w:szCs w:val="20"/>
          <w:color w:val="auto"/>
        </w:rPr>
      </w:pPr>
    </w:p>
    <w:p>
      <w:pPr>
        <w:ind w:left="960" w:hanging="46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20" w:hanging="466"/>
        <w:spacing w:after="0" w:line="246"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52"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06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2820670" cy="8890"/>
                    </a:xfrm>
                    <a:prstGeom prst="rect">
                      <a:avLst/>
                    </a:prstGeom>
                    <a:noFill/>
                  </pic:spPr>
                </pic:pic>
              </a:graphicData>
            </a:graphic>
          </wp:anchor>
        </w:drawing>
      </w:r>
    </w:p>
    <w:p>
      <w:pPr>
        <w:spacing w:after="0" w:line="12"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Rajesh Vashist</w:t>
      </w:r>
    </w:p>
    <w:p>
      <w:pPr>
        <w:spacing w:after="0" w:line="27"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220" w:firstLine="479"/>
        <w:spacing w:after="0" w:line="248"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95" w:lineRule="exact"/>
        <w:rPr>
          <w:sz w:val="20"/>
          <w:szCs w:val="20"/>
          <w:color w:val="auto"/>
        </w:rPr>
      </w:pPr>
    </w:p>
    <w:p>
      <w:pPr>
        <w:ind w:left="960" w:hanging="46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20" w:hanging="46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5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06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2820670" cy="8890"/>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06" Type="http://schemas.openxmlformats.org/officeDocument/2006/relationships/hyperlink" Target="https://www.sec.gov/Archives/edgar/data/1451809/000119312519301287/d630610dex31.htm" TargetMode="External"/><Relationship Id="rId207" Type="http://schemas.openxmlformats.org/officeDocument/2006/relationships/hyperlink" Target="https://www.sec.gov/Archives/edgar/data/1451809/000156459021035069/sitm-ex32_6.htm" TargetMode="External"/><Relationship Id="rId208" Type="http://schemas.openxmlformats.org/officeDocument/2006/relationships/hyperlink" Target="https://www.sec.gov/Archives/edgar/data/0001451809/000119312519272678/d701682dex41.htm" TargetMode="External"/><Relationship Id="rId209" Type="http://schemas.openxmlformats.org/officeDocument/2006/relationships/hyperlink" Target="https://www.sec.gov/Archives/edgar/data/1451809/000156459021005867/sitm-ex42_6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2022-11-04T15:44:54Z</dcterms:created>
  <dcterms:modified xsi:type="dcterms:W3CDTF">2022-11-04T15:44:54Z</dcterms:modified>
</cp:coreProperties>
</file>