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36" w:lineRule="auto"/>
        <w:tabs>
          <w:tab w:leader="none" w:pos="4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31"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SiTime Corporation</w:t>
      </w:r>
    </w:p>
    <w:p>
      <w:pPr>
        <w:sectPr>
          <w:pgSz w:w="11900" w:h="16838" w:orient="portrait"/>
          <w:cols w:equalWidth="0" w:num="1">
            <w:col w:w="11240"/>
          </w:cols>
          <w:pgMar w:left="320" w:top="422"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200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5451 Patrick Henry Drive</w:t>
      </w:r>
    </w:p>
    <w:p>
      <w:pPr>
        <w:spacing w:after="0" w:line="50"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Santa Clara,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02-0713868</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95054</w:t>
      </w:r>
    </w:p>
    <w:p>
      <w:pPr>
        <w:spacing w:after="0" w:line="36" w:lineRule="exact"/>
        <w:rPr>
          <w:sz w:val="24"/>
          <w:szCs w:val="24"/>
          <w:color w:val="auto"/>
        </w:rPr>
      </w:pPr>
    </w:p>
    <w:p>
      <w:pPr>
        <w:sectPr>
          <w:pgSz w:w="11900" w:h="16838" w:orient="portrait"/>
          <w:cols w:equalWidth="0" w:num="2">
            <w:col w:w="7620" w:space="320"/>
            <w:col w:w="3300"/>
          </w:cols>
          <w:pgMar w:left="320" w:top="422"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3"/>
        </w:trPr>
        <w:tc>
          <w:tcPr>
            <w:tcW w:w="382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9"/>
              </w:rPr>
              <w:t>SITM</w:t>
            </w:r>
          </w:p>
        </w:tc>
        <w:tc>
          <w:tcPr>
            <w:tcW w:w="14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77"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40"/>
        <w:spacing w:after="0" w:line="26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 2023, the registrant had 22,210,206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60" w:type="dxa"/>
            <w:vAlign w:val="bottom"/>
            <w:gridSpan w:val="16"/>
          </w:tcPr>
          <w:p>
            <w:pPr>
              <w:spacing w:after="0" w:line="182" w:lineRule="exact"/>
              <w:rPr>
                <w:sz w:val="20"/>
                <w:szCs w:val="20"/>
                <w:color w:val="auto"/>
              </w:rPr>
            </w:pPr>
            <w:r>
              <w:rPr>
                <w:rFonts w:ascii="Arial" w:cs="Arial" w:eastAsia="Arial" w:hAnsi="Arial"/>
                <w:sz w:val="18"/>
                <w:szCs w:val="18"/>
                <w:color w:val="0000FF"/>
              </w:rPr>
              <w:t>Risk Factor Summary</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 and Comprehensive Income (Loss)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60" w:type="dxa"/>
            <w:vAlign w:val="bottom"/>
            <w:tcBorders>
              <w:left w:val="single" w:sz="8" w:color="0000FF"/>
            </w:tcBorders>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macroeconomic conditions have harmed and may continue to harm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117" w:lineRule="exact"/>
        <w:rPr>
          <w:rFonts w:ascii="Arial" w:cs="Arial" w:eastAsia="Arial" w:hAnsi="Arial"/>
          <w:sz w:val="18"/>
          <w:szCs w:val="18"/>
          <w:color w:val="auto"/>
        </w:rPr>
      </w:pPr>
    </w:p>
    <w:p>
      <w:pPr>
        <w:ind w:left="1020" w:right="18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8" w:lineRule="exact"/>
        <w:rPr>
          <w:rFonts w:ascii="Arial" w:cs="Arial" w:eastAsia="Arial" w:hAnsi="Arial"/>
          <w:sz w:val="18"/>
          <w:szCs w:val="18"/>
          <w:color w:val="auto"/>
        </w:rPr>
      </w:pPr>
    </w:p>
    <w:p>
      <w:pPr>
        <w:ind w:left="1020" w:right="26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15" w:lineRule="exact"/>
        <w:rPr>
          <w:rFonts w:ascii="Arial" w:cs="Arial" w:eastAsia="Arial" w:hAnsi="Arial"/>
          <w:sz w:val="16"/>
          <w:szCs w:val="16"/>
          <w:color w:val="auto"/>
        </w:rPr>
      </w:pPr>
    </w:p>
    <w:p>
      <w:pPr>
        <w:ind w:left="1020" w:right="16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the COVID-19 pandemic on our business as well as our suppliers and customers, and product warranty claims. This in turn could cause our stock price to decline;</w:t>
      </w:r>
    </w:p>
    <w:p>
      <w:pPr>
        <w:spacing w:after="0" w:line="79" w:lineRule="exact"/>
        <w:rPr>
          <w:rFonts w:ascii="Arial" w:cs="Arial" w:eastAsia="Arial" w:hAnsi="Arial"/>
          <w:sz w:val="18"/>
          <w:szCs w:val="18"/>
          <w:color w:val="auto"/>
        </w:rPr>
      </w:pPr>
    </w:p>
    <w:p>
      <w:pPr>
        <w:ind w:left="1020" w:right="240" w:hanging="503"/>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63" w:lineRule="exact"/>
        <w:rPr>
          <w:rFonts w:ascii="Arial" w:cs="Arial" w:eastAsia="Arial" w:hAnsi="Arial"/>
          <w:sz w:val="17"/>
          <w:szCs w:val="17"/>
          <w:color w:val="auto"/>
        </w:rPr>
      </w:pPr>
    </w:p>
    <w:p>
      <w:pPr>
        <w:ind w:left="1020" w:right="4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3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not able to successfully introduce and ship in volume new products in a timely manner, our business and revenue will suffer;</w:t>
      </w:r>
    </w:p>
    <w:p>
      <w:pPr>
        <w:spacing w:after="0" w:line="128" w:lineRule="exact"/>
        <w:rPr>
          <w:rFonts w:ascii="Arial" w:cs="Arial" w:eastAsia="Arial" w:hAnsi="Arial"/>
          <w:sz w:val="17"/>
          <w:szCs w:val="17"/>
          <w:color w:val="auto"/>
        </w:rPr>
      </w:pPr>
    </w:p>
    <w:p>
      <w:pPr>
        <w:ind w:left="1020" w:right="3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gross margins may fluctuate due to a variety of factors, which could negatively impact our results of operations and our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117" w:lineRule="exact"/>
        <w:rPr>
          <w:rFonts w:ascii="Arial" w:cs="Arial" w:eastAsia="Arial" w:hAnsi="Arial"/>
          <w:sz w:val="18"/>
          <w:szCs w:val="18"/>
          <w:color w:val="auto"/>
        </w:rPr>
      </w:pPr>
    </w:p>
    <w:p>
      <w:pPr>
        <w:jc w:val="both"/>
        <w:ind w:left="1020" w:right="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compete effectively, we may lose or fail to gain market share, which could negatively impact our operating results and our business;</w:t>
      </w:r>
    </w:p>
    <w:p>
      <w:pPr>
        <w:spacing w:after="0" w:line="62"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accurately predict our future capital needs, and we may not be able to obtain additional financing to fund our operations;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seek, or be required to seek debt financing in the immediate or near term;</w:t>
      </w:r>
    </w:p>
    <w:p>
      <w:pPr>
        <w:spacing w:after="0" w:line="117"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significant tariffs or other trade restrictions are placed on our products or third-party suppliers, our revenue and results of operations may be materially harmed;</w:t>
      </w:r>
    </w:p>
    <w:p>
      <w:pPr>
        <w:spacing w:after="0" w:line="62" w:lineRule="exact"/>
        <w:rPr>
          <w:rFonts w:ascii="Arial" w:cs="Arial" w:eastAsia="Arial" w:hAnsi="Arial"/>
          <w:sz w:val="18"/>
          <w:szCs w:val="18"/>
          <w:color w:val="auto"/>
        </w:rPr>
      </w:pPr>
    </w:p>
    <w:p>
      <w:pPr>
        <w:ind w:left="503" w:right="30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spacing w:after="0" w:line="62" w:lineRule="exact"/>
        <w:rPr>
          <w:rFonts w:ascii="Arial" w:cs="Arial" w:eastAsia="Arial" w:hAnsi="Arial"/>
          <w:sz w:val="18"/>
          <w:szCs w:val="18"/>
          <w:color w:val="auto"/>
        </w:rPr>
      </w:pPr>
    </w:p>
    <w:p>
      <w:pPr>
        <w:ind w:left="503" w:right="48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62" w:lineRule="exact"/>
        <w:rPr>
          <w:rFonts w:ascii="Arial" w:cs="Arial" w:eastAsia="Arial" w:hAnsi="Arial"/>
          <w:sz w:val="18"/>
          <w:szCs w:val="18"/>
          <w:color w:val="auto"/>
        </w:rPr>
      </w:pPr>
    </w:p>
    <w:p>
      <w:pPr>
        <w:ind w:left="503" w:right="6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117" w:lineRule="exact"/>
        <w:rPr>
          <w:rFonts w:ascii="Arial" w:cs="Arial" w:eastAsia="Arial" w:hAnsi="Arial"/>
          <w:sz w:val="18"/>
          <w:szCs w:val="18"/>
          <w:color w:val="auto"/>
        </w:rPr>
      </w:pPr>
    </w:p>
    <w:p>
      <w:pPr>
        <w:jc w:val="both"/>
        <w:ind w:left="503" w:right="100" w:hanging="503"/>
        <w:spacing w:after="0" w:line="26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75" w:lineRule="exact"/>
        <w:rPr>
          <w:rFonts w:ascii="Arial" w:cs="Arial" w:eastAsia="Arial" w:hAnsi="Arial"/>
          <w:sz w:val="18"/>
          <w:szCs w:val="18"/>
          <w:color w:val="auto"/>
        </w:rPr>
      </w:pPr>
    </w:p>
    <w:p>
      <w:pPr>
        <w:ind w:left="503" w:hanging="503"/>
        <w:spacing w:after="0" w:line="259"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78"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117" w:lineRule="exact"/>
        <w:rPr>
          <w:rFonts w:ascii="Arial" w:cs="Arial" w:eastAsia="Arial" w:hAnsi="Arial"/>
          <w:sz w:val="18"/>
          <w:szCs w:val="18"/>
          <w:color w:val="auto"/>
        </w:rPr>
      </w:pPr>
    </w:p>
    <w:p>
      <w:pPr>
        <w:ind w:left="503" w:right="2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49"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449"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2022</w:t>
            </w:r>
          </w:p>
        </w:tc>
        <w:tc>
          <w:tcPr>
            <w:tcW w:w="140" w:type="dxa"/>
            <w:vAlign w:val="bottom"/>
          </w:tcPr>
          <w:p>
            <w:pPr>
              <w:spacing w:after="0"/>
              <w:rPr>
                <w:sz w:val="14"/>
                <w:szCs w:val="14"/>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34,603</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Short-term investments in held-to-maturity securities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544,299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529,494</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15,769</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41,229</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64,252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57,650</w:t>
            </w:r>
          </w:p>
        </w:tc>
        <w:tc>
          <w:tcPr>
            <w:tcW w:w="140" w:type="dxa"/>
            <w:vAlign w:val="bottom"/>
          </w:tcPr>
          <w:p>
            <w:pPr>
              <w:spacing w:after="0"/>
              <w:rPr>
                <w:sz w:val="20"/>
                <w:szCs w:val="20"/>
                <w:color w:val="auto"/>
              </w:rPr>
            </w:pPr>
          </w:p>
        </w:tc>
      </w:tr>
      <w:tr>
        <w:trPr>
          <w:trHeight w:val="24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662,977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669,067</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58,772</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5,205</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10,848</w:t>
            </w:r>
          </w:p>
        </w:tc>
        <w:tc>
          <w:tcPr>
            <w:tcW w:w="14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140" w:type="dxa"/>
            <w:vAlign w:val="bottom"/>
          </w:tcPr>
          <w:p>
            <w:pPr>
              <w:spacing w:after="0"/>
              <w:rPr>
                <w:sz w:val="21"/>
                <w:szCs w:val="21"/>
                <w:color w:val="auto"/>
              </w:rPr>
            </w:pPr>
          </w:p>
        </w:tc>
      </w:tr>
      <w:tr>
        <w:trPr>
          <w:trHeight w:val="277"/>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745,504</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750,616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9,762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14,881</w:t>
            </w:r>
          </w:p>
        </w:tc>
        <w:tc>
          <w:tcPr>
            <w:tcW w:w="140" w:type="dxa"/>
            <w:vAlign w:val="bottom"/>
          </w:tcPr>
          <w:p>
            <w:pPr>
              <w:spacing w:after="0"/>
              <w:rPr>
                <w:sz w:val="20"/>
                <w:szCs w:val="20"/>
                <w:color w:val="auto"/>
              </w:rPr>
            </w:pPr>
          </w:p>
        </w:tc>
      </w:tr>
      <w:tr>
        <w:trPr>
          <w:trHeight w:val="24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20,700</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30,462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33,794</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14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1"/>
                <w:szCs w:val="21"/>
                <w:color w:val="auto"/>
              </w:rPr>
            </w:pPr>
          </w:p>
        </w:tc>
      </w:tr>
      <w:tr>
        <w:trPr>
          <w:trHeight w:val="236"/>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37,237</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42,136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$0.0001 par value - 200,000 shares authorized;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22,210 and 21,702 shares issued and outstanding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40" w:type="dxa"/>
            <w:vAlign w:val="bottom"/>
          </w:tcPr>
          <w:p>
            <w:pPr>
              <w:ind w:left="340"/>
              <w:spacing w:after="0"/>
              <w:rPr>
                <w:sz w:val="20"/>
                <w:szCs w:val="20"/>
                <w:color w:val="auto"/>
              </w:rPr>
            </w:pPr>
            <w:r>
              <w:rPr>
                <w:rFonts w:ascii="Arial" w:cs="Arial" w:eastAsia="Arial" w:hAnsi="Arial"/>
                <w:sz w:val="18"/>
                <w:szCs w:val="18"/>
                <w:color w:val="auto"/>
              </w:rPr>
              <w:t>June 30, 2023 and December 31, 2022</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758,542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716,343</w:t>
            </w:r>
          </w:p>
        </w:tc>
        <w:tc>
          <w:tcPr>
            <w:tcW w:w="14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(50,277 )</w:t>
            </w: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(7,865 )</w:t>
            </w:r>
          </w:p>
        </w:tc>
      </w:tr>
      <w:tr>
        <w:trPr>
          <w:trHeight w:val="237"/>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708,267</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708,480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745,504</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750,616</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-3625215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-3625215</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-2682240</wp:posOffset>
            </wp:positionV>
            <wp:extent cx="129476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4765"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-2039620</wp:posOffset>
            </wp:positionV>
            <wp:extent cx="8572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-2039620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-1405255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-1405255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79,418</w:t>
            </w:r>
          </w:p>
        </w:tc>
        <w:tc>
          <w:tcPr>
            <w:tcW w:w="5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149,671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26,744</w:t>
            </w:r>
          </w:p>
        </w:tc>
        <w:tc>
          <w:tcPr>
            <w:tcW w:w="5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27,592</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52,674</w:t>
            </w:r>
          </w:p>
        </w:tc>
        <w:tc>
          <w:tcPr>
            <w:tcW w:w="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22,017</w:t>
            </w: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21,276</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18,376</w:t>
            </w:r>
          </w:p>
        </w:tc>
        <w:tc>
          <w:tcPr>
            <w:tcW w:w="5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42,009</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47,843</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40,393</w:t>
            </w:r>
          </w:p>
        </w:tc>
        <w:tc>
          <w:tcPr>
            <w:tcW w:w="5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93,033</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79,566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(32,405 )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12,281</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(54,555 )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(161 )</w:t>
            </w:r>
          </w:p>
        </w:tc>
        <w:tc>
          <w:tcPr>
            <w:tcW w:w="320" w:type="dxa"/>
            <w:vAlign w:val="bottom"/>
          </w:tcPr>
          <w:p>
            <w:pPr>
              <w:spacing w:after="0"/>
              <w:rPr>
                <w:sz w:val="21"/>
                <w:szCs w:val="21"/>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(173 )</w:t>
            </w:r>
          </w:p>
        </w:tc>
        <w:tc>
          <w:tcPr>
            <w:tcW w:w="300" w:type="dxa"/>
            <w:vAlign w:val="bottom"/>
          </w:tcPr>
          <w:p>
            <w:pPr>
              <w:spacing w:after="0"/>
              <w:rPr>
                <w:sz w:val="21"/>
                <w:szCs w:val="21"/>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(61 )</w:t>
            </w:r>
          </w:p>
        </w:tc>
        <w:tc>
          <w:tcPr>
            <w:tcW w:w="3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(25,899</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12,911</w:t>
            </w:r>
          </w:p>
        </w:tc>
        <w:tc>
          <w:tcPr>
            <w:tcW w:w="5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(42,319</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(23 )</w:t>
            </w:r>
          </w:p>
        </w:tc>
        <w:tc>
          <w:tcPr>
            <w:tcW w:w="320" w:type="dxa"/>
            <w:vAlign w:val="bottom"/>
          </w:tcPr>
          <w:p>
            <w:pPr>
              <w:spacing w:after="0"/>
              <w:rPr>
                <w:sz w:val="21"/>
                <w:szCs w:val="21"/>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(52 )</w:t>
            </w:r>
          </w:p>
        </w:tc>
        <w:tc>
          <w:tcPr>
            <w:tcW w:w="300" w:type="dxa"/>
            <w:vAlign w:val="bottom"/>
          </w:tcPr>
          <w:p>
            <w:pPr>
              <w:spacing w:after="0"/>
              <w:rPr>
                <w:sz w:val="21"/>
                <w:szCs w:val="21"/>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(93 )</w:t>
            </w:r>
          </w:p>
        </w:tc>
        <w:tc>
          <w:tcPr>
            <w:tcW w:w="3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7"/>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12,859</w:t>
            </w:r>
          </w:p>
        </w:tc>
        <w:tc>
          <w:tcPr>
            <w:tcW w:w="5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(42,412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20"/>
              <w:spacing w:after="0" w:line="195" w:lineRule="exact"/>
              <w:rPr>
                <w:sz w:val="20"/>
                <w:szCs w:val="20"/>
                <w:color w:val="auto"/>
              </w:rPr>
            </w:pPr>
            <w:r>
              <w:rPr>
                <w:rFonts w:ascii="Arial" w:cs="Arial" w:eastAsia="Arial" w:hAnsi="Arial"/>
                <w:sz w:val="18"/>
                <w:szCs w:val="18"/>
                <w:color w:val="auto"/>
                <w:w w:val="99"/>
              </w:rPr>
              <w:t>Net income (loss) attributable to common stockholders and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(25,922 )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12,859</w:t>
            </w:r>
          </w:p>
        </w:tc>
        <w:tc>
          <w:tcPr>
            <w:tcW w:w="500" w:type="dxa"/>
            <w:vAlign w:val="bottom"/>
          </w:tcPr>
          <w:p>
            <w:pPr>
              <w:spacing w:after="0"/>
              <w:rPr>
                <w:sz w:val="17"/>
                <w:szCs w:val="17"/>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(42,412 )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18,999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 (loss)</w:t>
            </w:r>
          </w:p>
        </w:tc>
        <w:tc>
          <w:tcPr>
            <w:tcW w:w="3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Net income (loss) per share attributable to common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basic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(1.17 )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(1.93 )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stockholders,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(1.17 )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0.57</w:t>
            </w:r>
          </w:p>
        </w:tc>
        <w:tc>
          <w:tcPr>
            <w:tcW w:w="5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(1.93 )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shares used to compute basic</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w:t>
            </w: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Weighted-average shares used to compute diluted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22,721</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21,934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-2425700</wp:posOffset>
            </wp:positionV>
            <wp:extent cx="857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-2425700</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-2425700</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-2425700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-1473835</wp:posOffset>
            </wp:positionV>
            <wp:extent cx="330073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0730" cy="31750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496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r>
      <w:tr>
        <w:trPr>
          <w:trHeight w:val="169"/>
        </w:trPr>
        <w:tc>
          <w:tcPr>
            <w:tcW w:w="4960" w:type="dxa"/>
            <w:vAlign w:val="bottom"/>
          </w:tcPr>
          <w:p>
            <w:pPr>
              <w:spacing w:after="0"/>
              <w:rPr>
                <w:sz w:val="14"/>
                <w:szCs w:val="14"/>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06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r>
      <w:tr>
        <w:trPr>
          <w:trHeight w:val="237"/>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6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738,013</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713,660</w:t>
            </w:r>
          </w:p>
        </w:tc>
        <w:tc>
          <w:tcPr>
            <w:tcW w:w="140" w:type="dxa"/>
            <w:vAlign w:val="bottom"/>
            <w:shd w:val="clear" w:color="auto" w:fill="CFF0FC"/>
          </w:tcPr>
          <w:p>
            <w:pPr>
              <w:spacing w:after="0"/>
              <w:rPr>
                <w:sz w:val="20"/>
                <w:szCs w:val="20"/>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21,042</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(25,922 )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(25,922 )</w:t>
            </w:r>
          </w:p>
        </w:tc>
      </w:tr>
      <w:tr>
        <w:trPr>
          <w:trHeight w:val="215"/>
        </w:trPr>
        <w:tc>
          <w:tcPr>
            <w:tcW w:w="49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At-The-Market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w w:val="94"/>
              </w:rPr>
              <w:t>offering net of underwriting discounts and commissions and other</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Issuance of shares upon vesting of restricted stock units,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(9,127 )</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(9,127 )</w:t>
            </w:r>
          </w:p>
        </w:tc>
      </w:tr>
      <w:tr>
        <w:trPr>
          <w:trHeight w:val="23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32"/>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060" w:type="dxa"/>
            <w:vAlign w:val="bottom"/>
          </w:tcPr>
          <w:p>
            <w:pPr>
              <w:jc w:val="right"/>
              <w:spacing w:after="0"/>
              <w:rPr>
                <w:sz w:val="20"/>
                <w:szCs w:val="20"/>
                <w:color w:val="auto"/>
              </w:rPr>
            </w:pPr>
            <w:r>
              <w:rPr>
                <w:rFonts w:ascii="Arial" w:cs="Arial" w:eastAsia="Arial" w:hAnsi="Arial"/>
                <w:sz w:val="18"/>
                <w:szCs w:val="18"/>
                <w:color w:val="auto"/>
              </w:rPr>
              <w:t>22,210</w:t>
            </w:r>
          </w:p>
        </w:tc>
        <w:tc>
          <w:tcPr>
            <w:tcW w:w="260" w:type="dxa"/>
            <w:vAlign w:val="bottom"/>
          </w:tcPr>
          <w:p>
            <w:pPr>
              <w:spacing w:after="0"/>
              <w:rPr>
                <w:sz w:val="20"/>
                <w:szCs w:val="20"/>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758,542</w:t>
            </w:r>
          </w:p>
        </w:tc>
        <w:tc>
          <w:tcPr>
            <w:tcW w:w="26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(50,277 )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708,267</w:t>
            </w:r>
          </w:p>
        </w:tc>
        <w:tc>
          <w:tcPr>
            <w:tcW w:w="14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4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21,042</w:t>
            </w:r>
          </w:p>
        </w:tc>
        <w:tc>
          <w:tcPr>
            <w:tcW w:w="1060" w:type="dxa"/>
            <w:vAlign w:val="bottom"/>
            <w:gridSpan w:val="2"/>
            <w:shd w:val="clear" w:color="auto" w:fill="CFF0FC"/>
          </w:tcPr>
          <w:p>
            <w:pPr>
              <w:jc w:val="right"/>
              <w:ind w:right="5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678,851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(24,979 )</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653,874</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10,413</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12,859</w:t>
            </w:r>
          </w:p>
        </w:tc>
        <w:tc>
          <w:tcPr>
            <w:tcW w:w="140" w:type="dxa"/>
            <w:vAlign w:val="bottom"/>
            <w:shd w:val="clear" w:color="auto" w:fill="CFF0FC"/>
          </w:tcPr>
          <w:p>
            <w:pPr>
              <w:spacing w:after="0"/>
              <w:rPr>
                <w:sz w:val="21"/>
                <w:szCs w:val="2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At-The-Market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20,080</w:t>
            </w:r>
          </w:p>
        </w:tc>
        <w:tc>
          <w:tcPr>
            <w:tcW w:w="140" w:type="dxa"/>
            <w:vAlign w:val="bottom"/>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w w:val="94"/>
              </w:rPr>
              <w:t>offering net of underwriting discounts and commissions and other</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Issuance of shares upon vesting of restricted stock units,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(16,942 )</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(16,942 )</w:t>
            </w:r>
          </w:p>
        </w:tc>
      </w:tr>
      <w:tr>
        <w:trPr>
          <w:trHeight w:val="23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32"/>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060" w:type="dxa"/>
            <w:vAlign w:val="bottom"/>
          </w:tcPr>
          <w:p>
            <w:pPr>
              <w:jc w:val="right"/>
              <w:spacing w:after="0"/>
              <w:rPr>
                <w:sz w:val="20"/>
                <w:szCs w:val="20"/>
                <w:color w:val="auto"/>
              </w:rPr>
            </w:pPr>
            <w:r>
              <w:rPr>
                <w:rFonts w:ascii="Arial" w:cs="Arial" w:eastAsia="Arial" w:hAnsi="Arial"/>
                <w:sz w:val="18"/>
                <w:szCs w:val="18"/>
                <w:color w:val="auto"/>
              </w:rPr>
              <w:t>21,286</w:t>
            </w:r>
          </w:p>
        </w:tc>
        <w:tc>
          <w:tcPr>
            <w:tcW w:w="260" w:type="dxa"/>
            <w:vAlign w:val="bottom"/>
          </w:tcPr>
          <w:p>
            <w:pPr>
              <w:spacing w:after="0"/>
              <w:rPr>
                <w:sz w:val="20"/>
                <w:szCs w:val="20"/>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692,402</w:t>
            </w:r>
          </w:p>
        </w:tc>
        <w:tc>
          <w:tcPr>
            <w:tcW w:w="26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(12,120 )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680,284</w:t>
            </w:r>
          </w:p>
        </w:tc>
        <w:tc>
          <w:tcPr>
            <w:tcW w:w="14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4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21,702</w:t>
            </w:r>
          </w:p>
        </w:tc>
        <w:tc>
          <w:tcPr>
            <w:tcW w:w="1060" w:type="dxa"/>
            <w:vAlign w:val="bottom"/>
            <w:gridSpan w:val="2"/>
            <w:shd w:val="clear" w:color="auto" w:fill="CFF0FC"/>
          </w:tcPr>
          <w:p>
            <w:pPr>
              <w:jc w:val="right"/>
              <w:ind w:right="5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716,343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(7,865 )</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708,480</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40,178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40,178</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(42,412 )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(42,412 )</w:t>
            </w:r>
          </w:p>
        </w:tc>
      </w:tr>
      <w:tr>
        <w:trPr>
          <w:trHeight w:val="215"/>
        </w:trPr>
        <w:tc>
          <w:tcPr>
            <w:tcW w:w="49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At-The-Market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21,363</w:t>
            </w:r>
          </w:p>
        </w:tc>
        <w:tc>
          <w:tcPr>
            <w:tcW w:w="140" w:type="dxa"/>
            <w:vAlign w:val="bottom"/>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w w:val="94"/>
              </w:rPr>
              <w:t>offering net of underwriting discounts and commissions and other</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Issuance of shares upon vesting of restricted stock units,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(19,342 )</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(19,342 )</w:t>
            </w:r>
          </w:p>
        </w:tc>
      </w:tr>
      <w:tr>
        <w:trPr>
          <w:trHeight w:val="23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32"/>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060" w:type="dxa"/>
            <w:vAlign w:val="bottom"/>
          </w:tcPr>
          <w:p>
            <w:pPr>
              <w:jc w:val="right"/>
              <w:spacing w:after="0"/>
              <w:rPr>
                <w:sz w:val="20"/>
                <w:szCs w:val="20"/>
                <w:color w:val="auto"/>
              </w:rPr>
            </w:pPr>
            <w:r>
              <w:rPr>
                <w:rFonts w:ascii="Arial" w:cs="Arial" w:eastAsia="Arial" w:hAnsi="Arial"/>
                <w:sz w:val="18"/>
                <w:szCs w:val="18"/>
                <w:color w:val="auto"/>
              </w:rPr>
              <w:t>22,210</w:t>
            </w:r>
          </w:p>
        </w:tc>
        <w:tc>
          <w:tcPr>
            <w:tcW w:w="260" w:type="dxa"/>
            <w:vAlign w:val="bottom"/>
          </w:tcPr>
          <w:p>
            <w:pPr>
              <w:spacing w:after="0"/>
              <w:rPr>
                <w:sz w:val="20"/>
                <w:szCs w:val="20"/>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758,542</w:t>
            </w:r>
          </w:p>
        </w:tc>
        <w:tc>
          <w:tcPr>
            <w:tcW w:w="26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(50,277 )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708,267</w:t>
            </w:r>
          </w:p>
        </w:tc>
        <w:tc>
          <w:tcPr>
            <w:tcW w:w="14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4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20,825</w:t>
            </w:r>
          </w:p>
        </w:tc>
        <w:tc>
          <w:tcPr>
            <w:tcW w:w="1060" w:type="dxa"/>
            <w:vAlign w:val="bottom"/>
            <w:gridSpan w:val="2"/>
            <w:shd w:val="clear" w:color="auto" w:fill="CFF0FC"/>
          </w:tcPr>
          <w:p>
            <w:pPr>
              <w:jc w:val="right"/>
              <w:ind w:right="5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663,614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(31,119 )</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632,497</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25,650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25,650</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18,999</w:t>
            </w:r>
          </w:p>
        </w:tc>
        <w:tc>
          <w:tcPr>
            <w:tcW w:w="140" w:type="dxa"/>
            <w:vAlign w:val="bottom"/>
            <w:shd w:val="clear" w:color="auto" w:fill="CFF0FC"/>
          </w:tcPr>
          <w:p>
            <w:pPr>
              <w:spacing w:after="0"/>
              <w:rPr>
                <w:sz w:val="21"/>
                <w:szCs w:val="2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At-The-Market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20,080</w:t>
            </w:r>
          </w:p>
        </w:tc>
        <w:tc>
          <w:tcPr>
            <w:tcW w:w="140" w:type="dxa"/>
            <w:vAlign w:val="bottom"/>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w w:val="94"/>
              </w:rPr>
              <w:t>offering net of underwriting discounts and commissions and other</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Issuance of shares upon vesting of restricted stock units,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(16,942 )</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(16,942 )</w:t>
            </w:r>
          </w:p>
        </w:tc>
      </w:tr>
      <w:tr>
        <w:trPr>
          <w:trHeight w:val="23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32"/>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060" w:type="dxa"/>
            <w:vAlign w:val="bottom"/>
          </w:tcPr>
          <w:p>
            <w:pPr>
              <w:jc w:val="right"/>
              <w:spacing w:after="0"/>
              <w:rPr>
                <w:sz w:val="20"/>
                <w:szCs w:val="20"/>
                <w:color w:val="auto"/>
              </w:rPr>
            </w:pPr>
            <w:r>
              <w:rPr>
                <w:rFonts w:ascii="Arial" w:cs="Arial" w:eastAsia="Arial" w:hAnsi="Arial"/>
                <w:sz w:val="18"/>
                <w:szCs w:val="18"/>
                <w:color w:val="auto"/>
              </w:rPr>
              <w:t>21,286</w:t>
            </w:r>
          </w:p>
        </w:tc>
        <w:tc>
          <w:tcPr>
            <w:tcW w:w="106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692,402</w:t>
            </w:r>
          </w:p>
        </w:tc>
        <w:tc>
          <w:tcPr>
            <w:tcW w:w="26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(12,120 )</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680,284</w:t>
            </w:r>
          </w:p>
        </w:tc>
        <w:tc>
          <w:tcPr>
            <w:tcW w:w="14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-4740275</wp:posOffset>
            </wp:positionV>
            <wp:extent cx="85725"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-4740275</wp:posOffset>
            </wp:positionV>
            <wp:extent cx="7683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-4740275</wp:posOffset>
            </wp:positionV>
            <wp:extent cx="8572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-4740275</wp:posOffset>
            </wp:positionV>
            <wp:extent cx="8572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-4740275</wp:posOffset>
            </wp:positionV>
            <wp:extent cx="8572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-3222625</wp:posOffset>
            </wp:positionV>
            <wp:extent cx="8572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-3222625</wp:posOffset>
            </wp:positionV>
            <wp:extent cx="76835"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-3222625</wp:posOffset>
            </wp:positionV>
            <wp:extent cx="85725"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-3222625</wp:posOffset>
            </wp:positionV>
            <wp:extent cx="8572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-3222625</wp:posOffset>
            </wp:positionV>
            <wp:extent cx="8572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-1705610</wp:posOffset>
            </wp:positionV>
            <wp:extent cx="8572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-1705610</wp:posOffset>
            </wp:positionV>
            <wp:extent cx="76835"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-1705610</wp:posOffset>
            </wp:positionV>
            <wp:extent cx="8572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-1705610</wp:posOffset>
            </wp:positionV>
            <wp:extent cx="85725"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-1705610</wp:posOffset>
            </wp:positionV>
            <wp:extent cx="8572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-187960</wp:posOffset>
            </wp:positionV>
            <wp:extent cx="8572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-187960</wp:posOffset>
            </wp:positionV>
            <wp:extent cx="7683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8572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857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ind w:right="761"/>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(42,412 )</w:t>
            </w: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18,999</w:t>
            </w:r>
          </w:p>
        </w:tc>
        <w:tc>
          <w:tcPr>
            <w:tcW w:w="140" w:type="dxa"/>
            <w:vAlign w:val="bottom"/>
          </w:tcPr>
          <w:p>
            <w:pPr>
              <w:spacing w:after="0"/>
              <w:rPr>
                <w:sz w:val="19"/>
                <w:szCs w:val="19"/>
                <w:color w:val="auto"/>
              </w:rPr>
            </w:pPr>
          </w:p>
        </w:tc>
      </w:tr>
      <w:tr>
        <w:trPr>
          <w:trHeight w:val="205"/>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income (loss) to net cash provided by</w:t>
            </w: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operating activities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20" w:type="dxa"/>
            <w:vAlign w:val="bottom"/>
          </w:tcPr>
          <w:p>
            <w:pPr>
              <w:ind w:left="38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7,747</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5,269</w:t>
            </w:r>
          </w:p>
        </w:tc>
        <w:tc>
          <w:tcPr>
            <w:tcW w:w="140" w:type="dxa"/>
            <w:vAlign w:val="bottom"/>
          </w:tcPr>
          <w:p>
            <w:pPr>
              <w:spacing w:after="0"/>
              <w:rPr>
                <w:sz w:val="19"/>
                <w:szCs w:val="19"/>
                <w:color w:val="auto"/>
              </w:rPr>
            </w:pPr>
          </w:p>
        </w:tc>
      </w:tr>
      <w:tr>
        <w:trPr>
          <w:trHeight w:val="236"/>
        </w:trPr>
        <w:tc>
          <w:tcPr>
            <w:tcW w:w="76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Stock-based compensation expense</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39,696</w:t>
            </w: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26,092</w:t>
            </w:r>
          </w:p>
        </w:tc>
        <w:tc>
          <w:tcPr>
            <w:tcW w:w="140" w:type="dxa"/>
            <w:vAlign w:val="bottom"/>
            <w:shd w:val="clear" w:color="auto" w:fill="CFF0FC"/>
          </w:tcPr>
          <w:p>
            <w:pPr>
              <w:spacing w:after="0"/>
              <w:rPr>
                <w:sz w:val="20"/>
                <w:szCs w:val="20"/>
                <w:color w:val="auto"/>
              </w:rPr>
            </w:pPr>
          </w:p>
        </w:tc>
      </w:tr>
      <w:tr>
        <w:trPr>
          <w:trHeight w:val="223"/>
        </w:trPr>
        <w:tc>
          <w:tcPr>
            <w:tcW w:w="7620" w:type="dxa"/>
            <w:vAlign w:val="bottom"/>
          </w:tcPr>
          <w:p>
            <w:pPr>
              <w:ind w:left="380"/>
              <w:spacing w:after="0"/>
              <w:rPr>
                <w:sz w:val="20"/>
                <w:szCs w:val="20"/>
                <w:color w:val="auto"/>
              </w:rPr>
            </w:pPr>
            <w:r>
              <w:rPr>
                <w:rFonts w:ascii="Arial" w:cs="Arial" w:eastAsia="Arial" w:hAnsi="Arial"/>
                <w:sz w:val="17"/>
                <w:szCs w:val="17"/>
                <w:color w:val="auto"/>
              </w:rPr>
              <w:t>Unrealized interest on held to maturity securities</w:t>
            </w:r>
          </w:p>
        </w:tc>
        <w:tc>
          <w:tcPr>
            <w:tcW w:w="940" w:type="dxa"/>
            <w:vAlign w:val="bottom"/>
          </w:tcPr>
          <w:p>
            <w:pPr>
              <w:spacing w:after="0"/>
              <w:rPr>
                <w:sz w:val="19"/>
                <w:szCs w:val="19"/>
                <w:color w:val="auto"/>
              </w:rPr>
            </w:pP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(12,027 )</w:t>
            </w:r>
          </w:p>
        </w:tc>
        <w:tc>
          <w:tcPr>
            <w:tcW w:w="980" w:type="dxa"/>
            <w:vAlign w:val="bottom"/>
          </w:tcPr>
          <w:p>
            <w:pPr>
              <w:spacing w:after="0"/>
              <w:rPr>
                <w:sz w:val="19"/>
                <w:szCs w:val="19"/>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6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Changes in assets and liabilities: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20" w:type="dxa"/>
            <w:vAlign w:val="bottom"/>
          </w:tcPr>
          <w:p>
            <w:pPr>
              <w:ind w:left="560"/>
              <w:spacing w:after="0"/>
              <w:rPr>
                <w:sz w:val="20"/>
                <w:szCs w:val="20"/>
                <w:color w:val="auto"/>
              </w:rPr>
            </w:pPr>
            <w:r>
              <w:rPr>
                <w:rFonts w:ascii="Arial" w:cs="Arial" w:eastAsia="Arial" w:hAnsi="Arial"/>
                <w:sz w:val="17"/>
                <w:szCs w:val="17"/>
                <w:color w:val="auto"/>
              </w:rPr>
              <w:t>Accounts receivable, net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25,460</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(348 )</w:t>
            </w:r>
          </w:p>
        </w:tc>
      </w:tr>
      <w:tr>
        <w:trPr>
          <w:trHeight w:val="236"/>
        </w:trPr>
        <w:tc>
          <w:tcPr>
            <w:tcW w:w="76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Inventories</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(6,602 )</w:t>
            </w:r>
          </w:p>
        </w:tc>
        <w:tc>
          <w:tcPr>
            <w:tcW w:w="9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6"/>
              </w:rPr>
              <w:t>(10,753 )</w:t>
            </w:r>
          </w:p>
        </w:tc>
      </w:tr>
      <w:tr>
        <w:trPr>
          <w:trHeight w:val="223"/>
        </w:trPr>
        <w:tc>
          <w:tcPr>
            <w:tcW w:w="7620" w:type="dxa"/>
            <w:vAlign w:val="bottom"/>
          </w:tcPr>
          <w:p>
            <w:pPr>
              <w:ind w:left="560"/>
              <w:spacing w:after="0"/>
              <w:rPr>
                <w:sz w:val="20"/>
                <w:szCs w:val="20"/>
                <w:color w:val="auto"/>
              </w:rPr>
            </w:pPr>
            <w:r>
              <w:rPr>
                <w:rFonts w:ascii="Arial" w:cs="Arial" w:eastAsia="Arial" w:hAnsi="Arial"/>
                <w:sz w:val="17"/>
                <w:szCs w:val="17"/>
                <w:color w:val="auto"/>
              </w:rPr>
              <w:t>Prepaid expenses and other assets</w:t>
            </w:r>
          </w:p>
        </w:tc>
        <w:tc>
          <w:tcPr>
            <w:tcW w:w="940" w:type="dxa"/>
            <w:vAlign w:val="bottom"/>
          </w:tcPr>
          <w:p>
            <w:pPr>
              <w:spacing w:after="0"/>
              <w:rPr>
                <w:sz w:val="19"/>
                <w:szCs w:val="19"/>
                <w:color w:val="auto"/>
              </w:rPr>
            </w:pP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(2,976 )</w:t>
            </w:r>
          </w:p>
        </w:tc>
        <w:tc>
          <w:tcPr>
            <w:tcW w:w="9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(1,702 )</w:t>
            </w:r>
          </w:p>
        </w:tc>
      </w:tr>
      <w:tr>
        <w:trPr>
          <w:trHeight w:val="236"/>
        </w:trPr>
        <w:tc>
          <w:tcPr>
            <w:tcW w:w="76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(5,210 )</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1,266</w:t>
            </w:r>
          </w:p>
        </w:tc>
        <w:tc>
          <w:tcPr>
            <w:tcW w:w="140" w:type="dxa"/>
            <w:vAlign w:val="bottom"/>
            <w:shd w:val="clear" w:color="auto" w:fill="CFF0FC"/>
          </w:tcPr>
          <w:p>
            <w:pPr>
              <w:spacing w:after="0"/>
              <w:rPr>
                <w:sz w:val="20"/>
                <w:szCs w:val="20"/>
                <w:color w:val="auto"/>
              </w:rPr>
            </w:pPr>
          </w:p>
        </w:tc>
      </w:tr>
      <w:tr>
        <w:trPr>
          <w:trHeight w:val="223"/>
        </w:trPr>
        <w:tc>
          <w:tcPr>
            <w:tcW w:w="7620" w:type="dxa"/>
            <w:vAlign w:val="bottom"/>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940" w:type="dxa"/>
            <w:vAlign w:val="bottom"/>
          </w:tcPr>
          <w:p>
            <w:pPr>
              <w:spacing w:after="0"/>
              <w:rPr>
                <w:sz w:val="19"/>
                <w:szCs w:val="19"/>
                <w:color w:val="auto"/>
              </w:rPr>
            </w:pP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(1,000 )</w:t>
            </w:r>
          </w:p>
        </w:tc>
        <w:tc>
          <w:tcPr>
            <w:tcW w:w="9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(3,486 )</w:t>
            </w:r>
          </w:p>
        </w:tc>
      </w:tr>
      <w:tr>
        <w:trPr>
          <w:trHeight w:val="228"/>
        </w:trPr>
        <w:tc>
          <w:tcPr>
            <w:tcW w:w="762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35,337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held to maturity securities</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w w:val="90"/>
              </w:rPr>
              <w:t>(536,558 )</w:t>
            </w:r>
          </w:p>
        </w:tc>
        <w:tc>
          <w:tcPr>
            <w:tcW w:w="9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23"/>
        </w:trPr>
        <w:tc>
          <w:tcPr>
            <w:tcW w:w="7620" w:type="dxa"/>
            <w:vAlign w:val="bottom"/>
          </w:tcPr>
          <w:p>
            <w:pPr>
              <w:ind w:left="200"/>
              <w:spacing w:after="0"/>
              <w:rPr>
                <w:sz w:val="20"/>
                <w:szCs w:val="20"/>
                <w:color w:val="auto"/>
              </w:rPr>
            </w:pPr>
            <w:r>
              <w:rPr>
                <w:rFonts w:ascii="Arial" w:cs="Arial" w:eastAsia="Arial" w:hAnsi="Arial"/>
                <w:sz w:val="17"/>
                <w:szCs w:val="17"/>
                <w:color w:val="auto"/>
              </w:rPr>
              <w:t>Proceeds from maturity of held to maturity securities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533,780</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(3,676 )</w:t>
            </w:r>
          </w:p>
        </w:tc>
        <w:tc>
          <w:tcPr>
            <w:tcW w:w="9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6"/>
              </w:rPr>
              <w:t>(17,241 )</w:t>
            </w:r>
          </w:p>
        </w:tc>
      </w:tr>
      <w:tr>
        <w:trPr>
          <w:trHeight w:val="227"/>
        </w:trPr>
        <w:tc>
          <w:tcPr>
            <w:tcW w:w="7620" w:type="dxa"/>
            <w:vAlign w:val="bottom"/>
          </w:tcPr>
          <w:p>
            <w:pPr>
              <w:ind w:left="200"/>
              <w:spacing w:after="0"/>
              <w:rPr>
                <w:sz w:val="20"/>
                <w:szCs w:val="20"/>
                <w:color w:val="auto"/>
              </w:rPr>
            </w:pPr>
            <w:r>
              <w:rPr>
                <w:rFonts w:ascii="Arial" w:cs="Arial" w:eastAsia="Arial" w:hAnsi="Arial"/>
                <w:sz w:val="17"/>
                <w:szCs w:val="17"/>
                <w:color w:val="auto"/>
              </w:rPr>
              <w:t>Cash paid for intangibles</w:t>
            </w:r>
          </w:p>
        </w:tc>
        <w:tc>
          <w:tcPr>
            <w:tcW w:w="940" w:type="dxa"/>
            <w:vAlign w:val="bottom"/>
          </w:tcPr>
          <w:p>
            <w:pPr>
              <w:spacing w:after="0"/>
              <w:rPr>
                <w:sz w:val="19"/>
                <w:szCs w:val="19"/>
                <w:color w:val="auto"/>
              </w:rPr>
            </w:pPr>
          </w:p>
        </w:tc>
        <w:tc>
          <w:tcPr>
            <w:tcW w:w="960" w:type="dxa"/>
            <w:vAlign w:val="bottom"/>
            <w:gridSpan w:val="2"/>
          </w:tcPr>
          <w:p>
            <w:pPr>
              <w:jc w:val="right"/>
              <w:ind w:right="155"/>
              <w:spacing w:after="0"/>
              <w:rPr>
                <w:sz w:val="20"/>
                <w:szCs w:val="20"/>
                <w:color w:val="auto"/>
              </w:rPr>
            </w:pPr>
            <w:r>
              <w:rPr>
                <w:rFonts w:ascii="Arial" w:cs="Arial" w:eastAsia="Arial" w:hAnsi="Arial"/>
                <w:sz w:val="17"/>
                <w:szCs w:val="17"/>
                <w:color w:val="auto"/>
              </w:rPr>
              <w:t>(2,471 )</w:t>
            </w:r>
          </w:p>
        </w:tc>
        <w:tc>
          <w:tcPr>
            <w:tcW w:w="9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(404 )</w:t>
            </w:r>
          </w:p>
        </w:tc>
      </w:tr>
      <w:tr>
        <w:trPr>
          <w:trHeight w:val="223"/>
        </w:trPr>
        <w:tc>
          <w:tcPr>
            <w:tcW w:w="76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(8,925</w:t>
            </w:r>
          </w:p>
        </w:tc>
        <w:tc>
          <w:tcPr>
            <w:tcW w:w="3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(17,645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(19,342 )</w:t>
            </w:r>
          </w:p>
        </w:tc>
        <w:tc>
          <w:tcPr>
            <w:tcW w:w="9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6"/>
              </w:rPr>
              <w:t>(16,942 )</w:t>
            </w:r>
          </w:p>
        </w:tc>
      </w:tr>
      <w:tr>
        <w:trPr>
          <w:trHeight w:val="223"/>
        </w:trPr>
        <w:tc>
          <w:tcPr>
            <w:tcW w:w="7620" w:type="dxa"/>
            <w:vAlign w:val="bottom"/>
          </w:tcPr>
          <w:p>
            <w:pPr>
              <w:ind w:left="200"/>
              <w:spacing w:after="0"/>
              <w:rPr>
                <w:sz w:val="20"/>
                <w:szCs w:val="20"/>
                <w:color w:val="auto"/>
              </w:rPr>
            </w:pPr>
            <w:r>
              <w:rPr>
                <w:rFonts w:ascii="Arial" w:cs="Arial" w:eastAsia="Arial" w:hAnsi="Arial"/>
                <w:sz w:val="17"/>
                <w:szCs w:val="17"/>
                <w:color w:val="auto"/>
              </w:rPr>
              <w:t>Proceeds from public offering</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21,976</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20,592</w:t>
            </w:r>
          </w:p>
        </w:tc>
        <w:tc>
          <w:tcPr>
            <w:tcW w:w="140" w:type="dxa"/>
            <w:vAlign w:val="bottom"/>
          </w:tcPr>
          <w:p>
            <w:pPr>
              <w:spacing w:after="0"/>
              <w:rPr>
                <w:sz w:val="19"/>
                <w:szCs w:val="19"/>
                <w:color w:val="auto"/>
              </w:rPr>
            </w:pPr>
          </w:p>
        </w:tc>
      </w:tr>
      <w:tr>
        <w:trPr>
          <w:trHeight w:val="234"/>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for offering costs</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(613 )</w:t>
            </w:r>
          </w:p>
        </w:tc>
        <w:tc>
          <w:tcPr>
            <w:tcW w:w="9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(512 )</w:t>
            </w:r>
          </w:p>
        </w:tc>
      </w:tr>
      <w:tr>
        <w:trPr>
          <w:trHeight w:val="223"/>
        </w:trPr>
        <w:tc>
          <w:tcPr>
            <w:tcW w:w="7620" w:type="dxa"/>
            <w:vAlign w:val="bottom"/>
            <w:tcBorders>
              <w:top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32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3,138</w:t>
            </w:r>
          </w:p>
        </w:tc>
        <w:tc>
          <w:tcPr>
            <w:tcW w:w="140" w:type="dxa"/>
            <w:vAlign w:val="bottom"/>
            <w:tcBorders>
              <w:top w:val="single" w:sz="8" w:color="CFF0FC"/>
            </w:tcBorders>
          </w:tcPr>
          <w:p>
            <w:pPr>
              <w:spacing w:after="0"/>
              <w:rPr>
                <w:sz w:val="19"/>
                <w:szCs w:val="19"/>
                <w:color w:val="auto"/>
              </w:rPr>
            </w:pPr>
          </w:p>
        </w:tc>
      </w:tr>
      <w:tr>
        <w:trPr>
          <w:trHeight w:val="225"/>
        </w:trPr>
        <w:tc>
          <w:tcPr>
            <w:tcW w:w="76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Net increase (decrease) in cash and cash equivalents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(4,228</w:t>
            </w:r>
          </w:p>
        </w:tc>
        <w:tc>
          <w:tcPr>
            <w:tcW w:w="32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20,830</w:t>
            </w:r>
          </w:p>
        </w:tc>
        <w:tc>
          <w:tcPr>
            <w:tcW w:w="140" w:type="dxa"/>
            <w:vAlign w:val="bottom"/>
            <w:shd w:val="clear" w:color="auto" w:fill="CFF0FC"/>
          </w:tcPr>
          <w:p>
            <w:pPr>
              <w:spacing w:after="0"/>
              <w:rPr>
                <w:sz w:val="19"/>
                <w:szCs w:val="19"/>
                <w:color w:val="auto"/>
              </w:rPr>
            </w:pPr>
          </w:p>
        </w:tc>
      </w:tr>
      <w:tr>
        <w:trPr>
          <w:trHeight w:val="225"/>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2"/>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Beginning of period</w:t>
            </w:r>
          </w:p>
        </w:tc>
        <w:tc>
          <w:tcPr>
            <w:tcW w:w="9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34,603</w:t>
            </w:r>
          </w:p>
        </w:tc>
        <w:tc>
          <w:tcPr>
            <w:tcW w:w="3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559,461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5"/>
        </w:trPr>
        <w:tc>
          <w:tcPr>
            <w:tcW w:w="7620" w:type="dxa"/>
            <w:vAlign w:val="bottom"/>
          </w:tcPr>
          <w:p>
            <w:pPr>
              <w:ind w:left="200"/>
              <w:spacing w:after="0"/>
              <w:rPr>
                <w:sz w:val="20"/>
                <w:szCs w:val="20"/>
                <w:color w:val="auto"/>
              </w:rPr>
            </w:pPr>
            <w:r>
              <w:rPr>
                <w:rFonts w:ascii="Arial" w:cs="Arial" w:eastAsia="Arial" w:hAnsi="Arial"/>
                <w:sz w:val="17"/>
                <w:szCs w:val="17"/>
                <w:color w:val="auto"/>
              </w:rPr>
              <w:t>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30,375</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580,291</w:t>
            </w:r>
          </w:p>
        </w:tc>
        <w:tc>
          <w:tcPr>
            <w:tcW w:w="14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7"/>
                <w:szCs w:val="17"/>
                <w:color w:val="auto"/>
              </w:rPr>
              <w:t>Income taxes paid</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137</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9"/>
                <w:szCs w:val="19"/>
                <w:color w:val="auto"/>
              </w:rPr>
            </w:pP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7"/>
                <w:szCs w:val="17"/>
                <w:color w:val="auto"/>
              </w:rPr>
              <w:t>Unpaid property and equipment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1,043</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2,687</w:t>
            </w:r>
          </w:p>
        </w:tc>
        <w:tc>
          <w:tcPr>
            <w:tcW w:w="140" w:type="dxa"/>
            <w:vAlign w:val="bottom"/>
          </w:tcPr>
          <w:p>
            <w:pPr>
              <w:spacing w:after="0"/>
              <w:rPr>
                <w:sz w:val="19"/>
                <w:szCs w:val="19"/>
                <w:color w:val="auto"/>
              </w:rPr>
            </w:pPr>
          </w:p>
        </w:tc>
      </w:tr>
      <w:tr>
        <w:trPr>
          <w:trHeight w:val="236"/>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Right-of-use assets acquired under operating leases</w:t>
            </w:r>
          </w:p>
        </w:tc>
        <w:tc>
          <w:tcPr>
            <w:tcW w:w="9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4,356</w:t>
            </w:r>
          </w:p>
        </w:tc>
        <w:tc>
          <w:tcPr>
            <w:tcW w:w="1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-3158490</wp:posOffset>
            </wp:positionV>
            <wp:extent cx="7145020" cy="3213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-2099310</wp:posOffset>
            </wp:positionV>
            <wp:extent cx="8572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-2099310</wp:posOffset>
            </wp:positionV>
            <wp:extent cx="8572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-1508125</wp:posOffset>
            </wp:positionV>
            <wp:extent cx="8572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-1508125</wp:posOffset>
            </wp:positionV>
            <wp:extent cx="8572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-908050</wp:posOffset>
            </wp:positionV>
            <wp:extent cx="8572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-908050</wp:posOffset>
            </wp:positionV>
            <wp:extent cx="8572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6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2022.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2023, for any future year, or for any other future interim period.</w:t>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Disease (“the COVID-19 pandemic”)</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COVID-19 pandemic continued to impact the Company's workforce and the operations of its customers and suppliers during 2022. In response to the COVID-19 pandemic and related government measures, the Company implemented safety measures to protect its employees and contractors at its locations around the world. The COVID-19 pandemic has not had a significant impact on the Company in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significant accounting policies are disclosed in the Company’s audited consolidated financial statements and related notes thereto included in the Annual Report on Form 10-K for the year ended December 31, 2022. There have been no changes to these accounting policies through June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new accounting pronouncements with a future effective date that are of significance, or potential significance, to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income (loss) per share attributable to common stockholders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w w:val="98"/>
              </w:rPr>
              <w:t>Three Months Ended June 30,</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0"/>
                <w:szCs w:val="20"/>
                <w:color w:val="auto"/>
              </w:rPr>
            </w:pPr>
            <w:r>
              <w:rPr>
                <w:rFonts w:ascii="Arial" w:cs="Arial" w:eastAsia="Arial" w:hAnsi="Arial"/>
                <w:sz w:val="11"/>
                <w:szCs w:val="11"/>
                <w:b w:val="1"/>
                <w:bCs w:val="1"/>
                <w:color w:val="auto"/>
                <w:w w:val="74"/>
              </w:rPr>
              <w:t>except</w:t>
            </w:r>
          </w:p>
        </w:tc>
        <w:tc>
          <w:tcPr>
            <w:tcW w:w="118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w w:val="97"/>
              </w:rPr>
              <w:t>per share data)</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(25,922 )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12,859</w:t>
            </w:r>
          </w:p>
        </w:tc>
        <w:tc>
          <w:tcPr>
            <w:tcW w:w="5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(42,412 )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18,999</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Weighted average shares used to compute basic net income (loss) per</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Weighted average shares used to compute diluted net income (loss) per</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22,074</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22,721</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22,736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share</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200"/>
              <w:spacing w:after="0"/>
              <w:rPr>
                <w:sz w:val="20"/>
                <w:szCs w:val="20"/>
                <w:color w:val="auto"/>
              </w:rPr>
            </w:pPr>
            <w:r>
              <w:rPr>
                <w:rFonts w:ascii="Arial" w:cs="Arial" w:eastAsia="Arial" w:hAnsi="Arial"/>
                <w:sz w:val="18"/>
                <w:szCs w:val="18"/>
                <w:color w:val="auto"/>
                <w:w w:val="92"/>
              </w:rPr>
              <w:t>Net income (loss) attributable to common stockholders per share, basic</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0.61</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(loss) attributable to common stockholders per share,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5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544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-1782445</wp:posOffset>
            </wp:positionV>
            <wp:extent cx="284607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-882650</wp:posOffset>
            </wp:positionV>
            <wp:extent cx="284607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120"/>
        <w:spacing w:after="0" w:line="263" w:lineRule="auto"/>
        <w:rPr>
          <w:sz w:val="20"/>
          <w:szCs w:val="20"/>
          <w:color w:val="auto"/>
        </w:rPr>
      </w:pPr>
      <w:r>
        <w:rPr>
          <w:rFonts w:ascii="Arial" w:cs="Arial" w:eastAsia="Arial" w:hAnsi="Arial"/>
          <w:sz w:val="18"/>
          <w:szCs w:val="18"/>
          <w:color w:val="auto"/>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spacing w:after="0" w:line="2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June 30, 2023 and 2022, the Company had 1,267,359 potential shares and 231,349 potential shares from share-based awards that are anti-dilutive, respectively. During the six months ended June 30, 2023 and 2022, the Company had 1,353,845 and 211,667 potential shares from share-based awards that are anti-dilutive, respectively.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June 30, 2023 and December 31, 2022, highly liquid money market funds of $0.3 million and $3.0 million, respectively, were valued using Level 1 of the fair value hierarchy, quoted prices in active markets for identical assets, and are included in cash equivalents.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 in held-to-maturity securities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2023 and December 31, 2022, the Company had invested in treasury bills with maturities of six months, which the Company intends to hold until maturity and has classified as held-to-maturity securities. The held-to-maturity securities are recorded at amortized cost totaling $536.6 million with gross accrued interest of $7.7 million and total carrying value of $544.3 million as of June 30, 2023. As of December 31, 2022, the amortized cost of the held-to-maturity securities totaled $524.4 million with gross accrued interest of $5.1 million and total carrying value of $529.5 million. 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sectPr>
          <w:pgSz w:w="11900" w:h="16838" w:orient="portrait"/>
          <w:cols w:equalWidth="0" w:num="1">
            <w:col w:w="11240"/>
          </w:cols>
          <w:pgMar w:left="320" w:top="449" w:right="3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 gross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 for credit losses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As of</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December 31, 2022</w:t>
            </w:r>
          </w:p>
        </w:tc>
        <w:tc>
          <w:tcPr>
            <w:tcW w:w="80" w:type="dxa"/>
            <w:vAlign w:val="bottom"/>
          </w:tcPr>
          <w:p>
            <w:pPr>
              <w:spacing w:after="0"/>
              <w:rPr>
                <w:sz w:val="14"/>
                <w:szCs w:val="14"/>
                <w:color w:val="auto"/>
              </w:rPr>
            </w:pPr>
          </w:p>
        </w:tc>
      </w:tr>
      <w:tr>
        <w:trPr>
          <w:trHeight w:val="236"/>
        </w:trPr>
        <w:tc>
          <w:tcPr>
            <w:tcW w:w="360" w:type="dxa"/>
            <w:vAlign w:val="bottom"/>
          </w:tcPr>
          <w:p>
            <w:pPr>
              <w:spacing w:after="0"/>
              <w:rPr>
                <w:sz w:val="20"/>
                <w:szCs w:val="20"/>
                <w:color w:val="auto"/>
              </w:rPr>
            </w:pPr>
          </w:p>
        </w:tc>
        <w:tc>
          <w:tcPr>
            <w:tcW w:w="2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15,819</w:t>
            </w:r>
          </w:p>
        </w:tc>
        <w:tc>
          <w:tcPr>
            <w:tcW w:w="3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41,279</w:t>
            </w:r>
          </w:p>
        </w:tc>
        <w:tc>
          <w:tcPr>
            <w:tcW w:w="80" w:type="dxa"/>
            <w:vAlign w:val="bottom"/>
          </w:tcPr>
          <w:p>
            <w:pPr>
              <w:spacing w:after="0"/>
              <w:rPr>
                <w:sz w:val="20"/>
                <w:szCs w:val="20"/>
                <w:color w:val="auto"/>
              </w:rPr>
            </w:pPr>
          </w:p>
        </w:tc>
      </w:tr>
      <w:tr>
        <w:trPr>
          <w:trHeight w:val="250"/>
        </w:trPr>
        <w:tc>
          <w:tcPr>
            <w:tcW w:w="360" w:type="dxa"/>
            <w:vAlign w:val="bottom"/>
          </w:tcPr>
          <w:p>
            <w:pPr>
              <w:spacing w:after="0"/>
              <w:rPr>
                <w:sz w:val="21"/>
                <w:szCs w:val="21"/>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(50 )</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37"/>
        </w:trPr>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15,769</w:t>
            </w:r>
          </w:p>
        </w:tc>
        <w:tc>
          <w:tcPr>
            <w:tcW w:w="3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41,229</w:t>
            </w:r>
          </w:p>
        </w:tc>
        <w:tc>
          <w:tcPr>
            <w:tcW w:w="80" w:type="dxa"/>
            <w:vAlign w:val="bottom"/>
          </w:tcPr>
          <w:p>
            <w:pPr>
              <w:spacing w:after="0"/>
              <w:rPr>
                <w:sz w:val="20"/>
                <w:szCs w:val="20"/>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-496570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-179070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tcBorders>
              <w:bottom w:val="single" w:sz="8" w:color="auto"/>
            </w:tcBorders>
          </w:tcPr>
          <w:p>
            <w:pPr>
              <w:spacing w:after="0"/>
              <w:rPr>
                <w:sz w:val="16"/>
                <w:szCs w:val="16"/>
                <w:color w:val="auto"/>
              </w:rPr>
            </w:pPr>
          </w:p>
        </w:tc>
      </w:tr>
      <w:tr>
        <w:trPr>
          <w:trHeight w:val="169"/>
        </w:trPr>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December 31, 2022</w:t>
            </w:r>
          </w:p>
        </w:tc>
      </w:tr>
      <w:tr>
        <w:trPr>
          <w:trHeight w:val="236"/>
        </w:trPr>
        <w:tc>
          <w:tcPr>
            <w:tcW w:w="360" w:type="dxa"/>
            <w:vAlign w:val="bottom"/>
          </w:tcPr>
          <w:p>
            <w:pPr>
              <w:spacing w:after="0"/>
              <w:rPr>
                <w:sz w:val="20"/>
                <w:szCs w:val="20"/>
                <w:color w:val="auto"/>
              </w:rPr>
            </w:pPr>
          </w:p>
        </w:tc>
        <w:tc>
          <w:tcPr>
            <w:tcW w:w="2400" w:type="dxa"/>
            <w:vAlign w:val="bottom"/>
            <w:gridSpan w:val="3"/>
          </w:tcPr>
          <w:p>
            <w:pPr>
              <w:jc w:val="center"/>
              <w:ind w:left="1239"/>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20"/>
                <w:szCs w:val="20"/>
                <w:color w:val="auto"/>
              </w:rPr>
            </w:pPr>
          </w:p>
        </w:tc>
      </w:tr>
      <w:tr>
        <w:trPr>
          <w:trHeight w:val="23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24,486</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17,518</w:t>
            </w:r>
          </w:p>
        </w:tc>
      </w:tr>
      <w:tr>
        <w:trPr>
          <w:trHeight w:val="243"/>
        </w:trPr>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32,658</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-299720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940" w:space="720"/>
            <w:col w:w="458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3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7,108</w:t>
            </w:r>
          </w:p>
        </w:tc>
        <w:tc>
          <w:tcPr>
            <w:tcW w:w="3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4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64,252</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60" w:type="dxa"/>
            <w:vAlign w:val="bottom"/>
            <w:vMerge w:val="restart"/>
          </w:tcPr>
          <w:p>
            <w:pPr>
              <w:jc w:val="right"/>
              <w:ind w:right="910"/>
              <w:spacing w:after="0"/>
              <w:rPr>
                <w:sz w:val="20"/>
                <w:szCs w:val="20"/>
                <w:color w:val="auto"/>
              </w:rPr>
            </w:pPr>
            <w:r>
              <w:rPr>
                <w:rFonts w:ascii="Arial" w:cs="Arial" w:eastAsia="Arial" w:hAnsi="Arial"/>
                <w:sz w:val="18"/>
                <w:szCs w:val="18"/>
                <w:color w:val="auto"/>
              </w:rPr>
              <w:t>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-599440</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-599440</wp:posOffset>
            </wp:positionV>
            <wp:extent cx="8572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December 31, 2022</w:t>
            </w:r>
          </w:p>
        </w:tc>
        <w:tc>
          <w:tcPr>
            <w:tcW w:w="140" w:type="dxa"/>
            <w:vAlign w:val="bottom"/>
          </w:tcPr>
          <w:p>
            <w:pPr>
              <w:spacing w:after="0"/>
              <w:rPr>
                <w:sz w:val="14"/>
                <w:szCs w:val="14"/>
                <w:color w:val="auto"/>
              </w:rPr>
            </w:pPr>
          </w:p>
        </w:tc>
      </w:tr>
      <w:tr>
        <w:trPr>
          <w:trHeight w:val="237"/>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FF0FC"/>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21"/>
                <w:szCs w:val="21"/>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w:t>
            </w:r>
          </w:p>
        </w:tc>
        <w:tc>
          <w:tcPr>
            <w:tcW w:w="3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3"/>
        </w:trPr>
        <w:tc>
          <w:tcPr>
            <w:tcW w:w="66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666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6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December 31, 2022</w:t>
            </w:r>
          </w:p>
        </w:tc>
        <w:tc>
          <w:tcPr>
            <w:tcW w:w="140" w:type="dxa"/>
            <w:vAlign w:val="bottom"/>
          </w:tcPr>
          <w:p>
            <w:pPr>
              <w:spacing w:after="0"/>
              <w:rPr>
                <w:sz w:val="14"/>
                <w:szCs w:val="14"/>
                <w:color w:val="auto"/>
              </w:rPr>
            </w:pPr>
          </w:p>
        </w:tc>
      </w:tr>
      <w:tr>
        <w:trPr>
          <w:trHeight w:val="237"/>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 and manufacturing equipment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76,678</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73,220</w:t>
            </w:r>
          </w:p>
        </w:tc>
        <w:tc>
          <w:tcPr>
            <w:tcW w:w="14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3,254</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3,170</w:t>
            </w:r>
          </w:p>
        </w:tc>
        <w:tc>
          <w:tcPr>
            <w:tcW w:w="14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6,077</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5,967</w:t>
            </w:r>
          </w:p>
        </w:tc>
        <w:tc>
          <w:tcPr>
            <w:tcW w:w="140" w:type="dxa"/>
            <w:vAlign w:val="bottom"/>
          </w:tcPr>
          <w:p>
            <w:pPr>
              <w:spacing w:after="0"/>
              <w:rPr>
                <w:sz w:val="20"/>
                <w:szCs w:val="20"/>
                <w:color w:val="auto"/>
              </w:rPr>
            </w:pPr>
          </w:p>
        </w:tc>
      </w:tr>
      <w:tr>
        <w:trPr>
          <w:trHeight w:val="24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7,454</w:t>
            </w:r>
          </w:p>
        </w:tc>
        <w:tc>
          <w:tcPr>
            <w:tcW w:w="3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94,033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89,995</w:t>
            </w:r>
          </w:p>
        </w:tc>
        <w:tc>
          <w:tcPr>
            <w:tcW w:w="14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3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(37,738 )</w:t>
            </w:r>
          </w:p>
        </w:tc>
        <w:tc>
          <w:tcPr>
            <w:tcW w:w="3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(31,223 )</w:t>
            </w:r>
          </w:p>
        </w:tc>
      </w:tr>
      <w:tr>
        <w:trPr>
          <w:trHeight w:val="237"/>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56,295</w:t>
            </w:r>
          </w:p>
        </w:tc>
        <w:tc>
          <w:tcPr>
            <w:tcW w:w="3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58,772</w:t>
            </w:r>
          </w:p>
        </w:tc>
        <w:tc>
          <w:tcPr>
            <w:tcW w:w="140" w:type="dxa"/>
            <w:vAlign w:val="bottom"/>
            <w:tcBorders>
              <w:top w:val="single" w:sz="8" w:color="CFF0FC"/>
            </w:tcBorders>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-2331085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-2313940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-2331085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-2313940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-505460</wp:posOffset>
            </wp:positionV>
            <wp:extent cx="857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857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Depreciation expense related to property and equipment was $3.3 million and $2.4 million for the three months ended June 30, 2023 and 2022, respectively, and $6.5 million and $4.5 million for the six months ended June 30, 2023 and 2022,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0"/>
                <w:szCs w:val="20"/>
                <w:color w:val="auto"/>
              </w:rPr>
            </w:pPr>
          </w:p>
        </w:tc>
        <w:tc>
          <w:tcPr>
            <w:tcW w:w="2120" w:type="dxa"/>
            <w:vAlign w:val="bottom"/>
            <w:gridSpan w:val="5"/>
          </w:tcPr>
          <w:p>
            <w:pPr>
              <w:jc w:val="right"/>
              <w:ind w:right="67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4"/>
              </w:rPr>
              <w:t>Gross Assets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Assets</w:t>
            </w:r>
          </w:p>
        </w:tc>
        <w:tc>
          <w:tcPr>
            <w:tcW w:w="120" w:type="dxa"/>
            <w:vAlign w:val="bottom"/>
          </w:tcPr>
          <w:p>
            <w:pPr>
              <w:spacing w:after="0"/>
              <w:rPr>
                <w:sz w:val="11"/>
                <w:szCs w:val="11"/>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4"/>
              </w:rPr>
              <w:t>Gross Assets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1"/>
              </w:rPr>
              <w:t>Net Assets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 use software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(9,033 )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54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(8,833 )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(9,044 )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(7,978 )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24,283</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6,206</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22,017</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Amortization expense for intangible assets was $0.7 million and $0.4 million for the three months ended June 30, 2023 and 2022, respectively, and $1.3 million and $0.7 million for the six months ended June 30, 2023 and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aggregate future amortization expense for intangible assets subject to amortization as of June 30, 2023 is summarized as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0" w:type="dxa"/>
            <w:vAlign w:val="bottom"/>
            <w:gridSpan w:val="2"/>
          </w:tcPr>
          <w:p>
            <w:pPr>
              <w:ind w:left="1020"/>
              <w:spacing w:after="0"/>
              <w:rPr>
                <w:sz w:val="20"/>
                <w:szCs w:val="20"/>
                <w:color w:val="auto"/>
              </w:rPr>
            </w:pPr>
            <w:r>
              <w:rPr>
                <w:rFonts w:ascii="Arial" w:cs="Arial" w:eastAsia="Arial" w:hAnsi="Arial"/>
                <w:sz w:val="14"/>
                <w:szCs w:val="14"/>
                <w:b w:val="1"/>
                <w:bCs w:val="1"/>
                <w:color w:val="auto"/>
              </w:rPr>
              <w:t>(in thousands)</w:t>
            </w:r>
          </w:p>
        </w:tc>
      </w:tr>
      <w:tr>
        <w:trPr>
          <w:trHeight w:val="66"/>
        </w:trPr>
        <w:tc>
          <w:tcPr>
            <w:tcW w:w="34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43"/>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362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4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FF0FC"/>
          </w:tcPr>
          <w:p>
            <w:pPr>
              <w:spacing w:after="0"/>
              <w:rPr>
                <w:sz w:val="21"/>
                <w:szCs w:val="2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20"/>
                <w:szCs w:val="20"/>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FF0FC"/>
          </w:tcPr>
          <w:p>
            <w:pPr>
              <w:spacing w:after="0"/>
              <w:rPr>
                <w:sz w:val="21"/>
                <w:szCs w:val="2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2026</w:t>
            </w:r>
          </w:p>
        </w:tc>
        <w:tc>
          <w:tcPr>
            <w:tcW w:w="2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FF0FC"/>
          </w:tcPr>
          <w:p>
            <w:pPr>
              <w:spacing w:after="0"/>
              <w:rPr>
                <w:sz w:val="21"/>
                <w:szCs w:val="2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2028 and beyond</w:t>
            </w:r>
          </w:p>
        </w:tc>
        <w:tc>
          <w:tcPr>
            <w:tcW w:w="24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20"/>
                <w:szCs w:val="20"/>
                <w:color w:val="auto"/>
              </w:rPr>
            </w:pPr>
          </w:p>
        </w:tc>
      </w:tr>
      <w:tr>
        <w:trPr>
          <w:trHeight w:val="276"/>
        </w:trPr>
        <w:tc>
          <w:tcPr>
            <w:tcW w:w="342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513"/>
        </w:trPr>
        <w:tc>
          <w:tcPr>
            <w:tcW w:w="3420" w:type="dxa"/>
            <w:vAlign w:val="bottom"/>
          </w:tcPr>
          <w:p>
            <w:pPr>
              <w:spacing w:after="0"/>
              <w:rPr>
                <w:sz w:val="24"/>
                <w:szCs w:val="24"/>
                <w:color w:val="auto"/>
              </w:rPr>
            </w:pPr>
          </w:p>
        </w:tc>
        <w:tc>
          <w:tcPr>
            <w:tcW w:w="24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34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-427990</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-410845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66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December 31, 2022</w:t>
            </w:r>
          </w:p>
        </w:tc>
        <w:tc>
          <w:tcPr>
            <w:tcW w:w="140" w:type="dxa"/>
            <w:vAlign w:val="bottom"/>
          </w:tcPr>
          <w:p>
            <w:pPr>
              <w:spacing w:after="0"/>
              <w:rPr>
                <w:sz w:val="19"/>
                <w:szCs w:val="19"/>
                <w:color w:val="auto"/>
              </w:rPr>
            </w:pPr>
          </w:p>
        </w:tc>
      </w:tr>
      <w:tr>
        <w:trPr>
          <w:trHeight w:val="237"/>
        </w:trPr>
        <w:tc>
          <w:tcPr>
            <w:tcW w:w="6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benefits</w:t>
            </w:r>
          </w:p>
        </w:tc>
        <w:tc>
          <w:tcPr>
            <w:tcW w:w="150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14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Revenue reserves</w:t>
            </w:r>
          </w:p>
        </w:tc>
        <w:tc>
          <w:tcPr>
            <w:tcW w:w="15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2,359</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non-recurring engineering services</w:t>
            </w:r>
          </w:p>
        </w:tc>
        <w:tc>
          <w:tcPr>
            <w:tcW w:w="15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14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Short term lease liability</w:t>
            </w:r>
          </w:p>
        </w:tc>
        <w:tc>
          <w:tcPr>
            <w:tcW w:w="15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2,574</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Pr>
          <w:p>
            <w:pPr>
              <w:spacing w:after="0"/>
              <w:rPr>
                <w:sz w:val="20"/>
                <w:szCs w:val="20"/>
                <w:color w:val="auto"/>
              </w:rPr>
            </w:pPr>
          </w:p>
        </w:tc>
      </w:tr>
      <w:tr>
        <w:trPr>
          <w:trHeight w:val="24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15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3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500" w:type="dxa"/>
            <w:vAlign w:val="bottom"/>
          </w:tcPr>
          <w:p>
            <w:pPr>
              <w:jc w:val="right"/>
              <w:ind w:right="12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20,700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18,913</w:t>
            </w:r>
          </w:p>
        </w:tc>
        <w:tc>
          <w:tcPr>
            <w:tcW w:w="14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-187960</wp:posOffset>
            </wp:positionV>
            <wp:extent cx="857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90"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The Company recorded reductions to research and development expenses related to non-recurring engineering service arrangements in the condensed consolidated statements of operations of $0.5 million and $2.8 million during the three months ended June 30, 2023 and 2022, respectively, and $1.7 million and $4.8 million during the six months ended June 30, 2023 and 2022, respectively.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0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 leases real estate property under operating leases. The Company leases office space in California, Michigan, Malaysia, Japan, Taiwan, the Netherlands, Finland, and Ukraine all under non-cancellable operating leases with various expiration dates through May 2029.</w:t>
      </w:r>
    </w:p>
    <w:p>
      <w:pPr>
        <w:spacing w:after="0" w:line="3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remaining lease terms vary from a few months to 6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below presents the lease-related assets and liabilities recorded on the condensed consolidated balance sheets as of June 30, 2023 and December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71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7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31, 2022</w:t>
            </w:r>
          </w:p>
        </w:tc>
        <w:tc>
          <w:tcPr>
            <w:tcW w:w="160" w:type="dxa"/>
            <w:vAlign w:val="bottom"/>
            <w:gridSpan w:val="2"/>
          </w:tcPr>
          <w:p>
            <w:pPr>
              <w:spacing w:after="0"/>
              <w:rPr>
                <w:sz w:val="19"/>
                <w:szCs w:val="19"/>
                <w:color w:val="auto"/>
              </w:rPr>
            </w:pPr>
          </w:p>
        </w:tc>
      </w:tr>
      <w:tr>
        <w:trPr>
          <w:trHeight w:val="169"/>
        </w:trPr>
        <w:tc>
          <w:tcPr>
            <w:tcW w:w="7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Right-of-use assets</w:t>
            </w:r>
          </w:p>
        </w:tc>
        <w:tc>
          <w:tcPr>
            <w:tcW w:w="1500" w:type="dxa"/>
            <w:vAlign w:val="bottom"/>
            <w:tcBorders>
              <w:bottom w:val="single" w:sz="8" w:color="auto"/>
            </w:tcBorders>
            <w:shd w:val="clear" w:color="auto" w:fill="CFF0FC"/>
          </w:tcPr>
          <w:p>
            <w:pPr>
              <w:jc w:val="right"/>
              <w:ind w:right="12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10,848</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Lease liabilities included in accrued expenses and other current liabilities</w:t>
            </w:r>
          </w:p>
        </w:tc>
        <w:tc>
          <w:tcPr>
            <w:tcW w:w="1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 non-current</w:t>
            </w:r>
          </w:p>
        </w:tc>
        <w:tc>
          <w:tcPr>
            <w:tcW w:w="15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500" w:type="dxa"/>
            <w:vAlign w:val="bottom"/>
            <w:tcBorders>
              <w:bottom w:val="single" w:sz="8" w:color="auto"/>
            </w:tcBorders>
          </w:tcPr>
          <w:p>
            <w:pPr>
              <w:jc w:val="right"/>
              <w:ind w:right="12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7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4.5 %</w:t>
            </w:r>
          </w:p>
        </w:tc>
        <w:tc>
          <w:tcPr>
            <w:tcW w:w="1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-805815</wp:posOffset>
            </wp:positionV>
            <wp:extent cx="8572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-805815</wp:posOffset>
            </wp:positionV>
            <wp:extent cx="85725"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-488315</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information related to the lease costs for operating leases for the three and six months ended June 30, 2023 and 2022:</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23"/>
        </w:trPr>
        <w:tc>
          <w:tcPr>
            <w:tcW w:w="47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6"/>
        </w:trPr>
        <w:tc>
          <w:tcPr>
            <w:tcW w:w="4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1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20"/>
                <w:szCs w:val="20"/>
                <w:color w:val="auto"/>
              </w:rPr>
            </w:pPr>
          </w:p>
        </w:tc>
      </w:tr>
      <w:tr>
        <w:trPr>
          <w:trHeight w:val="24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8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1,183</w:t>
            </w:r>
          </w:p>
        </w:tc>
        <w:tc>
          <w:tcPr>
            <w:tcW w:w="11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1,251</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2,448</w:t>
            </w:r>
          </w:p>
        </w:tc>
        <w:tc>
          <w:tcPr>
            <w:tcW w:w="14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-187960</wp:posOffset>
            </wp:positionV>
            <wp:extent cx="857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operating lease liabilities was $0.8 million and $0.7 million for the three months ended June 30, 2023 and 2022, respectively.</w:t>
      </w:r>
    </w:p>
    <w:p>
      <w:pPr>
        <w:spacing w:after="0" w:line="225" w:lineRule="exact"/>
        <w:rPr>
          <w:sz w:val="20"/>
          <w:szCs w:val="20"/>
          <w:color w:val="auto"/>
        </w:rPr>
      </w:pPr>
    </w:p>
    <w:p>
      <w:pPr>
        <w:ind w:left="5540" w:right="1380" w:hanging="5525"/>
        <w:spacing w:after="0" w:line="387" w:lineRule="auto"/>
        <w:rPr>
          <w:sz w:val="20"/>
          <w:szCs w:val="20"/>
          <w:color w:val="auto"/>
        </w:rPr>
      </w:pPr>
      <w:r>
        <w:rPr>
          <w:rFonts w:ascii="Arial" w:cs="Arial" w:eastAsia="Arial" w:hAnsi="Arial"/>
          <w:sz w:val="18"/>
          <w:szCs w:val="18"/>
          <w:color w:val="auto"/>
        </w:rPr>
        <w:t>Cash paid for operating lease liabilities was $1.5 million and $1.2 million for the six months ended June 30, 2023 and 2022, respectively.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Operating Lease Cash Flows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condensed consolidated balance sheet as of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FF0FC"/>
          </w:tcPr>
          <w:p>
            <w:pPr>
              <w:spacing w:after="0"/>
              <w:rPr>
                <w:sz w:val="21"/>
                <w:szCs w:val="21"/>
                <w:color w:val="auto"/>
              </w:rPr>
            </w:pP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3,037</w:t>
            </w:r>
          </w:p>
        </w:tc>
        <w:tc>
          <w:tcPr>
            <w:tcW w:w="140" w:type="dxa"/>
            <w:vAlign w:val="bottom"/>
          </w:tcPr>
          <w:p>
            <w:pPr>
              <w:spacing w:after="0"/>
              <w:rPr>
                <w:sz w:val="20"/>
                <w:szCs w:val="20"/>
                <w:color w:val="auto"/>
              </w:rPr>
            </w:pPr>
          </w:p>
        </w:tc>
      </w:tr>
      <w:tr>
        <w:trPr>
          <w:trHeight w:val="249"/>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CFF0FC"/>
          </w:tcPr>
          <w:p>
            <w:pPr>
              <w:spacing w:after="0"/>
              <w:rPr>
                <w:sz w:val="21"/>
                <w:szCs w:val="21"/>
                <w:color w:val="auto"/>
              </w:rPr>
            </w:pP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2,177</w:t>
            </w:r>
          </w:p>
        </w:tc>
        <w:tc>
          <w:tcPr>
            <w:tcW w:w="140" w:type="dxa"/>
            <w:vAlign w:val="bottom"/>
          </w:tcPr>
          <w:p>
            <w:pPr>
              <w:spacing w:after="0"/>
              <w:rPr>
                <w:sz w:val="20"/>
                <w:szCs w:val="20"/>
                <w:color w:val="auto"/>
              </w:rPr>
            </w:pPr>
          </w:p>
        </w:tc>
      </w:tr>
      <w:tr>
        <w:trPr>
          <w:trHeight w:val="249"/>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FF0FC"/>
          </w:tcPr>
          <w:p>
            <w:pPr>
              <w:spacing w:after="0"/>
              <w:rPr>
                <w:sz w:val="21"/>
                <w:szCs w:val="2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2028 and beyond</w:t>
            </w:r>
          </w:p>
        </w:tc>
        <w:tc>
          <w:tcPr>
            <w:tcW w:w="4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1"/>
                <w:szCs w:val="21"/>
                <w:color w:val="auto"/>
              </w:rPr>
            </w:pPr>
          </w:p>
        </w:tc>
      </w:tr>
      <w:tr>
        <w:trPr>
          <w:trHeight w:val="237"/>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460" w:type="dxa"/>
            <w:vAlign w:val="bottom"/>
            <w:shd w:val="clear" w:color="auto" w:fill="CFF0FC"/>
          </w:tcPr>
          <w:p>
            <w:pPr>
              <w:spacing w:after="0"/>
              <w:rPr>
                <w:sz w:val="20"/>
                <w:szCs w:val="20"/>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10,143</w:t>
            </w:r>
          </w:p>
        </w:tc>
        <w:tc>
          <w:tcPr>
            <w:tcW w:w="140" w:type="dxa"/>
            <w:vAlign w:val="bottom"/>
            <w:shd w:val="clear" w:color="auto" w:fill="CFF0FC"/>
          </w:tcPr>
          <w:p>
            <w:pPr>
              <w:spacing w:after="0"/>
              <w:rPr>
                <w:sz w:val="20"/>
                <w:szCs w:val="20"/>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460" w:type="dxa"/>
            <w:vAlign w:val="bottom"/>
          </w:tcPr>
          <w:p>
            <w:pPr>
              <w:spacing w:after="0"/>
              <w:rPr>
                <w:sz w:val="21"/>
                <w:szCs w:val="21"/>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(796 )</w:t>
            </w:r>
          </w:p>
        </w:tc>
      </w:tr>
      <w:tr>
        <w:trPr>
          <w:trHeight w:val="237"/>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460" w:type="dxa"/>
            <w:vAlign w:val="bottom"/>
            <w:tcBorders>
              <w:top w:val="single" w:sz="8" w:color="auto"/>
            </w:tcBorders>
            <w:shd w:val="clear" w:color="auto" w:fill="CFF0FC"/>
          </w:tcPr>
          <w:p>
            <w:pPr>
              <w:spacing w:after="0"/>
              <w:rPr>
                <w:sz w:val="20"/>
                <w:szCs w:val="20"/>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w:t>
            </w:r>
          </w:p>
        </w:tc>
        <w:tc>
          <w:tcPr>
            <w:tcW w:w="140" w:type="dxa"/>
            <w:vAlign w:val="bottom"/>
            <w:shd w:val="clear" w:color="auto" w:fill="CFF0FC"/>
          </w:tcPr>
          <w:p>
            <w:pPr>
              <w:spacing w:after="0"/>
              <w:rPr>
                <w:sz w:val="20"/>
                <w:szCs w:val="20"/>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460" w:type="dxa"/>
            <w:vAlign w:val="bottom"/>
          </w:tcPr>
          <w:p>
            <w:pPr>
              <w:spacing w:after="0"/>
              <w:rPr>
                <w:sz w:val="21"/>
                <w:szCs w:val="21"/>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(2,574 )</w:t>
            </w:r>
          </w:p>
        </w:tc>
      </w:tr>
      <w:tr>
        <w:trPr>
          <w:trHeight w:val="277"/>
        </w:trPr>
        <w:tc>
          <w:tcPr>
            <w:tcW w:w="8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4, 2022, the Company entered into a Sales Agreement ("Sales Agreement"), with Stifel, Nicolaus &amp; Company, Incorporated ("Stifel"), under which the Company may offer and sell from time to time at its sole discretion, up to an aggregate of 800,000 shares of its common stock, par value $0.0001 per share, through Stifel as its sales agent.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w:t>
      </w:r>
    </w:p>
    <w:p>
      <w:pPr>
        <w:spacing w:after="0" w:line="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During the three months ended June 30, 2023, the Company sold 100,000 shares of its common stock through Stifel under the Sales Agreement at a weighted average price of $88.57 per share resulting in net proceeds to the Company of $8.6 million, after deducting underwriting discounts and commissions of $0.2 million and deferred offering costs of $0.1 million. During the six months ended June 30, 2023, the Company sold 200,000 shares of its common stock through Stifel under the Sales Agreement at a weighted average price of $109.88 per share resulting in net proceeds to the Company of $21.4 million, after deducting underwriting discounts and commissions of $0.5 million and deferred offering costs of $0.2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summarizes the RSU, performance based restricted stock units ("PRSU"), and multi-year performance restricted stock units ("MYPSU") activity for the three and six months ended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RSU</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PRSU</w:t>
            </w:r>
          </w:p>
        </w:tc>
        <w:tc>
          <w:tcPr>
            <w:tcW w:w="100" w:type="dxa"/>
            <w:vAlign w:val="bottom"/>
          </w:tcPr>
          <w:p>
            <w:pPr>
              <w:spacing w:after="0"/>
              <w:rPr>
                <w:sz w:val="15"/>
                <w:szCs w:val="15"/>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MYPSU</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5"/>
                <w:szCs w:val="15"/>
                <w:color w:val="auto"/>
              </w:rPr>
            </w:pPr>
          </w:p>
        </w:tc>
      </w:tr>
      <w:tr>
        <w:trPr>
          <w:trHeight w:val="175"/>
        </w:trPr>
        <w:tc>
          <w:tcPr>
            <w:tcW w:w="41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5"/>
                <w:szCs w:val="15"/>
                <w:color w:val="auto"/>
              </w:rPr>
            </w:pPr>
          </w:p>
        </w:tc>
        <w:tc>
          <w:tcPr>
            <w:tcW w:w="76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5"/>
                <w:szCs w:val="15"/>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5"/>
                <w:szCs w:val="15"/>
                <w:color w:val="auto"/>
              </w:rPr>
            </w:pPr>
          </w:p>
        </w:tc>
      </w:tr>
      <w:tr>
        <w:trPr>
          <w:trHeight w:val="175"/>
        </w:trPr>
        <w:tc>
          <w:tcPr>
            <w:tcW w:w="41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5"/>
                <w:szCs w:val="15"/>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5"/>
                <w:szCs w:val="15"/>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r>
      <w:tr>
        <w:trPr>
          <w:trHeight w:val="185"/>
        </w:trPr>
        <w:tc>
          <w:tcPr>
            <w:tcW w:w="4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8"/>
              </w:rPr>
              <w:t>per share</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per share</w:t>
            </w:r>
          </w:p>
        </w:tc>
        <w:tc>
          <w:tcPr>
            <w:tcW w:w="2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per share</w:t>
            </w:r>
          </w:p>
        </w:tc>
        <w:tc>
          <w:tcPr>
            <w:tcW w:w="140" w:type="dxa"/>
            <w:vAlign w:val="bottom"/>
          </w:tcPr>
          <w:p>
            <w:pPr>
              <w:spacing w:after="0"/>
              <w:rPr>
                <w:sz w:val="16"/>
                <w:szCs w:val="16"/>
                <w:color w:val="auto"/>
              </w:rPr>
            </w:pPr>
          </w:p>
        </w:tc>
      </w:tr>
      <w:tr>
        <w:trPr>
          <w:trHeight w:val="263"/>
        </w:trPr>
        <w:tc>
          <w:tcPr>
            <w:tcW w:w="4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38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30"/>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1,717,994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58,954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311,872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40" w:type="dxa"/>
            <w:vAlign w:val="bottom"/>
            <w:shd w:val="clear" w:color="auto" w:fill="CCEEFF"/>
          </w:tcPr>
          <w:p>
            <w:pPr>
              <w:spacing w:after="0"/>
              <w:rPr>
                <w:sz w:val="19"/>
                <w:szCs w:val="19"/>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spacing w:after="0"/>
              <w:rPr>
                <w:sz w:val="20"/>
                <w:szCs w:val="20"/>
                <w:color w:val="auto"/>
              </w:rPr>
            </w:pPr>
            <w:r>
              <w:rPr>
                <w:rFonts w:ascii="Arial" w:cs="Arial" w:eastAsia="Arial" w:hAnsi="Arial"/>
                <w:sz w:val="16"/>
                <w:szCs w:val="16"/>
                <w:color w:val="auto"/>
              </w:rPr>
              <w:t>368,363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122,466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(234,633 )</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r>
      <w:tr>
        <w:trPr>
          <w:trHeight w:val="227"/>
        </w:trPr>
        <w:tc>
          <w:tcPr>
            <w:tcW w:w="41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(27,792 )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67.4</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(58,954 )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6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March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1,823,932</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122,466</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311,872</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00"/>
        </w:trPr>
        <w:tc>
          <w:tcPr>
            <w:tcW w:w="4100" w:type="dxa"/>
            <w:vAlign w:val="bottom"/>
          </w:tcPr>
          <w:p>
            <w:pPr>
              <w:ind w:left="20"/>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spacing w:after="0"/>
              <w:rPr>
                <w:sz w:val="20"/>
                <w:szCs w:val="20"/>
                <w:color w:val="auto"/>
              </w:rPr>
            </w:pPr>
            <w:r>
              <w:rPr>
                <w:rFonts w:ascii="Arial" w:cs="Arial" w:eastAsia="Arial" w:hAnsi="Arial"/>
                <w:sz w:val="16"/>
                <w:szCs w:val="16"/>
                <w:color w:val="auto"/>
              </w:rPr>
              <w:t>60,333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111.3</w:t>
            </w: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(254,997 )</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r>
      <w:tr>
        <w:trPr>
          <w:trHeight w:val="226"/>
        </w:trPr>
        <w:tc>
          <w:tcPr>
            <w:tcW w:w="41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(55,170 )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177.3</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(6,106 )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6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June 30,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1,574,098</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116,360</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311,872</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4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-641985</wp:posOffset>
            </wp:positionV>
            <wp:extent cx="311150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00" cy="17145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-24765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August 4, 2020, the Compensation Committee of the Company adopted and approved the Executive Bonus and Retention Plan (the “Bonus and Retention Plan”). The Compensation Committee approved target bonus amounts and performance goals for the second half of the fiscal year 2022 (the “2022 Goals”) in August 2022 and approved the achievement of the 2022 Goals in February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60"/>
        <w:spacing w:after="0" w:line="291" w:lineRule="auto"/>
        <w:rPr>
          <w:sz w:val="20"/>
          <w:szCs w:val="20"/>
          <w:color w:val="auto"/>
        </w:rPr>
      </w:pPr>
      <w:r>
        <w:rPr>
          <w:rFonts w:ascii="Arial" w:cs="Arial" w:eastAsia="Arial" w:hAnsi="Arial"/>
          <w:sz w:val="16"/>
          <w:szCs w:val="16"/>
          <w:color w:val="auto"/>
        </w:rPr>
        <w:t>2023. Actual payouts for the 2022 Goals ranged from 44% to 89% of target, based on performance. In February 2023, the Compensation Committee approved target bonus amounts for the fiscal year 2023 (the "2023 Goals"). The 2022 Goals and the 2023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$0.3 million for 2023 Goals and $0.8 million for 2022 Goals was recorded as accrued expenses and other current liabilities in the condensed consolidated balance sheets as of June 30, 2023 and December 31, 2022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2021, the Compensation Committee of the Company approved PRSUs with performance goals for the year 2022 (the “PRSU 2022 Goals”).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PRSU 2022 Goals were based on the achievement of a revenue goal. These grants were not earned and were cancelled in February 2023.</w:t>
      </w:r>
    </w:p>
    <w:p>
      <w:pPr>
        <w:spacing w:after="0" w:line="1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w:t>
      </w:r>
    </w:p>
    <w:p>
      <w:pPr>
        <w:spacing w:after="0" w:line="6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April 2022, the Company approved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above table. Such expense is included in the non-cash adjustment within stock-based compensation expense on the condensed consolidated cash flow statements. The liability of $0.8 million and $0.8 million was recorded as accrued expenses and other current liabilities in the condensed consolidated balance sheets as of June 30, 2023 and December 31, 2022 respectively.</w:t>
      </w:r>
    </w:p>
    <w:p>
      <w:pPr>
        <w:spacing w:after="0" w:line="5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2023 and March 2023, the Compensation Committee of the Company approved PRSUs for the year 2023 with performance goals based on the achievement of revenue over a one year performance period (the “PRSU 2023 Goals”) and achievement of relative total stockholder return with a two year performance period (the "2023 TSR PRSU Goals"). The grant-date fair value of each PRSU with 2023 TSR PRSU Goals was determined using Monte Carlo simulation model. The assumptions used in the Monte Carlo simulation included expected volatility of 84.0% and 83.8%, risk free rate of 4.67% and 4.05%, no expected dividend yield and expected term of 1.9 years and 1.8 years for the awards approved in February 2023 and March 2023 respectively. The Company recognizes the expense related to the PRSUs with PRSU 2023 Goals and PRSUs with 2023 TSR PRSU Goals on a graded-vesting method over the requisite performance period. These grants are included in the PRSU awards granted in the table above.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9"/>
              </w:rPr>
              <w:t>Six Months Ended June 30,</w:t>
            </w:r>
          </w:p>
        </w:tc>
        <w:tc>
          <w:tcPr>
            <w:tcW w:w="140" w:type="dxa"/>
            <w:vAlign w:val="bottom"/>
          </w:tcPr>
          <w:p>
            <w:pPr>
              <w:spacing w:after="0"/>
              <w:rPr>
                <w:sz w:val="16"/>
                <w:szCs w:val="16"/>
                <w:color w:val="auto"/>
              </w:rPr>
            </w:pPr>
          </w:p>
        </w:tc>
      </w:tr>
      <w:tr>
        <w:trPr>
          <w:trHeight w:val="250"/>
        </w:trPr>
        <w:tc>
          <w:tcPr>
            <w:tcW w:w="55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197"/>
        </w:trPr>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5"/>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Equity based awards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62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56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54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9,506</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17,011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9,700</w:t>
            </w:r>
          </w:p>
        </w:tc>
        <w:tc>
          <w:tcPr>
            <w:tcW w:w="1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19,556</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20,278</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10,413</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37,891</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24,162</w:t>
            </w:r>
          </w:p>
        </w:tc>
        <w:tc>
          <w:tcPr>
            <w:tcW w:w="14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Liability based awards - to be settled in equity</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21"/>
                <w:szCs w:val="21"/>
                <w:color w:val="auto"/>
              </w:rPr>
            </w:pPr>
          </w:p>
        </w:tc>
      </w:tr>
      <w:tr>
        <w:trPr>
          <w:trHeight w:val="250"/>
        </w:trPr>
        <w:tc>
          <w:tcPr>
            <w:tcW w:w="55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882</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1,397</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1,805</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1,930</w:t>
            </w:r>
          </w:p>
        </w:tc>
        <w:tc>
          <w:tcPr>
            <w:tcW w:w="140" w:type="dxa"/>
            <w:vAlign w:val="bottom"/>
          </w:tcPr>
          <w:p>
            <w:pPr>
              <w:spacing w:after="0"/>
              <w:rPr>
                <w:sz w:val="21"/>
                <w:szCs w:val="21"/>
                <w:color w:val="auto"/>
              </w:rPr>
            </w:pPr>
          </w:p>
        </w:tc>
      </w:tr>
      <w:tr>
        <w:trPr>
          <w:trHeight w:val="283"/>
        </w:trPr>
        <w:tc>
          <w:tcPr>
            <w:tcW w:w="5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 - equity and liability based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39,696</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-1397000</wp:posOffset>
            </wp:positionV>
            <wp:extent cx="85725" cy="3600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-1397000</wp:posOffset>
            </wp:positionV>
            <wp:extent cx="77470" cy="3600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3600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-1397000</wp:posOffset>
            </wp:positionV>
            <wp:extent cx="85725"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-1397000</wp:posOffset>
            </wp:positionV>
            <wp:extent cx="85725" cy="360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2931795" cy="3689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31795" cy="36893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 recorded to additional paid-in capital</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based awards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based awards - settled in equity</w:t>
      </w:r>
    </w:p>
    <w:p>
      <w:pPr>
        <w:spacing w:after="0" w:line="5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Total stock-based compensation expense recorded to 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20,278</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10,413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37,891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24,162</w:t>
            </w:r>
          </w:p>
        </w:tc>
      </w:tr>
      <w:tr>
        <w:trPr>
          <w:trHeight w:val="277"/>
        </w:trPr>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32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21,042</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10,413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40,178</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25,650</w:t>
            </w:r>
          </w:p>
        </w:tc>
      </w:tr>
      <w:tr>
        <w:trPr>
          <w:trHeight w:val="94"/>
        </w:trPr>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-633730</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-290830</wp:posOffset>
            </wp:positionV>
            <wp:extent cx="71323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280" w:space="220"/>
            <w:col w:w="5760"/>
          </w:cols>
          <w:pgMar w:left="320" w:top="445" w:right="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unrecognized compensation costs and related weighted average period of recognition as of June 30, 2023:</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40" w:type="dxa"/>
            <w:vAlign w:val="bottom"/>
            <w:gridSpan w:val="2"/>
          </w:tcPr>
          <w:p>
            <w:pPr>
              <w:jc w:val="right"/>
              <w:ind w:right="1642"/>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3"/>
          </w:tcPr>
          <w:p>
            <w:pPr>
              <w:jc w:val="right"/>
              <w:ind w:right="1382"/>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7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ind w:right="278"/>
              <w:spacing w:after="0" w:line="133" w:lineRule="exact"/>
              <w:rPr>
                <w:sz w:val="20"/>
                <w:szCs w:val="20"/>
                <w:color w:val="auto"/>
              </w:rPr>
            </w:pPr>
            <w:r>
              <w:rPr>
                <w:rFonts w:ascii="Arial" w:cs="Arial" w:eastAsia="Arial" w:hAnsi="Arial"/>
                <w:sz w:val="14"/>
                <w:szCs w:val="14"/>
                <w:b w:val="1"/>
                <w:bCs w:val="1"/>
                <w:color w:val="auto"/>
              </w:rPr>
              <w:t>Unrecognized</w:t>
            </w:r>
          </w:p>
        </w:tc>
        <w:tc>
          <w:tcPr>
            <w:tcW w:w="260" w:type="dxa"/>
            <w:vAlign w:val="bottom"/>
          </w:tcPr>
          <w:p>
            <w:pPr>
              <w:spacing w:after="0"/>
              <w:rPr>
                <w:sz w:val="11"/>
                <w:szCs w:val="11"/>
                <w:color w:val="auto"/>
              </w:rPr>
            </w:pPr>
          </w:p>
        </w:tc>
        <w:tc>
          <w:tcPr>
            <w:tcW w:w="19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7"/>
              </w:rPr>
              <w:t>Weighted Average Period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Compensation Costs (in</w:t>
            </w:r>
          </w:p>
        </w:tc>
        <w:tc>
          <w:tcPr>
            <w:tcW w:w="26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6"/>
                <w:szCs w:val="16"/>
                <w:color w:val="auto"/>
              </w:rPr>
            </w:pPr>
          </w:p>
        </w:tc>
        <w:tc>
          <w:tcPr>
            <w:tcW w:w="1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Recognition (in years)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RSUs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2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PRSUs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MYPSUs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Liability-based awards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provision for income taxes and the effective tax rates for the three and six months ended June 30, 2023 and 2022:</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w w:val="98"/>
              </w:rPr>
              <w:t>Three Months Ended June 30,</w:t>
            </w:r>
          </w:p>
        </w:tc>
        <w:tc>
          <w:tcPr>
            <w:tcW w:w="340" w:type="dxa"/>
            <w:vAlign w:val="bottom"/>
          </w:tcPr>
          <w:p>
            <w:pPr>
              <w:spacing w:after="0"/>
              <w:rPr>
                <w:sz w:val="16"/>
                <w:szCs w:val="16"/>
                <w:color w:val="auto"/>
              </w:rPr>
            </w:pPr>
          </w:p>
        </w:tc>
        <w:tc>
          <w:tcPr>
            <w:tcW w:w="236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90"/>
        </w:trPr>
        <w:tc>
          <w:tcPr>
            <w:tcW w:w="4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(25,899 )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(42,319 )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0"/>
                <w:szCs w:val="20"/>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(52 )</w:t>
            </w:r>
          </w:p>
        </w:tc>
        <w:tc>
          <w:tcPr>
            <w:tcW w:w="3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(93 )</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(120 )</w:t>
            </w:r>
          </w:p>
        </w:tc>
        <w:tc>
          <w:tcPr>
            <w:tcW w:w="20" w:type="dxa"/>
            <w:vAlign w:val="bottom"/>
          </w:tcPr>
          <w:p>
            <w:pPr>
              <w:spacing w:after="0"/>
              <w:rPr>
                <w:sz w:val="20"/>
                <w:szCs w:val="20"/>
                <w:color w:val="auto"/>
              </w:rPr>
            </w:pPr>
          </w:p>
        </w:tc>
      </w:tr>
      <w:tr>
        <w:trPr>
          <w:trHeight w:val="25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0 %</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0 %</w:t>
            </w:r>
          </w:p>
        </w:tc>
        <w:tc>
          <w:tcPr>
            <w:tcW w:w="3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0 %</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2"/>
                <w:szCs w:val="22"/>
                <w:color w:val="auto"/>
              </w:rPr>
            </w:pPr>
          </w:p>
        </w:tc>
      </w:tr>
      <w:tr>
        <w:trPr>
          <w:trHeight w:val="526"/>
        </w:trPr>
        <w:tc>
          <w:tcPr>
            <w:tcW w:w="40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type w:val="continuous"/>
        </w:sectPr>
      </w:pPr>
    </w:p>
    <w:bookmarkStart w:id="15" w:name="page16"/>
    <w:bookmarkEnd w:id="15"/>
    <w:p>
      <w:pPr>
        <w:ind w:right="180"/>
        <w:spacing w:after="0" w:line="263" w:lineRule="auto"/>
        <w:rPr>
          <w:sz w:val="20"/>
          <w:szCs w:val="20"/>
          <w:color w:val="auto"/>
        </w:rPr>
      </w:pPr>
      <w:r>
        <w:rPr>
          <w:rFonts w:ascii="Arial" w:cs="Arial" w:eastAsia="Arial" w:hAnsi="Arial"/>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June 30, 2023.</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income tax provision was less than $0.1 million for both the three and six months ended June 30, 2023 and 2022. The effective tax rate was less than 1% for both the three and six months ended June 30, 2023 and 2022. The provision for income taxes primarily comes from the foreign subsidiaries’ local country obligations. The U.S. effective tax rate is less than 1% and is due to minimum state tax. There is no federal provision for income taxes as the Company has sufficient carryfoward of net operating losses to offset any operating income earned since inception and has projected an operating loss in the current year.</w:t>
      </w:r>
    </w:p>
    <w:p>
      <w:pPr>
        <w:spacing w:after="0" w:line="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June 30, 2023 and December 31, 2022, the Company had $2.3 million and $2.3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and six months ended June 30, 2023 and 2022, the Company recorded immaterial amounts related to the accrual of interest and penalties.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sale of precision timing solutions to the global electronics industry.</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8"/>
              </w:rPr>
              <w:t>Three Months Ended June 30,</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5"/>
              </w:rPr>
              <w:t>Six Months Ended June 30,</w:t>
            </w:r>
          </w:p>
        </w:tc>
        <w:tc>
          <w:tcPr>
            <w:tcW w:w="140" w:type="dxa"/>
            <w:vAlign w:val="bottom"/>
          </w:tcPr>
          <w:p>
            <w:pPr>
              <w:spacing w:after="0"/>
              <w:rPr>
                <w:sz w:val="16"/>
                <w:szCs w:val="16"/>
                <w:color w:val="auto"/>
              </w:rPr>
            </w:pPr>
          </w:p>
        </w:tc>
      </w:tr>
      <w:tr>
        <w:trPr>
          <w:trHeight w:val="187"/>
        </w:trPr>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70"/>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Taiwan</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5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24,545</w:t>
            </w:r>
          </w:p>
        </w:tc>
        <w:tc>
          <w:tcPr>
            <w:tcW w:w="6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5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47,617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Hong Kong</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6,538</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17,345</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12,846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31,878</w:t>
            </w:r>
          </w:p>
        </w:tc>
        <w:tc>
          <w:tcPr>
            <w:tcW w:w="14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8,826</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5,973</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7,448</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11,129</w:t>
            </w:r>
          </w:p>
        </w:tc>
        <w:tc>
          <w:tcPr>
            <w:tcW w:w="14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22,729</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18,248</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27,728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79,418</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66,070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149,671</w:t>
            </w:r>
          </w:p>
        </w:tc>
        <w:tc>
          <w:tcPr>
            <w:tcW w:w="14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-205105</wp:posOffset>
            </wp:positionV>
            <wp:extent cx="280352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03525" cy="20574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total property and equipment attributable to operations by country as of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As of</w:t>
            </w: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December 31, 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2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24,275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24,211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Malaysia</w:t>
            </w:r>
          </w:p>
        </w:tc>
        <w:tc>
          <w:tcPr>
            <w:tcW w:w="4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Taiwan</w:t>
            </w: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44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4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56,295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58,772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440" w:type="dxa"/>
            <w:vAlign w:val="bottom"/>
            <w:vMerge w:val="restart"/>
          </w:tcPr>
          <w:p>
            <w:pPr>
              <w:jc w:val="right"/>
              <w:ind w:right="189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2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-608330</wp:posOffset>
            </wp:positionV>
            <wp:extent cx="857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-608330</wp:posOffset>
            </wp:positionV>
            <wp:extent cx="857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MegaChips Corporation is the largest stockholder of the Company and held approximately 21.2% and 23.0% of the Company’s outstanding common stock as of June 30, 2023 and December 31, 2022, respectively.</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May 2021, the Company signed a consulting agreement with Akira Takata, a member of the Board of Directors of the Company, to provide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Mr. Takata through December 31, 2022, for which he continued to receive the monthly cash fees and reimbursement of expenses, and an equity award of 300 RSUs that fully vested on November 20, 2022.</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69"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to focus on oscillators, clock ICs, resonators and timing synchronization solutions and to expand our presence in these markets;</w:t>
      </w:r>
    </w:p>
    <w:p>
      <w:pPr>
        <w:spacing w:after="0" w:line="128" w:lineRule="exact"/>
        <w:rPr>
          <w:rFonts w:ascii="Arial" w:cs="Arial" w:eastAsia="Arial" w:hAnsi="Arial"/>
          <w:sz w:val="17"/>
          <w:szCs w:val="17"/>
          <w:color w:val="auto"/>
        </w:rPr>
      </w:pPr>
    </w:p>
    <w:p>
      <w:pPr>
        <w:ind w:left="760" w:right="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address market and customer demands and to develop new or enhanced solutions to meet those demands in a timely manner;</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average selling prices, gross margin, and expenses;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effects of macroeconomic events in 2023;</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dependence on a limited number of customers and end customers;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success, cost, and timing of new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117"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to identify new customers and deliver differentiated precision timing solutions to them;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goal to become the leading provider of precision timing solutions;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our advanced packaging designs can enable the smallest footprints in the industry and provide higher system performance;</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future markets;</w:t>
      </w:r>
    </w:p>
    <w:p>
      <w:pPr>
        <w:spacing w:after="0" w:line="117"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the COVID-19 pandemic will have on our business, employees, revenue and other operating results, liquidity, and cash flows, and its impact on the businesses of our suppliers and customers, and our anticipated responses thereto;</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performance of, and our relationships with, our third-party suppliers and manufacturers;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and our customers’ ability to respond successfully to technological or industry developments;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attract and retain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intellectual property and related litigation;</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short-term investment funds to meet our cash needs for at least the next 12 months and our future capital requirements over the longer term;</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regarding capital requirements and needs for additional financing.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20"/>
        <w:spacing w:after="0" w:line="218" w:lineRule="exact"/>
        <w:rPr>
          <w:sz w:val="20"/>
          <w:szCs w:val="20"/>
          <w:color w:val="auto"/>
        </w:rPr>
      </w:pPr>
      <w:r>
        <w:rPr>
          <w:rFonts w:ascii="Arial" w:cs="Arial" w:eastAsia="Arial" w:hAnsi="Arial"/>
          <w:sz w:val="18"/>
          <w:szCs w:val="18"/>
          <w:color w:val="auto"/>
        </w:rPr>
        <w:t>In addition, any statements contained herein that are statements regarding events or results that may occur in the future may be deemed to be forward-looking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6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SiTime is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and enterprise, automotive, industrial, aerospace, mobile, IoT and consumer. Our current solutions include various types of oscillators, clocks, and resonators. Our all-silicon solutions are based on three fundamental areas of expertise: micro-electro-mechanical systems (“MEMS”), analog mixed-signal circuit design, and advanced system-level integration and packaging.</w:t>
      </w:r>
    </w:p>
    <w:p>
      <w:pPr>
        <w:spacing w:after="0" w:line="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ability to accurately measure and reference time has been essential to many of humankind’s greatest inventions and technological advances. Timing technology has continued to evolve over centuries, and has been instrumental in broader technological advancement. Timing is the heartbeat of digital electronic systems, ensuring that the system runs smoothly and reliably, by providing and distributing clock signals to various critical components such as CPUs, communication and interface chips, and radio frequency components. As electronics evolve to deliver higher performance levels, even in increasingly challenging environments, while also being more complex and space-constrained, we believe they will require more sophisticated timing solutions, and precision timing, a category that SiTime created, fills this need.</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heart of SiTime’s precision timing solutions are our micro-electro-mechanical systems ("MEMS"), analog/mixed-signal, and systems technologies. All of our oscillators and clocks contain MEMS and analog die, co-packaged in plastic, ceramic, or chip-scale packages. We have a deep understanding of mechanical, electrical, and thermal properties of materials, which is a key requirement for developing our proprietary MEMS processes. To maximize MEMS first-silicon success, we have also developed our own MEMS simulation tools. Our analog/mixed-signal die are developed using industry-standard processes and deliver high levels of performance using programmable phase-locked loops, temperature sensors, regulators, data converters, drivers and other building blocks.</w:t>
      </w:r>
    </w:p>
    <w:p>
      <w:pPr>
        <w:spacing w:after="0" w:line="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Commercial shipments of SiTime’s oscillator products began in 2006. Historically, our revenue has been substantially delivered from sales of oscillators across our target end markets. In addition to oscillators, we have expanded our products to include clock IC and timing sync solutions. We seek to expand our presence in our end markets across all product categories.</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sell our products primarily through distributors in Asia, who in turn sell to our end customers. We also sell products directly to some of our end customers. Based on sell-through information provided by our distributors, we believe the majority of our end customers are headquartered in the U.S.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our distributors or by shopping on our online store, SiTimeDirect™.</w:t>
      </w:r>
    </w:p>
    <w:p>
      <w:pPr>
        <w:spacing w:after="0" w:line="5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operate a fabless business model, allowing us to focus on the design, sales, and marketing of our products, quickly scale production, and significantly reduce our capital expenditures by using the semiconductor industry manufacturing infrastructure. A fabless infrastructure gives us production flexibility and the ability to scale capacity up and down quickly to meet demand. Our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60"/>
        <w:spacing w:after="0" w:line="277" w:lineRule="auto"/>
        <w:rPr>
          <w:sz w:val="20"/>
          <w:szCs w:val="20"/>
          <w:color w:val="auto"/>
        </w:rPr>
      </w:pPr>
      <w:r>
        <w:rPr>
          <w:rFonts w:ascii="Arial" w:cs="Arial" w:eastAsia="Arial" w:hAnsi="Arial"/>
          <w:sz w:val="18"/>
          <w:szCs w:val="18"/>
          <w:color w:val="auto"/>
        </w:rPr>
        <w:t>programmable architecture also plays a key role in ensuring optimal production flexibility, as it allows us to offer shorter lead times and the ability to meet custom requirements more easily.</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2021 and the first half of 2022, there were a number of industry-wide supply constraints affecting the supply of analog circuits manufactured by certain foundries, including Taiwan Semiconductor Manufacturing Company ("TSMC"), and affecting outsourced semiconductor assembly and test providers. In addition, in 2022,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expect these macroeconomic events will continue to negatively affect sales of our products and results of operations in 2023. We believe that many of our customers built up inventory in our products in 2022 to overcome the industry-wide supply constraints that occurred in the previous periods. We also believe that the macroeconomic events in 2022 led to reduced demand for our customers' products, which led to an inventory buildup at many of our customers, including distributors and their affiliates, partners and contract manufacturers. These inventory buildups at our customers have adversely affected sales of our products and we believe that this will continue until the inventory buildups are reduced and demand increases. The inventory buildups at many of our customers, including distributors and their affiliates, partners, and contract manufacturers could result in significant decreases in our sales,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employees in Finland, France, Germany, Japan, Korea, Malaysia, the Netherlands, Taiwan, Ukraine, and the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COVID-19 pandemic continued to impact our workforce and the operations of our customers and suppliers during 2022. In response to the ongoing COVID-19 pandemic and related government measures, we implemented safety measures to protect our employees and contractors at our locations around the world. The COVID-19 pandemic has not had a significant impact on the Company in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except percentage)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27,728</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79,418</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8"/>
              <w:spacing w:after="0"/>
              <w:rPr>
                <w:sz w:val="20"/>
                <w:szCs w:val="20"/>
                <w:color w:val="auto"/>
              </w:rPr>
            </w:pPr>
            <w:r>
              <w:rPr>
                <w:rFonts w:ascii="Arial" w:cs="Arial" w:eastAsia="Arial" w:hAnsi="Arial"/>
                <w:sz w:val="16"/>
                <w:szCs w:val="16"/>
                <w:color w:val="auto"/>
              </w:rPr>
              <w:t>(51,690 )</w:t>
            </w:r>
          </w:p>
        </w:tc>
        <w:tc>
          <w:tcPr>
            <w:tcW w:w="1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(65 %) $</w:t>
            </w:r>
          </w:p>
        </w:tc>
        <w:tc>
          <w:tcPr>
            <w:tcW w:w="780" w:type="dxa"/>
            <w:vAlign w:val="bottom"/>
          </w:tcPr>
          <w:p>
            <w:pPr>
              <w:jc w:val="right"/>
              <w:spacing w:after="0"/>
              <w:rPr>
                <w:sz w:val="20"/>
                <w:szCs w:val="20"/>
                <w:color w:val="auto"/>
              </w:rPr>
            </w:pPr>
            <w:r>
              <w:rPr>
                <w:rFonts w:ascii="Arial" w:cs="Arial" w:eastAsia="Arial" w:hAnsi="Arial"/>
                <w:sz w:val="16"/>
                <w:szCs w:val="16"/>
                <w:color w:val="auto"/>
              </w:rPr>
              <w:t>66,070</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149,671</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(83,601 )</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 decreased by $51.7 million, or 65.1%, for the three months ended June 30, 2023 compared to the same period in the prior year. The decrease was primarily related to a decrease in sales volume as well as decrease in average selling prices ("ASPs") of our products. Lower sales volume was driven by excess inventory buildup at many of our customers, including our historically largest end customer, distributors and their affiliates, partners, and contract manufacturers, and lower demand for our products due to macroeconomic conditions. Lower ASPs of our products was related to change in mix of the products we shipped.</w:t>
      </w:r>
    </w:p>
    <w:p>
      <w:pPr>
        <w:spacing w:after="0" w:line="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 decreased by $83.6 million, or 56%, for the six months ended June 30, 2023 compared to the same period in the prior year. The decrease was primarily related to a decrease in sales volume partially offset by an increase in ASPs. Lower sales volume was driven by excess inventory buildup at many of our customers, including our historically largest end customer, distributors and their affiliates, partners, and contract manufacturers, and lower demand for our products due to macroeconomic conditions. Such decrease in revenue was partially offset by an increase in ASPs of our products that was related to change in mix of the products we shipped.</w:t>
      </w:r>
    </w:p>
    <w:p>
      <w:pPr>
        <w:spacing w:after="0" w:line="8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Sales attributable to our historically largest end customer through multiple distributors accounted for 16% and 14% of our revenue for the three months ended June 30, 2023 and 2022, respectively, and 9% and 16% of our revenue for the six months ended June 30, 2023 and 2022. Our end customers predominantly purchase our products from distributors. Our top three customers by revenue, which are distributors, together accounted for approximately 45% and 40% of our revenue for the three months ended June 30, 2023 and 2022, respectively, and 44% and 41% of our revenue for the six months ended June 30, 2023 and 2022, respectively. Revenue attributable to our largest ten end customers accounted for 42% and 70% of our revenue for the three months ended June 30, 2023 and 2022, respectively, and 40% and 69% of our revenues for the six months ended June 30, 2023 and 2022, respectively.</w:t>
      </w:r>
    </w:p>
    <w:p>
      <w:pPr>
        <w:spacing w:after="0" w:line="4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106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Six Months Ended June 30,</w:t>
            </w:r>
          </w:p>
        </w:tc>
        <w:tc>
          <w:tcPr>
            <w:tcW w:w="260" w:type="dxa"/>
            <w:vAlign w:val="bottom"/>
          </w:tcPr>
          <w:p>
            <w:pPr>
              <w:spacing w:after="0"/>
              <w:rPr>
                <w:sz w:val="16"/>
                <w:szCs w:val="16"/>
                <w:color w:val="auto"/>
              </w:rPr>
            </w:pPr>
          </w:p>
        </w:tc>
        <w:tc>
          <w:tcPr>
            <w:tcW w:w="106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percentage)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4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percentage)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3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12,290</w:t>
            </w:r>
          </w:p>
        </w:tc>
        <w:tc>
          <w:tcPr>
            <w:tcW w:w="20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26,744</w:t>
            </w:r>
          </w:p>
        </w:tc>
        <w:tc>
          <w:tcPr>
            <w:tcW w:w="28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(14,454 )</w:t>
            </w:r>
          </w:p>
        </w:tc>
        <w:tc>
          <w:tcPr>
            <w:tcW w:w="140" w:type="dxa"/>
            <w:vAlign w:val="bottom"/>
          </w:tcPr>
          <w:p>
            <w:pPr>
              <w:spacing w:after="0"/>
              <w:rPr>
                <w:sz w:val="18"/>
                <w:szCs w:val="18"/>
                <w:color w:val="auto"/>
              </w:rPr>
            </w:pPr>
          </w:p>
        </w:tc>
        <w:tc>
          <w:tcPr>
            <w:tcW w:w="980" w:type="dxa"/>
            <w:vAlign w:val="bottom"/>
            <w:gridSpan w:val="3"/>
          </w:tcPr>
          <w:p>
            <w:pPr>
              <w:ind w:left="340"/>
              <w:spacing w:after="0"/>
              <w:rPr>
                <w:sz w:val="20"/>
                <w:szCs w:val="20"/>
                <w:color w:val="auto"/>
              </w:rPr>
            </w:pPr>
            <w:r>
              <w:rPr>
                <w:rFonts w:ascii="Arial" w:cs="Arial" w:eastAsia="Arial" w:hAnsi="Arial"/>
                <w:sz w:val="16"/>
                <w:szCs w:val="16"/>
                <w:color w:val="auto"/>
              </w:rPr>
              <w:t>(54 %) $</w:t>
            </w:r>
          </w:p>
        </w:tc>
        <w:tc>
          <w:tcPr>
            <w:tcW w:w="720" w:type="dxa"/>
            <w:vAlign w:val="bottom"/>
          </w:tcPr>
          <w:p>
            <w:pPr>
              <w:jc w:val="right"/>
              <w:spacing w:after="0"/>
              <w:rPr>
                <w:sz w:val="20"/>
                <w:szCs w:val="20"/>
                <w:color w:val="auto"/>
              </w:rPr>
            </w:pPr>
            <w:r>
              <w:rPr>
                <w:rFonts w:ascii="Arial" w:cs="Arial" w:eastAsia="Arial" w:hAnsi="Arial"/>
                <w:sz w:val="16"/>
                <w:szCs w:val="16"/>
                <w:color w:val="auto"/>
              </w:rPr>
              <w:t>27,592</w:t>
            </w:r>
          </w:p>
        </w:tc>
        <w:tc>
          <w:tcPr>
            <w:tcW w:w="22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51,763</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(24,171 )</w:t>
            </w: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(47 %)</w:t>
            </w:r>
          </w:p>
        </w:tc>
      </w:tr>
      <w:tr>
        <w:trPr>
          <w:trHeight w:val="239"/>
        </w:trPr>
        <w:tc>
          <w:tcPr>
            <w:tcW w:w="23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15,438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52,674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(37,236 )</w:t>
            </w:r>
          </w:p>
        </w:tc>
        <w:tc>
          <w:tcPr>
            <w:tcW w:w="140" w:type="dxa"/>
            <w:vAlign w:val="bottom"/>
          </w:tcPr>
          <w:p>
            <w:pPr>
              <w:spacing w:after="0"/>
              <w:rPr>
                <w:sz w:val="20"/>
                <w:szCs w:val="20"/>
                <w:color w:val="auto"/>
              </w:rPr>
            </w:pP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(71 %)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38,478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97,908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(59,430 )</w:t>
            </w:r>
          </w:p>
        </w:tc>
        <w:tc>
          <w:tcPr>
            <w:tcW w:w="1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(61 %)</w:t>
            </w:r>
          </w:p>
        </w:tc>
      </w:tr>
      <w:tr>
        <w:trPr>
          <w:trHeight w:val="239"/>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56 %</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66 %</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58 %</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65 %</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Gross profit decreased by $37.2 million in the three months ended June 30, 2023 compared to the same period in the prior year. Gross profit decreased $38.9 million mainly from lower revenue. This decrease was partially offset by lower other manufacturing and overhead costs of $1.7 million.</w:t>
      </w:r>
    </w:p>
    <w:p>
      <w:pPr>
        <w:spacing w:after="0" w:line="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Gross profit decreased by $59.4 million in the six months ended June 30, 2023 compared to the same period in the prior year. Gross profit decreased $62.1 million mainly from lower revenue. This decrease was partially offset by lower other manufacturing and overhead costs of $2.7 million.</w:t>
      </w:r>
    </w:p>
    <w:p>
      <w:pPr>
        <w:spacing w:after="0" w:line="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Gross margin was lower by 10% in the three months ended June 30, 2023 compared to the same period in the prior year. Of the decrease, 8% was mainly due to lower sales causing an unfavorable absorption of our manufacturing overhead costs and the additional 2% decline was contributed by lower ASP for the quarter.</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Gross margin was lower by 7% in the six months ended June 30, 2023 compared to the same period in the prior year. The decrease was mainly due to lower sales causing an unfavorable absorption of our manufacturing overhead costs.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Gross margin may fluctuate from time to time due to a variety of factors. For additional discussion please see Part I, Item 1A Risk Factors of this report, especially the risk factor titled “Our gross margins may fluctuate due to a variety of factors, which could negatively impact our results of operations and our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40" w:type="dxa"/>
            <w:vAlign w:val="bottom"/>
            <w:gridSpan w:val="8"/>
          </w:tcPr>
          <w:p>
            <w:pPr>
              <w:ind w:left="180"/>
              <w:spacing w:after="0"/>
              <w:rPr>
                <w:sz w:val="20"/>
                <w:szCs w:val="20"/>
                <w:color w:val="auto"/>
              </w:rPr>
            </w:pPr>
            <w:r>
              <w:rPr>
                <w:rFonts w:ascii="Arial" w:cs="Arial" w:eastAsia="Arial" w:hAnsi="Arial"/>
                <w:sz w:val="14"/>
                <w:szCs w:val="14"/>
                <w:b w:val="1"/>
                <w:bCs w:val="1"/>
                <w:color w:val="auto"/>
              </w:rPr>
              <w:t>(in thousands except percentage)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40" w:type="dxa"/>
            <w:vAlign w:val="bottom"/>
            <w:gridSpan w:val="8"/>
          </w:tcPr>
          <w:p>
            <w:pPr>
              <w:ind w:left="180"/>
              <w:spacing w:after="0"/>
              <w:rPr>
                <w:sz w:val="20"/>
                <w:szCs w:val="20"/>
                <w:color w:val="auto"/>
              </w:rPr>
            </w:pPr>
            <w:r>
              <w:rPr>
                <w:rFonts w:ascii="Arial" w:cs="Arial" w:eastAsia="Arial" w:hAnsi="Arial"/>
                <w:sz w:val="14"/>
                <w:szCs w:val="14"/>
                <w:b w:val="1"/>
                <w:bCs w:val="1"/>
                <w:color w:val="auto"/>
              </w:rPr>
              <w:t>(in thousands except percentage)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26,567</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22,017</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4,550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21 %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51,024</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42,612</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8,412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ind w:left="380"/>
              <w:spacing w:after="0"/>
              <w:rPr>
                <w:sz w:val="20"/>
                <w:szCs w:val="20"/>
                <w:color w:val="auto"/>
              </w:rPr>
            </w:pPr>
            <w:r>
              <w:rPr>
                <w:rFonts w:ascii="Arial" w:cs="Arial" w:eastAsia="Arial" w:hAnsi="Arial"/>
                <w:sz w:val="16"/>
                <w:szCs w:val="16"/>
                <w:color w:val="auto"/>
                <w:w w:val="82"/>
              </w:rPr>
              <w:t>20 %</w:t>
            </w:r>
          </w:p>
        </w:tc>
        <w:tc>
          <w:tcPr>
            <w:tcW w:w="0" w:type="dxa"/>
            <w:vAlign w:val="bottom"/>
          </w:tcPr>
          <w:p>
            <w:pPr>
              <w:spacing w:after="0"/>
              <w:rPr>
                <w:sz w:val="1"/>
                <w:szCs w:val="1"/>
                <w:color w:val="auto"/>
              </w:rPr>
            </w:pPr>
          </w:p>
        </w:tc>
      </w:tr>
      <w:tr>
        <w:trPr>
          <w:trHeight w:val="216"/>
        </w:trPr>
        <w:tc>
          <w:tcPr>
            <w:tcW w:w="2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w:t>
            </w:r>
          </w:p>
        </w:tc>
        <w:tc>
          <w:tcPr>
            <w:tcW w:w="10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21,276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18,376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42,009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36,954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5,055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administrative</w:t>
            </w: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16 %</w:t>
            </w: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w w:val="76"/>
              </w:rPr>
              <w:t>14 %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47,843</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40,393</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7,450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18 %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93,033</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79,566</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13,467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ind w:left="380"/>
              <w:spacing w:after="0"/>
              <w:rPr>
                <w:sz w:val="20"/>
                <w:szCs w:val="20"/>
                <w:color w:val="auto"/>
              </w:rPr>
            </w:pPr>
            <w:r>
              <w:rPr>
                <w:rFonts w:ascii="Arial" w:cs="Arial" w:eastAsia="Arial" w:hAnsi="Arial"/>
                <w:sz w:val="16"/>
                <w:szCs w:val="16"/>
                <w:color w:val="auto"/>
                <w:w w:val="82"/>
              </w:rPr>
              <w:t>17 %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-179705</wp:posOffset>
            </wp:positionV>
            <wp:extent cx="8572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-179705</wp:posOffset>
            </wp:positionV>
            <wp:extent cx="76835"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-179705</wp:posOffset>
            </wp:positionV>
            <wp:extent cx="85725"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-179705</wp:posOffset>
            </wp:positionV>
            <wp:extent cx="76835"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85725"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-179705</wp:posOffset>
            </wp:positionV>
            <wp:extent cx="76835"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8034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Research and development expense increased by $4.6 million, or 21%, for the three months ended June 30, 2023 compared to the same period in the prior year, primarily due to an increase in stock-based compensation expense of $5.0 million, a decrease in</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color w:val="auto"/>
        </w:rPr>
        <w:t>non-recurring engineering contra-expense recognized of $2.2 million and an increase in depreciation and amortization of lab equipment and licenses of $0.8 million, and offset by lower engineering spend towards ongoing new product development of $3.8 million.</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Research and development expense increased by $8.4 million, or 20%, for the six months ended June 30, 2023 compared to the same period in the prior year, primarily due to an increase in stock-based compensation expense of $7.4 million, a decrease in non-recurring engineering contra-expense recognized of $3.0 million, higher personnel costs of $2.3 million due to increased headcount and an increase in depreciation and amortization of lab equipment and licenses of $1.8 million, and offset by lower engineering spend towards ongoing new product development of $6.1 million.</w:t>
      </w:r>
    </w:p>
    <w:p>
      <w:pPr>
        <w:spacing w:after="0" w:line="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is no guarantee we will enter into a non-recurring engineering arrangement or recognize such contra-expense in any future period. Based on our current contracts, we expect the non-recurring engineering contra-expense to decline in future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Selling, general and administrative expense increased by $2.9 million, or 16%, for the three months ended June 30, 2023 compared to the same period in the prior year, primarily due to higher stock-based compensation expense of $4.0 million, partially offset by reduction in sales commission payouts by $0.9 million due to lower sales.</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Selling, general and administrative expense increased by $5.1 million, or 14%, for the six months ended June 30, 2023 compared to the same period in the prior year, primarily due to higher stock-based compensation expense of $5.8 million, higher personnel costs of $0.8 million due to increased headcount, offset by reduction in sales commission payouts by $1.5 million due to lower sales.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on short term investments.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4"/>
                <w:szCs w:val="14"/>
                <w:b w:val="1"/>
                <w:bCs w:val="1"/>
                <w:color w:val="auto"/>
                <w:w w:val="95"/>
              </w:rPr>
              <w:t>Six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Borders>
              <w:bottom w:val="single" w:sz="8" w:color="auto"/>
            </w:tcBorders>
          </w:tcPr>
          <w:p>
            <w:pPr>
              <w:spacing w:after="0"/>
              <w:rPr>
                <w:sz w:val="16"/>
                <w:szCs w:val="16"/>
                <w:color w:val="auto"/>
              </w:rPr>
            </w:pPr>
          </w:p>
        </w:tc>
      </w:tr>
      <w:tr>
        <w:trPr>
          <w:trHeight w:val="169"/>
        </w:trPr>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00" w:type="dxa"/>
            <w:vAlign w:val="bottom"/>
            <w:gridSpan w:val="7"/>
          </w:tcPr>
          <w:p>
            <w:pPr>
              <w:ind w:left="220"/>
              <w:spacing w:after="0"/>
              <w:rPr>
                <w:sz w:val="20"/>
                <w:szCs w:val="20"/>
                <w:color w:val="auto"/>
              </w:rPr>
            </w:pPr>
            <w:r>
              <w:rPr>
                <w:rFonts w:ascii="Arial" w:cs="Arial" w:eastAsia="Arial" w:hAnsi="Arial"/>
                <w:sz w:val="14"/>
                <w:szCs w:val="14"/>
                <w:b w:val="1"/>
                <w:bCs w:val="1"/>
                <w:color w:val="auto"/>
              </w:rPr>
              <w:t>(in thousands except percentage)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00" w:type="dxa"/>
            <w:vAlign w:val="bottom"/>
            <w:gridSpan w:val="7"/>
          </w:tcPr>
          <w:p>
            <w:pPr>
              <w:ind w:left="220"/>
              <w:spacing w:after="0"/>
              <w:rPr>
                <w:sz w:val="20"/>
                <w:szCs w:val="20"/>
                <w:color w:val="auto"/>
              </w:rPr>
            </w:pPr>
            <w:r>
              <w:rPr>
                <w:rFonts w:ascii="Arial" w:cs="Arial" w:eastAsia="Arial" w:hAnsi="Arial"/>
                <w:sz w:val="14"/>
                <w:szCs w:val="14"/>
                <w:b w:val="1"/>
                <w:bCs w:val="1"/>
                <w:color w:val="auto"/>
              </w:rPr>
              <w:t>(in thousands except percentage)</w:t>
            </w:r>
          </w:p>
        </w:tc>
        <w:tc>
          <w:tcPr>
            <w:tcW w:w="700" w:type="dxa"/>
            <w:vAlign w:val="bottom"/>
          </w:tcPr>
          <w:p>
            <w:pPr>
              <w:spacing w:after="0"/>
              <w:rPr>
                <w:sz w:val="14"/>
                <w:szCs w:val="14"/>
                <w:color w:val="auto"/>
              </w:rPr>
            </w:pPr>
          </w:p>
        </w:tc>
      </w:tr>
      <w:tr>
        <w:trPr>
          <w:trHeight w:val="230"/>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6,667</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730%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11,494</w:t>
            </w:r>
          </w:p>
        </w:tc>
        <w:tc>
          <w:tcPr>
            <w:tcW w:w="280" w:type="dxa"/>
            <w:vAlign w:val="bottom"/>
            <w:shd w:val="clear" w:color="auto" w:fill="CCEEFF"/>
          </w:tcPr>
          <w:p>
            <w:pPr>
              <w:spacing w:after="0"/>
              <w:rPr>
                <w:sz w:val="19"/>
                <w:szCs w:val="19"/>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1431%</w:t>
            </w:r>
          </w:p>
        </w:tc>
      </w:tr>
    </w:tbl>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income increased by $5.9 million for the three months ended June 30, 2023, compared to the same period in the prior year due to an increase in interest rates in the current year.</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income increased by $11.5 million for the six months ended June 30, 2023, compared to the same period in the prior year as the Company started investing its cash in treasury bills only in the second quarter of fiscal year 2022 and received interest payments at higher interest rates from the treasury bills during the six months ended June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interest income on our cash balances and foreign exchange gains and losses.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2680" w:type="dxa"/>
            <w:vAlign w:val="bottom"/>
            <w:gridSpan w:val="7"/>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spacing w:after="0"/>
              <w:rPr>
                <w:sz w:val="16"/>
                <w:szCs w:val="16"/>
                <w:color w:val="auto"/>
              </w:rPr>
            </w:pPr>
          </w:p>
        </w:tc>
      </w:tr>
      <w:tr>
        <w:trPr>
          <w:trHeight w:val="169"/>
        </w:trPr>
        <w:tc>
          <w:tcPr>
            <w:tcW w:w="24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r>
      <w:tr>
        <w:trPr>
          <w:trHeight w:val="169"/>
        </w:trPr>
        <w:tc>
          <w:tcPr>
            <w:tcW w:w="2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9"/>
              </w:rPr>
              <w:t>(in thousands except percentage)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percentage)</w:t>
            </w:r>
          </w:p>
        </w:tc>
        <w:tc>
          <w:tcPr>
            <w:tcW w:w="700" w:type="dxa"/>
            <w:vAlign w:val="bottom"/>
          </w:tcPr>
          <w:p>
            <w:pPr>
              <w:spacing w:after="0"/>
              <w:rPr>
                <w:sz w:val="14"/>
                <w:szCs w:val="14"/>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(161 )   $</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(173 )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(61 )</w:t>
            </w:r>
          </w:p>
        </w:tc>
        <w:tc>
          <w:tcPr>
            <w:tcW w:w="840" w:type="dxa"/>
            <w:vAlign w:val="bottom"/>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(26 )   $</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(35 )</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135%</w:t>
            </w:r>
          </w:p>
        </w:tc>
      </w:tr>
    </w:tbl>
    <w:p>
      <w:pPr>
        <w:spacing w:after="0" w:line="200" w:lineRule="exact"/>
        <w:rPr>
          <w:sz w:val="20"/>
          <w:szCs w:val="20"/>
          <w:color w:val="auto"/>
        </w:rPr>
      </w:pPr>
    </w:p>
    <w:p>
      <w:pPr>
        <w:spacing w:after="0" w:line="218"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Other income (expense), net, was essentially flat for the three and six months ended June 30, 2023, compared to the same period in the prior year and primarily related to net unrealized loss on foreign exchange rates due to increased activities in our foreign subsidiaries and unfavorable exchange rate fluctuations.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26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9"/>
              </w:rPr>
              <w:t>Three Months Ended June 30,</w:t>
            </w:r>
          </w:p>
        </w:tc>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spacing w:after="0"/>
              <w:rPr>
                <w:sz w:val="16"/>
                <w:szCs w:val="16"/>
                <w:color w:val="auto"/>
              </w:rPr>
            </w:pPr>
          </w:p>
        </w:tc>
      </w:tr>
      <w:tr>
        <w:trPr>
          <w:trHeight w:val="169"/>
        </w:trPr>
        <w:tc>
          <w:tcPr>
            <w:tcW w:w="24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r>
      <w:tr>
        <w:trPr>
          <w:trHeight w:val="169"/>
        </w:trPr>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7"/>
          </w:tcPr>
          <w:p>
            <w:pPr>
              <w:ind w:left="220"/>
              <w:spacing w:after="0"/>
              <w:rPr>
                <w:sz w:val="20"/>
                <w:szCs w:val="20"/>
                <w:color w:val="auto"/>
              </w:rPr>
            </w:pPr>
            <w:r>
              <w:rPr>
                <w:rFonts w:ascii="Arial" w:cs="Arial" w:eastAsia="Arial" w:hAnsi="Arial"/>
                <w:sz w:val="14"/>
                <w:szCs w:val="14"/>
                <w:b w:val="1"/>
                <w:bCs w:val="1"/>
                <w:color w:val="auto"/>
              </w:rPr>
              <w:t>(in thousands except percentage)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0"/>
              </w:rPr>
              <w:t>(in thousands except percentage)</w:t>
            </w:r>
          </w:p>
        </w:tc>
        <w:tc>
          <w:tcPr>
            <w:tcW w:w="700" w:type="dxa"/>
            <w:vAlign w:val="bottom"/>
          </w:tcPr>
          <w:p>
            <w:pPr>
              <w:spacing w:after="0"/>
              <w:rPr>
                <w:sz w:val="14"/>
                <w:szCs w:val="14"/>
                <w:color w:val="auto"/>
              </w:rPr>
            </w:pPr>
          </w:p>
        </w:tc>
      </w:tr>
      <w:tr>
        <w:trPr>
          <w:trHeight w:val="230"/>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(23 )   $</w:t>
            </w: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(52 )   $</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(56%)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(93 )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(120 )   $</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(23%)</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of June 30, 2023 and December 31, 2022, we had cash and cash equivalents of $30.4 million and $34.6 million, respectively. As of June 30, 2023 and December 31, 2022 we also held $544.3 million and $529.5 million of short-term investments, respectively in held-to-maturity securities which consisted of treasury bills. Our principal use of cash is to fund our operations to support growth.</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2022, we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During the six months ended June 30, 2023, we sold 200,000 shares of our common stock under the Sales Agreement at a weighted average price of $109.88 per share resulting in net proceeds to us of $21.2 million, after deducting underwriting discounts and commissions and deferred offering costs.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w:t>
      </w:r>
    </w:p>
    <w:p>
      <w:pPr>
        <w:spacing w:after="0" w:line="87"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Our purchase obligations primarily include design and simulation licenses and non-cancelable purchase commitments from agreements with our contract manufacturers as well as a multi-year purchase agreement with commitment to purchase minimum quantities of MEMS wafers and research and development, tooling and sample cost under the agreement. For information about our contractual obligations refer to "Note 5 - Lease" of the Notes to Condensed Consolidated Financial Statements for the period ending June 30, 2023 and "Note 6 - Commitments and Contingencies" of the Notes to the Consolidated Financial Statements filed in the Company's Annual Report on Form 10-K for the year ending December 31, 2022.</w:t>
      </w:r>
    </w:p>
    <w:p>
      <w:pPr>
        <w:spacing w:after="0" w:line="5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expect to continue our investing activities, primarily in the purchase of property and equipment and capitalized software, to support research and development, sales and marketing, product support, and administrative staff.</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w w:val="76"/>
              </w:rPr>
              <w:t>thousands)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35,337</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20"/>
                <w:szCs w:val="20"/>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(8,925 )</w:t>
            </w:r>
          </w:p>
        </w:tc>
        <w:tc>
          <w:tcPr>
            <w:tcW w:w="9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(17,645 )</w:t>
            </w: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(4,228 )</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20,830</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six months ended June 30, 2023, net cash provided by operating activities of $2.7 million was primarily due to a net loss of $42.4 million offset by non-cash expenses of $35.4 million and a change in operating assets and liabilities of $9.7 million. Non-cash expenses were mainly related to depreciation and amortization, stock-based compensation expense and interest on held to maturity investments. The changes in operating assets and liabilities resulted in cash provided primarily due to lower accounts receivable due to timing of payments and lower revenue partially offset by an increase in inventories as we built our wafer inventory levels, an increase in prepaid expenses and other assets due to timing of payments, and lower accounts payable and accrued expenses primarily due to timing of accrued payroll and related benefit payments.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investing activities consist primarily of purchase and maturities of short-term investments and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six months ended June 30, 2023, net cash used in investing activities was $8.9 million. We paid $536.6 million to purchase short-term investments in held-to-maturity securities. We paid $6.1 million largely to purchase test and other manufacturing equipment and intangibles to support the general business operations. All such payments were offset by $533.8 million proceeds from the maturity of held to maturity investments.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financing activities have primarily consisted of proceeds from issuance of shares and withholding of taxes on restricted stock units. During the six months ended June 30, 2023, we sold 200,000 shares of our common stock under the Sales Agreement resulting in net proceeds to us of $21.2 million, after deducting underwriting discounts and commissions of $0.5 million and deferred offering costs of $0.2 million. The net proceeds from the Sales Agreement were offset by tax withholdings paid on behalf of employees for net share settlement of $19.3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inventory; (3) stock-based compensation; and (4) accounting for income taxes.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2022 filed with the SEC on February 27, 2023.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Finland, France, Japan, Germany, Korea, Malaysia, the Netherlands,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had cash and cash equivalents of $30.4 million and $34.6 million as of June 30, 2023 and December 31, 2022, respectively, consisting of bank deposits, money market funds and treasury bills. We also had short-term investments in held-to-maturity securities of $544.3 million consisting of treasury bills as of June 30, 2023. Such interest-earning instruments carry a degree of interest rate risk. During the six months ended June 30, 2023 we have generated $12.3 million in interest income due to higher cash balance and rising interest rates.</w:t>
      </w:r>
    </w:p>
    <w:p>
      <w:pPr>
        <w:spacing w:after="0" w:line="7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risk exposure. As of June 30, 2023, a hypothetical 10% increase or decrease in market interest rates would change the fair value and related interest income on our interest-earning instruments of $544.3 million, by an increase or decrease of approximately $1.2 million for the six months ended June 30, 2023.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420"/>
        <w:spacing w:after="0" w:line="277" w:lineRule="auto"/>
        <w:rPr>
          <w:sz w:val="20"/>
          <w:szCs w:val="20"/>
          <w:color w:val="auto"/>
        </w:rPr>
      </w:pPr>
      <w:r>
        <w:rPr>
          <w:rFonts w:ascii="Arial" w:cs="Arial" w:eastAsia="Arial" w:hAnsi="Arial"/>
          <w:sz w:val="18"/>
          <w:szCs w:val="18"/>
          <w:color w:val="auto"/>
        </w:rPr>
        <w:t>(principal executive officer) and Chief Financial Officer (principal financial officer), as appropriate, to allow for timely decisions regarding required disclosure.</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macroeconomic conditions have harmed and may continue to harm our business.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global company and therefore our business, results of operations, and financial condition are impacted by global macroeconomic conditions. Macroeconomic events such as rising inflation, recession, equity market volatility, global banking concerns, geopolitical tensions, war, declines in income or asset values, decreased spending, changes to fuel and other energy costs, public health crises, supply chain disruptions, trade restrictions and sanctions, and the COVID-19 pandemic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7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adverse macroeconomic events such as global recessions, and we are currently experiencing a decrease in demand for our products. These downturns have been characterized by diminished product demand, production overcapacity, high inventory levels for us and our customers, and erosion of average selling prices. Any downturns in the semiconductor industry could harm our business, financial condition, and results of operations. In the last few years, the semiconductor industry experienced an upturn.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45% and 40% of our revenue for the three months ended June 30, 2023 and 2022, respectively and 44% and 41% of our revenue for the six months ended June 30, 2023 and 2022 respectively. Based on our shipment information, we believe that revenue attributable to our ten largest end customers accounted for 42% and 70% of our revenue for the three months ended June 30, 2023 and 2022, respectively, and 40% and 69% of our revenue for the six months ended June 30, 2023 and 2022 respectively. Sales attributable to Apple Inc., our historically largest end customer accounted for approximately 16% and 14% of our revenue for the three months ended June 30, 2023 and 2022 respectively, and 9% and 16% of our revenue for the six months ended June 30, 2023 and 2022 respectively. We anticipate revenue attributable to this customer will fluctuate from period to period.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spacing w:after="0" w:line="273" w:lineRule="auto"/>
        <w:rPr>
          <w:sz w:val="20"/>
          <w:szCs w:val="20"/>
          <w:color w:val="auto"/>
        </w:rPr>
      </w:pPr>
      <w:r>
        <w:rPr>
          <w:rFonts w:ascii="Arial" w:cs="Arial" w:eastAsia="Arial" w:hAnsi="Arial"/>
          <w:sz w:val="17"/>
          <w:szCs w:val="17"/>
          <w:color w:val="auto"/>
        </w:rPr>
        <w:t>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historically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customer or end customer forecasts or the timing of orders from our customers could make demand for our products difficult for us to predict and could expose us to the risks of inventory shortages or excess inventory. This in turn could cause our operating results to fluctuate and could materially harm our results of operations.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2023 compared to 2022,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80"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and fluctuations in sales by product manufacturers that incorporate our precision timing solutions into their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one or more of our executive officers or other key employees;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in the past has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20"/>
        <w:spacing w:after="0" w:line="270"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8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Ukraine and Finland. We also conduct marketing and administrative functions in the United States, Japan, the Netherlands, China, Taiwan, Malaysia, and Ukraine. Certain of the critical functions for our business are performed in locations outside of the United States. Members of our sales force are located in various locations outside of the United States. In addition, approximately 85% and 89% of our revenue for the three months ended June 30, 2023 and 2022, respectively, and approximately 82% and 89% of our revenue for the six months ended June 30, 2023 and 2022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70" w:lineRule="exact"/>
        <w:rPr>
          <w:sz w:val="20"/>
          <w:szCs w:val="20"/>
          <w:color w:val="auto"/>
        </w:rPr>
      </w:pPr>
    </w:p>
    <w:p>
      <w:pPr>
        <w:ind w:left="1020" w:right="28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and military conflicts, including the effects of Russia’s invasion of Ukraine;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instability, including the effects of rising inflation and increased interest rates;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5540" w:right="440" w:hanging="5023"/>
        <w:spacing w:after="0" w:line="387" w:lineRule="auto"/>
        <w:tabs>
          <w:tab w:leader="none" w:pos="103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1020" w:right="1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5" w:lineRule="exact"/>
        <w:rPr>
          <w:rFonts w:ascii="Arial" w:cs="Arial" w:eastAsia="Arial" w:hAnsi="Arial"/>
          <w:sz w:val="16"/>
          <w:szCs w:val="16"/>
          <w:color w:val="auto"/>
        </w:rPr>
      </w:pPr>
    </w:p>
    <w:p>
      <w:pPr>
        <w:ind w:left="1020" w:right="2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imposed by governments around the world as a result of the COVID-19 pandemic.</w:t>
      </w:r>
    </w:p>
    <w:p>
      <w:pPr>
        <w:spacing w:after="0" w:line="6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 At this point, the extent to which the COVID-19 pandemic may further impact our business remains uncertain but it may materially adversely affect our business, financial condition, or results of operations.</w:t>
      </w:r>
    </w:p>
    <w:p>
      <w:pPr>
        <w:spacing w:after="0" w:line="6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80"/>
        <w:spacing w:after="0" w:line="277" w:lineRule="auto"/>
        <w:rPr>
          <w:sz w:val="20"/>
          <w:szCs w:val="20"/>
          <w:color w:val="auto"/>
        </w:rPr>
      </w:pPr>
      <w:r>
        <w:rPr>
          <w:rFonts w:ascii="Arial" w:cs="Arial" w:eastAsia="Arial" w:hAnsi="Arial"/>
          <w:sz w:val="18"/>
          <w:szCs w:val="18"/>
          <w:color w:val="auto"/>
        </w:rPr>
        <w:t>maintain sales to our key customers or continue to secure key design wins for a variety of reasons, and our customers can stop incorporating our products into their product offerings with limited notice to us and suffer little or no penalty.</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5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7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target markets include the communications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360"/>
        <w:spacing w:after="0" w:line="263"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8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Pandemics, epidemics, or other outbreaks of disease have had and may in the future have an adverse impact upon our business, result of operations and financial condition.</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COVID-19 pandemic has impacted our workforce and the operations of our customers and suppliers. In response to the ongoing COVID-19 pandemic and related government measures, we implemented safety measures to protect our employees and contractors at our locations around the world. The effects of the ongoing COVID-19 pandemic on our business are evolving and difficult to predict. To date, the COVID-19 pandemic has significantly and negatively impacted the global economy and it is unclear how long the pandemic will continue to do so. Among other things, the continued COVID-19 pandemic may result in: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our supply chain;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rate of losses on our accounts receivable due to credit defaults.</w:t>
      </w:r>
    </w:p>
    <w:p>
      <w:pPr>
        <w:spacing w:after="0" w:line="11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COVID-19 pandemic has also caused significant uncertainty and volatility in global financial markets and the trading prices for the common stock of technology companies, including us.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4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Though we believe the production capabilities of our suppliers have been impacted as a result of safety measures, closures of production facilities, lack of supplies, or delays caused by the COVID-19 pandemic, to date we believe we have experienced minimal impact from any delay and disruption in the manufacture, shipment, and sales of our products. However, as the COVID-19 pandemic continues, the effects of the pandemic, including timing and overall demand for our products, and availability of supply chain, may negatively and materially impact our business, results of operations, and financial condition. Further, as safety measures terminate and individuals return to work in offices, we may experience a reduction in demand for certain of our products that are incorporated in our customers’ products that experienced higher demand during the COVID-19 pandemic. Any disruption in the manufacture, shipment, or sales of our products may negatively and materially impact our operating results.</w:t>
      </w:r>
    </w:p>
    <w:p>
      <w:pPr>
        <w:spacing w:after="0" w:line="6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Given the changing nature and continuing uncertainty surrounding COVID-19 due to public health challenges, governmental directives, and economic disruption, and the duration of the foregoing, the potential impact that the COVID-19 pandemic could have on our business, results of operations, and financial condition, and on the other risk factors described in this “Risk Factors” section, remain unclear.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40"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recent revenue should not be considered indicative of our future performance. Our revenue was $27.7 million and $79.4 million for the three months ended June 30, 2023 and 2022, respectively, and $66.1 million and $149.7 million for the six months ended June 30, 2023 and 2022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the impact of the COVID-19 pandemic, a decrease in the growth of our overall market or market saturation, or our failure to capitalize on growth opportunities.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100"/>
        <w:spacing w:after="0" w:line="263"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6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280"/>
        <w:spacing w:after="0" w:line="301" w:lineRule="auto"/>
        <w:rPr>
          <w:sz w:val="20"/>
          <w:szCs w:val="20"/>
          <w:color w:val="auto"/>
        </w:rPr>
      </w:pPr>
      <w:r>
        <w:rPr>
          <w:rFonts w:ascii="Arial" w:cs="Arial" w:eastAsia="Arial" w:hAnsi="Arial"/>
          <w:sz w:val="16"/>
          <w:szCs w:val="16"/>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Corporation,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62" w:lineRule="exact"/>
        <w:rPr>
          <w:sz w:val="20"/>
          <w:szCs w:val="20"/>
          <w:color w:val="auto"/>
        </w:rPr>
      </w:pPr>
    </w:p>
    <w:p>
      <w:pPr>
        <w:ind w:left="1020" w:right="2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6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 culture has contributed to our success and if we cannot maintain this culture, our business could be harmed.</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100"/>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6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60"/>
        <w:spacing w:after="0" w:line="301"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June 30, 2023</w:t>
      </w:r>
      <w:r>
        <w:rPr>
          <w:rFonts w:ascii="Arial" w:cs="Arial" w:eastAsia="Arial" w:hAnsi="Arial"/>
          <w:sz w:val="17"/>
          <w:szCs w:val="17"/>
          <w:color w:val="FF0000"/>
        </w:rPr>
        <w:t>,</w:t>
      </w:r>
      <w:r>
        <w:rPr>
          <w:rFonts w:ascii="Arial" w:cs="Arial" w:eastAsia="Arial" w:hAnsi="Arial"/>
          <w:sz w:val="17"/>
          <w:szCs w:val="17"/>
          <w:color w:val="auto"/>
        </w:rPr>
        <w:t xml:space="preserve"> substantially all of which are large distributors, OEMs, and system manufacturers, we had $0.1 million and $0.1 million in allowance for credit losses as of June 30, 2023 and December 31, 2022, respectively. If our credit losses, however, were to exceed our current or future allowance for credit losses, our business, financial condition, and results of operations would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129" w:lineRule="exact"/>
        <w:rPr>
          <w:sz w:val="20"/>
          <w:szCs w:val="20"/>
          <w:color w:val="auto"/>
        </w:rPr>
      </w:pPr>
    </w:p>
    <w:p>
      <w:pPr>
        <w:ind w:right="120" w:firstLine="45"/>
        <w:spacing w:after="0" w:line="296" w:lineRule="auto"/>
        <w:rPr>
          <w:sz w:val="20"/>
          <w:szCs w:val="20"/>
          <w:color w:val="auto"/>
        </w:rPr>
      </w:pPr>
      <w:r>
        <w:rPr>
          <w:rFonts w:ascii="Arial" w:cs="Arial" w:eastAsia="Arial" w:hAnsi="Arial"/>
          <w:sz w:val="16"/>
          <w:szCs w:val="16"/>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June 30, 2023, a majority of our cash and short-term investment balances were maintained with Wells Fargo &amp; Co., Morgan Stanley and U.S. Bancorp.</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 be required to seek, debt financing.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60"/>
        <w:spacing w:after="0" w:line="255" w:lineRule="auto"/>
        <w:rPr>
          <w:sz w:val="20"/>
          <w:szCs w:val="20"/>
          <w:color w:val="auto"/>
        </w:rPr>
      </w:pPr>
      <w:r>
        <w:rPr>
          <w:rFonts w:ascii="Arial" w:cs="Arial" w:eastAsia="Arial" w:hAnsi="Arial"/>
          <w:sz w:val="18"/>
          <w:szCs w:val="18"/>
          <w:color w:val="auto"/>
        </w:rPr>
        <w:t>from China and China then imposed certain retaliatory tariffs. It is uncertain what further alterations to trade terms between China and the United States may occur,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jc w:val="both"/>
        <w:ind w:right="20"/>
        <w:spacing w:after="0" w:line="263" w:lineRule="auto"/>
        <w:rPr>
          <w:sz w:val="20"/>
          <w:szCs w:val="20"/>
          <w:color w:val="auto"/>
        </w:rPr>
      </w:pPr>
      <w:r>
        <w:rPr>
          <w:rFonts w:ascii="Arial" w:cs="Arial" w:eastAsia="Arial" w:hAnsi="Arial"/>
          <w:sz w:val="18"/>
          <w:szCs w:val="18"/>
          <w:color w:val="auto"/>
        </w:rPr>
        <w:t>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government contracting regulations, we could suffer a loss of revenue or other penalties.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which went into effect in January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Foreign governments are raising similar privacy and data security concerns. In particular, the European Union has enacted a General</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Data Protection Regulation (“GDPR”), which became effective in May 2018. China,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80"/>
        <w:spacing w:after="0" w:line="291" w:lineRule="auto"/>
        <w:rPr>
          <w:sz w:val="20"/>
          <w:szCs w:val="20"/>
          <w:color w:val="auto"/>
        </w:rPr>
      </w:pPr>
      <w:r>
        <w:rPr>
          <w:rFonts w:ascii="Arial" w:cs="Arial" w:eastAsia="Arial" w:hAnsi="Arial"/>
          <w:sz w:val="16"/>
          <w:szCs w:val="16"/>
          <w:color w:val="auto"/>
        </w:rPr>
        <w:t>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5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information technology system failures or network disruptions, and lack of redundancy.</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7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of December 31, 2022, we had U.S. federal, state and foreign net operating loss (“NOL”), carryforwards of approximately $213.3 million, $65.3 million and $1.7 million, respectively, and U.S. federal and state research and development tax credit carryforwards of approximately $3.9 million and $3.6 million, respectively. The U.S. federal NOL carryforwards begin to expire in 2025, the state NOL carryforwards begin to expire in 2028,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2022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260"/>
        <w:spacing w:after="0" w:line="277" w:lineRule="auto"/>
        <w:rPr>
          <w:sz w:val="20"/>
          <w:szCs w:val="20"/>
          <w:color w:val="auto"/>
        </w:rPr>
      </w:pPr>
      <w:r>
        <w:rPr>
          <w:rFonts w:ascii="Arial" w:cs="Arial" w:eastAsia="Arial" w:hAnsi="Arial"/>
          <w:sz w:val="18"/>
          <w:szCs w:val="18"/>
          <w:color w:val="auto"/>
        </w:rPr>
        <w:t>exhausted during the five-year carryback period or during 2018, 2019 or 2020. The Company will not carry back any NOLs as they did not have taxable income in prior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2023, we had 107 issued U.S. patents, expiring generally between 2026 and 2040 and 40 pending U.S. patent applications (including 12 provisional applications). We also had four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7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6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5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6"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spacing w:after="0" w:line="27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MegaChips owns 4,700,000 shares of our common stock, representing approximately 21.2% of our outstanding common stock as of June 30, 2023. For so long as MegaChips or its successors in interest continue to hold the largest ownership position in our outstanding common stock, we expect MegaChips to continue to hold at least one out of eight seats on our board of directors, and to be influential in electing members of our board of directors. As long as MegaChips continues to be our largest stockholder, it will continue to have significant influence over us.</w:t>
      </w:r>
    </w:p>
    <w:p>
      <w:pPr>
        <w:spacing w:after="0" w:line="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spacing w:after="0" w:line="76"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40"/>
        <w:spacing w:after="0" w:line="263" w:lineRule="auto"/>
        <w:rPr>
          <w:sz w:val="20"/>
          <w:szCs w:val="20"/>
          <w:color w:val="auto"/>
        </w:rPr>
      </w:pPr>
      <w:r>
        <w:rPr>
          <w:rFonts w:ascii="Arial" w:cs="Arial" w:eastAsia="Arial" w:hAnsi="Arial"/>
          <w:sz w:val="18"/>
          <w:szCs w:val="18"/>
          <w:color w:val="auto"/>
        </w:rPr>
        <w:t>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7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103" w:lineRule="exact"/>
        <w:rPr>
          <w:sz w:val="20"/>
          <w:szCs w:val="20"/>
          <w:color w:val="auto"/>
        </w:rPr>
      </w:pPr>
    </w:p>
    <w:p>
      <w:pPr>
        <w:ind w:left="1020" w:right="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40" w:lineRule="exact"/>
        <w:rPr>
          <w:rFonts w:ascii="Arial" w:cs="Arial" w:eastAsia="Arial" w:hAnsi="Arial"/>
          <w:sz w:val="16"/>
          <w:szCs w:val="16"/>
          <w:color w:val="auto"/>
        </w:rPr>
      </w:pPr>
    </w:p>
    <w:p>
      <w:pPr>
        <w:ind w:left="1020" w:right="1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1020" w:right="5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4"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40"/>
        <w:spacing w:after="0" w:line="29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4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June 9, 2023, Dr. Fariborz Assaderaghi, Executive Vice President, Technology and Engineering, adopted a Rule 10b5-1 Trading Plan ("the Plan") intended to satisfy the affirmative defense conditions of Rule 10b5-1(c) of the Exchange Act, pursuant to which a maximum amount of 24,421 shares of common stock of the Company may be sold between September 11, 2023 and August 31, 2024. The Plan terminates on the earlier of: (i) August 31, 2024,</w:t>
      </w:r>
    </w:p>
    <w:p>
      <w:pPr>
        <w:spacing w:after="0" w:line="2"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first date on which all trades set forth in the Plan have been executed, or (iii) such date the Plan is otherwise terminated according to its terms.</w:t>
      </w:r>
    </w:p>
    <w:p>
      <w:pPr>
        <w:spacing w:after="0" w:line="32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60" w:type="dxa"/>
            <w:vAlign w:val="bottom"/>
            <w:gridSpan w:val="7"/>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 xml:space="preserve">Restated Certificate of Incorporation of SiTime Corporation (the “Company”) </w:t>
              </w:r>
            </w:hyperlink>
            <w:r>
              <w:rPr>
                <w:rFonts w:ascii="Arial" w:cs="Arial" w:eastAsia="Arial" w:hAnsi="Arial"/>
                <w:sz w:val="18"/>
                <w:szCs w:val="18"/>
                <w:color w:val="0000FF"/>
                <w:w w:val="93"/>
              </w:rPr>
              <w:t>(incorporated by reference to Exhibit 3.1 to the Company’s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sz w:val="20"/>
                <w:szCs w:val="20"/>
                <w:color w:val="auto"/>
              </w:rPr>
            </w:pPr>
            <w:r>
              <w:rPr>
                <w:rFonts w:ascii="Arial" w:cs="Arial" w:eastAsia="Arial" w:hAnsi="Arial"/>
                <w:sz w:val="18"/>
                <w:szCs w:val="18"/>
                <w:color w:val="0000FF"/>
              </w:rPr>
              <w:t>Current Report on Form 8-K filed November 26,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FF"/>
                <w:w w:val="92"/>
              </w:rPr>
            </w:pPr>
            <w:hyperlink r:id="rId179">
              <w:r>
                <w:rPr>
                  <w:rFonts w:ascii="Arial" w:cs="Arial" w:eastAsia="Arial" w:hAnsi="Arial"/>
                  <w:sz w:val="18"/>
                  <w:szCs w:val="18"/>
                  <w:color w:val="0000FF"/>
                  <w:w w:val="92"/>
                </w:rPr>
                <w:t>Amended and Restated Bylaws of the Company (incorporated by reference to Exhibit 3.2 to the Company’s Current Report on Form 8-K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filed June 29,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Form of Common Stock Certificate of the Company ((incorporated by reference to Exhibit 4.1 to the Company’s Registration Statement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Form S-1 (File No. 333-234305) (the “S-1”)).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32"/>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FF"/>
                <w:w w:val="95"/>
              </w:rPr>
            </w:pPr>
            <w:hyperlink r:id="rId181">
              <w:r>
                <w:rPr>
                  <w:rFonts w:ascii="Arial" w:cs="Arial" w:eastAsia="Arial" w:hAnsi="Arial"/>
                  <w:sz w:val="18"/>
                  <w:szCs w:val="18"/>
                  <w:color w:val="0000FF"/>
                  <w:w w:val="95"/>
                </w:rPr>
                <w:t>Description of Securities Registered Pursuant to Section 12 of the Securities Exchange Act of 1934 (incorporated by reference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Company’s Annual Report on Form 10-K filed February 16,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FF"/>
                <w:w w:val="94"/>
              </w:rPr>
            </w:pPr>
            <w:hyperlink r:id="rId182">
              <w:r>
                <w:rPr>
                  <w:rFonts w:ascii="Arial" w:cs="Arial" w:eastAsia="Arial" w:hAnsi="Arial"/>
                  <w:sz w:val="18"/>
                  <w:szCs w:val="18"/>
                  <w:color w:val="0000FF"/>
                  <w:w w:val="94"/>
                </w:rPr>
                <w:t>SiTime Corporation Independent Director Compensation Policy (incorporated by reference to Exhibit 10.2 to the Company's Quarterly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Report on Form 10-Q filed May 4,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6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35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2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2"/>
          </w:tcPr>
          <w:p>
            <w:pPr>
              <w:spacing w:after="0" w:line="19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w w:val="90"/>
              </w:rPr>
              <w:t>Inline XBRL Instance - the instance document does not appear in the Interactive Data File because its XBRL tags are embedded within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1"/>
                <w:szCs w:val="21"/>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1"/>
                <w:szCs w:val="21"/>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1"/>
                <w:szCs w:val="21"/>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1"/>
                <w:szCs w:val="21"/>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1"/>
                <w:szCs w:val="21"/>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hanging="1159"/>
        <w:spacing w:after="0"/>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9512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7" w:lineRule="exact"/>
        <w:rPr>
          <w:sz w:val="20"/>
          <w:szCs w:val="20"/>
          <w:color w:val="auto"/>
        </w:rPr>
      </w:pPr>
    </w:p>
    <w:p>
      <w:pPr>
        <w:ind w:left="520" w:right="300" w:hanging="512"/>
        <w:spacing w:after="0" w:line="220" w:lineRule="exact"/>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279"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Arthur D. Chadwick</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66" w:lineRule="exact"/>
        <w:rPr>
          <w:sz w:val="20"/>
          <w:szCs w:val="20"/>
          <w:color w:val="auto"/>
        </w:rPr>
      </w:pPr>
    </w:p>
    <w:p>
      <w:pPr>
        <w:ind w:left="260" w:hanging="239"/>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79" w:lineRule="exact"/>
        <w:rPr>
          <w:rFonts w:ascii="Arial" w:cs="Arial" w:eastAsia="Arial" w:hAnsi="Arial"/>
          <w:sz w:val="18"/>
          <w:szCs w:val="18"/>
          <w:color w:val="auto"/>
        </w:rPr>
      </w:pPr>
    </w:p>
    <w:p>
      <w:pPr>
        <w:jc w:val="both"/>
        <w:ind w:left="260" w:right="500" w:hanging="239"/>
        <w:spacing w:after="0" w:line="263"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jc w:val="both"/>
        <w:ind w:left="800" w:right="260" w:hanging="533"/>
        <w:spacing w:after="0" w:line="263"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800" w:right="540" w:hanging="533"/>
        <w:spacing w:after="0" w:line="263"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jc w:val="both"/>
        <w:ind w:left="800" w:right="700" w:hanging="533"/>
        <w:spacing w:after="0" w:line="342" w:lineRule="auto"/>
        <w:tabs>
          <w:tab w:leader="none" w:pos="8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800" w:right="260" w:hanging="533"/>
        <w:spacing w:after="0" w:line="263"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800" w:right="180" w:hanging="533"/>
        <w:spacing w:after="0" w:line="308" w:lineRule="auto"/>
        <w:tabs>
          <w:tab w:leader="none" w:pos="8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800" w:right="140" w:hanging="533"/>
        <w:spacing w:after="0" w:line="277"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9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23495</wp:posOffset>
            </wp:positionV>
            <wp:extent cx="30689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6"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66" w:lineRule="exact"/>
        <w:rPr>
          <w:sz w:val="20"/>
          <w:szCs w:val="20"/>
          <w:color w:val="auto"/>
        </w:rPr>
      </w:pPr>
    </w:p>
    <w:p>
      <w:pPr>
        <w:ind w:left="260" w:hanging="239"/>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79" w:lineRule="exact"/>
        <w:rPr>
          <w:rFonts w:ascii="Arial" w:cs="Arial" w:eastAsia="Arial" w:hAnsi="Arial"/>
          <w:sz w:val="18"/>
          <w:szCs w:val="18"/>
          <w:color w:val="auto"/>
        </w:rPr>
      </w:pPr>
    </w:p>
    <w:p>
      <w:pPr>
        <w:jc w:val="both"/>
        <w:ind w:left="260" w:right="500" w:hanging="239"/>
        <w:spacing w:after="0" w:line="263"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jc w:val="both"/>
        <w:ind w:left="800" w:right="260" w:hanging="533"/>
        <w:spacing w:after="0" w:line="263" w:lineRule="auto"/>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800" w:right="540" w:hanging="533"/>
        <w:spacing w:after="0" w:line="263" w:lineRule="auto"/>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jc w:val="both"/>
        <w:ind w:left="800" w:right="700" w:hanging="533"/>
        <w:spacing w:after="0" w:line="342" w:lineRule="auto"/>
        <w:tabs>
          <w:tab w:leader="none" w:pos="8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800" w:right="260" w:hanging="533"/>
        <w:spacing w:after="0" w:line="263" w:lineRule="auto"/>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800" w:right="180" w:hanging="533"/>
        <w:spacing w:after="0" w:line="308" w:lineRule="auto"/>
        <w:tabs>
          <w:tab w:leader="none" w:pos="8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800" w:right="140" w:hanging="533"/>
        <w:spacing w:after="0" w:line="277" w:lineRule="auto"/>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9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23495</wp:posOffset>
            </wp:positionV>
            <wp:extent cx="30689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June 30, 2023 as filed with the Securities and Exchange Commission on the date hereof (the “Report”), I, certify, pursuant to 18 U.S.C. § 1350, as adopted pursuant to § 906 of the Sarbanes-Oxley Act of 2002, that to the best of my knowledge:</w:t>
      </w:r>
    </w:p>
    <w:p>
      <w:pPr>
        <w:spacing w:after="0" w:line="130" w:lineRule="exact"/>
        <w:rPr>
          <w:sz w:val="20"/>
          <w:szCs w:val="20"/>
          <w:color w:val="auto"/>
        </w:rPr>
      </w:pPr>
    </w:p>
    <w:p>
      <w:pPr>
        <w:ind w:left="1000" w:hanging="490"/>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000" w:right="580" w:hanging="490"/>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3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Rajesh Vashist</w:t>
      </w:r>
    </w:p>
    <w:p>
      <w:pPr>
        <w:spacing w:after="0" w:line="3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June 30, 2023 as filed with the Securities and Exchange Commission on the date hereof (the “Report”), I, certify, pursuant to 18 U.S.C. § 1350, as adopted pursuant to § 906 of the Sarbanes-Oxley Act of 2002, that to the best of my knowledge:</w:t>
      </w:r>
    </w:p>
    <w:p>
      <w:pPr>
        <w:spacing w:after="0" w:line="130" w:lineRule="exact"/>
        <w:rPr>
          <w:sz w:val="20"/>
          <w:szCs w:val="20"/>
          <w:color w:val="auto"/>
        </w:rPr>
      </w:pPr>
    </w:p>
    <w:p>
      <w:pPr>
        <w:ind w:left="1000" w:hanging="49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000" w:right="580" w:hanging="490"/>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36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Arthur D. Chadwick</w:t>
      </w:r>
    </w:p>
    <w:p>
      <w:pPr>
        <w:spacing w:after="0" w:line="36"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78" Type="http://schemas.openxmlformats.org/officeDocument/2006/relationships/hyperlink" Target="https://www.sec.gov/Archives/edgar/data/1451809/000119312519301287/d630610dex31.htm" TargetMode="External"/><Relationship Id="rId179" Type="http://schemas.openxmlformats.org/officeDocument/2006/relationships/hyperlink" Target="https://www.sec.gov/Archives/edgar/data/1451809/000156459021035069/sitm-ex32_6.htm" TargetMode="External"/><Relationship Id="rId180" Type="http://schemas.openxmlformats.org/officeDocument/2006/relationships/hyperlink" Target="https://www.sec.gov/Archives/edgar/data/0001451809/000119312519272678/d701682dex41.htm" TargetMode="External"/><Relationship Id="rId181" Type="http://schemas.openxmlformats.org/officeDocument/2006/relationships/hyperlink" Target="https://www.sec.gov/Archives/edgar/data/1451809/000156459021005867/sitm-ex42_644.htm" TargetMode="External"/><Relationship Id="rId182" Type="http://schemas.openxmlformats.org/officeDocument/2006/relationships/hyperlink" Target="https://www.sec.gov/Archives/edgar/data/1451809/000095017023017841/sit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2023-08-03T15:31:56Z</dcterms:created>
  <dcterms:modified xsi:type="dcterms:W3CDTF">2023-08-03T15:31:56Z</dcterms:modified>
</cp:coreProperties>
</file>