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820" w:right="1620" w:hanging="3812"/>
        <w:spacing w:after="0" w:line="344" w:lineRule="auto"/>
        <w:tabs>
          <w:tab w:leader="none" w:pos="47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25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4080"/>
        <w:spacing w:after="0"/>
        <w:tabs>
          <w:tab w:leader="none" w:pos="66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001-39135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SiTime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tbl>
      <w:tblPr>
        <w:tblLayout w:type="fixed"/>
        <w:tblInd w:w="1780" w:type="dxa"/>
        <w:tblCellMar>
          <w:top w:w="0" w:type="dxa"/>
          <w:left w:w="0" w:type="dxa"/>
          <w:bottom w:w="0" w:type="dxa"/>
          <w:right w:w="0" w:type="dxa"/>
        </w:tblCellMar>
      </w:tblPr>
      <w:tr>
        <w:trPr>
          <w:trHeight w:val="216"/>
        </w:trPr>
        <w:tc>
          <w:tcPr>
            <w:tcW w:w="4120" w:type="dxa"/>
            <w:vAlign w:val="bottom"/>
          </w:tcPr>
          <w:p>
            <w:pPr>
              <w:jc w:val="center"/>
              <w:ind w:right="1964"/>
              <w:spacing w:after="0"/>
              <w:rPr>
                <w:sz w:val="20"/>
                <w:szCs w:val="20"/>
                <w:color w:val="auto"/>
              </w:rPr>
            </w:pPr>
            <w:r>
              <w:rPr>
                <w:rFonts w:ascii="Arial" w:cs="Arial" w:eastAsia="Arial" w:hAnsi="Arial"/>
                <w:sz w:val="18"/>
                <w:szCs w:val="18"/>
                <w:color w:val="auto"/>
                <w:w w:val="89"/>
              </w:rPr>
              <w:t>Delaware</w:t>
            </w:r>
          </w:p>
        </w:tc>
        <w:tc>
          <w:tcPr>
            <w:tcW w:w="3020" w:type="dxa"/>
            <w:vAlign w:val="bottom"/>
          </w:tcPr>
          <w:p>
            <w:pPr>
              <w:jc w:val="right"/>
              <w:spacing w:after="0"/>
              <w:rPr>
                <w:sz w:val="20"/>
                <w:szCs w:val="20"/>
                <w:color w:val="auto"/>
              </w:rPr>
            </w:pPr>
            <w:r>
              <w:rPr>
                <w:rFonts w:ascii="Arial" w:cs="Arial" w:eastAsia="Arial" w:hAnsi="Arial"/>
                <w:sz w:val="18"/>
                <w:szCs w:val="18"/>
                <w:b w:val="1"/>
                <w:bCs w:val="1"/>
                <w:color w:val="auto"/>
              </w:rPr>
              <w:t>02-0713868</w:t>
            </w:r>
          </w:p>
        </w:tc>
      </w:tr>
      <w:tr>
        <w:trPr>
          <w:trHeight w:val="135"/>
        </w:trPr>
        <w:tc>
          <w:tcPr>
            <w:tcW w:w="4120" w:type="dxa"/>
            <w:vAlign w:val="bottom"/>
          </w:tcPr>
          <w:p>
            <w:pPr>
              <w:jc w:val="center"/>
              <w:ind w:right="198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020" w:type="dxa"/>
            <w:vAlign w:val="bottom"/>
          </w:tcPr>
          <w:p>
            <w:pPr>
              <w:jc w:val="center"/>
              <w:ind w:left="196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4120" w:type="dxa"/>
            <w:vAlign w:val="bottom"/>
          </w:tcPr>
          <w:p>
            <w:pPr>
              <w:jc w:val="center"/>
              <w:ind w:right="1964"/>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3020" w:type="dxa"/>
            <w:vAlign w:val="bottom"/>
          </w:tcPr>
          <w:p>
            <w:pPr>
              <w:jc w:val="center"/>
              <w:ind w:left="1966"/>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4120" w:type="dxa"/>
            <w:vAlign w:val="bottom"/>
          </w:tcPr>
          <w:p>
            <w:pPr>
              <w:jc w:val="center"/>
              <w:ind w:right="1984"/>
              <w:spacing w:after="0"/>
              <w:rPr>
                <w:sz w:val="20"/>
                <w:szCs w:val="20"/>
                <w:color w:val="auto"/>
              </w:rPr>
            </w:pPr>
            <w:r>
              <w:rPr>
                <w:rFonts w:ascii="Arial" w:cs="Arial" w:eastAsia="Arial" w:hAnsi="Arial"/>
                <w:sz w:val="18"/>
                <w:szCs w:val="18"/>
                <w:b w:val="1"/>
                <w:bCs w:val="1"/>
                <w:color w:val="auto"/>
                <w:w w:val="93"/>
              </w:rPr>
              <w:t>5451 Patrick Henry Drive</w:t>
            </w:r>
          </w:p>
        </w:tc>
        <w:tc>
          <w:tcPr>
            <w:tcW w:w="3020" w:type="dxa"/>
            <w:vAlign w:val="bottom"/>
          </w:tcPr>
          <w:p>
            <w:pPr>
              <w:spacing w:after="0"/>
              <w:rPr>
                <w:sz w:val="18"/>
                <w:szCs w:val="18"/>
                <w:color w:val="auto"/>
              </w:rPr>
            </w:pPr>
          </w:p>
        </w:tc>
      </w:tr>
      <w:tr>
        <w:trPr>
          <w:trHeight w:val="216"/>
        </w:trPr>
        <w:tc>
          <w:tcPr>
            <w:tcW w:w="4120" w:type="dxa"/>
            <w:vAlign w:val="bottom"/>
          </w:tcPr>
          <w:p>
            <w:pPr>
              <w:jc w:val="center"/>
              <w:ind w:right="1964"/>
              <w:spacing w:after="0"/>
              <w:rPr>
                <w:sz w:val="20"/>
                <w:szCs w:val="20"/>
                <w:color w:val="auto"/>
              </w:rPr>
            </w:pPr>
            <w:r>
              <w:rPr>
                <w:rFonts w:ascii="Arial" w:cs="Arial" w:eastAsia="Arial" w:hAnsi="Arial"/>
                <w:sz w:val="18"/>
                <w:szCs w:val="18"/>
                <w:b w:val="1"/>
                <w:bCs w:val="1"/>
                <w:color w:val="auto"/>
                <w:w w:val="94"/>
              </w:rPr>
              <w:t>Santa Clara, CA</w:t>
            </w:r>
          </w:p>
        </w:tc>
        <w:tc>
          <w:tcPr>
            <w:tcW w:w="3020" w:type="dxa"/>
            <w:vAlign w:val="bottom"/>
          </w:tcPr>
          <w:p>
            <w:pPr>
              <w:jc w:val="right"/>
              <w:ind w:right="186"/>
              <w:spacing w:after="0"/>
              <w:rPr>
                <w:sz w:val="20"/>
                <w:szCs w:val="20"/>
                <w:color w:val="auto"/>
              </w:rPr>
            </w:pPr>
            <w:r>
              <w:rPr>
                <w:rFonts w:ascii="Arial" w:cs="Arial" w:eastAsia="Arial" w:hAnsi="Arial"/>
                <w:sz w:val="18"/>
                <w:szCs w:val="18"/>
                <w:b w:val="1"/>
                <w:bCs w:val="1"/>
                <w:color w:val="auto"/>
              </w:rPr>
              <w:t>95054</w:t>
            </w:r>
          </w:p>
        </w:tc>
      </w:tr>
      <w:tr>
        <w:trPr>
          <w:trHeight w:val="164"/>
        </w:trPr>
        <w:tc>
          <w:tcPr>
            <w:tcW w:w="4120" w:type="dxa"/>
            <w:vAlign w:val="bottom"/>
          </w:tcPr>
          <w:p>
            <w:pPr>
              <w:jc w:val="center"/>
              <w:ind w:right="196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20" w:type="dxa"/>
            <w:vAlign w:val="bottom"/>
          </w:tcPr>
          <w:p>
            <w:pPr>
              <w:jc w:val="center"/>
              <w:ind w:left="1966"/>
              <w:spacing w:after="0"/>
              <w:rPr>
                <w:sz w:val="20"/>
                <w:szCs w:val="20"/>
                <w:color w:val="auto"/>
              </w:rPr>
            </w:pPr>
            <w:r>
              <w:rPr>
                <w:rFonts w:ascii="Arial" w:cs="Arial" w:eastAsia="Arial" w:hAnsi="Arial"/>
                <w:sz w:val="13"/>
                <w:szCs w:val="13"/>
                <w:b w:val="1"/>
                <w:bCs w:val="1"/>
                <w:color w:val="auto"/>
                <w:w w:val="90"/>
              </w:rPr>
              <w:t>(Zip Code)</w:t>
            </w:r>
          </w:p>
        </w:tc>
      </w:tr>
    </w:tbl>
    <w:p>
      <w:pPr>
        <w:spacing w:after="0" w:line="38"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(408) 328-4400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3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Trading Symbol(s)</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0"/>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Common Stock, $0.0001 par value per share</w:t>
            </w: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SITM</w:t>
            </w:r>
          </w:p>
        </w:tc>
        <w:tc>
          <w:tcPr>
            <w:tcW w:w="10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bl>
    <w:p>
      <w:pPr>
        <w:spacing w:after="0" w:line="54" w:lineRule="exact"/>
        <w:rPr>
          <w:sz w:val="24"/>
          <w:szCs w:val="24"/>
          <w:color w:val="auto"/>
        </w:rPr>
      </w:pPr>
    </w:p>
    <w:p>
      <w:pPr>
        <w:jc w:val="both"/>
        <w:ind w:firstLine="599"/>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96" w:lineRule="exact"/>
        <w:rPr>
          <w:sz w:val="24"/>
          <w:szCs w:val="24"/>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59"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600" w:right="2020"/>
        <w:spacing w:after="0" w:line="26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May 1, 2021, the registrant had 18,839,738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548640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0" w:type="dxa"/>
            <w:vAlign w:val="bottom"/>
            <w:gridSpan w:val="6"/>
          </w:tcPr>
          <w:p>
            <w:pPr>
              <w:ind w:left="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80" w:type="dxa"/>
            <w:vAlign w:val="bottom"/>
            <w:gridSpan w:val="5"/>
            <w:vMerge w:val="restart"/>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Risk Factor Summary</w:t>
              </w:r>
            </w:hyperlink>
          </w:p>
        </w:tc>
        <w:tc>
          <w:tcPr>
            <w:tcW w:w="7720" w:type="dxa"/>
            <w:vAlign w:val="bottom"/>
            <w:gridSpan w:val="12"/>
            <w:vMerge w:val="restart"/>
          </w:tcPr>
          <w:p>
            <w:pPr>
              <w:spacing w:after="0"/>
              <w:rPr>
                <w:sz w:val="24"/>
                <w:szCs w:val="24"/>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1580" w:type="dxa"/>
            <w:vAlign w:val="bottom"/>
            <w:tcBorders>
              <w:bottom w:val="single" w:sz="8" w:color="0000EE"/>
            </w:tcBorders>
            <w:gridSpan w:val="5"/>
            <w:vMerge w:val="continue"/>
          </w:tcPr>
          <w:p>
            <w:pPr>
              <w:spacing w:after="0"/>
              <w:rPr>
                <w:sz w:val="15"/>
                <w:szCs w:val="15"/>
                <w:color w:val="auto"/>
              </w:rPr>
            </w:pPr>
          </w:p>
        </w:tc>
        <w:tc>
          <w:tcPr>
            <w:tcW w:w="7720" w:type="dxa"/>
            <w:vAlign w:val="bottom"/>
            <w:gridSpan w:val="12"/>
            <w:vMerge w:val="continue"/>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1160" w:type="dxa"/>
            <w:vAlign w:val="bottom"/>
            <w:gridSpan w:val="2"/>
            <w:vMerge w:val="continue"/>
          </w:tcPr>
          <w:p>
            <w:pPr>
              <w:spacing w:after="0"/>
              <w:rPr>
                <w:sz w:val="18"/>
                <w:szCs w:val="18"/>
                <w:color w:val="auto"/>
              </w:rPr>
            </w:pPr>
          </w:p>
        </w:tc>
        <w:tc>
          <w:tcPr>
            <w:tcW w:w="930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Financial Statements (Unaudited)</w:t>
              </w:r>
            </w:hyperlink>
          </w:p>
        </w:tc>
        <w:tc>
          <w:tcPr>
            <w:tcW w:w="688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 and Comprehensive Income (Loss)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20" w:type="dxa"/>
            <w:vAlign w:val="bottom"/>
            <w:tcBorders>
              <w:top w:val="single" w:sz="8" w:color="0000EE"/>
            </w:tcBorders>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Stockholders’ Equity</w:t>
              </w:r>
            </w:hyperlink>
          </w:p>
        </w:tc>
        <w:tc>
          <w:tcPr>
            <w:tcW w:w="308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80" w:type="dxa"/>
            <w:vAlign w:val="bottom"/>
            <w:tcBorders>
              <w:top w:val="single" w:sz="8" w:color="0000EE"/>
            </w:tcBorders>
            <w:gridSpan w:val="1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w:t>
              </w:r>
            </w:hyperlink>
          </w:p>
        </w:tc>
        <w:tc>
          <w:tcPr>
            <w:tcW w:w="492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20" w:type="dxa"/>
            <w:vAlign w:val="bottom"/>
            <w:gridSpan w:val="4"/>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Unaudited Condensed Consolidated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24">
              <w:r>
                <w:rPr>
                  <w:rFonts w:ascii="Arial" w:cs="Arial" w:eastAsia="Arial" w:hAnsi="Arial"/>
                  <w:sz w:val="18"/>
                  <w:szCs w:val="18"/>
                  <w:color w:val="0000EE"/>
                  <w:w w:val="92"/>
                </w:rPr>
                <w:t>Quantitative and Qualitative Disclosures About Market Risk</w:t>
              </w:r>
            </w:hyperlink>
          </w:p>
        </w:tc>
        <w:tc>
          <w:tcPr>
            <w:tcW w:w="494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2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vMerge w:val="continue"/>
          </w:tcPr>
          <w:p>
            <w:pPr>
              <w:spacing w:after="0"/>
              <w:rPr>
                <w:sz w:val="18"/>
                <w:szCs w:val="18"/>
                <w:color w:val="auto"/>
              </w:rPr>
            </w:pPr>
          </w:p>
        </w:tc>
        <w:tc>
          <w:tcPr>
            <w:tcW w:w="188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26">
              <w:r>
                <w:rPr>
                  <w:rFonts w:ascii="Arial" w:cs="Arial" w:eastAsia="Arial" w:hAnsi="Arial"/>
                  <w:sz w:val="18"/>
                  <w:szCs w:val="18"/>
                  <w:color w:val="0000EE"/>
                  <w:w w:val="95"/>
                </w:rPr>
                <w:t>OTHER INFORMATION</w:t>
              </w:r>
            </w:hyperlink>
          </w:p>
        </w:tc>
        <w:tc>
          <w:tcPr>
            <w:tcW w:w="7420" w:type="dxa"/>
            <w:vAlign w:val="bottom"/>
            <w:gridSpan w:val="10"/>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798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0" w:type="dxa"/>
            <w:vAlign w:val="bottom"/>
            <w:gridSpan w:val="1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300" w:type="dxa"/>
            <w:vAlign w:val="bottom"/>
            <w:gridSpan w:val="1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Other Information</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Exhibits</w:t>
              </w:r>
            </w:hyperlink>
          </w:p>
        </w:tc>
        <w:tc>
          <w:tcPr>
            <w:tcW w:w="800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business is subject to numerous risks, as more fully described in Part II, Item 1A titled “Risk Factors.” You should read these risks before you invest in our common stock. We may be unable, for many reasons, including those that are beyond our control, to implement or execute our business strategy. In particular, risks associated with our business include, among others:</w:t>
      </w:r>
    </w:p>
    <w:p>
      <w:pPr>
        <w:spacing w:after="0" w:line="184" w:lineRule="exact"/>
        <w:rPr>
          <w:sz w:val="20"/>
          <w:szCs w:val="20"/>
          <w:color w:val="auto"/>
        </w:rPr>
      </w:pPr>
    </w:p>
    <w:p>
      <w:pPr>
        <w:ind w:left="380" w:right="480" w:hanging="372"/>
        <w:spacing w:after="0" w:line="258"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and uncertainty related to the ongoing COVID-19 pandemic could adversely impact our business, results of operations and financial condition, as well as the businesses of our suppliers and customers;</w:t>
      </w:r>
    </w:p>
    <w:p>
      <w:pPr>
        <w:spacing w:after="0" w:line="1"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downturn in the worldwide economy may harm our business;</w:t>
      </w:r>
    </w:p>
    <w:p>
      <w:pPr>
        <w:spacing w:after="0" w:line="9" w:lineRule="exact"/>
        <w:rPr>
          <w:rFonts w:ascii="Arial" w:cs="Arial" w:eastAsia="Arial" w:hAnsi="Arial"/>
          <w:sz w:val="18"/>
          <w:szCs w:val="18"/>
          <w:color w:val="auto"/>
        </w:rPr>
      </w:pPr>
    </w:p>
    <w:p>
      <w:pPr>
        <w:ind w:left="380" w:right="160" w:hanging="372"/>
        <w:spacing w:after="0" w:line="250"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third parties we rely upon for our raw materials, wafer fabrication and supply, assembly, packaging and testing may be unable to secure raw materials, reduce their resources available to us and our immediate suppliers, not meet satisfactory yields or quality, or increase pricing, which could harm our ability to ship our solutions to our customers on time and in the quantity required which could cause an unanticipated decline in our sales and loss of customers;</w:t>
      </w:r>
    </w:p>
    <w:p>
      <w:pPr>
        <w:spacing w:after="0" w:line="1" w:lineRule="exact"/>
        <w:rPr>
          <w:rFonts w:ascii="Arial" w:cs="Arial" w:eastAsia="Arial" w:hAnsi="Arial"/>
          <w:sz w:val="18"/>
          <w:szCs w:val="18"/>
          <w:color w:val="auto"/>
        </w:rPr>
      </w:pPr>
    </w:p>
    <w:p>
      <w:pPr>
        <w:ind w:left="380" w:right="480" w:hanging="372"/>
        <w:spacing w:after="0" w:line="250"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currently depend on one end customer for a large portion of our revenue, the loss of, or a significant reduction in orders from our customers, including this end customer, could significantly reduce our revenue and adversely impact our operating results;</w:t>
      </w:r>
    </w:p>
    <w:p>
      <w:pPr>
        <w:ind w:left="380" w:hanging="372"/>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are unable to expand or further diversify our customer base, our business, financial condition, and results of operations could suffer;</w:t>
      </w:r>
    </w:p>
    <w:p>
      <w:pPr>
        <w:spacing w:after="0" w:line="20" w:lineRule="exact"/>
        <w:rPr>
          <w:rFonts w:ascii="Arial" w:cs="Arial" w:eastAsia="Arial" w:hAnsi="Arial"/>
          <w:sz w:val="17"/>
          <w:szCs w:val="17"/>
          <w:color w:val="auto"/>
        </w:rPr>
      </w:pPr>
    </w:p>
    <w:p>
      <w:pPr>
        <w:ind w:left="380" w:right="20" w:hanging="372"/>
        <w:spacing w:after="0" w:line="250"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generally do not have long-term purchase commitments with our customers, and orders may be cancelled, reduced, or rescheduled with little or no notice, which in turn exposes us to inventory risk and may harm our operating results;</w:t>
      </w:r>
    </w:p>
    <w:p>
      <w:pPr>
        <w:ind w:left="380" w:right="360" w:hanging="372"/>
        <w:spacing w:after="0" w:line="250"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revenue and operating results may fluctuate from period to period due to, among other factors, the impact of the COVID-19 pandemic on our business as well as our suppliers and customers, customer demand, product life cycles, fluctuations in inventories held by our distributors or end customers, the gain or loss of significant customers, the availability of capacity in our supply chain, research and development costs, and product warranty claims. This in turn could cause our stock price to decline;</w:t>
      </w:r>
    </w:p>
    <w:p>
      <w:pPr>
        <w:spacing w:after="0" w:line="1"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an accumulated deficit and have incurred net losses in the past, and we may continue to incur net losses in the future;</w:t>
      </w:r>
    </w:p>
    <w:p>
      <w:pPr>
        <w:spacing w:after="0" w:line="9" w:lineRule="exact"/>
        <w:rPr>
          <w:rFonts w:ascii="Arial" w:cs="Arial" w:eastAsia="Arial" w:hAnsi="Arial"/>
          <w:sz w:val="18"/>
          <w:szCs w:val="18"/>
          <w:color w:val="auto"/>
        </w:rPr>
      </w:pPr>
    </w:p>
    <w:p>
      <w:pPr>
        <w:ind w:left="380" w:right="360" w:hanging="372"/>
        <w:spacing w:after="0" w:line="265"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success and future revenue depend on our ability to achieve design wins and to convince our current and prospective customers to design our products into their product offerings, as well as our customers’ ability to develop products that achieve market acceptance;</w:t>
      </w:r>
    </w:p>
    <w:p>
      <w:pPr>
        <w:ind w:left="380" w:right="780" w:hanging="372"/>
        <w:spacing w:after="0" w:line="250"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target customer and product markets may not grow or develop as we currently expect, and if we fail to penetrate new markets and scale successfully within those markets, our revenue and financial condition would be harmed;</w:t>
      </w: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not able to successfully introduce and ship in volume new products in a timely manner, our business and revenue will suffer;</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gross margins may fluctuate due to a variety of factors, which could negatively impact our results of operations and our financial condition;</w:t>
      </w:r>
    </w:p>
    <w:p>
      <w:pPr>
        <w:spacing w:after="0" w:line="20" w:lineRule="exact"/>
        <w:rPr>
          <w:rFonts w:ascii="Arial" w:cs="Arial" w:eastAsia="Arial" w:hAnsi="Arial"/>
          <w:sz w:val="17"/>
          <w:szCs w:val="17"/>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revenue in recent periods may not be indicative of future performance and our revenue may fluctuate over time;</w:t>
      </w:r>
    </w:p>
    <w:p>
      <w:pPr>
        <w:spacing w:after="0" w:line="9" w:lineRule="exact"/>
        <w:rPr>
          <w:rFonts w:ascii="Arial" w:cs="Arial" w:eastAsia="Arial" w:hAnsi="Arial"/>
          <w:sz w:val="18"/>
          <w:szCs w:val="18"/>
          <w:color w:val="auto"/>
        </w:rPr>
      </w:pPr>
    </w:p>
    <w:p>
      <w:pPr>
        <w:jc w:val="both"/>
        <w:ind w:left="380" w:right="240" w:hanging="372"/>
        <w:spacing w:after="0" w:line="281"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spacing w:after="0" w:line="1" w:lineRule="exact"/>
        <w:rPr>
          <w:rFonts w:ascii="Arial" w:cs="Arial" w:eastAsia="Arial" w:hAnsi="Arial"/>
          <w:sz w:val="16"/>
          <w:szCs w:val="16"/>
          <w:color w:val="auto"/>
        </w:rPr>
      </w:pPr>
    </w:p>
    <w:p>
      <w:pPr>
        <w:ind w:left="380" w:right="100" w:hanging="372"/>
        <w:spacing w:after="0" w:line="250"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provide a lifetime warranty on our products and may be subject to warranty or product liability claims, which could harm our reputation, result in unexpected expenses, and cause us to lose market share;</w:t>
      </w: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Defects in our products could harm our relationships with our customers and damage our reputation;</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the cyclical nature of the semiconductor industry;</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not be able to accurately predict our future capital needs, and we may not be able to obtain additional financing to fund our operations;</w:t>
      </w:r>
    </w:p>
    <w:p>
      <w:pPr>
        <w:spacing w:after="0" w:line="20" w:lineRule="exact"/>
        <w:rPr>
          <w:rFonts w:ascii="Arial" w:cs="Arial" w:eastAsia="Arial" w:hAnsi="Arial"/>
          <w:sz w:val="17"/>
          <w:szCs w:val="17"/>
          <w:color w:val="auto"/>
        </w:rPr>
      </w:pPr>
    </w:p>
    <w:p>
      <w:pPr>
        <w:ind w:left="380" w:hanging="372"/>
        <w:spacing w:after="0" w:line="250"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recently repaid all of our outstanding indebtedness under our revolving line of credit and may seek, or be required to seek, alternative or additional debt financing in the immediate or near term;</w:t>
      </w:r>
    </w:p>
    <w:p>
      <w:pPr>
        <w:ind w:left="380" w:right="160" w:hanging="372"/>
        <w:spacing w:after="0" w:line="250"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portion of our operations is located outside of the United States, which subjects us to additional risks, including increased complexity and costs of managing international operations and geopolitical instability;</w:t>
      </w:r>
    </w:p>
    <w:p>
      <w:pPr>
        <w:ind w:left="380" w:right="80" w:hanging="372"/>
        <w:spacing w:after="0" w:line="250"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significant tariffs or other restrictions are placed on Chinese imports or any related counter-measures are taken by China, our revenue and results of operations may be materially harmed;</w:t>
      </w:r>
    </w:p>
    <w:p>
      <w:pPr>
        <w:ind w:left="380" w:right="1020" w:hanging="372"/>
        <w:spacing w:after="0" w:line="250"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comply with the laws associated with our activities outside of the United States could subject us to penalties and other adverse consequences;</w:t>
      </w:r>
    </w:p>
    <w:p>
      <w:pPr>
        <w:ind w:left="380" w:right="280" w:hanging="372"/>
        <w:spacing w:after="0" w:line="250"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government regulation, including import, export and economic sanctions laws and regulations that may expose us to liability and increase our costs;</w:t>
      </w:r>
    </w:p>
    <w:p>
      <w:pPr>
        <w:ind w:left="380" w:right="240" w:hanging="372"/>
        <w:spacing w:after="0" w:line="250"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or future changes to U.S. and non-U.S. tax laws, or tax regulatory authorities disagreeing with our positions and conclusions regarding certain tax positions, could materially adversely affect us;</w:t>
      </w: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Breaches or other disruptions of our security systems may damage our reputation and adversely affect our business;</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 w:name="page4"/>
    <w:bookmarkEnd w:id="3"/>
    <w:p>
      <w:pPr>
        <w:ind w:left="372" w:right="20" w:hanging="372"/>
        <w:spacing w:after="0" w:line="255" w:lineRule="auto"/>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fail to adequately protect our intellectual property and have received, and may in the future receive, claims of intellectual property infringement, misappropriation, or other claims, which in turn could result in significant expense, result in the loss of significant rights, and harm our relationship with our end customers and distributors;</w:t>
      </w:r>
    </w:p>
    <w:p>
      <w:pPr>
        <w:spacing w:after="0" w:line="2" w:lineRule="exact"/>
        <w:rPr>
          <w:rFonts w:ascii="Arial" w:cs="Arial" w:eastAsia="Arial" w:hAnsi="Arial"/>
          <w:sz w:val="18"/>
          <w:szCs w:val="18"/>
          <w:color w:val="auto"/>
        </w:rPr>
      </w:pPr>
    </w:p>
    <w:p>
      <w:pPr>
        <w:jc w:val="both"/>
        <w:ind w:left="372" w:hanging="372"/>
        <w:spacing w:after="0" w:line="265" w:lineRule="auto"/>
        <w:tabs>
          <w:tab w:leader="none" w:pos="372"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be impacted by risks associated with MegaChips’ ownership of a significant portion of our stock, for instance as long as MegaChips holds a significant amount of our stock, our other shareholders’ ability to influence matters requiring stockholder approval will be limited, and there could be potential conflicts of interest between us and affiliates of MegaChips, which could impact our business and operating results;</w:t>
      </w:r>
    </w:p>
    <w:p>
      <w:pPr>
        <w:ind w:left="372" w:hanging="372"/>
        <w:spacing w:after="0"/>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future sales of our common stock could cause the market price of our common stock to decline; and</w:t>
      </w:r>
    </w:p>
    <w:p>
      <w:pPr>
        <w:spacing w:after="0" w:line="9" w:lineRule="exact"/>
        <w:rPr>
          <w:rFonts w:ascii="Arial" w:cs="Arial" w:eastAsia="Arial" w:hAnsi="Arial"/>
          <w:sz w:val="18"/>
          <w:szCs w:val="18"/>
          <w:color w:val="auto"/>
        </w:rPr>
      </w:pPr>
    </w:p>
    <w:p>
      <w:pPr>
        <w:ind w:left="372" w:right="380" w:hanging="372"/>
        <w:spacing w:after="0" w:line="260" w:lineRule="auto"/>
        <w:tabs>
          <w:tab w:leader="none" w:pos="372"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200" w:lineRule="exact"/>
        <w:rPr>
          <w:sz w:val="20"/>
          <w:szCs w:val="20"/>
          <w:color w:val="auto"/>
        </w:rPr>
      </w:pPr>
    </w:p>
    <w:p>
      <w:pPr>
        <w:spacing w:after="0" w:line="296"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32"/>
          </w:cols>
          <w:pgMar w:left="328" w:top="557"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March 31, 2021</w:t>
            </w: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w w:val="95"/>
              </w:rPr>
              <w:t>December 31, 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0" w:type="dxa"/>
            <w:vAlign w:val="bottom"/>
            <w:gridSpan w:val="4"/>
          </w:tcPr>
          <w:p>
            <w:pPr>
              <w:jc w:val="right"/>
              <w:ind w:right="1171"/>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256,952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22,214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23,920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Related party accounts receivable</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14,980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12,350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2,577</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297,699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113,180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2,558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net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324,076</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136,011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9,024</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6,182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12,716</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21,740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19,145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Lease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7,067</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28,807</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10)</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$0.0001 par value - 200,000 shares authorized;</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18,840 and 17,150 shares issued and outstanding at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March 31, 2021 and December 31, 2020</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362,228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173,274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(66,961)</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(63,396)</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295,269</w:t>
            </w:r>
          </w:p>
        </w:tc>
        <w:tc>
          <w:tcPr>
            <w:tcW w:w="2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109,880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324,076</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136,011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6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4"/>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rPr>
                <w:sz w:val="13"/>
                <w:szCs w:val="13"/>
                <w:color w:val="auto"/>
              </w:rPr>
            </w:pPr>
          </w:p>
        </w:tc>
        <w:tc>
          <w:tcPr>
            <w:tcW w:w="286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 except per share data)</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980" w:type="dxa"/>
            <w:vAlign w:val="bottom"/>
            <w:shd w:val="clear" w:color="auto" w:fill="CFF0FC"/>
          </w:tcPr>
          <w:p>
            <w:pPr>
              <w:jc w:val="right"/>
              <w:ind w:right="798"/>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35,542</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4"/>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21,742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16,725</w:t>
            </w:r>
          </w:p>
        </w:tc>
        <w:tc>
          <w:tcPr>
            <w:tcW w:w="2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11,766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18,817</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11,180</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11,123</w:t>
            </w:r>
          </w:p>
        </w:tc>
        <w:tc>
          <w:tcPr>
            <w:tcW w:w="2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22,303</w:t>
            </w:r>
          </w:p>
        </w:tc>
        <w:tc>
          <w:tcPr>
            <w:tcW w:w="28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14,832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Loss from operations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(3,486)</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(4,856)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Other (expense) income, net</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(3,525)</w:t>
            </w:r>
          </w:p>
        </w:tc>
        <w:tc>
          <w:tcPr>
            <w:tcW w:w="28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(5,091)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Income tax expense</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02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980" w:type="dxa"/>
            <w:vAlign w:val="bottom"/>
            <w:tcBorders>
              <w:top w:val="single" w:sz="8" w:color="auto"/>
              <w:bottom w:val="single" w:sz="8" w:color="auto"/>
            </w:tcBorders>
            <w:shd w:val="clear" w:color="auto" w:fill="CFF0FC"/>
          </w:tcPr>
          <w:p>
            <w:pPr>
              <w:jc w:val="right"/>
              <w:ind w:right="798"/>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(3,565)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834"/>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(5,093)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Net loss attributable to common stockholders and</w:t>
            </w: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720" w:type="dxa"/>
            <w:vAlign w:val="bottom"/>
          </w:tcPr>
          <w:p>
            <w:pPr>
              <w:ind w:left="140"/>
              <w:spacing w:after="0"/>
              <w:rPr>
                <w:sz w:val="20"/>
                <w:szCs w:val="20"/>
                <w:color w:val="auto"/>
              </w:rPr>
            </w:pPr>
            <w:r>
              <w:rPr>
                <w:rFonts w:ascii="Arial" w:cs="Arial" w:eastAsia="Arial" w:hAnsi="Arial"/>
                <w:sz w:val="18"/>
                <w:szCs w:val="18"/>
                <w:color w:val="auto"/>
              </w:rPr>
              <w:t>comprehensive loss</w:t>
            </w:r>
          </w:p>
        </w:tc>
        <w:tc>
          <w:tcPr>
            <w:tcW w:w="980" w:type="dxa"/>
            <w:vAlign w:val="bottom"/>
          </w:tcPr>
          <w:p>
            <w:pPr>
              <w:jc w:val="right"/>
              <w:ind w:right="798"/>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(3,565)</w:t>
            </w:r>
          </w:p>
        </w:tc>
        <w:tc>
          <w:tcPr>
            <w:tcW w:w="1020" w:type="dxa"/>
            <w:vAlign w:val="bottom"/>
          </w:tcPr>
          <w:p>
            <w:pPr>
              <w:jc w:val="right"/>
              <w:ind w:right="834"/>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(5,093)</w:t>
            </w:r>
          </w:p>
        </w:tc>
        <w:tc>
          <w:tcPr>
            <w:tcW w:w="0" w:type="dxa"/>
            <w:vAlign w:val="bottom"/>
          </w:tcPr>
          <w:p>
            <w:pPr>
              <w:spacing w:after="0"/>
              <w:rPr>
                <w:sz w:val="1"/>
                <w:szCs w:val="1"/>
                <w:color w:val="auto"/>
              </w:rPr>
            </w:pPr>
          </w:p>
        </w:tc>
      </w:tr>
      <w:tr>
        <w:trPr>
          <w:trHeight w:val="196"/>
        </w:trPr>
        <w:tc>
          <w:tcPr>
            <w:tcW w:w="77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w:t>
            </w:r>
          </w:p>
        </w:tc>
        <w:tc>
          <w:tcPr>
            <w:tcW w:w="9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 basic and diluted</w:t>
            </w:r>
          </w:p>
        </w:tc>
        <w:tc>
          <w:tcPr>
            <w:tcW w:w="980" w:type="dxa"/>
            <w:vAlign w:val="bottom"/>
            <w:shd w:val="clear" w:color="auto" w:fill="CFF0FC"/>
          </w:tcPr>
          <w:p>
            <w:pPr>
              <w:jc w:val="right"/>
              <w:ind w:right="798"/>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(0.20)</w:t>
            </w:r>
          </w:p>
        </w:tc>
        <w:tc>
          <w:tcPr>
            <w:tcW w:w="1020" w:type="dxa"/>
            <w:vAlign w:val="bottom"/>
            <w:shd w:val="clear" w:color="auto" w:fill="CFF0FC"/>
          </w:tcPr>
          <w:p>
            <w:pPr>
              <w:jc w:val="right"/>
              <w:ind w:right="834"/>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 used to compute basic and diluted</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net loss per share</w:t>
            </w: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17,868</w:t>
            </w:r>
          </w:p>
        </w:tc>
        <w:tc>
          <w:tcPr>
            <w:tcW w:w="2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15,010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SITIME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ectPr>
          <w:pgSz w:w="11900" w:h="16838" w:orient="portrait"/>
          <w:cols w:equalWidth="0" w:num="1">
            <w:col w:w="11200"/>
          </w:cols>
          <w:pgMar w:left="320" w:top="55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Balances at December 31, 2020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3" w:lineRule="exact"/>
        <w:rPr>
          <w:sz w:val="20"/>
          <w:szCs w:val="20"/>
          <w:color w:val="auto"/>
        </w:rPr>
      </w:pPr>
    </w:p>
    <w:p>
      <w:pPr>
        <w:ind w:left="140" w:right="580" w:hanging="134"/>
        <w:spacing w:after="0" w:line="255" w:lineRule="auto"/>
        <w:rPr>
          <w:sz w:val="20"/>
          <w:szCs w:val="20"/>
          <w:color w:val="auto"/>
        </w:rPr>
      </w:pPr>
      <w:r>
        <w:rPr>
          <w:rFonts w:ascii="Arial" w:cs="Arial" w:eastAsia="Arial" w:hAnsi="Arial"/>
          <w:sz w:val="18"/>
          <w:szCs w:val="18"/>
          <w:color w:val="auto"/>
        </w:rPr>
        <w:t>Issuance of common stock upon follow-on public offering net of underwriting discounts and commissions and other offering costs</w:t>
      </w:r>
    </w:p>
    <w:p>
      <w:pPr>
        <w:spacing w:after="0" w:line="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Issuance of shares upon vesting of restricted stock units, net of tax withholdings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Balances at March 31, 2021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Balances at December 31, 2019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3"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Issuance of shares upon vesting of restricted stock units, net of tax withholdings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Balances at March 31, 2020</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r>
      <w:tr>
        <w:trPr>
          <w:trHeight w:val="171"/>
        </w:trPr>
        <w:tc>
          <w:tcPr>
            <w:tcW w:w="200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Accumulated</w:t>
            </w:r>
          </w:p>
        </w:tc>
        <w:tc>
          <w:tcPr>
            <w:tcW w:w="11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Stockholders'</w:t>
            </w:r>
          </w:p>
        </w:tc>
      </w:tr>
      <w:tr>
        <w:trPr>
          <w:trHeight w:val="156"/>
        </w:trPr>
        <w:tc>
          <w:tcPr>
            <w:tcW w:w="1000" w:type="dxa"/>
            <w:vAlign w:val="bottom"/>
          </w:tcPr>
          <w:p>
            <w:pPr>
              <w:jc w:val="right"/>
              <w:ind w:right="213"/>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3"/>
                <w:szCs w:val="13"/>
                <w:color w:val="auto"/>
              </w:rPr>
            </w:pPr>
          </w:p>
        </w:tc>
        <w:tc>
          <w:tcPr>
            <w:tcW w:w="9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Equity</w:t>
            </w:r>
          </w:p>
        </w:tc>
      </w:tr>
      <w:tr>
        <w:trPr>
          <w:trHeight w:val="156"/>
        </w:trPr>
        <w:tc>
          <w:tcPr>
            <w:tcW w:w="10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gridSpan w:val="3"/>
          </w:tcPr>
          <w:p>
            <w:pPr>
              <w:jc w:val="center"/>
              <w:ind w:right="1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000" w:type="dxa"/>
            <w:vAlign w:val="bottom"/>
          </w:tcPr>
          <w:p>
            <w:pPr>
              <w:jc w:val="right"/>
              <w:spacing w:after="0"/>
              <w:rPr>
                <w:sz w:val="20"/>
                <w:szCs w:val="20"/>
                <w:color w:val="auto"/>
              </w:rPr>
            </w:pPr>
            <w:r>
              <w:rPr>
                <w:rFonts w:ascii="Arial" w:cs="Arial" w:eastAsia="Arial" w:hAnsi="Arial"/>
                <w:sz w:val="18"/>
                <w:szCs w:val="18"/>
                <w:color w:val="auto"/>
              </w:rPr>
              <w:t>17,150</w:t>
            </w:r>
          </w:p>
        </w:tc>
        <w:tc>
          <w:tcPr>
            <w:tcW w:w="1000" w:type="dxa"/>
            <w:vAlign w:val="bottom"/>
            <w:gridSpan w:val="2"/>
          </w:tcPr>
          <w:p>
            <w:pPr>
              <w:jc w:val="right"/>
              <w:ind w:right="596"/>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173,274</w:t>
            </w:r>
          </w:p>
        </w:tc>
        <w:tc>
          <w:tcPr>
            <w:tcW w:w="14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(63,396)</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109,880</w:t>
            </w:r>
          </w:p>
        </w:tc>
        <w:tc>
          <w:tcPr>
            <w:tcW w:w="60" w:type="dxa"/>
            <w:vAlign w:val="bottom"/>
          </w:tcPr>
          <w:p>
            <w:pPr>
              <w:spacing w:after="0"/>
              <w:rPr>
                <w:sz w:val="24"/>
                <w:szCs w:val="24"/>
                <w:color w:val="auto"/>
              </w:rPr>
            </w:pPr>
          </w:p>
        </w:tc>
      </w:tr>
      <w:tr>
        <w:trPr>
          <w:trHeight w:val="229"/>
        </w:trPr>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7,366</w:t>
            </w:r>
          </w:p>
        </w:tc>
        <w:tc>
          <w:tcPr>
            <w:tcW w:w="60" w:type="dxa"/>
            <w:vAlign w:val="bottom"/>
          </w:tcPr>
          <w:p>
            <w:pPr>
              <w:spacing w:after="0"/>
              <w:rPr>
                <w:sz w:val="19"/>
                <w:szCs w:val="19"/>
                <w:color w:val="auto"/>
              </w:rPr>
            </w:pPr>
          </w:p>
        </w:tc>
      </w:tr>
      <w:tr>
        <w:trPr>
          <w:trHeight w:val="230"/>
        </w:trPr>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(3,565)</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(3,565)</w:t>
            </w:r>
          </w:p>
        </w:tc>
      </w:tr>
      <w:tr>
        <w:trPr>
          <w:trHeight w:val="662"/>
        </w:trPr>
        <w:tc>
          <w:tcPr>
            <w:tcW w:w="1000" w:type="dxa"/>
            <w:vAlign w:val="bottom"/>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181,588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181,588</w:t>
            </w:r>
          </w:p>
        </w:tc>
        <w:tc>
          <w:tcPr>
            <w:tcW w:w="60" w:type="dxa"/>
            <w:vAlign w:val="bottom"/>
          </w:tcPr>
          <w:p>
            <w:pPr>
              <w:spacing w:after="0"/>
              <w:rPr>
                <w:sz w:val="24"/>
                <w:szCs w:val="24"/>
                <w:color w:val="auto"/>
              </w:rPr>
            </w:pPr>
          </w:p>
        </w:tc>
      </w:tr>
      <w:tr>
        <w:trPr>
          <w:trHeight w:val="445"/>
        </w:trPr>
        <w:tc>
          <w:tcPr>
            <w:tcW w:w="1000" w:type="dxa"/>
            <w:vAlign w:val="bottom"/>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18,840</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362,228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(66,961)</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295,269</w:t>
            </w:r>
          </w:p>
        </w:tc>
        <w:tc>
          <w:tcPr>
            <w:tcW w:w="60" w:type="dxa"/>
            <w:vAlign w:val="bottom"/>
          </w:tcPr>
          <w:p>
            <w:pPr>
              <w:spacing w:after="0"/>
              <w:rPr>
                <w:sz w:val="19"/>
                <w:szCs w:val="19"/>
                <w:color w:val="auto"/>
              </w:rPr>
            </w:pP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000" w:type="dxa"/>
            <w:vAlign w:val="bottom"/>
          </w:tcPr>
          <w:p>
            <w:pPr>
              <w:jc w:val="right"/>
              <w:spacing w:after="0"/>
              <w:rPr>
                <w:sz w:val="20"/>
                <w:szCs w:val="20"/>
                <w:color w:val="auto"/>
              </w:rPr>
            </w:pPr>
            <w:r>
              <w:rPr>
                <w:rFonts w:ascii="Arial" w:cs="Arial" w:eastAsia="Arial" w:hAnsi="Arial"/>
                <w:sz w:val="18"/>
                <w:szCs w:val="18"/>
                <w:color w:val="auto"/>
              </w:rPr>
              <w:t>14,968</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116,162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(54,024)</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62,140</w:t>
            </w:r>
          </w:p>
        </w:tc>
        <w:tc>
          <w:tcPr>
            <w:tcW w:w="60" w:type="dxa"/>
            <w:vAlign w:val="bottom"/>
          </w:tcPr>
          <w:p>
            <w:pPr>
              <w:spacing w:after="0"/>
              <w:rPr>
                <w:sz w:val="24"/>
                <w:szCs w:val="24"/>
                <w:color w:val="auto"/>
              </w:rPr>
            </w:pPr>
          </w:p>
        </w:tc>
      </w:tr>
      <w:tr>
        <w:trPr>
          <w:trHeight w:val="229"/>
        </w:trPr>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2,755</w:t>
            </w:r>
          </w:p>
        </w:tc>
        <w:tc>
          <w:tcPr>
            <w:tcW w:w="60" w:type="dxa"/>
            <w:vAlign w:val="bottom"/>
          </w:tcPr>
          <w:p>
            <w:pPr>
              <w:spacing w:after="0"/>
              <w:rPr>
                <w:sz w:val="19"/>
                <w:szCs w:val="19"/>
                <w:color w:val="auto"/>
              </w:rPr>
            </w:pPr>
          </w:p>
        </w:tc>
      </w:tr>
      <w:tr>
        <w:trPr>
          <w:trHeight w:val="230"/>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(5,093)</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(5,093)</w:t>
            </w:r>
          </w:p>
        </w:tc>
      </w:tr>
      <w:tr>
        <w:trPr>
          <w:trHeight w:val="445"/>
        </w:trPr>
        <w:tc>
          <w:tcPr>
            <w:tcW w:w="100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(1,788)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(1,788)</w:t>
            </w:r>
          </w:p>
        </w:tc>
      </w:tr>
      <w:tr>
        <w:trPr>
          <w:trHeight w:val="20"/>
        </w:trPr>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000" w:type="dxa"/>
            <w:vAlign w:val="bottom"/>
          </w:tcPr>
          <w:p>
            <w:pPr>
              <w:jc w:val="right"/>
              <w:spacing w:after="0"/>
              <w:rPr>
                <w:sz w:val="20"/>
                <w:szCs w:val="20"/>
                <w:color w:val="auto"/>
              </w:rPr>
            </w:pPr>
            <w:r>
              <w:rPr>
                <w:rFonts w:ascii="Arial" w:cs="Arial" w:eastAsia="Arial" w:hAnsi="Arial"/>
                <w:sz w:val="18"/>
                <w:szCs w:val="18"/>
                <w:color w:val="auto"/>
              </w:rPr>
              <w:t>15,061</w:t>
            </w:r>
          </w:p>
        </w:tc>
        <w:tc>
          <w:tcPr>
            <w:tcW w:w="220" w:type="dxa"/>
            <w:vAlign w:val="bottom"/>
          </w:tcPr>
          <w:p>
            <w:pPr>
              <w:spacing w:after="0"/>
              <w:rPr>
                <w:sz w:val="21"/>
                <w:szCs w:val="21"/>
                <w:color w:val="auto"/>
              </w:rPr>
            </w:pPr>
          </w:p>
        </w:tc>
        <w:tc>
          <w:tcPr>
            <w:tcW w:w="780" w:type="dxa"/>
            <w:vAlign w:val="bottom"/>
          </w:tcPr>
          <w:p>
            <w:pPr>
              <w:jc w:val="right"/>
              <w:ind w:right="596"/>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117,129</w:t>
            </w:r>
          </w:p>
        </w:tc>
        <w:tc>
          <w:tcPr>
            <w:tcW w:w="14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(59,117)</w:t>
            </w:r>
          </w:p>
        </w:tc>
        <w:tc>
          <w:tcPr>
            <w:tcW w:w="200" w:type="dxa"/>
            <w:vAlign w:val="bottom"/>
          </w:tcPr>
          <w:p>
            <w:pPr>
              <w:jc w:val="right"/>
              <w:ind w:right="15"/>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58,014</w:t>
            </w:r>
          </w:p>
        </w:tc>
        <w:tc>
          <w:tcPr>
            <w:tcW w:w="60" w:type="dxa"/>
            <w:vAlign w:val="bottom"/>
          </w:tcPr>
          <w:p>
            <w:pPr>
              <w:spacing w:after="0"/>
              <w:rPr>
                <w:sz w:val="21"/>
                <w:szCs w:val="21"/>
                <w:color w:val="auto"/>
              </w:rPr>
            </w:pPr>
          </w:p>
        </w:tc>
      </w:tr>
      <w:tr>
        <w:trPr>
          <w:trHeight w:val="20"/>
        </w:trPr>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-2382520</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-2091055</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-1525270</wp:posOffset>
            </wp:positionV>
            <wp:extent cx="7132320" cy="283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-916940</wp:posOffset>
            </wp:positionV>
            <wp:extent cx="71323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-625475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-196850</wp:posOffset>
            </wp:positionV>
            <wp:extent cx="7132320"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80" w:space="420"/>
            <w:col w:w="6000"/>
          </w:cols>
          <w:pgMar w:left="320" w:top="553" w:right="379" w:bottom="1440" w:gutter="0" w:footer="0" w:header="0"/>
          <w:type w:val="continuous"/>
        </w:sectPr>
      </w:pP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SITIME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80" w:type="dxa"/>
            <w:vAlign w:val="bottom"/>
            <w:gridSpan w:val="3"/>
          </w:tcPr>
          <w:p>
            <w:pPr>
              <w:jc w:val="right"/>
              <w:ind w:right="619"/>
              <w:spacing w:after="0" w:line="155"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Net loss</w:t>
            </w:r>
          </w:p>
        </w:tc>
        <w:tc>
          <w:tcPr>
            <w:tcW w:w="960" w:type="dxa"/>
            <w:vAlign w:val="bottom"/>
          </w:tcPr>
          <w:p>
            <w:pPr>
              <w:jc w:val="right"/>
              <w:ind w:right="781"/>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(3,565)</w:t>
            </w:r>
          </w:p>
        </w:tc>
        <w:tc>
          <w:tcPr>
            <w:tcW w:w="1000" w:type="dxa"/>
            <w:vAlign w:val="bottom"/>
          </w:tcPr>
          <w:p>
            <w:pPr>
              <w:jc w:val="right"/>
              <w:ind w:right="819"/>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(5,093)</w:t>
            </w:r>
          </w:p>
        </w:tc>
        <w:tc>
          <w:tcPr>
            <w:tcW w:w="0" w:type="dxa"/>
            <w:vAlign w:val="bottom"/>
          </w:tcPr>
          <w:p>
            <w:pPr>
              <w:spacing w:after="0"/>
              <w:rPr>
                <w:sz w:val="1"/>
                <w:szCs w:val="1"/>
                <w:color w:val="auto"/>
              </w:rPr>
            </w:pPr>
          </w:p>
        </w:tc>
      </w:tr>
      <w:tr>
        <w:trPr>
          <w:trHeight w:val="198"/>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Adjustments to reconcile net loss to net cash provided by</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720" w:type="dxa"/>
            <w:vAlign w:val="bottom"/>
            <w:shd w:val="clear" w:color="auto" w:fill="CFF0FC"/>
          </w:tcPr>
          <w:p>
            <w:pPr>
              <w:ind w:left="380"/>
              <w:spacing w:after="0"/>
              <w:rPr>
                <w:sz w:val="20"/>
                <w:szCs w:val="20"/>
                <w:color w:val="auto"/>
              </w:rPr>
            </w:pPr>
            <w:r>
              <w:rPr>
                <w:rFonts w:ascii="Arial" w:cs="Arial" w:eastAsia="Arial" w:hAnsi="Arial"/>
                <w:sz w:val="17"/>
                <w:szCs w:val="17"/>
                <w:color w:val="auto"/>
              </w:rPr>
              <w:t>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500"/>
              <w:spacing w:after="0"/>
              <w:rPr>
                <w:sz w:val="20"/>
                <w:szCs w:val="20"/>
                <w:color w:val="auto"/>
              </w:rPr>
            </w:pPr>
            <w:r>
              <w:rPr>
                <w:rFonts w:ascii="Arial" w:cs="Arial" w:eastAsia="Arial" w:hAnsi="Arial"/>
                <w:sz w:val="17"/>
                <w:szCs w:val="17"/>
                <w:color w:val="auto"/>
              </w:rPr>
              <w:t>Depreciation and amortization expense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1,617</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1,964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Stock-based compensation expense</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6,660</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500"/>
              <w:spacing w:after="0"/>
              <w:rPr>
                <w:sz w:val="20"/>
                <w:szCs w:val="20"/>
                <w:color w:val="auto"/>
              </w:rPr>
            </w:pPr>
            <w:r>
              <w:rPr>
                <w:rFonts w:ascii="Arial" w:cs="Arial" w:eastAsia="Arial" w:hAnsi="Arial"/>
                <w:sz w:val="17"/>
                <w:szCs w:val="17"/>
                <w:color w:val="auto"/>
              </w:rPr>
              <w:t>Changes in assets and liabilities: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Accounts receivable, net</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1,706</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740"/>
              <w:spacing w:after="0"/>
              <w:rPr>
                <w:sz w:val="20"/>
                <w:szCs w:val="20"/>
                <w:color w:val="auto"/>
              </w:rPr>
            </w:pPr>
            <w:r>
              <w:rPr>
                <w:rFonts w:ascii="Arial" w:cs="Arial" w:eastAsia="Arial" w:hAnsi="Arial"/>
                <w:sz w:val="17"/>
                <w:szCs w:val="17"/>
                <w:color w:val="auto"/>
              </w:rPr>
              <w:t>Related party accounts receivable</w:t>
            </w:r>
          </w:p>
        </w:tc>
        <w:tc>
          <w:tcPr>
            <w:tcW w:w="9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(240)</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Inventories</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(2,630)</w:t>
            </w: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(2,433)</w:t>
            </w:r>
          </w:p>
        </w:tc>
        <w:tc>
          <w:tcPr>
            <w:tcW w:w="0" w:type="dxa"/>
            <w:vAlign w:val="bottom"/>
          </w:tcPr>
          <w:p>
            <w:pPr>
              <w:spacing w:after="0"/>
              <w:rPr>
                <w:sz w:val="1"/>
                <w:szCs w:val="1"/>
                <w:color w:val="auto"/>
              </w:rPr>
            </w:pPr>
          </w:p>
        </w:tc>
      </w:tr>
      <w:tr>
        <w:trPr>
          <w:trHeight w:val="216"/>
        </w:trPr>
        <w:tc>
          <w:tcPr>
            <w:tcW w:w="7720" w:type="dxa"/>
            <w:vAlign w:val="bottom"/>
          </w:tcPr>
          <w:p>
            <w:pPr>
              <w:ind w:left="740"/>
              <w:spacing w:after="0"/>
              <w:rPr>
                <w:sz w:val="20"/>
                <w:szCs w:val="20"/>
                <w:color w:val="auto"/>
              </w:rPr>
            </w:pPr>
            <w:r>
              <w:rPr>
                <w:rFonts w:ascii="Arial" w:cs="Arial" w:eastAsia="Arial" w:hAnsi="Arial"/>
                <w:sz w:val="17"/>
                <w:szCs w:val="17"/>
                <w:color w:val="auto"/>
              </w:rPr>
              <w:t>Prepaid expenses and other assets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72</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2,410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Accounts payable</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1,748</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740"/>
              <w:spacing w:after="0"/>
              <w:rPr>
                <w:sz w:val="20"/>
                <w:szCs w:val="20"/>
                <w:color w:val="auto"/>
              </w:rPr>
            </w:pPr>
            <w:r>
              <w:rPr>
                <w:rFonts w:ascii="Arial" w:cs="Arial" w:eastAsia="Arial" w:hAnsi="Arial"/>
                <w:sz w:val="17"/>
                <w:szCs w:val="17"/>
                <w:color w:val="auto"/>
              </w:rPr>
              <w:t>Accrued expenses and other liabilities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734</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Lease liabilities</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(27)</w:t>
            </w: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(762)</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tcPr>
          <w:p>
            <w:pPr>
              <w:ind w:left="1000"/>
              <w:spacing w:after="0"/>
              <w:rPr>
                <w:sz w:val="20"/>
                <w:szCs w:val="20"/>
                <w:color w:val="auto"/>
              </w:rPr>
            </w:pPr>
            <w:r>
              <w:rPr>
                <w:rFonts w:ascii="Arial" w:cs="Arial" w:eastAsia="Arial" w:hAnsi="Arial"/>
                <w:sz w:val="17"/>
                <w:szCs w:val="17"/>
                <w:color w:val="auto"/>
              </w:rPr>
              <w:t>Net cash provided by operating activities</w:t>
            </w:r>
          </w:p>
        </w:tc>
        <w:tc>
          <w:tcPr>
            <w:tcW w:w="9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6,075</w:t>
            </w:r>
          </w:p>
        </w:tc>
        <w:tc>
          <w:tcPr>
            <w:tcW w:w="280" w:type="dxa"/>
            <w:vAlign w:val="bottom"/>
            <w:tcBorders>
              <w:bottom w:val="single" w:sz="8" w:color="CFF0FC"/>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2,035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Purchase of property and equipment</w:t>
            </w:r>
          </w:p>
        </w:tc>
        <w:tc>
          <w:tcPr>
            <w:tcW w:w="9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(3,866)</w:t>
            </w:r>
          </w:p>
        </w:tc>
        <w:tc>
          <w:tcPr>
            <w:tcW w:w="10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(1,138)</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Cash paid for intangibles</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(370)</w:t>
            </w: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(279)</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tcPr>
          <w:p>
            <w:pPr>
              <w:ind w:left="1000"/>
              <w:spacing w:after="0"/>
              <w:rPr>
                <w:sz w:val="20"/>
                <w:szCs w:val="20"/>
                <w:color w:val="auto"/>
              </w:rPr>
            </w:pPr>
            <w:r>
              <w:rPr>
                <w:rFonts w:ascii="Arial" w:cs="Arial" w:eastAsia="Arial" w:hAnsi="Arial"/>
                <w:sz w:val="17"/>
                <w:szCs w:val="17"/>
                <w:color w:val="auto"/>
              </w:rPr>
              <w:t>Net cash used in investing activities</w:t>
            </w:r>
          </w:p>
        </w:tc>
        <w:tc>
          <w:tcPr>
            <w:tcW w:w="9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(4,236)</w:t>
            </w:r>
          </w:p>
        </w:tc>
        <w:tc>
          <w:tcPr>
            <w:tcW w:w="280" w:type="dxa"/>
            <w:vAlign w:val="bottom"/>
            <w:tcBorders>
              <w:bottom w:val="single" w:sz="8" w:color="CFF0FC"/>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(1,417)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tcPr>
          <w:p>
            <w:pPr>
              <w:ind w:left="260"/>
              <w:spacing w:after="0"/>
              <w:rPr>
                <w:sz w:val="20"/>
                <w:szCs w:val="20"/>
                <w:color w:val="auto"/>
              </w:rPr>
            </w:pPr>
            <w:r>
              <w:rPr>
                <w:rFonts w:ascii="Arial" w:cs="Arial" w:eastAsia="Arial" w:hAnsi="Arial"/>
                <w:sz w:val="17"/>
                <w:szCs w:val="17"/>
                <w:color w:val="auto"/>
              </w:rPr>
              <w:t>Proceeds from public offering, net of underwriting</w:t>
            </w: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720" w:type="dxa"/>
            <w:vAlign w:val="bottom"/>
          </w:tcPr>
          <w:p>
            <w:pPr>
              <w:ind w:left="260"/>
              <w:spacing w:after="0"/>
              <w:rPr>
                <w:sz w:val="20"/>
                <w:szCs w:val="20"/>
                <w:color w:val="auto"/>
              </w:rPr>
            </w:pPr>
            <w:r>
              <w:rPr>
                <w:rFonts w:ascii="Arial" w:cs="Arial" w:eastAsia="Arial" w:hAnsi="Arial"/>
                <w:sz w:val="17"/>
                <w:szCs w:val="17"/>
                <w:color w:val="auto"/>
              </w:rPr>
              <w:t>discounts and commissions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1"/>
              </w:rPr>
              <w:t>181,928</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Payments for offering costs</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(340)</w:t>
            </w:r>
          </w:p>
        </w:tc>
        <w:tc>
          <w:tcPr>
            <w:tcW w:w="10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Tax withholding paid on behalf of employees for net share settlement</w:t>
            </w:r>
          </w:p>
        </w:tc>
        <w:tc>
          <w:tcPr>
            <w:tcW w:w="9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(1,788)</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Proceeds from loans from financial institutions</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9"/>
              </w:rPr>
              <w:t>12,000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Principal payments on loans to financial institutions</w:t>
            </w:r>
          </w:p>
        </w:tc>
        <w:tc>
          <w:tcPr>
            <w:tcW w:w="9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(3,000)</w:t>
            </w:r>
          </w:p>
        </w:tc>
        <w:tc>
          <w:tcPr>
            <w:tcW w:w="0" w:type="dxa"/>
            <w:vAlign w:val="bottom"/>
          </w:tcPr>
          <w:p>
            <w:pPr>
              <w:spacing w:after="0"/>
              <w:rPr>
                <w:sz w:val="1"/>
                <w:szCs w:val="1"/>
                <w:color w:val="auto"/>
              </w:rPr>
            </w:pPr>
          </w:p>
        </w:tc>
      </w:tr>
      <w:tr>
        <w:trPr>
          <w:trHeight w:val="210"/>
        </w:trPr>
        <w:tc>
          <w:tcPr>
            <w:tcW w:w="772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7"/>
                <w:szCs w:val="17"/>
                <w:color w:val="auto"/>
              </w:rPr>
              <w:t>Net cash provided by financing activities</w:t>
            </w: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1"/>
              </w:rPr>
              <w:t>181,588</w:t>
            </w:r>
          </w:p>
        </w:tc>
        <w:tc>
          <w:tcPr>
            <w:tcW w:w="2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7,212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1000"/>
              <w:spacing w:after="0"/>
              <w:rPr>
                <w:sz w:val="20"/>
                <w:szCs w:val="20"/>
                <w:color w:val="auto"/>
              </w:rPr>
            </w:pPr>
            <w:r>
              <w:rPr>
                <w:rFonts w:ascii="Arial" w:cs="Arial" w:eastAsia="Arial" w:hAnsi="Arial"/>
                <w:sz w:val="17"/>
                <w:szCs w:val="17"/>
                <w:color w:val="auto"/>
              </w:rPr>
              <w:t>Net increase in cash and cash equivalents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1"/>
              </w:rPr>
              <w:t>183,427</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7,830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and cash equivalents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7"/>
                <w:szCs w:val="17"/>
                <w:color w:val="auto"/>
              </w:rPr>
              <w:t>Beginning of period</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73,525</w:t>
            </w:r>
          </w:p>
        </w:tc>
        <w:tc>
          <w:tcPr>
            <w:tcW w:w="28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63,418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7"/>
                <w:szCs w:val="17"/>
                <w:color w:val="auto"/>
              </w:rPr>
              <w:t>End of period</w:t>
            </w:r>
          </w:p>
        </w:tc>
        <w:tc>
          <w:tcPr>
            <w:tcW w:w="960" w:type="dxa"/>
            <w:vAlign w:val="bottom"/>
            <w:tcBorders>
              <w:bottom w:val="single" w:sz="8" w:color="auto"/>
            </w:tcBorders>
            <w:shd w:val="clear" w:color="auto" w:fill="CFF0FC"/>
          </w:tcPr>
          <w:p>
            <w:pPr>
              <w:jc w:val="right"/>
              <w:ind w:right="781"/>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1"/>
              </w:rPr>
              <w:t>256,952</w:t>
            </w:r>
          </w:p>
        </w:tc>
        <w:tc>
          <w:tcPr>
            <w:tcW w:w="2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9"/>
              </w:rPr>
              <w:t>71,248</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72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Interest paid during the period</w:t>
            </w:r>
          </w:p>
        </w:tc>
        <w:tc>
          <w:tcPr>
            <w:tcW w:w="9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Income taxes paid</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Supplemental disclosure of noncash flow information</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Unpaid property and equipment</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1,436</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Right-of-use assets acquired under operating leases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322</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SITIME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Presentation</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SiTime Corporation (the “Company”) was incorporated in the State of Delaware in December 2003. The Company is a provider of silicon timing systems. The Company primarily supplies oscillator products that comprise a MEMS resonator and clock IC that is integrated into a package, as well as standalone resonators. The Company has also started to sample clock ICs. The Company’s products are designed to address a wide range of applications across a broad array of end markets. The Company operates a fabless business model and leverages its global network of distributors and resellers to address the broad set of end markets that it serves.</w:t>
      </w:r>
    </w:p>
    <w:p>
      <w:pPr>
        <w:spacing w:after="0" w:line="8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contain all adjustments of a normal, recurring nature, which are necessary to state fairly the financial information included therein. These financial statements should be read in conjunction with the audited consolidated financial statements and related notes thereto included in SiTime Corporation's Annual Report on Form 10-K for the fiscal year ended December 31, 2020. The year-end condensed balance sheet data was derived from audited financial statements, but does not include all disclosures required by GAAP.</w:t>
      </w:r>
    </w:p>
    <w:p>
      <w:pPr>
        <w:spacing w:after="0" w:line="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was a wholly-owned subsidiary of MegaChips Corporation (“MegaChips”), a fabless semiconductor company based in Japan and traded on the Tokyo Stock Exchange, until the Company completed its initial public offering in November 2019.</w:t>
      </w:r>
    </w:p>
    <w:p>
      <w:pPr>
        <w:spacing w:after="0" w:line="6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On June 16, 2020, the Company completed a follow-on public offering, in which it issued and sold 1,525,000 shares of its common stock and MegaChips sold 2,500,000 of the Company’s common stock held by them, resulting in net proceeds to the Company of $45.8 million after deducting underwriting discounts and commissions of $2.7 million and deferred offering costs of $0.3 million.</w:t>
      </w:r>
    </w:p>
    <w:p>
      <w:pPr>
        <w:spacing w:after="0" w:line="7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On February 22, 2021, the Company completed an additional follow-on public offering, in which it issued and sold 1,500,000 shares of its common stock and MegaChips sold 1,500,000 of the Company’s common stock held by them, resulting in net proceeds to the Company of $181.6 million after deducting underwriting discounts and commissions of $8.6 million and deferred offering costs of $0.3 million.</w:t>
      </w:r>
    </w:p>
    <w:p>
      <w:pPr>
        <w:spacing w:after="0" w:line="7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MegaChips remains the largest stockholder of the Company and held approximately 31.8% of the Company’s outstanding common stock as of March 31,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Outbreak of Coronavirus Disease 2019 (“the COVID-19 pandemic”)</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March 11, 2020, the World Health Organization characterized the outbreak of the coronavirus disease known as COVID-19 as a global pandemic and recommended containment and mitigation measures. On March 13, 2020, the United States declared a national emergency concerning the outbreak, and several states and municipalities have declared public health emergencies. To combat the spread of the COVID-19 pandemic, the United States and other foreign countries in which the Company operates have imposed measures such as quarantines and “shelter-in-place” orders that are restricting business operations and travel and requiring individuals to work from home (“WFH”), which has impacted all aspects of the Company’s business as well as those of the third-parties we rely upon for our manufacturing, assembly, testing, shipping and other operations.</w:t>
      </w:r>
    </w:p>
    <w:p>
      <w:pPr>
        <w:spacing w:after="0" w:line="7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global health crisis caused by the COVID-19 pandemic has negatively impacted business activity across the globe and has impacted the Company's employees and operations. The inputs into the Company’s judgments and estimates consider the economic implications of the COVID-19 pandemic, as the Company knows them, on the Company’s critical and significant accounting estimates. The extent to which the COVID-19 pandemic may impact the Company’s business will depend on future developments, which are highly uncertain, including the future effects of the COVID-19 pandemic on its employees, customers, suppliers, results of operations, financial condition, or liquidity for the remainder of fiscal year 2021.</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Calendar</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Company’s fiscal year begins on January 1 of the year stated and ends on December 31 of the same year. The Company reports its results on a calendar year basis.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intercompany transactions and balances have been eliminated in consolidation.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Company’s significant accounting policies are disclosed in the Company’s audited consolidated financial statements and related notes thereto included in the Annual Report on Form 10-K for the year ended December 31, 2020. There had been no changes to these accounting policies except for the recently adopted accounting guidance as discussed below.</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Guidance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 December 2019, the Financial Accounting Standard Board (“FASB”) issued Accounting Standard Update (“ASU”) 2019-12, Income Taxes (Topic 740):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Simplifying the Accounting for Income Taxes, which eliminates certain exceptions related to the</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jc w:val="both"/>
        <w:ind w:right="100"/>
        <w:spacing w:after="0" w:line="263" w:lineRule="auto"/>
        <w:rPr>
          <w:sz w:val="20"/>
          <w:szCs w:val="20"/>
          <w:color w:val="auto"/>
        </w:rPr>
      </w:pPr>
      <w:r>
        <w:rPr>
          <w:rFonts w:ascii="Arial" w:cs="Arial" w:eastAsia="Arial" w:hAnsi="Arial"/>
          <w:sz w:val="18"/>
          <w:szCs w:val="18"/>
          <w:color w:val="auto"/>
        </w:rPr>
        <w:t>approach for intraperiod tax allocation, the methodology for calculating income taxes in an interim period and the recognition of deferred tax liabilities for outside basis differences. It also clarifies and simplifies other aspects of the accounting for income taxes. The adoption of this standard on January 1, 2021 did not have any impact on the Company’s consolidated financial position, results of operations or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Not Yet Adopted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Net Loss (Income) Per Share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computation of basic and diluted net loss (income) per share attributable to common stockholder of the Company:</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290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80" w:type="dxa"/>
            <w:vAlign w:val="bottom"/>
          </w:tcPr>
          <w:p>
            <w:pPr>
              <w:spacing w:after="0"/>
              <w:rPr>
                <w:sz w:val="13"/>
                <w:szCs w:val="13"/>
                <w:color w:val="auto"/>
              </w:rPr>
            </w:pPr>
          </w:p>
        </w:tc>
        <w:tc>
          <w:tcPr>
            <w:tcW w:w="10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80" w:type="dxa"/>
            <w:vAlign w:val="bottom"/>
          </w:tcPr>
          <w:p>
            <w:pPr>
              <w:spacing w:after="0"/>
              <w:rPr>
                <w:sz w:val="13"/>
                <w:szCs w:val="13"/>
                <w:color w:val="auto"/>
              </w:rPr>
            </w:pPr>
          </w:p>
        </w:tc>
        <w:tc>
          <w:tcPr>
            <w:tcW w:w="29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 except per share data)</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1000" w:type="dxa"/>
            <w:vAlign w:val="bottom"/>
            <w:shd w:val="clear" w:color="auto" w:fill="CFF0FC"/>
          </w:tcPr>
          <w:p>
            <w:pPr>
              <w:jc w:val="right"/>
              <w:ind w:right="848"/>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(3,565)</w:t>
            </w:r>
          </w:p>
        </w:tc>
        <w:tc>
          <w:tcPr>
            <w:tcW w:w="1040" w:type="dxa"/>
            <w:vAlign w:val="bottom"/>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(5,093)</w:t>
            </w:r>
          </w:p>
        </w:tc>
        <w:tc>
          <w:tcPr>
            <w:tcW w:w="0" w:type="dxa"/>
            <w:vAlign w:val="bottom"/>
          </w:tcPr>
          <w:p>
            <w:pPr>
              <w:spacing w:after="0"/>
              <w:rPr>
                <w:sz w:val="1"/>
                <w:szCs w:val="1"/>
                <w:color w:val="auto"/>
              </w:rPr>
            </w:pPr>
          </w:p>
        </w:tc>
      </w:tr>
      <w:tr>
        <w:trPr>
          <w:trHeight w:val="20"/>
        </w:trPr>
        <w:tc>
          <w:tcPr>
            <w:tcW w:w="7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 outstanding</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FF0FC"/>
            </w:tcBorders>
            <w:vMerge w:val="continue"/>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17,868</w:t>
            </w:r>
          </w:p>
        </w:tc>
        <w:tc>
          <w:tcPr>
            <w:tcW w:w="280" w:type="dxa"/>
            <w:vAlign w:val="bottom"/>
            <w:tcBorders>
              <w:bottom w:val="single" w:sz="8" w:color="CFF0FC"/>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15,010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60"/>
              <w:spacing w:after="0" w:line="195" w:lineRule="exact"/>
              <w:rPr>
                <w:sz w:val="20"/>
                <w:szCs w:val="20"/>
                <w:color w:val="auto"/>
              </w:rPr>
            </w:pPr>
            <w:r>
              <w:rPr>
                <w:rFonts w:ascii="Arial" w:cs="Arial" w:eastAsia="Arial" w:hAnsi="Arial"/>
                <w:sz w:val="18"/>
                <w:szCs w:val="18"/>
                <w:color w:val="auto"/>
              </w:rPr>
              <w:t>Weighted average shares used to compute basic and</w:t>
            </w: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diluted net loss per share</w:t>
            </w:r>
          </w:p>
        </w:tc>
        <w:tc>
          <w:tcPr>
            <w:tcW w:w="100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17,868</w:t>
            </w:r>
          </w:p>
        </w:tc>
        <w:tc>
          <w:tcPr>
            <w:tcW w:w="28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15,010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80" w:type="dxa"/>
            <w:vAlign w:val="bottom"/>
            <w:vMerge w:val="restart"/>
          </w:tcPr>
          <w:p>
            <w:pPr>
              <w:ind w:left="260"/>
              <w:spacing w:after="0"/>
              <w:rPr>
                <w:sz w:val="20"/>
                <w:szCs w:val="20"/>
                <w:color w:val="auto"/>
              </w:rPr>
            </w:pPr>
            <w:r>
              <w:rPr>
                <w:rFonts w:ascii="Arial" w:cs="Arial" w:eastAsia="Arial" w:hAnsi="Arial"/>
                <w:sz w:val="18"/>
                <w:szCs w:val="18"/>
                <w:color w:val="auto"/>
              </w:rPr>
              <w:t>Net loss attributable to common stockholders per</w:t>
            </w: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380"/>
              <w:spacing w:after="0"/>
              <w:rPr>
                <w:sz w:val="20"/>
                <w:szCs w:val="20"/>
                <w:color w:val="auto"/>
              </w:rPr>
            </w:pPr>
            <w:r>
              <w:rPr>
                <w:rFonts w:ascii="Arial" w:cs="Arial" w:eastAsia="Arial" w:hAnsi="Arial"/>
                <w:sz w:val="18"/>
                <w:szCs w:val="18"/>
                <w:color w:val="auto"/>
              </w:rPr>
              <w:t>share, basic and diluted</w:t>
            </w:r>
          </w:p>
        </w:tc>
        <w:tc>
          <w:tcPr>
            <w:tcW w:w="1000" w:type="dxa"/>
            <w:vAlign w:val="bottom"/>
          </w:tcPr>
          <w:p>
            <w:pPr>
              <w:jc w:val="right"/>
              <w:ind w:right="848"/>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(0.20)</w:t>
            </w:r>
          </w:p>
        </w:tc>
        <w:tc>
          <w:tcPr>
            <w:tcW w:w="1040" w:type="dxa"/>
            <w:vAlign w:val="bottom"/>
          </w:tcPr>
          <w:p>
            <w:pPr>
              <w:jc w:val="right"/>
              <w:ind w:right="887"/>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carrying amounts of the Company’s financial instruments, which include cash equivalents, accounts receivable, accounts payable, accrued liabilities, short-term debt obligations, and other current liabilities, approximate their fair values due to their short maturities.</w:t>
      </w:r>
    </w:p>
    <w:p>
      <w:pPr>
        <w:spacing w:after="0" w:line="6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At March 31, 2021 and December 31, 2020, cash balances in bank checking and savings accounts of $106.9 million and $18.4 million, respectively, were valued using Level 1 of the fair value hierarchy. At March 31, 2021 and December 31, 2020, highly liquid money market funds of $150.0 million and $55.1 million, respectively, were valued using Level 1 of the fair value hierarchy, quoted prices in active markets for identical assets, and are included in cash equivalents.</w:t>
      </w:r>
    </w:p>
    <w:p>
      <w:pPr>
        <w:sectPr>
          <w:pgSz w:w="11900" w:h="16838" w:orient="portrait"/>
          <w:cols w:equalWidth="0" w:num="1">
            <w:col w:w="11240"/>
          </w:cols>
          <w:pgMar w:left="320" w:top="449" w:right="339" w:bottom="1440" w:gutter="0" w:footer="0" w:header="0"/>
        </w:sectPr>
      </w:pP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net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Allowance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Work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Finished goods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inventories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640"/>
        <w:spacing w:after="0"/>
        <w:rPr>
          <w:sz w:val="20"/>
          <w:szCs w:val="20"/>
          <w:color w:val="auto"/>
        </w:rPr>
      </w:pPr>
      <w:r>
        <w:rPr>
          <w:rFonts w:ascii="Arial" w:cs="Arial" w:eastAsia="Arial" w:hAnsi="Arial"/>
          <w:sz w:val="14"/>
          <w:szCs w:val="14"/>
          <w:b w:val="1"/>
          <w:bCs w:val="1"/>
          <w:color w:val="auto"/>
        </w:rPr>
        <w:t>As of</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20" w:type="dxa"/>
            <w:vAlign w:val="bottom"/>
            <w:tcBorders>
              <w:top w:val="single" w:sz="8" w:color="auto"/>
              <w:bottom w:val="single" w:sz="8" w:color="auto"/>
            </w:tcBorders>
          </w:tcPr>
          <w:p>
            <w:pPr>
              <w:spacing w:after="0"/>
              <w:rPr>
                <w:sz w:val="13"/>
                <w:szCs w:val="13"/>
                <w:color w:val="auto"/>
              </w:rPr>
            </w:pPr>
          </w:p>
        </w:tc>
        <w:tc>
          <w:tcPr>
            <w:tcW w:w="1720" w:type="dxa"/>
            <w:vAlign w:val="bottom"/>
            <w:tcBorders>
              <w:top w:val="single" w:sz="8" w:color="auto"/>
              <w:bottom w:val="single" w:sz="8" w:color="auto"/>
            </w:tcBorders>
            <w:gridSpan w:val="2"/>
          </w:tcPr>
          <w:p>
            <w:pPr>
              <w:jc w:val="right"/>
              <w:ind w:right="640"/>
              <w:spacing w:after="0" w:line="155" w:lineRule="exact"/>
              <w:rPr>
                <w:sz w:val="20"/>
                <w:szCs w:val="20"/>
                <w:color w:val="auto"/>
              </w:rPr>
            </w:pPr>
            <w:r>
              <w:rPr>
                <w:rFonts w:ascii="Arial" w:cs="Arial" w:eastAsia="Arial" w:hAnsi="Arial"/>
                <w:sz w:val="14"/>
                <w:szCs w:val="14"/>
                <w:b w:val="1"/>
                <w:bCs w:val="1"/>
                <w:color w:val="auto"/>
              </w:rPr>
              <w:t>March 31, 2021</w:t>
            </w: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w w:val="96"/>
              </w:rPr>
              <w:t>December 31, 2020</w:t>
            </w:r>
          </w:p>
        </w:tc>
        <w:tc>
          <w:tcPr>
            <w:tcW w:w="60" w:type="dxa"/>
            <w:vAlign w:val="bottom"/>
          </w:tcPr>
          <w:p>
            <w:pPr>
              <w:spacing w:after="0"/>
              <w:rPr>
                <w:sz w:val="13"/>
                <w:szCs w:val="13"/>
                <w:color w:val="auto"/>
              </w:rPr>
            </w:pPr>
          </w:p>
        </w:tc>
      </w:tr>
      <w:tr>
        <w:trPr>
          <w:trHeight w:val="222"/>
        </w:trPr>
        <w:tc>
          <w:tcPr>
            <w:tcW w:w="220" w:type="dxa"/>
            <w:vAlign w:val="bottom"/>
          </w:tcPr>
          <w:p>
            <w:pPr>
              <w:spacing w:after="0"/>
              <w:rPr>
                <w:sz w:val="19"/>
                <w:szCs w:val="19"/>
                <w:color w:val="auto"/>
              </w:rPr>
            </w:pPr>
          </w:p>
        </w:tc>
        <w:tc>
          <w:tcPr>
            <w:tcW w:w="3440" w:type="dxa"/>
            <w:vAlign w:val="bottom"/>
            <w:gridSpan w:val="6"/>
          </w:tcPr>
          <w:p>
            <w:pPr>
              <w:jc w:val="right"/>
              <w:ind w:right="1440"/>
              <w:spacing w:after="0"/>
              <w:rPr>
                <w:sz w:val="20"/>
                <w:szCs w:val="20"/>
                <w:color w:val="auto"/>
              </w:rPr>
            </w:pPr>
            <w:r>
              <w:rPr>
                <w:rFonts w:ascii="Arial" w:cs="Arial" w:eastAsia="Arial" w:hAnsi="Arial"/>
                <w:sz w:val="14"/>
                <w:szCs w:val="14"/>
                <w:b w:val="1"/>
                <w:bCs w:val="1"/>
                <w:color w:val="auto"/>
              </w:rPr>
              <w:t>(in thousands)</w:t>
            </w:r>
          </w:p>
        </w:tc>
      </w:tr>
      <w:tr>
        <w:trPr>
          <w:trHeight w:val="230"/>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22,264</w:t>
            </w:r>
          </w:p>
        </w:tc>
        <w:tc>
          <w:tcPr>
            <w:tcW w:w="300" w:type="dxa"/>
            <w:vAlign w:val="bottom"/>
          </w:tcPr>
          <w:p>
            <w:pPr>
              <w:spacing w:after="0"/>
              <w:rPr>
                <w:sz w:val="19"/>
                <w:szCs w:val="19"/>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23,970</w:t>
            </w:r>
          </w:p>
        </w:tc>
        <w:tc>
          <w:tcPr>
            <w:tcW w:w="60" w:type="dxa"/>
            <w:vAlign w:val="bottom"/>
          </w:tcPr>
          <w:p>
            <w:pPr>
              <w:spacing w:after="0"/>
              <w:rPr>
                <w:sz w:val="19"/>
                <w:szCs w:val="19"/>
                <w:color w:val="auto"/>
              </w:rPr>
            </w:pPr>
          </w:p>
        </w:tc>
      </w:tr>
      <w:tr>
        <w:trPr>
          <w:trHeight w:val="230"/>
        </w:trPr>
        <w:tc>
          <w:tcPr>
            <w:tcW w:w="22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22,214</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23,920</w:t>
            </w:r>
          </w:p>
        </w:tc>
        <w:tc>
          <w:tcPr>
            <w:tcW w:w="60" w:type="dxa"/>
            <w:vAlign w:val="bottom"/>
          </w:tcPr>
          <w:p>
            <w:pPr>
              <w:spacing w:after="0"/>
              <w:rPr>
                <w:sz w:val="19"/>
                <w:szCs w:val="19"/>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640"/>
        <w:spacing w:after="0"/>
        <w:rPr>
          <w:sz w:val="20"/>
          <w:szCs w:val="20"/>
          <w:color w:val="auto"/>
        </w:rPr>
      </w:pPr>
      <w:r>
        <w:rPr>
          <w:rFonts w:ascii="Arial" w:cs="Arial" w:eastAsia="Arial" w:hAnsi="Arial"/>
          <w:sz w:val="14"/>
          <w:szCs w:val="14"/>
          <w:b w:val="1"/>
          <w:bCs w:val="1"/>
          <w:color w:val="auto"/>
        </w:rPr>
        <w:t>As of</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20" w:type="dxa"/>
            <w:vAlign w:val="bottom"/>
            <w:tcBorders>
              <w:top w:val="single" w:sz="8" w:color="auto"/>
              <w:bottom w:val="single" w:sz="8" w:color="auto"/>
            </w:tcBorders>
          </w:tcPr>
          <w:p>
            <w:pPr>
              <w:spacing w:after="0"/>
              <w:rPr>
                <w:sz w:val="13"/>
                <w:szCs w:val="13"/>
                <w:color w:val="auto"/>
              </w:rPr>
            </w:pPr>
          </w:p>
        </w:tc>
        <w:tc>
          <w:tcPr>
            <w:tcW w:w="1720" w:type="dxa"/>
            <w:vAlign w:val="bottom"/>
            <w:tcBorders>
              <w:top w:val="single" w:sz="8" w:color="auto"/>
              <w:bottom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March 31, 2021</w:t>
            </w:r>
          </w:p>
        </w:tc>
        <w:tc>
          <w:tcPr>
            <w:tcW w:w="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w w:val="96"/>
              </w:rPr>
              <w:t>December 31, 2020</w:t>
            </w:r>
          </w:p>
        </w:tc>
      </w:tr>
      <w:tr>
        <w:trPr>
          <w:trHeight w:val="222"/>
        </w:trPr>
        <w:tc>
          <w:tcPr>
            <w:tcW w:w="220" w:type="dxa"/>
            <w:vAlign w:val="bottom"/>
          </w:tcPr>
          <w:p>
            <w:pPr>
              <w:spacing w:after="0"/>
              <w:rPr>
                <w:sz w:val="19"/>
                <w:szCs w:val="19"/>
                <w:color w:val="auto"/>
              </w:rPr>
            </w:pPr>
          </w:p>
        </w:tc>
        <w:tc>
          <w:tcPr>
            <w:tcW w:w="3380" w:type="dxa"/>
            <w:vAlign w:val="bottom"/>
            <w:gridSpan w:val="5"/>
          </w:tcPr>
          <w:p>
            <w:pPr>
              <w:jc w:val="right"/>
              <w:ind w:right="1294"/>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1,900</w:t>
            </w:r>
          </w:p>
        </w:tc>
        <w:tc>
          <w:tcPr>
            <w:tcW w:w="300" w:type="dxa"/>
            <w:vAlign w:val="bottom"/>
          </w:tcPr>
          <w:p>
            <w:pPr>
              <w:spacing w:after="0"/>
              <w:rPr>
                <w:sz w:val="19"/>
                <w:szCs w:val="19"/>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230"/>
        </w:trPr>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11,210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10,184</w:t>
            </w:r>
          </w:p>
        </w:tc>
      </w:tr>
      <w:tr>
        <w:trPr>
          <w:trHeight w:val="230"/>
        </w:trPr>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w:t>
            </w:r>
          </w:p>
        </w:tc>
      </w:tr>
      <w:tr>
        <w:trPr>
          <w:trHeight w:val="223"/>
        </w:trPr>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14,980</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12,350</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820" w:space="720"/>
            <w:col w:w="3700"/>
          </w:cols>
          <w:pgMar w:left="320" w:top="449" w:right="3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Prepaid Expenses and Other Current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w:t>
      </w:r>
    </w:p>
    <w:p>
      <w:pPr>
        <w:spacing w:after="0" w:line="298" w:lineRule="exact"/>
        <w:rPr>
          <w:sz w:val="20"/>
          <w:szCs w:val="20"/>
          <w:color w:val="auto"/>
        </w:rPr>
      </w:pPr>
    </w:p>
    <w:p>
      <w:pPr>
        <w:jc w:val="center"/>
        <w:ind w:left="740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6350</wp:posOffset>
            </wp:positionV>
            <wp:extent cx="22802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5" w:lineRule="exact"/>
        <w:rPr>
          <w:sz w:val="20"/>
          <w:szCs w:val="20"/>
          <w:color w:val="auto"/>
        </w:rPr>
      </w:pPr>
    </w:p>
    <w:p>
      <w:pPr>
        <w:jc w:val="right"/>
        <w:ind w:right="360"/>
        <w:spacing w:after="0"/>
        <w:tabs>
          <w:tab w:leader="none" w:pos="1140" w:val="left"/>
        </w:tabs>
        <w:rPr>
          <w:sz w:val="20"/>
          <w:szCs w:val="20"/>
          <w:color w:val="auto"/>
        </w:rPr>
      </w:pPr>
      <w:r>
        <w:rPr>
          <w:rFonts w:ascii="Arial" w:cs="Arial" w:eastAsia="Arial" w:hAnsi="Arial"/>
          <w:sz w:val="14"/>
          <w:szCs w:val="14"/>
          <w:b w:val="1"/>
          <w:bCs w:val="1"/>
          <w:color w:val="auto"/>
        </w:rPr>
        <w:t>March 31, 2021</w:t>
      </w:r>
      <w:r>
        <w:rPr>
          <w:sz w:val="20"/>
          <w:szCs w:val="20"/>
          <w:color w:val="auto"/>
        </w:rPr>
        <w:tab/>
      </w:r>
      <w:r>
        <w:rPr>
          <w:rFonts w:ascii="Arial" w:cs="Arial" w:eastAsia="Arial" w:hAnsi="Arial"/>
          <w:sz w:val="12"/>
          <w:szCs w:val="12"/>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0</wp:posOffset>
            </wp:positionV>
            <wp:extent cx="22802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Advance to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Total prepaid expenses and other current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net consisted of the following:</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2040" w:type="dxa"/>
            <w:vAlign w:val="bottom"/>
            <w:gridSpan w:val="4"/>
          </w:tcPr>
          <w:p>
            <w:pPr>
              <w:jc w:val="right"/>
              <w:ind w:right="429"/>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4"/>
                <w:szCs w:val="14"/>
                <w:color w:val="auto"/>
              </w:rPr>
            </w:pPr>
          </w:p>
        </w:tc>
      </w:tr>
      <w:tr>
        <w:trPr>
          <w:trHeight w:val="229"/>
        </w:trPr>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587</w:t>
            </w:r>
          </w:p>
        </w:tc>
        <w:tc>
          <w:tcPr>
            <w:tcW w:w="300" w:type="dxa"/>
            <w:vAlign w:val="bottom"/>
          </w:tcPr>
          <w:p>
            <w:pPr>
              <w:spacing w:after="0"/>
              <w:rPr>
                <w:sz w:val="19"/>
                <w:szCs w:val="19"/>
                <w:color w:val="auto"/>
              </w:rPr>
            </w:pPr>
          </w:p>
        </w:tc>
        <w:tc>
          <w:tcPr>
            <w:tcW w:w="760" w:type="dxa"/>
            <w:vAlign w:val="bottom"/>
            <w:gridSpan w:val="2"/>
          </w:tcPr>
          <w:p>
            <w:pPr>
              <w:jc w:val="right"/>
              <w:ind w:right="62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853</w:t>
            </w:r>
          </w:p>
        </w:tc>
      </w:tr>
      <w:tr>
        <w:trPr>
          <w:trHeight w:val="229"/>
        </w:trPr>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1,074</w:t>
            </w:r>
          </w:p>
        </w:tc>
      </w:tr>
      <w:tr>
        <w:trPr>
          <w:trHeight w:val="230"/>
        </w:trPr>
        <w:tc>
          <w:tcPr>
            <w:tcW w:w="6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r>
      <w:tr>
        <w:trPr>
          <w:trHeight w:val="223"/>
        </w:trPr>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6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2,649</w:t>
            </w: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22802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5" w:lineRule="exact"/>
        <w:rPr>
          <w:sz w:val="20"/>
          <w:szCs w:val="20"/>
          <w:color w:val="auto"/>
        </w:rPr>
      </w:pPr>
    </w:p>
    <w:p>
      <w:pPr>
        <w:ind w:left="340"/>
        <w:spacing w:after="0"/>
        <w:tabs>
          <w:tab w:leader="none" w:pos="2160" w:val="left"/>
        </w:tabs>
        <w:rPr>
          <w:sz w:val="20"/>
          <w:szCs w:val="20"/>
          <w:color w:val="auto"/>
        </w:rPr>
      </w:pPr>
      <w:r>
        <w:rPr>
          <w:rFonts w:ascii="Arial" w:cs="Arial" w:eastAsia="Arial" w:hAnsi="Arial"/>
          <w:sz w:val="14"/>
          <w:szCs w:val="14"/>
          <w:b w:val="1"/>
          <w:bCs w:val="1"/>
          <w:color w:val="auto"/>
        </w:rPr>
        <w:t>March 31, 2021</w:t>
      </w:r>
      <w:r>
        <w:rPr>
          <w:sz w:val="20"/>
          <w:szCs w:val="20"/>
          <w:color w:val="auto"/>
        </w:rPr>
        <w:tab/>
      </w:r>
      <w:r>
        <w:rPr>
          <w:rFonts w:ascii="Arial" w:cs="Arial" w:eastAsia="Arial" w:hAnsi="Arial"/>
          <w:sz w:val="12"/>
          <w:szCs w:val="12"/>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228028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71" w:lineRule="exact"/>
        <w:rPr>
          <w:sz w:val="20"/>
          <w:szCs w:val="20"/>
          <w:color w:val="auto"/>
        </w:rPr>
      </w:pPr>
    </w:p>
    <w:p>
      <w:pPr>
        <w:sectPr>
          <w:pgSz w:w="11900" w:h="16838" w:orient="portrait"/>
          <w:cols w:equalWidth="0" w:num="2">
            <w:col w:w="6820" w:space="720"/>
            <w:col w:w="3700"/>
          </w:cols>
          <w:pgMar w:left="320" w:top="553" w:right="33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40" w:type="dxa"/>
            <w:vAlign w:val="bottom"/>
            <w:gridSpan w:val="4"/>
          </w:tcPr>
          <w:p>
            <w:pPr>
              <w:jc w:val="right"/>
              <w:ind w:right="349"/>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Lab and manufacturing equipment</w:t>
            </w: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26,020</w:t>
            </w:r>
          </w:p>
        </w:tc>
        <w:tc>
          <w:tcPr>
            <w:tcW w:w="3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549"/>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21,958</w:t>
            </w:r>
          </w:p>
        </w:tc>
        <w:tc>
          <w:tcPr>
            <w:tcW w:w="100" w:type="dxa"/>
            <w:vAlign w:val="bottom"/>
            <w:shd w:val="clear" w:color="auto" w:fill="CFF0FC"/>
          </w:tcPr>
          <w:p>
            <w:pPr>
              <w:spacing w:after="0"/>
              <w:rPr>
                <w:sz w:val="19"/>
                <w:szCs w:val="19"/>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Computer Equipment</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19"/>
                <w:szCs w:val="19"/>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5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FF0FC"/>
          </w:tcPr>
          <w:p>
            <w:pPr>
              <w:spacing w:after="0"/>
              <w:rPr>
                <w:sz w:val="19"/>
                <w:szCs w:val="19"/>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9"/>
                <w:szCs w:val="19"/>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5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4,134</w:t>
            </w:r>
          </w:p>
        </w:tc>
        <w:tc>
          <w:tcPr>
            <w:tcW w:w="100" w:type="dxa"/>
            <w:vAlign w:val="bottom"/>
            <w:shd w:val="clear" w:color="auto" w:fill="CFF0FC"/>
          </w:tcPr>
          <w:p>
            <w:pPr>
              <w:spacing w:after="0"/>
              <w:rPr>
                <w:sz w:val="19"/>
                <w:szCs w:val="19"/>
                <w:color w:val="auto"/>
              </w:rPr>
            </w:pPr>
          </w:p>
        </w:tc>
      </w:tr>
      <w:tr>
        <w:trPr>
          <w:trHeight w:val="223"/>
        </w:trPr>
        <w:tc>
          <w:tcPr>
            <w:tcW w:w="7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32,399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28,088</w:t>
            </w:r>
          </w:p>
        </w:tc>
        <w:tc>
          <w:tcPr>
            <w:tcW w:w="100" w:type="dxa"/>
            <w:vAlign w:val="bottom"/>
          </w:tcPr>
          <w:p>
            <w:pPr>
              <w:spacing w:after="0"/>
              <w:rPr>
                <w:sz w:val="19"/>
                <w:szCs w:val="19"/>
                <w:color w:val="auto"/>
              </w:rPr>
            </w:pPr>
          </w:p>
        </w:tc>
      </w:tr>
      <w:tr>
        <w:trPr>
          <w:trHeight w:val="229"/>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5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(17,472)</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(16,380)</w:t>
            </w:r>
          </w:p>
        </w:tc>
      </w:tr>
      <w:tr>
        <w:trPr>
          <w:trHeight w:val="223"/>
        </w:trPr>
        <w:tc>
          <w:tcPr>
            <w:tcW w:w="754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14,927</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11,708</w:t>
            </w:r>
          </w:p>
        </w:tc>
        <w:tc>
          <w:tcPr>
            <w:tcW w:w="100" w:type="dxa"/>
            <w:vAlign w:val="bottom"/>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Depreciation expense related to property and equipment was $1.1 million and $0.9 million for the three months ended March 31, 2021 and 2020,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4"/>
          </w:tcPr>
          <w:p>
            <w:pPr>
              <w:jc w:val="right"/>
              <w:ind w:right="87"/>
              <w:spacing w:after="0"/>
              <w:rPr>
                <w:sz w:val="20"/>
                <w:szCs w:val="20"/>
                <w:color w:val="auto"/>
              </w:rPr>
            </w:pPr>
            <w:r>
              <w:rPr>
                <w:rFonts w:ascii="Arial" w:cs="Arial" w:eastAsia="Arial" w:hAnsi="Arial"/>
                <w:sz w:val="14"/>
                <w:szCs w:val="14"/>
                <w:b w:val="1"/>
                <w:bCs w:val="1"/>
                <w:color w:val="auto"/>
              </w:rPr>
              <w:t>As of</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53"/>
        </w:trPr>
        <w:tc>
          <w:tcPr>
            <w:tcW w:w="75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23"/>
        </w:trPr>
        <w:tc>
          <w:tcPr>
            <w:tcW w:w="7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6"/>
              </w:rPr>
              <w:t>December 31, 2020</w:t>
            </w:r>
          </w:p>
        </w:tc>
        <w:tc>
          <w:tcPr>
            <w:tcW w:w="100" w:type="dxa"/>
            <w:vAlign w:val="bottom"/>
          </w:tcPr>
          <w:p>
            <w:pPr>
              <w:spacing w:after="0"/>
              <w:rPr>
                <w:sz w:val="19"/>
                <w:szCs w:val="19"/>
                <w:color w:val="auto"/>
              </w:rPr>
            </w:pPr>
          </w:p>
        </w:tc>
      </w:tr>
      <w:tr>
        <w:trPr>
          <w:trHeight w:val="223"/>
        </w:trPr>
        <w:tc>
          <w:tcPr>
            <w:tcW w:w="7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80" w:type="dxa"/>
            <w:vAlign w:val="bottom"/>
            <w:gridSpan w:val="6"/>
          </w:tcPr>
          <w:p>
            <w:pPr>
              <w:jc w:val="right"/>
              <w:ind w:right="1480"/>
              <w:spacing w:after="0"/>
              <w:rPr>
                <w:sz w:val="20"/>
                <w:szCs w:val="20"/>
                <w:color w:val="auto"/>
              </w:rPr>
            </w:pPr>
            <w:r>
              <w:rPr>
                <w:rFonts w:ascii="Arial" w:cs="Arial" w:eastAsia="Arial" w:hAnsi="Arial"/>
                <w:sz w:val="14"/>
                <w:szCs w:val="14"/>
                <w:b w:val="1"/>
                <w:bCs w:val="1"/>
                <w:color w:val="auto"/>
              </w:rPr>
              <w:t>(in thousands)</w:t>
            </w: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Internal use software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9,405</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9,377</w:t>
            </w:r>
          </w:p>
        </w:tc>
        <w:tc>
          <w:tcPr>
            <w:tcW w:w="100" w:type="dxa"/>
            <w:vAlign w:val="bottom"/>
            <w:shd w:val="clear" w:color="auto" w:fill="CFF0FC"/>
          </w:tcPr>
          <w:p>
            <w:pPr>
              <w:spacing w:after="0"/>
              <w:rPr>
                <w:sz w:val="19"/>
                <w:szCs w:val="19"/>
                <w:color w:val="auto"/>
              </w:rPr>
            </w:pPr>
          </w:p>
        </w:tc>
      </w:tr>
      <w:tr>
        <w:trPr>
          <w:trHeight w:val="230"/>
        </w:trPr>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Purchased intangibles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5,663</w:t>
            </w:r>
          </w:p>
        </w:tc>
        <w:tc>
          <w:tcPr>
            <w:tcW w:w="100" w:type="dxa"/>
            <w:vAlign w:val="bottom"/>
            <w:tcBorders>
              <w:bottom w:val="single" w:sz="8" w:color="CCEEFF"/>
            </w:tcBorders>
          </w:tcPr>
          <w:p>
            <w:pPr>
              <w:spacing w:after="0"/>
              <w:rPr>
                <w:sz w:val="19"/>
                <w:szCs w:val="19"/>
                <w:color w:val="auto"/>
              </w:rPr>
            </w:pPr>
          </w:p>
        </w:tc>
      </w:tr>
      <w:tr>
        <w:trPr>
          <w:trHeight w:val="223"/>
        </w:trPr>
        <w:tc>
          <w:tcPr>
            <w:tcW w:w="7540" w:type="dxa"/>
            <w:vAlign w:val="bottom"/>
            <w:shd w:val="clear" w:color="auto" w:fill="CFF0FC"/>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16,063</w:t>
            </w:r>
          </w:p>
        </w:tc>
        <w:tc>
          <w:tcPr>
            <w:tcW w:w="120" w:type="dxa"/>
            <w:vAlign w:val="bottom"/>
            <w:shd w:val="clear" w:color="auto" w:fill="CCEEFF"/>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15,040</w:t>
            </w:r>
          </w:p>
        </w:tc>
        <w:tc>
          <w:tcPr>
            <w:tcW w:w="100" w:type="dxa"/>
            <w:vAlign w:val="bottom"/>
            <w:shd w:val="clear" w:color="auto" w:fill="CCEEFF"/>
          </w:tcPr>
          <w:p>
            <w:pPr>
              <w:spacing w:after="0"/>
              <w:rPr>
                <w:sz w:val="19"/>
                <w:szCs w:val="19"/>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2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(13,505)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(12,971)</w:t>
            </w:r>
          </w:p>
        </w:tc>
      </w:tr>
      <w:tr>
        <w:trPr>
          <w:trHeight w:val="223"/>
        </w:trPr>
        <w:tc>
          <w:tcPr>
            <w:tcW w:w="7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intangible assets was $0.5 million and $1.1 million for the three months ended March 31, 2021 and 2020, respectively.</w:t>
      </w:r>
    </w:p>
    <w:p>
      <w:pPr>
        <w:spacing w:after="0" w:line="1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of March 31, 2021, the Company had $0.8 million of intangibles that were still in development stage and were not being amortized. The estimated aggregate future amortization expense for intangible assets in development stage and subject to amortization as of March 31, 2021 is summarized as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gridSpan w:val="2"/>
          </w:tcPr>
          <w:p>
            <w:pPr>
              <w:ind w:left="2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52"/>
        </w:trPr>
        <w:tc>
          <w:tcPr>
            <w:tcW w:w="3420" w:type="dxa"/>
            <w:vAlign w:val="bottom"/>
          </w:tcPr>
          <w:p>
            <w:pPr>
              <w:spacing w:after="0"/>
              <w:rPr>
                <w:sz w:val="4"/>
                <w:szCs w:val="4"/>
                <w:color w:val="auto"/>
              </w:rPr>
            </w:pPr>
          </w:p>
        </w:tc>
        <w:tc>
          <w:tcPr>
            <w:tcW w:w="5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2021 (remainder)</w:t>
            </w:r>
          </w:p>
        </w:tc>
        <w:tc>
          <w:tcPr>
            <w:tcW w:w="612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2022</w:t>
            </w:r>
          </w:p>
        </w:tc>
        <w:tc>
          <w:tcPr>
            <w:tcW w:w="5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5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2024</w:t>
            </w:r>
          </w:p>
        </w:tc>
        <w:tc>
          <w:tcPr>
            <w:tcW w:w="5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2025 and beyond</w:t>
            </w:r>
          </w:p>
        </w:tc>
        <w:tc>
          <w:tcPr>
            <w:tcW w:w="58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5840" w:type="dxa"/>
            <w:vAlign w:val="bottom"/>
            <w:vMerge w:val="restart"/>
          </w:tcPr>
          <w:p>
            <w:pPr>
              <w:jc w:val="right"/>
              <w:ind w:right="3510"/>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420" w:type="dxa"/>
            <w:vAlign w:val="bottom"/>
          </w:tcPr>
          <w:p>
            <w:pPr>
              <w:spacing w:after="0"/>
              <w:rPr>
                <w:sz w:val="24"/>
                <w:szCs w:val="24"/>
                <w:color w:val="auto"/>
              </w:rPr>
            </w:pPr>
          </w:p>
        </w:tc>
        <w:tc>
          <w:tcPr>
            <w:tcW w:w="58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20" w:type="dxa"/>
            <w:vAlign w:val="bottom"/>
            <w:tcBorders>
              <w:bottom w:val="single" w:sz="8" w:color="9A9A9A"/>
            </w:tcBorders>
          </w:tcPr>
          <w:p>
            <w:pPr>
              <w:spacing w:after="0"/>
              <w:rPr>
                <w:sz w:val="10"/>
                <w:szCs w:val="10"/>
                <w:color w:val="auto"/>
              </w:rPr>
            </w:pPr>
          </w:p>
        </w:tc>
        <w:tc>
          <w:tcPr>
            <w:tcW w:w="5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center"/>
              <w:ind w:left="1177"/>
              <w:spacing w:after="0"/>
              <w:rPr>
                <w:sz w:val="20"/>
                <w:szCs w:val="20"/>
                <w:color w:val="auto"/>
              </w:rPr>
            </w:pPr>
            <w:r>
              <w:rPr>
                <w:rFonts w:ascii="Arial" w:cs="Arial" w:eastAsia="Arial" w:hAnsi="Arial"/>
                <w:sz w:val="14"/>
                <w:szCs w:val="14"/>
                <w:b w:val="1"/>
                <w:bCs w:val="1"/>
                <w:color w:val="auto"/>
                <w:w w:val="85"/>
              </w:rPr>
              <w:t>As of</w:t>
            </w:r>
          </w:p>
        </w:tc>
        <w:tc>
          <w:tcPr>
            <w:tcW w:w="1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75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March 31, 2021</w:t>
            </w: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w w:val="96"/>
              </w:rPr>
              <w:t>December 31, 2020</w:t>
            </w:r>
          </w:p>
        </w:tc>
        <w:tc>
          <w:tcPr>
            <w:tcW w:w="100" w:type="dxa"/>
            <w:vAlign w:val="bottom"/>
          </w:tcPr>
          <w:p>
            <w:pPr>
              <w:spacing w:after="0"/>
              <w:rPr>
                <w:sz w:val="13"/>
                <w:szCs w:val="13"/>
                <w:color w:val="auto"/>
              </w:rPr>
            </w:pPr>
          </w:p>
        </w:tc>
      </w:tr>
      <w:tr>
        <w:trPr>
          <w:trHeight w:val="223"/>
        </w:trPr>
        <w:tc>
          <w:tcPr>
            <w:tcW w:w="7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8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89"/>
              </w:rPr>
              <w:t>(in thousands)</w:t>
            </w: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related benefits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4,954</w:t>
            </w: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5,362</w:t>
            </w:r>
          </w:p>
        </w:tc>
        <w:tc>
          <w:tcPr>
            <w:tcW w:w="100" w:type="dxa"/>
            <w:vAlign w:val="bottom"/>
            <w:shd w:val="clear" w:color="auto" w:fill="CFF0FC"/>
          </w:tcPr>
          <w:p>
            <w:pPr>
              <w:spacing w:after="0"/>
              <w:rPr>
                <w:sz w:val="19"/>
                <w:szCs w:val="19"/>
                <w:color w:val="auto"/>
              </w:rPr>
            </w:pPr>
          </w:p>
        </w:tc>
      </w:tr>
      <w:tr>
        <w:trPr>
          <w:trHeight w:val="229"/>
        </w:trPr>
        <w:tc>
          <w:tcPr>
            <w:tcW w:w="7540" w:type="dxa"/>
            <w:vAlign w:val="bottom"/>
          </w:tcPr>
          <w:p>
            <w:pPr>
              <w:spacing w:after="0"/>
              <w:rPr>
                <w:sz w:val="20"/>
                <w:szCs w:val="20"/>
                <w:color w:val="auto"/>
              </w:rPr>
            </w:pPr>
            <w:r>
              <w:rPr>
                <w:rFonts w:ascii="Arial" w:cs="Arial" w:eastAsia="Arial" w:hAnsi="Arial"/>
                <w:sz w:val="18"/>
                <w:szCs w:val="18"/>
                <w:color w:val="auto"/>
              </w:rPr>
              <w:t>Price adjustment and other revenue reserves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3,063</w:t>
            </w:r>
          </w:p>
        </w:tc>
        <w:tc>
          <w:tcPr>
            <w:tcW w:w="100" w:type="dxa"/>
            <w:vAlign w:val="bottom"/>
          </w:tcPr>
          <w:p>
            <w:pPr>
              <w:spacing w:after="0"/>
              <w:rPr>
                <w:sz w:val="19"/>
                <w:szCs w:val="19"/>
                <w:color w:val="auto"/>
              </w:rPr>
            </w:pPr>
          </w:p>
        </w:tc>
      </w:tr>
      <w:tr>
        <w:trPr>
          <w:trHeight w:val="23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Short term lease liability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20" w:type="dxa"/>
            <w:vAlign w:val="bottom"/>
            <w:shd w:val="clear" w:color="auto" w:fill="CCEEFF"/>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00" w:type="dxa"/>
            <w:vAlign w:val="bottom"/>
            <w:shd w:val="clear" w:color="auto" w:fill="CCEEFF"/>
          </w:tcPr>
          <w:p>
            <w:pPr>
              <w:spacing w:after="0"/>
              <w:rPr>
                <w:sz w:val="19"/>
                <w:szCs w:val="19"/>
                <w:color w:val="auto"/>
              </w:rPr>
            </w:pPr>
          </w:p>
        </w:tc>
      </w:tr>
      <w:tr>
        <w:trPr>
          <w:trHeight w:val="229"/>
        </w:trPr>
        <w:tc>
          <w:tcPr>
            <w:tcW w:w="7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accrued expenses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w:t>
            </w:r>
          </w:p>
        </w:tc>
        <w:tc>
          <w:tcPr>
            <w:tcW w:w="100" w:type="dxa"/>
            <w:vAlign w:val="bottom"/>
            <w:tcBorders>
              <w:bottom w:val="single" w:sz="8" w:color="CFF0FC"/>
            </w:tcBorders>
          </w:tcPr>
          <w:p>
            <w:pPr>
              <w:spacing w:after="0"/>
              <w:rPr>
                <w:sz w:val="19"/>
                <w:szCs w:val="19"/>
                <w:color w:val="auto"/>
              </w:rPr>
            </w:pPr>
          </w:p>
        </w:tc>
      </w:tr>
      <w:tr>
        <w:trPr>
          <w:trHeight w:val="223"/>
        </w:trPr>
        <w:tc>
          <w:tcPr>
            <w:tcW w:w="7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12,716</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12,963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12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Company leases real estate property under operating leases. The Company leases office space in Santa Clara, Michigan, Malaysia, Japan, Taiwan, the Netherlands, and Ukraine all under non-cancellable operating leases with various expiration dates through March 2027. The Company signed an amendment to its Santa Clara office space lease where the lessor paid the Company lease incentives of $0.4 million and extended the term of the lease by three months. The amendment was accounted as a single modified lease and the remaining payments were remeasured using an updated discount rate. The remaining lease terms vary from a few months to 6 years. For certain of its leases the Company has options to extend the lease term for periods varying from one to five years. These renewal options are not considered in the remaining lease term unless it is reasonably certain that the Company will exercise such options. The Company also has variable lease payments that are primarily comprised of common area maintenance and utility charges.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2021, the Company did not have any leases that had not yet commenced.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lease-related assets and liabilities recorded on the consolidated balance sheet as of March 31,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53"/>
        </w:trPr>
        <w:tc>
          <w:tcPr>
            <w:tcW w:w="6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r>
      <w:tr>
        <w:trPr>
          <w:trHeight w:val="223"/>
        </w:trPr>
        <w:tc>
          <w:tcPr>
            <w:tcW w:w="6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2"/>
          </w:tcPr>
          <w:p>
            <w:pPr>
              <w:jc w:val="right"/>
              <w:ind w:right="608"/>
              <w:spacing w:after="0"/>
              <w:rPr>
                <w:sz w:val="20"/>
                <w:szCs w:val="20"/>
                <w:color w:val="auto"/>
              </w:rPr>
            </w:pPr>
            <w:r>
              <w:rPr>
                <w:rFonts w:ascii="Arial" w:cs="Arial" w:eastAsia="Arial" w:hAnsi="Arial"/>
                <w:sz w:val="14"/>
                <w:szCs w:val="14"/>
                <w:b w:val="1"/>
                <w:bCs w:val="1"/>
                <w:color w:val="auto"/>
              </w:rPr>
              <w:t>March 31, 2021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December 31, 2020</w:t>
            </w:r>
          </w:p>
        </w:tc>
      </w:tr>
      <w:tr>
        <w:trPr>
          <w:trHeight w:val="155"/>
        </w:trPr>
        <w:tc>
          <w:tcPr>
            <w:tcW w:w="6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420" w:type="dxa"/>
            <w:vAlign w:val="bottom"/>
            <w:tcBorders>
              <w:top w:val="single" w:sz="8" w:color="auto"/>
            </w:tcBorders>
            <w:gridSpan w:val="5"/>
          </w:tcPr>
          <w:p>
            <w:pPr>
              <w:jc w:val="right"/>
              <w:ind w:right="1293"/>
              <w:spacing w:after="0" w:line="155"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r>
      <w:tr>
        <w:trPr>
          <w:trHeight w:val="230"/>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w:t>
            </w:r>
          </w:p>
        </w:tc>
        <w:tc>
          <w:tcPr>
            <w:tcW w:w="1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8,730</w:t>
            </w:r>
          </w:p>
        </w:tc>
        <w:tc>
          <w:tcPr>
            <w:tcW w:w="3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8,892</w:t>
            </w:r>
          </w:p>
        </w:tc>
        <w:tc>
          <w:tcPr>
            <w:tcW w:w="180" w:type="dxa"/>
            <w:vAlign w:val="bottom"/>
            <w:shd w:val="clear" w:color="auto" w:fill="CFF0FC"/>
          </w:tcPr>
          <w:p>
            <w:pPr>
              <w:spacing w:after="0"/>
              <w:rPr>
                <w:sz w:val="19"/>
                <w:szCs w:val="19"/>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Lease liabilities included in accrued expenses and other current liabilities</w:t>
            </w:r>
          </w:p>
        </w:tc>
        <w:tc>
          <w:tcPr>
            <w:tcW w:w="10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1,035</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180" w:type="dxa"/>
            <w:vAlign w:val="bottom"/>
          </w:tcPr>
          <w:p>
            <w:pPr>
              <w:spacing w:after="0"/>
              <w:rPr>
                <w:sz w:val="19"/>
                <w:szCs w:val="19"/>
                <w:color w:val="auto"/>
              </w:rPr>
            </w:pPr>
          </w:p>
        </w:tc>
      </w:tr>
      <w:tr>
        <w:trPr>
          <w:trHeight w:val="230"/>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Lease liabilities - non-current</w:t>
            </w:r>
          </w:p>
        </w:tc>
        <w:tc>
          <w:tcPr>
            <w:tcW w:w="10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7,067</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6,986</w:t>
            </w:r>
          </w:p>
        </w:tc>
        <w:tc>
          <w:tcPr>
            <w:tcW w:w="180" w:type="dxa"/>
            <w:vAlign w:val="bottom"/>
            <w:shd w:val="clear" w:color="auto" w:fill="CFF0FC"/>
          </w:tcPr>
          <w:p>
            <w:pPr>
              <w:spacing w:after="0"/>
              <w:rPr>
                <w:sz w:val="19"/>
                <w:szCs w:val="19"/>
                <w:color w:val="auto"/>
              </w:rPr>
            </w:pPr>
          </w:p>
        </w:tc>
      </w:tr>
      <w:tr>
        <w:trPr>
          <w:trHeight w:val="263"/>
        </w:trPr>
        <w:tc>
          <w:tcPr>
            <w:tcW w:w="6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lease liabilities</w:t>
            </w:r>
          </w:p>
        </w:tc>
        <w:tc>
          <w:tcPr>
            <w:tcW w:w="10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8,102</w:t>
            </w:r>
          </w:p>
        </w:tc>
        <w:tc>
          <w:tcPr>
            <w:tcW w:w="3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8,250</w:t>
            </w:r>
          </w:p>
        </w:tc>
        <w:tc>
          <w:tcPr>
            <w:tcW w:w="180" w:type="dxa"/>
            <w:vAlign w:val="bottom"/>
            <w:tcBorders>
              <w:bottom w:val="single" w:sz="8" w:color="CFF0FC"/>
            </w:tcBorders>
          </w:tcPr>
          <w:p>
            <w:pPr>
              <w:spacing w:after="0"/>
              <w:rPr>
                <w:sz w:val="22"/>
                <w:szCs w:val="22"/>
                <w:color w:val="auto"/>
              </w:rPr>
            </w:pPr>
          </w:p>
        </w:tc>
      </w:tr>
      <w:tr>
        <w:trPr>
          <w:trHeight w:val="210"/>
        </w:trPr>
        <w:tc>
          <w:tcPr>
            <w:tcW w:w="63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 (years)</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FF0FC"/>
          </w:tcPr>
          <w:p>
            <w:pPr>
              <w:spacing w:after="0"/>
              <w:rPr>
                <w:sz w:val="18"/>
                <w:szCs w:val="18"/>
                <w:color w:val="auto"/>
              </w:rPr>
            </w:pP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2"/>
          </w:tcPr>
          <w:p>
            <w:pPr>
              <w:jc w:val="right"/>
              <w:ind w:right="108"/>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certain information related to the lease costs for operating leases for the three months ended March 31, 2021 and 2020:</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4"/>
              </w:rPr>
              <w:t>Three Months Ended March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690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w w:val="83"/>
              </w:rPr>
              <w:t>2020</w:t>
            </w:r>
          </w:p>
        </w:tc>
        <w:tc>
          <w:tcPr>
            <w:tcW w:w="120" w:type="dxa"/>
            <w:vAlign w:val="bottom"/>
          </w:tcPr>
          <w:p>
            <w:pPr>
              <w:spacing w:after="0"/>
              <w:rPr>
                <w:sz w:val="19"/>
                <w:szCs w:val="19"/>
                <w:color w:val="auto"/>
              </w:rPr>
            </w:pPr>
          </w:p>
        </w:tc>
      </w:tr>
      <w:tr>
        <w:trPr>
          <w:trHeight w:val="223"/>
        </w:trPr>
        <w:tc>
          <w:tcPr>
            <w:tcW w:w="6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0" w:type="dxa"/>
            <w:vAlign w:val="bottom"/>
            <w:gridSpan w:val="4"/>
          </w:tcPr>
          <w:p>
            <w:pPr>
              <w:jc w:val="right"/>
              <w:ind w:right="509"/>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100" w:type="dxa"/>
            <w:vAlign w:val="bottom"/>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3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89"/>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FF0FC"/>
          </w:tcPr>
          <w:p>
            <w:pPr>
              <w:spacing w:after="0"/>
              <w:rPr>
                <w:sz w:val="19"/>
                <w:szCs w:val="19"/>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Short-term lease cost</w:t>
            </w:r>
          </w:p>
        </w:tc>
        <w:tc>
          <w:tcPr>
            <w:tcW w:w="1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1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spacing w:after="0"/>
              <w:rPr>
                <w:sz w:val="19"/>
                <w:szCs w:val="19"/>
                <w:color w:val="auto"/>
              </w:rPr>
            </w:pPr>
          </w:p>
        </w:tc>
      </w:tr>
      <w:tr>
        <w:trPr>
          <w:trHeight w:val="223"/>
        </w:trPr>
        <w:tc>
          <w:tcPr>
            <w:tcW w:w="6900" w:type="dxa"/>
            <w:vAlign w:val="bottom"/>
          </w:tcPr>
          <w:p>
            <w:pPr>
              <w:spacing w:after="0"/>
              <w:rPr>
                <w:sz w:val="20"/>
                <w:szCs w:val="20"/>
                <w:color w:val="auto"/>
              </w:rPr>
            </w:pPr>
            <w:r>
              <w:rPr>
                <w:rFonts w:ascii="Arial" w:cs="Arial" w:eastAsia="Arial" w:hAnsi="Arial"/>
                <w:sz w:val="18"/>
                <w:szCs w:val="18"/>
                <w:color w:val="auto"/>
              </w:rPr>
              <w:t>Total lease cost</w:t>
            </w:r>
          </w:p>
        </w:tc>
        <w:tc>
          <w:tcPr>
            <w:tcW w:w="1100" w:type="dxa"/>
            <w:vAlign w:val="bottom"/>
            <w:tcBorders>
              <w:bottom w:val="single" w:sz="8" w:color="auto"/>
            </w:tcBorders>
          </w:tcPr>
          <w:p>
            <w:pPr>
              <w:jc w:val="right"/>
              <w:ind w:right="9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68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paid for operating lease liabilities was $0.4 million and $1.2 million, respectively for the three months ended March 31, 2021 and 2020.</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Undiscounted Cash Flows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lease liabilities recorded on the consolidated balance sheet as of March 31, 2021: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1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(in thousands)</w:t>
            </w:r>
          </w:p>
        </w:tc>
      </w:tr>
      <w:tr>
        <w:trPr>
          <w:trHeight w:val="26"/>
        </w:trPr>
        <w:tc>
          <w:tcPr>
            <w:tcW w:w="8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29"/>
        </w:trPr>
        <w:tc>
          <w:tcPr>
            <w:tcW w:w="86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w:t>
            </w:r>
          </w:p>
        </w:tc>
        <w:tc>
          <w:tcPr>
            <w:tcW w:w="120" w:type="dxa"/>
            <w:vAlign w:val="bottom"/>
            <w:shd w:val="clear" w:color="auto" w:fill="CFF0FC"/>
          </w:tcPr>
          <w:p>
            <w:pPr>
              <w:spacing w:after="0"/>
              <w:rPr>
                <w:sz w:val="19"/>
                <w:szCs w:val="19"/>
                <w:color w:val="auto"/>
              </w:rPr>
            </w:pP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1,723</w:t>
            </w:r>
          </w:p>
        </w:tc>
        <w:tc>
          <w:tcPr>
            <w:tcW w:w="120" w:type="dxa"/>
            <w:vAlign w:val="bottom"/>
          </w:tcPr>
          <w:p>
            <w:pPr>
              <w:spacing w:after="0"/>
              <w:rPr>
                <w:sz w:val="19"/>
                <w:szCs w:val="19"/>
                <w:color w:val="auto"/>
              </w:rPr>
            </w:pPr>
          </w:p>
        </w:tc>
      </w:tr>
      <w:tr>
        <w:trPr>
          <w:trHeight w:val="229"/>
        </w:trPr>
        <w:tc>
          <w:tcPr>
            <w:tcW w:w="86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1,583</w:t>
            </w:r>
          </w:p>
        </w:tc>
        <w:tc>
          <w:tcPr>
            <w:tcW w:w="120" w:type="dxa"/>
            <w:vAlign w:val="bottom"/>
            <w:shd w:val="clear" w:color="auto" w:fill="CFF0FC"/>
          </w:tcPr>
          <w:p>
            <w:pPr>
              <w:spacing w:after="0"/>
              <w:rPr>
                <w:sz w:val="19"/>
                <w:szCs w:val="19"/>
                <w:color w:val="auto"/>
              </w:rPr>
            </w:pPr>
          </w:p>
        </w:tc>
      </w:tr>
      <w:tr>
        <w:trPr>
          <w:trHeight w:val="229"/>
        </w:trPr>
        <w:tc>
          <w:tcPr>
            <w:tcW w:w="8640" w:type="dxa"/>
            <w:vAlign w:val="bottom"/>
          </w:tcPr>
          <w:p>
            <w:pPr>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1,548</w:t>
            </w:r>
          </w:p>
        </w:tc>
        <w:tc>
          <w:tcPr>
            <w:tcW w:w="120" w:type="dxa"/>
            <w:vAlign w:val="bottom"/>
          </w:tcPr>
          <w:p>
            <w:pPr>
              <w:spacing w:after="0"/>
              <w:rPr>
                <w:sz w:val="19"/>
                <w:szCs w:val="19"/>
                <w:color w:val="auto"/>
              </w:rPr>
            </w:pPr>
          </w:p>
        </w:tc>
      </w:tr>
      <w:tr>
        <w:trPr>
          <w:trHeight w:val="230"/>
        </w:trPr>
        <w:tc>
          <w:tcPr>
            <w:tcW w:w="86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1,580</w:t>
            </w:r>
          </w:p>
        </w:tc>
        <w:tc>
          <w:tcPr>
            <w:tcW w:w="120" w:type="dxa"/>
            <w:vAlign w:val="bottom"/>
            <w:shd w:val="clear" w:color="auto" w:fill="CFF0FC"/>
          </w:tcPr>
          <w:p>
            <w:pPr>
              <w:spacing w:after="0"/>
              <w:rPr>
                <w:sz w:val="19"/>
                <w:szCs w:val="19"/>
                <w:color w:val="auto"/>
              </w:rPr>
            </w:pPr>
          </w:p>
        </w:tc>
      </w:tr>
      <w:tr>
        <w:trPr>
          <w:trHeight w:val="229"/>
        </w:trPr>
        <w:tc>
          <w:tcPr>
            <w:tcW w:w="8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2026 and beyond</w:t>
            </w:r>
          </w:p>
        </w:tc>
        <w:tc>
          <w:tcPr>
            <w:tcW w:w="4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FF0FC"/>
            </w:tcBorders>
          </w:tcPr>
          <w:p>
            <w:pPr>
              <w:spacing w:after="0"/>
              <w:rPr>
                <w:sz w:val="19"/>
                <w:szCs w:val="19"/>
                <w:color w:val="auto"/>
              </w:rPr>
            </w:pPr>
          </w:p>
        </w:tc>
      </w:tr>
      <w:tr>
        <w:trPr>
          <w:trHeight w:val="223"/>
        </w:trPr>
        <w:tc>
          <w:tcPr>
            <w:tcW w:w="8640" w:type="dxa"/>
            <w:vAlign w:val="bottom"/>
            <w:shd w:val="clear" w:color="auto" w:fill="CFF0FC"/>
          </w:tcPr>
          <w:p>
            <w:pPr>
              <w:spacing w:after="0"/>
              <w:rPr>
                <w:sz w:val="20"/>
                <w:szCs w:val="20"/>
                <w:color w:val="auto"/>
              </w:rPr>
            </w:pPr>
            <w:r>
              <w:rPr>
                <w:rFonts w:ascii="Arial" w:cs="Arial" w:eastAsia="Arial" w:hAnsi="Arial"/>
                <w:sz w:val="18"/>
                <w:szCs w:val="18"/>
                <w:color w:val="auto"/>
              </w:rPr>
              <w:t>Total minimum lease payments</w:t>
            </w:r>
          </w:p>
        </w:tc>
        <w:tc>
          <w:tcPr>
            <w:tcW w:w="44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9,253</w:t>
            </w:r>
          </w:p>
        </w:tc>
        <w:tc>
          <w:tcPr>
            <w:tcW w:w="120" w:type="dxa"/>
            <w:vAlign w:val="bottom"/>
            <w:shd w:val="clear" w:color="auto" w:fill="CFF0FC"/>
          </w:tcPr>
          <w:p>
            <w:pPr>
              <w:spacing w:after="0"/>
              <w:rPr>
                <w:sz w:val="19"/>
                <w:szCs w:val="19"/>
                <w:color w:val="auto"/>
              </w:rPr>
            </w:pPr>
          </w:p>
        </w:tc>
      </w:tr>
      <w:tr>
        <w:trPr>
          <w:trHeight w:val="229"/>
        </w:trPr>
        <w:tc>
          <w:tcPr>
            <w:tcW w:w="8640" w:type="dxa"/>
            <w:vAlign w:val="bottom"/>
          </w:tcPr>
          <w:p>
            <w:pPr>
              <w:spacing w:after="0"/>
              <w:rPr>
                <w:sz w:val="20"/>
                <w:szCs w:val="20"/>
                <w:color w:val="auto"/>
              </w:rPr>
            </w:pPr>
            <w:r>
              <w:rPr>
                <w:rFonts w:ascii="Arial" w:cs="Arial" w:eastAsia="Arial" w:hAnsi="Arial"/>
                <w:sz w:val="18"/>
                <w:szCs w:val="18"/>
                <w:color w:val="auto"/>
              </w:rPr>
              <w:t>Less: amount of lease payments representing interest</w:t>
            </w:r>
          </w:p>
        </w:tc>
        <w:tc>
          <w:tcPr>
            <w:tcW w:w="440" w:type="dxa"/>
            <w:vAlign w:val="bottom"/>
          </w:tcPr>
          <w:p>
            <w:pPr>
              <w:spacing w:after="0"/>
              <w:rPr>
                <w:sz w:val="19"/>
                <w:szCs w:val="19"/>
                <w:color w:val="auto"/>
              </w:rPr>
            </w:pPr>
          </w:p>
        </w:tc>
        <w:tc>
          <w:tcPr>
            <w:tcW w:w="2160" w:type="dxa"/>
            <w:vAlign w:val="bottom"/>
            <w:gridSpan w:val="2"/>
          </w:tcPr>
          <w:p>
            <w:pPr>
              <w:jc w:val="right"/>
              <w:ind w:right="60"/>
              <w:spacing w:after="0"/>
              <w:rPr>
                <w:sz w:val="20"/>
                <w:szCs w:val="20"/>
                <w:color w:val="auto"/>
              </w:rPr>
            </w:pPr>
            <w:r>
              <w:rPr>
                <w:rFonts w:ascii="Arial" w:cs="Arial" w:eastAsia="Arial" w:hAnsi="Arial"/>
                <w:sz w:val="18"/>
                <w:szCs w:val="18"/>
                <w:color w:val="auto"/>
              </w:rPr>
              <w:t>(1,151)</w:t>
            </w:r>
          </w:p>
        </w:tc>
      </w:tr>
      <w:tr>
        <w:trPr>
          <w:trHeight w:val="223"/>
        </w:trPr>
        <w:tc>
          <w:tcPr>
            <w:tcW w:w="8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future minimum lease payments</w:t>
            </w:r>
          </w:p>
        </w:tc>
        <w:tc>
          <w:tcPr>
            <w:tcW w:w="440" w:type="dxa"/>
            <w:vAlign w:val="bottom"/>
            <w:tcBorders>
              <w:top w:val="single" w:sz="8" w:color="auto"/>
            </w:tcBorders>
            <w:shd w:val="clear" w:color="auto" w:fill="CFF0FC"/>
          </w:tcPr>
          <w:p>
            <w:pPr>
              <w:spacing w:after="0"/>
              <w:rPr>
                <w:sz w:val="19"/>
                <w:szCs w:val="19"/>
                <w:color w:val="auto"/>
              </w:rPr>
            </w:pPr>
          </w:p>
        </w:tc>
        <w:tc>
          <w:tcPr>
            <w:tcW w:w="2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8640" w:type="dxa"/>
            <w:vAlign w:val="bottom"/>
          </w:tcPr>
          <w:p>
            <w:pPr>
              <w:spacing w:after="0"/>
              <w:rPr>
                <w:sz w:val="20"/>
                <w:szCs w:val="20"/>
                <w:color w:val="auto"/>
              </w:rPr>
            </w:pPr>
            <w:r>
              <w:rPr>
                <w:rFonts w:ascii="Arial" w:cs="Arial" w:eastAsia="Arial" w:hAnsi="Arial"/>
                <w:sz w:val="18"/>
                <w:szCs w:val="18"/>
                <w:color w:val="auto"/>
              </w:rPr>
              <w:t>Less: current obligations under leases</w:t>
            </w:r>
          </w:p>
        </w:tc>
        <w:tc>
          <w:tcPr>
            <w:tcW w:w="440" w:type="dxa"/>
            <w:vAlign w:val="bottom"/>
          </w:tcPr>
          <w:p>
            <w:pPr>
              <w:spacing w:after="0"/>
              <w:rPr>
                <w:sz w:val="19"/>
                <w:szCs w:val="19"/>
                <w:color w:val="auto"/>
              </w:rPr>
            </w:pPr>
          </w:p>
        </w:tc>
        <w:tc>
          <w:tcPr>
            <w:tcW w:w="2160" w:type="dxa"/>
            <w:vAlign w:val="bottom"/>
            <w:gridSpan w:val="2"/>
          </w:tcPr>
          <w:p>
            <w:pPr>
              <w:jc w:val="right"/>
              <w:ind w:right="60"/>
              <w:spacing w:after="0"/>
              <w:rPr>
                <w:sz w:val="20"/>
                <w:szCs w:val="20"/>
                <w:color w:val="auto"/>
              </w:rPr>
            </w:pPr>
            <w:r>
              <w:rPr>
                <w:rFonts w:ascii="Arial" w:cs="Arial" w:eastAsia="Arial" w:hAnsi="Arial"/>
                <w:sz w:val="18"/>
                <w:szCs w:val="18"/>
                <w:color w:val="auto"/>
              </w:rPr>
              <w:t>(1,035)</w:t>
            </w:r>
          </w:p>
        </w:tc>
      </w:tr>
      <w:tr>
        <w:trPr>
          <w:trHeight w:val="223"/>
        </w:trPr>
        <w:tc>
          <w:tcPr>
            <w:tcW w:w="8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lease liabilities</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On February 22, 2021, the Company completed a follow-on public offering, in which it issued and sold 1,500,000 shares of its common stock and MegaChips sold 1,500,000 of the Company’s common stock held by them at a price of $127 per share.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restricted stock unit award (“RSU”) and cash restricted stock unit award (“CRSU”), activity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RSU</w:t>
            </w:r>
          </w:p>
        </w:tc>
        <w:tc>
          <w:tcPr>
            <w:tcW w:w="140" w:type="dxa"/>
            <w:vAlign w:val="bottom"/>
          </w:tcPr>
          <w:p>
            <w:pPr>
              <w:spacing w:after="0"/>
              <w:rPr>
                <w:sz w:val="16"/>
                <w:szCs w:val="16"/>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Grant Date</w:t>
            </w: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CRSU</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Grant Date</w:t>
            </w:r>
          </w:p>
        </w:tc>
      </w:tr>
      <w:tr>
        <w:trPr>
          <w:trHeight w:val="178"/>
        </w:trPr>
        <w:tc>
          <w:tcPr>
            <w:tcW w:w="584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Fair Value</w:t>
            </w: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Fair Value</w:t>
            </w:r>
          </w:p>
        </w:tc>
      </w:tr>
      <w:tr>
        <w:trPr>
          <w:trHeight w:val="171"/>
        </w:trPr>
        <w:tc>
          <w:tcPr>
            <w:tcW w:w="584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1"/>
              </w:rPr>
              <w:t>per share</w:t>
            </w:r>
          </w:p>
        </w:tc>
        <w:tc>
          <w:tcPr>
            <w:tcW w:w="24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Borders>
              <w:bottom w:val="single" w:sz="8" w:color="CFF0FC"/>
            </w:tcBorders>
          </w:tcPr>
          <w:p>
            <w:pPr>
              <w:spacing w:after="0"/>
              <w:rPr>
                <w:sz w:val="14"/>
                <w:szCs w:val="14"/>
                <w:color w:val="auto"/>
              </w:rPr>
            </w:pPr>
          </w:p>
        </w:tc>
      </w:tr>
      <w:tr>
        <w:trPr>
          <w:trHeight w:val="210"/>
        </w:trPr>
        <w:tc>
          <w:tcPr>
            <w:tcW w:w="5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Unvested at December 31, 2020</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2,735,706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624</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FF0FC"/>
          </w:tcPr>
          <w:p>
            <w:pPr>
              <w:spacing w:after="0"/>
              <w:rPr>
                <w:sz w:val="18"/>
                <w:szCs w:val="18"/>
                <w:color w:val="auto"/>
              </w:rPr>
            </w:pP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Granted</w:t>
            </w:r>
          </w:p>
        </w:tc>
        <w:tc>
          <w:tcPr>
            <w:tcW w:w="1140" w:type="dxa"/>
            <w:vAlign w:val="bottom"/>
          </w:tcPr>
          <w:p>
            <w:pPr>
              <w:jc w:val="right"/>
              <w:spacing w:after="0"/>
              <w:rPr>
                <w:sz w:val="20"/>
                <w:szCs w:val="20"/>
                <w:color w:val="auto"/>
              </w:rPr>
            </w:pPr>
            <w:r>
              <w:rPr>
                <w:rFonts w:ascii="Arial" w:cs="Arial" w:eastAsia="Arial" w:hAnsi="Arial"/>
                <w:sz w:val="16"/>
                <w:szCs w:val="16"/>
                <w:color w:val="auto"/>
              </w:rPr>
              <w:t>190,838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107.1</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111.9</w:t>
            </w:r>
          </w:p>
        </w:tc>
        <w:tc>
          <w:tcPr>
            <w:tcW w:w="100" w:type="dxa"/>
            <w:vAlign w:val="bottom"/>
          </w:tcPr>
          <w:p>
            <w:pPr>
              <w:spacing w:after="0"/>
              <w:rPr>
                <w:sz w:val="18"/>
                <w:szCs w:val="18"/>
                <w:color w:val="auto"/>
              </w:rPr>
            </w:pP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Vested</w:t>
            </w: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(189,460)</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w:t>
            </w:r>
          </w:p>
        </w:tc>
        <w:tc>
          <w:tcPr>
            <w:tcW w:w="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(3,405)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101.7</w:t>
            </w:r>
          </w:p>
        </w:tc>
        <w:tc>
          <w:tcPr>
            <w:tcW w:w="100" w:type="dxa"/>
            <w:vAlign w:val="bottom"/>
            <w:shd w:val="clear" w:color="auto" w:fill="CFF0FC"/>
          </w:tcPr>
          <w:p>
            <w:pPr>
              <w:spacing w:after="0"/>
              <w:rPr>
                <w:sz w:val="19"/>
                <w:szCs w:val="19"/>
                <w:color w:val="auto"/>
              </w:rPr>
            </w:pPr>
          </w:p>
        </w:tc>
      </w:tr>
      <w:tr>
        <w:trPr>
          <w:trHeight w:val="213"/>
        </w:trPr>
        <w:tc>
          <w:tcPr>
            <w:tcW w:w="5840" w:type="dxa"/>
            <w:vAlign w:val="bottom"/>
          </w:tcPr>
          <w:p>
            <w:pPr>
              <w:spacing w:after="0"/>
              <w:rPr>
                <w:sz w:val="20"/>
                <w:szCs w:val="20"/>
                <w:color w:val="auto"/>
              </w:rPr>
            </w:pPr>
            <w:r>
              <w:rPr>
                <w:rFonts w:ascii="Arial" w:cs="Arial" w:eastAsia="Arial" w:hAnsi="Arial"/>
                <w:sz w:val="16"/>
                <w:szCs w:val="16"/>
                <w:color w:val="auto"/>
              </w:rPr>
              <w:t>Forfeited</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(13,840)</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w:t>
            </w: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Unvested at March 31, 2021</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2,723,244</w:t>
            </w: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28.2</w:t>
            </w:r>
          </w:p>
        </w:tc>
        <w:tc>
          <w:tcPr>
            <w:tcW w:w="24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244</w:t>
            </w:r>
          </w:p>
        </w:tc>
        <w:tc>
          <w:tcPr>
            <w:tcW w:w="1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58.4</w:t>
            </w:r>
          </w:p>
        </w:tc>
        <w:tc>
          <w:tcPr>
            <w:tcW w:w="100" w:type="dxa"/>
            <w:vAlign w:val="bottom"/>
            <w:tcBorders>
              <w:top w:val="single" w:sz="8" w:color="CFF0FC"/>
            </w:tcBorders>
            <w:shd w:val="clear" w:color="auto" w:fill="CFF0FC"/>
          </w:tcPr>
          <w:p>
            <w:pPr>
              <w:spacing w:after="0"/>
              <w:rPr>
                <w:sz w:val="18"/>
                <w:szCs w:val="18"/>
                <w:color w:val="auto"/>
              </w:rPr>
            </w:pPr>
          </w:p>
        </w:tc>
      </w:tr>
    </w:tbl>
    <w:p>
      <w:pPr>
        <w:spacing w:after="0" w:line="24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On August 4, 2020, the Compensation Committee of the Company adopted and approved the Executive Bonus and Retention Plan (the “Bonus and Retention Plan”) with target bonus amounts and performance goals for the second half of the fiscal year 2020 (the “2020 Goals”). In January 2021, the Compensation Committee approved target bonus amounts and performance goals for the first half of the fiscal year 2021 (the “1H2021 Goals”). The 2020 Goals and 1H2021 Goals are based on the achievement of revenue and Non-GAAP operating profit for the second half of 2020 and first half of 2021, respectively, as well as individual performance goals. The target bonuses were granted based on a fixed dollar amount to be settled in RSUs on the vesting date and hence the awards have been classified as liability-based awards. Such expense is included in the non-cash adjustment within stock-based compensation expense on the condensed consolidated cash flow statements. The liability of $0.5 million for 1H2021 Goals was recorded as accrued expenses and other current liabilities in the condensed consolidated balance sheet. Actual payouts for 2020 Goals ranged from 119% to 144% of target, based on performance.</w:t>
      </w:r>
    </w:p>
    <w:p>
      <w:pPr>
        <w:spacing w:after="0" w:line="86"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In the three months ended March 31, 2021, the Company granted CRSUs as part of an employee bonus plan. Generally, such units are granted quarterly and fully vest at the end of the quarter they are granted except units granted to new hires that have a one-year cliff vesting. Such awards have also been classified as liability-based awards.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presents the detail of stock-based compensation expense amounts included in the condensed consolidated statement of operations for each of the periods presented: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6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vMerge w:val="restart"/>
          </w:tcPr>
          <w:p>
            <w:pPr>
              <w:spacing w:after="0"/>
              <w:rPr>
                <w:sz w:val="20"/>
                <w:szCs w:val="20"/>
                <w:color w:val="auto"/>
              </w:rPr>
            </w:pPr>
            <w:r>
              <w:rPr>
                <w:rFonts w:ascii="Arial" w:cs="Arial" w:eastAsia="Arial" w:hAnsi="Arial"/>
                <w:sz w:val="16"/>
                <w:szCs w:val="16"/>
                <w:b w:val="1"/>
                <w:bCs w:val="1"/>
                <w:color w:val="auto"/>
              </w:rPr>
              <w:t>Equity awards</w:t>
            </w:r>
          </w:p>
        </w:tc>
        <w:tc>
          <w:tcPr>
            <w:tcW w:w="1040" w:type="dxa"/>
            <w:vAlign w:val="bottom"/>
            <w:tcBorders>
              <w:bottom w:val="single" w:sz="8" w:color="auto"/>
            </w:tcBorders>
          </w:tcPr>
          <w:p>
            <w:pPr>
              <w:jc w:val="right"/>
              <w:ind w:right="34"/>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772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820" w:type="dxa"/>
            <w:vAlign w:val="bottom"/>
            <w:gridSpan w:val="3"/>
          </w:tcPr>
          <w:p>
            <w:pPr>
              <w:jc w:val="right"/>
              <w:ind w:right="632"/>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040" w:type="dxa"/>
            <w:vAlign w:val="bottom"/>
            <w:shd w:val="clear" w:color="auto" w:fill="CFF0FC"/>
          </w:tcPr>
          <w:p>
            <w:pPr>
              <w:jc w:val="right"/>
              <w:ind w:right="854"/>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83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2,456</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3,335</w:t>
            </w:r>
          </w:p>
        </w:tc>
        <w:tc>
          <w:tcPr>
            <w:tcW w:w="28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1040" w:type="dxa"/>
            <w:vAlign w:val="bottom"/>
            <w:tcBorders>
              <w:bottom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280" w:type="dxa"/>
            <w:vAlign w:val="bottom"/>
          </w:tcPr>
          <w:p>
            <w:pPr>
              <w:spacing w:after="0"/>
              <w:rPr>
                <w:sz w:val="19"/>
                <w:szCs w:val="19"/>
                <w:color w:val="auto"/>
              </w:rPr>
            </w:pPr>
          </w:p>
        </w:tc>
        <w:tc>
          <w:tcPr>
            <w:tcW w:w="1020" w:type="dxa"/>
            <w:vAlign w:val="bottom"/>
            <w:tcBorders>
              <w:bottom w:val="single" w:sz="8" w:color="auto"/>
            </w:tcBorders>
          </w:tcPr>
          <w:p>
            <w:pPr>
              <w:jc w:val="right"/>
              <w:ind w:right="832"/>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Liability-based awards - equity settled</w:t>
            </w: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Cost of revenue</w:t>
            </w: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9"/>
                <w:szCs w:val="19"/>
                <w:color w:val="auto"/>
              </w:rPr>
            </w:pPr>
          </w:p>
        </w:tc>
        <w:tc>
          <w:tcPr>
            <w:tcW w:w="1020" w:type="dxa"/>
            <w:vAlign w:val="bottom"/>
          </w:tcPr>
          <w:p>
            <w:pPr>
              <w:jc w:val="right"/>
              <w:ind w:right="832"/>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264</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280" w:type="dxa"/>
            <w:vAlign w:val="bottom"/>
            <w:tcBorders>
              <w:bottom w:val="single" w:sz="8" w:color="CFF0FC"/>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832"/>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 equity settled</w:t>
            </w:r>
          </w:p>
        </w:tc>
        <w:tc>
          <w:tcPr>
            <w:tcW w:w="1040" w:type="dxa"/>
            <w:vAlign w:val="bottom"/>
            <w:tcBorders>
              <w:bottom w:val="single" w:sz="8" w:color="auto"/>
            </w:tcBorders>
            <w:shd w:val="clear" w:color="auto" w:fill="CFF0FC"/>
          </w:tcPr>
          <w:p>
            <w:pPr>
              <w:jc w:val="right"/>
              <w:ind w:right="85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6,660</w:t>
            </w:r>
          </w:p>
        </w:tc>
        <w:tc>
          <w:tcPr>
            <w:tcW w:w="2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2"/>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6"/>
                <w:szCs w:val="16"/>
                <w:b w:val="1"/>
                <w:bCs w:val="1"/>
                <w:color w:val="auto"/>
              </w:rPr>
              <w:t>Liability-based awards - cash settled</w:t>
            </w: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3"/>
        </w:trPr>
        <w:tc>
          <w:tcPr>
            <w:tcW w:w="77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1040" w:type="dxa"/>
            <w:vAlign w:val="bottom"/>
            <w:shd w:val="clear" w:color="auto" w:fill="CFF0FC"/>
          </w:tcPr>
          <w:p>
            <w:pPr>
              <w:jc w:val="right"/>
              <w:ind w:right="854"/>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832"/>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7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Total stock-based compensation - cash settled</w:t>
            </w:r>
          </w:p>
        </w:tc>
        <w:tc>
          <w:tcPr>
            <w:tcW w:w="104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80" w:type="dxa"/>
            <w:vAlign w:val="bottom"/>
            <w:tcBorders>
              <w:bottom w:val="single" w:sz="8" w:color="CFF0FC"/>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832"/>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1040" w:type="dxa"/>
            <w:vAlign w:val="bottom"/>
            <w:tcBorders>
              <w:bottom w:val="single" w:sz="8" w:color="auto"/>
            </w:tcBorders>
            <w:shd w:val="clear" w:color="auto" w:fill="CFF0FC"/>
          </w:tcPr>
          <w:p>
            <w:pPr>
              <w:jc w:val="right"/>
              <w:ind w:right="854"/>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6,976</w:t>
            </w:r>
          </w:p>
        </w:tc>
        <w:tc>
          <w:tcPr>
            <w:tcW w:w="2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832"/>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As of March 31, 2021, there was $70.2 million and $0.9 million of unrecognized compensation costs related to RSUs granted and liability-based awards granted, respectively. The unrecognized compensation cost is expected to be recognized over a weighted average period of 3.7 years for equity awards and 0.4 years for liability-based awards.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2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quarterly provision for income taxes is based on applying the estimated annual effective tax rate to the year to date pre-tax income (loss), plus any discrete items. The Company updates its estimate of its annual effective tax rate at the end of each quarterly period. The estimate takes into account annual forecasted income (loss) before income taxes, the geographic mix of income (loss) before income taxes and any significant permanent tax items.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provision for income taxes and the effective tax rates for the three months ended March 31, 2021 and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900" w:type="dxa"/>
            <w:vAlign w:val="bottom"/>
            <w:tcBorders>
              <w:bottom w:val="single" w:sz="8" w:color="auto"/>
            </w:tcBorders>
            <w:gridSpan w:val="3"/>
          </w:tcPr>
          <w:p>
            <w:pPr>
              <w:jc w:val="center"/>
              <w:ind w:left="488"/>
              <w:spacing w:after="0"/>
              <w:rPr>
                <w:sz w:val="20"/>
                <w:szCs w:val="20"/>
                <w:color w:val="auto"/>
              </w:rPr>
            </w:pPr>
            <w:r>
              <w:rPr>
                <w:rFonts w:ascii="Arial" w:cs="Arial" w:eastAsia="Arial" w:hAnsi="Arial"/>
                <w:sz w:val="14"/>
                <w:szCs w:val="14"/>
                <w:b w:val="1"/>
                <w:bCs w:val="1"/>
                <w:color w:val="auto"/>
                <w:w w:val="95"/>
              </w:rPr>
              <w:t>Three Months Ended March 31,</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47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00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56"/>
        </w:trPr>
        <w:tc>
          <w:tcPr>
            <w:tcW w:w="47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900" w:type="dxa"/>
            <w:vAlign w:val="bottom"/>
            <w:gridSpan w:val="2"/>
          </w:tcPr>
          <w:p>
            <w:pPr>
              <w:jc w:val="center"/>
              <w:ind w:right="359"/>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880" w:type="dxa"/>
            <w:vAlign w:val="bottom"/>
            <w:gridSpan w:val="2"/>
            <w:shd w:val="clear" w:color="auto" w:fill="CCEEFF"/>
          </w:tcPr>
          <w:p>
            <w:pPr>
              <w:jc w:val="right"/>
              <w:ind w:right="82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(3,525)</w:t>
            </w:r>
          </w:p>
        </w:tc>
        <w:tc>
          <w:tcPr>
            <w:tcW w:w="108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(5,091)</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Provision for income tax</w:t>
            </w:r>
          </w:p>
        </w:tc>
        <w:tc>
          <w:tcPr>
            <w:tcW w:w="2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jc w:val="right"/>
              <w:ind w:right="115"/>
              <w:spacing w:after="0"/>
              <w:rPr>
                <w:sz w:val="20"/>
                <w:szCs w:val="20"/>
                <w:color w:val="auto"/>
              </w:rPr>
            </w:pPr>
            <w:r>
              <w:rPr>
                <w:rFonts w:ascii="Arial" w:cs="Arial" w:eastAsia="Arial" w:hAnsi="Arial"/>
                <w:sz w:val="18"/>
                <w:szCs w:val="18"/>
                <w:color w:val="auto"/>
              </w:rPr>
              <w:t>(40)</w:t>
            </w:r>
          </w:p>
        </w:tc>
        <w:tc>
          <w:tcPr>
            <w:tcW w:w="10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r>
      <w:tr>
        <w:trPr>
          <w:trHeight w:val="23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28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c>
          <w:tcPr>
            <w:tcW w:w="10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Company’s effective tax rate may vary from the U.S. federal statutory tax rate due to the change in the mix of earnings in tax jurisdictions with different statutory rates, benefits related to tax credits and the tax impact of non-deductible expenses, existence of full valuation allowance on its deferred tax assets, and other permanent differences between loss before income taxes and taxable loss.</w:t>
      </w:r>
    </w:p>
    <w:p>
      <w:pPr>
        <w:spacing w:after="0" w:line="7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 valuation allowance is established or maintained when, based on currently available information and other factors, it is more likely than not that all or a portion of the deferred tax assets will not be realized. The Company regularly assesses its valuation allowance against deferred tax assets on a jurisdiction by jurisdiction basis. The Company considers all available positive and negative evidence, including future reversals of temporary differences, projected future taxable income, tax planning strategies and recent financial results. Based on management’s assessment of the realizability of deferred tax assets, the Company continues to maintain a full valuation reserve on its deferred tax assets as of March 31, 2021.</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 w:name="page15"/>
    <w:bookmarkEnd w:id="14"/>
    <w:p>
      <w:pPr>
        <w:ind w:right="40"/>
        <w:spacing w:after="0" w:line="263" w:lineRule="auto"/>
        <w:rPr>
          <w:sz w:val="20"/>
          <w:szCs w:val="20"/>
          <w:color w:val="auto"/>
        </w:rPr>
      </w:pPr>
      <w:r>
        <w:rPr>
          <w:rFonts w:ascii="Arial" w:cs="Arial" w:eastAsia="Arial" w:hAnsi="Arial"/>
          <w:sz w:val="18"/>
          <w:szCs w:val="18"/>
          <w:color w:val="auto"/>
        </w:rPr>
        <w:t>As of March 31, 2021 and December 31, 2020, the Company had $2.6 million and $2.4 million, respectively, of total unrecognized tax benefits. If the Company is able to eventually recognize these uncertain tax positions, none of the unrecognized benefit would reduce the Company’s effective tax rate due to the full valuation allowance on the Company’s deferred tax assets.</w:t>
      </w:r>
    </w:p>
    <w:p>
      <w:pPr>
        <w:spacing w:after="0" w:line="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Company’s policy is to record interest and penalties related to unrecognized tax benefits as income tax expense. For the three months ended March 31, 2021 and 2020, the Company had immaterial amounts related to the accrual of interest and penalties.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Segment, Geographic and Customer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in one reportable segment related to the design, development, and sale of silicon timing systems solutions.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Revenue by geographic area are presented based upon the ship-to location of the original equipment manufacturers, the contract manufacturers or the distributors who purchased the Company’s products. For sales to the distributors, their geographic location may be different from the geographic locations of the ultimate end customers. The following table sets forth revenue by country for countries with 10% or more of the Company’s revenue during any of the periods presented: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2820" w:type="dxa"/>
            <w:vAlign w:val="bottom"/>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77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6"/>
        </w:trPr>
        <w:tc>
          <w:tcPr>
            <w:tcW w:w="772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5"/>
        </w:trPr>
        <w:tc>
          <w:tcPr>
            <w:tcW w:w="7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40" w:type="dxa"/>
            <w:vAlign w:val="bottom"/>
            <w:gridSpan w:val="3"/>
          </w:tcPr>
          <w:p>
            <w:pPr>
              <w:jc w:val="right"/>
              <w:ind w:right="596"/>
              <w:spacing w:after="0" w:line="155"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4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Taiwan</w:t>
            </w:r>
          </w:p>
        </w:tc>
        <w:tc>
          <w:tcPr>
            <w:tcW w:w="980" w:type="dxa"/>
            <w:vAlign w:val="bottom"/>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16,492</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9,830</w:t>
            </w:r>
          </w:p>
        </w:tc>
        <w:tc>
          <w:tcPr>
            <w:tcW w:w="120" w:type="dxa"/>
            <w:vAlign w:val="bottom"/>
            <w:shd w:val="clear" w:color="auto" w:fill="CFF0FC"/>
          </w:tcPr>
          <w:p>
            <w:pPr>
              <w:spacing w:after="0"/>
              <w:rPr>
                <w:sz w:val="21"/>
                <w:szCs w:val="21"/>
                <w:color w:val="auto"/>
              </w:rPr>
            </w:pPr>
          </w:p>
        </w:tc>
      </w:tr>
      <w:tr>
        <w:trPr>
          <w:trHeight w:val="237"/>
        </w:trPr>
        <w:tc>
          <w:tcPr>
            <w:tcW w:w="7720" w:type="dxa"/>
            <w:vAlign w:val="bottom"/>
          </w:tcPr>
          <w:p>
            <w:pPr>
              <w:spacing w:after="0"/>
              <w:rPr>
                <w:sz w:val="20"/>
                <w:szCs w:val="20"/>
                <w:color w:val="auto"/>
              </w:rPr>
            </w:pPr>
            <w:r>
              <w:rPr>
                <w:rFonts w:ascii="Arial" w:cs="Arial" w:eastAsia="Arial" w:hAnsi="Arial"/>
                <w:sz w:val="18"/>
                <w:szCs w:val="18"/>
                <w:color w:val="auto"/>
              </w:rPr>
              <w:t>Hong Kong</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11,434</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4,443</w:t>
            </w:r>
          </w:p>
        </w:tc>
        <w:tc>
          <w:tcPr>
            <w:tcW w:w="120" w:type="dxa"/>
            <w:vAlign w:val="bottom"/>
          </w:tcPr>
          <w:p>
            <w:pPr>
              <w:spacing w:after="0"/>
              <w:rPr>
                <w:sz w:val="20"/>
                <w:szCs w:val="20"/>
                <w:color w:val="auto"/>
              </w:rPr>
            </w:pPr>
          </w:p>
        </w:tc>
      </w:tr>
      <w:tr>
        <w:trPr>
          <w:trHeight w:val="24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1,234</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1,802</w:t>
            </w:r>
          </w:p>
        </w:tc>
        <w:tc>
          <w:tcPr>
            <w:tcW w:w="120" w:type="dxa"/>
            <w:vAlign w:val="bottom"/>
            <w:shd w:val="clear" w:color="auto" w:fill="CFF0FC"/>
          </w:tcPr>
          <w:p>
            <w:pPr>
              <w:spacing w:after="0"/>
              <w:rPr>
                <w:sz w:val="21"/>
                <w:szCs w:val="21"/>
                <w:color w:val="auto"/>
              </w:rPr>
            </w:pPr>
          </w:p>
        </w:tc>
      </w:tr>
      <w:tr>
        <w:trPr>
          <w:trHeight w:val="277"/>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6,382</w:t>
            </w:r>
          </w:p>
        </w:tc>
        <w:tc>
          <w:tcPr>
            <w:tcW w:w="280" w:type="dxa"/>
            <w:vAlign w:val="bottom"/>
            <w:tcBorders>
              <w:bottom w:val="single" w:sz="8" w:color="CFF0FC"/>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5,667</w:t>
            </w:r>
          </w:p>
        </w:tc>
        <w:tc>
          <w:tcPr>
            <w:tcW w:w="120" w:type="dxa"/>
            <w:vAlign w:val="bottom"/>
            <w:tcBorders>
              <w:bottom w:val="single" w:sz="8" w:color="CFF0FC"/>
            </w:tcBorders>
          </w:tcPr>
          <w:p>
            <w:pPr>
              <w:spacing w:after="0"/>
              <w:rPr>
                <w:sz w:val="24"/>
                <w:szCs w:val="24"/>
                <w:color w:val="auto"/>
              </w:rPr>
            </w:pPr>
          </w:p>
        </w:tc>
      </w:tr>
      <w:tr>
        <w:trPr>
          <w:trHeight w:val="224"/>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FF0FC"/>
          </w:tcPr>
          <w:p>
            <w:pPr>
              <w:jc w:val="right"/>
              <w:ind w:right="79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35,542</w:t>
            </w: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21,742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Company’s long-lived assets in the U.S. attributable to operations as of March 31, 2021 and December 31, 2020 were 95% and 97%, respectively, of total property and equipment, intangible assets and right-of-use assets.</w:t>
      </w:r>
    </w:p>
    <w:p>
      <w:pPr>
        <w:spacing w:after="0" w:line="62"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Revenue from sales to three of the Company's distributors accounted for 34%, 14%, and 14% of its consolidated revenues for the three months ended March 31, 2021. Revenue from sales to one end customer accounted for 37% for the three months ended March 31, 2021. Our end customers predominantly purchase our products from distributors. No other distributors or customers accounted for 10% or more of the Company's consolidated revenues for the three months ended March 31, 2021.</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Revenue from sales to three of the Company's distributors accounted for 24%, 20%, and 13% of its consolidated revenues for the three months</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ended March 31, 2020. Revenue from sales to one end customer accounted for 34% for the three ended March 31, 2020. Our end customers predominantly purchase our products from distributors. No other distributors or customers accounted for 10% or more of the Company's consolidated revenues for the three months ended March 31, 2020.</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 Obligations</w:t>
      </w:r>
    </w:p>
    <w:p>
      <w:pPr>
        <w:spacing w:after="0" w:line="121"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On August 31, 2015, the Company entered into a bank transaction agreement with The Bank of Tokyo-Mitsubishi (“MUFG”). The credit facility was cancelled. when the Company paid down its outstanding loans with MUFG. As of March 31, 2021 and December 31, 2020, the Company had no outstanding borrowings.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From time to time, the Company may be a party to various litigation claims in the normal course of business. Legal fees and other costs associated with such actions are expensed as incurred. The Company assesses, in conjunction with legal counsel, the need to record a liability for litigation and contingencies. Accrual estimates are recorded when and if it is determined that such a liability for litigation and contingencies are both probable and reasonably estimable.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spacing w:after="0" w:line="269" w:lineRule="auto"/>
        <w:rPr>
          <w:sz w:val="20"/>
          <w:szCs w:val="20"/>
          <w:color w:val="auto"/>
        </w:rPr>
      </w:pPr>
      <w:r>
        <w:rPr>
          <w:rFonts w:ascii="Arial" w:cs="Arial" w:eastAsia="Arial" w:hAnsi="Arial"/>
          <w:sz w:val="17"/>
          <w:szCs w:val="17"/>
          <w:color w:val="auto"/>
        </w:rPr>
        <w:t>In March 2019, VTT Technical Research Centre of Finland, Ltd. ("VTT") filed suit in the United States District Court for the Northern District of California alleging infringement by the Company of a patent relating to specific combinations of features set forth in U.S. Patent No. 8,558,643. The complaint sought unspecified monetary damages and injunctive relief. On January 22, 2020, the Company participated in a mediation that had been ordered by the Court. The case was not resolved at the mediation. A Markman Hearing was held on May 15, 2020 relating to a number of different disputed claim terms, and on July 9, 2020 the Court issued a Markman Order relating to those disputed claim terms. Among its determinations, the Court found that one of the disputed claim terms was indefinite, as well as any claim that had this claim term in it. On July 17, 2020, the Court issued a judgment finding all claims of U.S. Patent No. 8,558,643 invalid, based upon its Markman Order. VTT filed a Notice of Appeal of the Court's judgment with the US Court of Appeals for the Federal Circuit (“CAFC”) and filed its opening brief on November 19, 2020 and the Company filed its response brief on January 28, 2021. VTT filed its reply on March 4, 2021. The CAFC has scheduled an oral hearing to occur on June 9,2021. We have not accrued for a loss contingency relating to such matter as the potential loss is currently neither probable nor reasonably estimable.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is a party to a variety of agreements pursuant to which it may be obligated to indemnify other parties to such agreements with respect to certain matters. Typically, these obligations arise in the context of contracts that the Company has entered into, under which the Company customarily agrees to hold the other party harmless against losses arising from a breach of representations and covenants or terms and conditions related to such matters as the sale and/or delivery of its products, title to assets sold, certain intellectual property claims, defective products, specified environmental matters, and certain income taxes. Further, the Company’s obligations under these agreements may be limited in terms of time, amount, or the scope of its responsibility and in some instances, the Company may have recourse against third-parties for certain payments made under these agreements. It is not possible to predict the maximum potential amount of future payments under these agreements due to the conditional nature of the Company’s obligations and the unique facts and circumstances involved in each particular agreement. Historically, the Company has had no material indemnification claims under these agreements.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Party Transactions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entered into an agreement with MegaChips, whereby the Company appointed MegaChips as the exclusive sales representative of its products in Japan. The Company sells products through MegaChips to distributors, resellers, or direct customers in Japan. The Company pays MegaChips a fixed percentage of the revenue as sales commission, which is recorded as commission expense and included in sales and marketing in the consolidated statements of operations and comprehensive loss. The Company has also entered into a service and secondment agreement with MegaChips LSI USA Corporation, a wholly owned subsidiary of MegaChips.</w:t>
      </w:r>
    </w:p>
    <w:p>
      <w:pPr>
        <w:spacing w:after="0" w:line="8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MegaChips is the largest stockholder of the Company and held approximately 31.8% and 43.7% of the Company’s outstanding common stock as of March 31, 2021 and December 31, 2020,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significant balances, transactions and payments with the related parties and affiliates.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jc w:val="center"/>
              <w:ind w:left="1179"/>
              <w:spacing w:after="0"/>
              <w:rPr>
                <w:sz w:val="20"/>
                <w:szCs w:val="20"/>
                <w:color w:val="auto"/>
              </w:rPr>
            </w:pPr>
            <w:r>
              <w:rPr>
                <w:rFonts w:ascii="Arial" w:cs="Arial" w:eastAsia="Arial" w:hAnsi="Arial"/>
                <w:sz w:val="14"/>
                <w:szCs w:val="14"/>
                <w:b w:val="1"/>
                <w:bCs w:val="1"/>
                <w:color w:val="auto"/>
                <w:w w:val="91"/>
              </w:rPr>
              <w:t>As of</w:t>
            </w:r>
          </w:p>
        </w:tc>
        <w:tc>
          <w:tcPr>
            <w:tcW w:w="1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1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March 31, 2021</w:t>
            </w:r>
          </w:p>
        </w:tc>
        <w:tc>
          <w:tcPr>
            <w:tcW w:w="4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w w:val="95"/>
              </w:rPr>
              <w:t>December 31, 2020</w:t>
            </w:r>
          </w:p>
        </w:tc>
        <w:tc>
          <w:tcPr>
            <w:tcW w:w="100" w:type="dxa"/>
            <w:vAlign w:val="bottom"/>
          </w:tcPr>
          <w:p>
            <w:pPr>
              <w:spacing w:after="0"/>
              <w:rPr>
                <w:sz w:val="13"/>
                <w:szCs w:val="13"/>
                <w:color w:val="auto"/>
              </w:rPr>
            </w:pPr>
          </w:p>
        </w:tc>
      </w:tr>
      <w:tr>
        <w:trPr>
          <w:trHeight w:val="155"/>
        </w:trPr>
        <w:tc>
          <w:tcPr>
            <w:tcW w:w="41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340" w:type="dxa"/>
            <w:vAlign w:val="bottom"/>
            <w:gridSpan w:val="4"/>
          </w:tcPr>
          <w:p>
            <w:pPr>
              <w:jc w:val="center"/>
              <w:ind w:right="2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3"/>
                <w:szCs w:val="13"/>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MegaChips</w:t>
            </w:r>
          </w:p>
        </w:tc>
        <w:tc>
          <w:tcPr>
            <w:tcW w:w="3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Accounts receivable</w:t>
            </w:r>
          </w:p>
        </w:tc>
        <w:tc>
          <w:tcPr>
            <w:tcW w:w="37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976</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9"/>
                <w:szCs w:val="19"/>
                <w:color w:val="auto"/>
              </w:rPr>
            </w:pPr>
          </w:p>
        </w:tc>
      </w:tr>
      <w:tr>
        <w:trPr>
          <w:trHeight w:val="229"/>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3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FF0FC"/>
          </w:tcPr>
          <w:p>
            <w:pPr>
              <w:spacing w:after="0"/>
              <w:rPr>
                <w:sz w:val="19"/>
                <w:szCs w:val="19"/>
                <w:color w:val="auto"/>
              </w:rPr>
            </w:pPr>
          </w:p>
        </w:tc>
      </w:tr>
      <w:tr>
        <w:trPr>
          <w:trHeight w:val="419"/>
        </w:trPr>
        <w:tc>
          <w:tcPr>
            <w:tcW w:w="41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41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799"/>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155"/>
        </w:trPr>
        <w:tc>
          <w:tcPr>
            <w:tcW w:w="41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40" w:type="dxa"/>
            <w:vAlign w:val="bottom"/>
            <w:gridSpan w:val="5"/>
          </w:tcPr>
          <w:p>
            <w:pPr>
              <w:ind w:left="1100"/>
              <w:spacing w:after="0" w:line="155" w:lineRule="exact"/>
              <w:rPr>
                <w:sz w:val="20"/>
                <w:szCs w:val="20"/>
                <w:color w:val="auto"/>
              </w:rPr>
            </w:pPr>
            <w:r>
              <w:rPr>
                <w:rFonts w:ascii="Arial" w:cs="Arial" w:eastAsia="Arial" w:hAnsi="Arial"/>
                <w:sz w:val="14"/>
                <w:szCs w:val="14"/>
                <w:b w:val="1"/>
                <w:bCs w:val="1"/>
                <w:color w:val="auto"/>
              </w:rPr>
              <w:t>(in thousands)</w:t>
            </w: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MegaChips</w:t>
            </w:r>
          </w:p>
        </w:tc>
        <w:tc>
          <w:tcPr>
            <w:tcW w:w="3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Sales through distribution agreement</w:t>
            </w:r>
          </w:p>
        </w:tc>
        <w:tc>
          <w:tcPr>
            <w:tcW w:w="3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40" w:type="dxa"/>
            <w:vAlign w:val="bottom"/>
          </w:tcPr>
          <w:p>
            <w:pPr>
              <w:jc w:val="right"/>
              <w:ind w:right="139"/>
              <w:spacing w:after="0"/>
              <w:rPr>
                <w:sz w:val="20"/>
                <w:szCs w:val="20"/>
                <w:color w:val="auto"/>
              </w:rPr>
            </w:pPr>
            <w:r>
              <w:rPr>
                <w:rFonts w:ascii="Arial" w:cs="Arial" w:eastAsia="Arial" w:hAnsi="Arial"/>
                <w:sz w:val="18"/>
                <w:szCs w:val="18"/>
                <w:color w:val="auto"/>
              </w:rPr>
              <w:t>1,855</w:t>
            </w:r>
          </w:p>
        </w:tc>
        <w:tc>
          <w:tcPr>
            <w:tcW w:w="420" w:type="dxa"/>
            <w:vAlign w:val="bottom"/>
          </w:tcPr>
          <w:p>
            <w:pPr>
              <w:jc w:val="center"/>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1,146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License expense</w:t>
            </w:r>
          </w:p>
        </w:tc>
        <w:tc>
          <w:tcPr>
            <w:tcW w:w="3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139"/>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Commission expense</w:t>
            </w:r>
          </w:p>
        </w:tc>
        <w:tc>
          <w:tcPr>
            <w:tcW w:w="3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ind w:right="139"/>
              <w:spacing w:after="0"/>
              <w:rPr>
                <w:sz w:val="20"/>
                <w:szCs w:val="20"/>
                <w:color w:val="auto"/>
              </w:rPr>
            </w:pPr>
            <w:r>
              <w:rPr>
                <w:rFonts w:ascii="Arial" w:cs="Arial" w:eastAsia="Arial" w:hAnsi="Arial"/>
                <w:sz w:val="18"/>
                <w:szCs w:val="18"/>
                <w:color w:val="auto"/>
              </w:rPr>
              <w:t>77</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Affiliates</w:t>
            </w:r>
          </w:p>
        </w:tc>
        <w:tc>
          <w:tcPr>
            <w:tcW w:w="3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Consulting fees</w:t>
            </w:r>
          </w:p>
        </w:tc>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139"/>
              <w:spacing w:after="0"/>
              <w:rPr>
                <w:sz w:val="20"/>
                <w:szCs w:val="20"/>
                <w:color w:val="auto"/>
              </w:rPr>
            </w:pPr>
            <w:r>
              <w:rPr>
                <w:rFonts w:ascii="Arial" w:cs="Arial" w:eastAsia="Arial" w:hAnsi="Arial"/>
                <w:sz w:val="18"/>
                <w:szCs w:val="18"/>
                <w:color w:val="auto"/>
              </w:rPr>
              <w:t>87</w:t>
            </w:r>
          </w:p>
        </w:tc>
        <w:tc>
          <w:tcPr>
            <w:tcW w:w="4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6"/>
        </w:trPr>
        <w:tc>
          <w:tcPr>
            <w:tcW w:w="4100" w:type="dxa"/>
            <w:vAlign w:val="bottom"/>
          </w:tcPr>
          <w:p>
            <w:pPr>
              <w:spacing w:after="0"/>
              <w:rPr>
                <w:sz w:val="24"/>
                <w:szCs w:val="24"/>
                <w:color w:val="auto"/>
              </w:rPr>
            </w:pPr>
          </w:p>
        </w:tc>
        <w:tc>
          <w:tcPr>
            <w:tcW w:w="3340" w:type="dxa"/>
            <w:vAlign w:val="bottom"/>
          </w:tcPr>
          <w:p>
            <w:pPr>
              <w:jc w:val="right"/>
              <w:ind w:right="163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1"/>
        </w:trPr>
        <w:tc>
          <w:tcPr>
            <w:tcW w:w="7440" w:type="dxa"/>
            <w:vAlign w:val="bottom"/>
          </w:tcPr>
          <w:p>
            <w:pPr>
              <w:spacing w:after="0"/>
              <w:rPr>
                <w:sz w:val="14"/>
                <w:szCs w:val="14"/>
                <w:color w:val="auto"/>
              </w:rPr>
            </w:pPr>
          </w:p>
        </w:tc>
        <w:tc>
          <w:tcPr>
            <w:tcW w:w="2980" w:type="dxa"/>
            <w:vAlign w:val="bottom"/>
            <w:tcBorders>
              <w:bottom w:val="single" w:sz="8" w:color="auto"/>
            </w:tcBorders>
            <w:gridSpan w:val="3"/>
          </w:tcPr>
          <w:p>
            <w:pPr>
              <w:jc w:val="center"/>
              <w:ind w:left="368"/>
              <w:spacing w:after="0"/>
              <w:rPr>
                <w:sz w:val="20"/>
                <w:szCs w:val="20"/>
                <w:color w:val="auto"/>
              </w:rPr>
            </w:pPr>
            <w:r>
              <w:rPr>
                <w:rFonts w:ascii="Arial" w:cs="Arial" w:eastAsia="Arial" w:hAnsi="Arial"/>
                <w:sz w:val="14"/>
                <w:szCs w:val="14"/>
                <w:b w:val="1"/>
                <w:bCs w:val="1"/>
                <w:color w:val="auto"/>
                <w:w w:val="95"/>
              </w:rPr>
              <w:t>Three Months Ended March 31,</w:t>
            </w:r>
          </w:p>
        </w:tc>
        <w:tc>
          <w:tcPr>
            <w:tcW w:w="4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r>
      <w:tr>
        <w:trPr>
          <w:trHeight w:val="156"/>
        </w:trPr>
        <w:tc>
          <w:tcPr>
            <w:tcW w:w="7440" w:type="dxa"/>
            <w:vAlign w:val="bottom"/>
          </w:tcPr>
          <w:p>
            <w:pPr>
              <w:spacing w:after="0"/>
              <w:rPr>
                <w:sz w:val="13"/>
                <w:szCs w:val="13"/>
                <w:color w:val="auto"/>
              </w:rPr>
            </w:pPr>
          </w:p>
        </w:tc>
        <w:tc>
          <w:tcPr>
            <w:tcW w:w="110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r>
      <w:tr>
        <w:trPr>
          <w:trHeight w:val="155"/>
        </w:trPr>
        <w:tc>
          <w:tcPr>
            <w:tcW w:w="7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80" w:type="dxa"/>
            <w:vAlign w:val="bottom"/>
            <w:gridSpan w:val="2"/>
          </w:tcPr>
          <w:p>
            <w:pPr>
              <w:jc w:val="center"/>
              <w:ind w:right="559"/>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30"/>
        </w:trPr>
        <w:tc>
          <w:tcPr>
            <w:tcW w:w="7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MegaChips</w:t>
            </w: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r>
      <w:tr>
        <w:trPr>
          <w:trHeight w:val="229"/>
        </w:trPr>
        <w:tc>
          <w:tcPr>
            <w:tcW w:w="7440" w:type="dxa"/>
            <w:vAlign w:val="bottom"/>
          </w:tcPr>
          <w:p>
            <w:pPr>
              <w:spacing w:after="0"/>
              <w:rPr>
                <w:sz w:val="20"/>
                <w:szCs w:val="20"/>
                <w:color w:val="auto"/>
              </w:rPr>
            </w:pPr>
            <w:r>
              <w:rPr>
                <w:rFonts w:ascii="Arial" w:cs="Arial" w:eastAsia="Arial" w:hAnsi="Arial"/>
                <w:sz w:val="18"/>
                <w:szCs w:val="18"/>
                <w:color w:val="auto"/>
              </w:rPr>
              <w:t>Cash paid for commissions</w:t>
            </w:r>
          </w:p>
        </w:tc>
        <w:tc>
          <w:tcPr>
            <w:tcW w:w="1100" w:type="dxa"/>
            <w:vAlign w:val="bottom"/>
          </w:tcPr>
          <w:p>
            <w:pPr>
              <w:jc w:val="right"/>
              <w:ind w:right="948"/>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ind w:right="55"/>
              <w:spacing w:after="0"/>
              <w:rPr>
                <w:sz w:val="20"/>
                <w:szCs w:val="20"/>
                <w:color w:val="auto"/>
              </w:rPr>
            </w:pPr>
            <w:r>
              <w:rPr>
                <w:rFonts w:ascii="Arial" w:cs="Arial" w:eastAsia="Arial" w:hAnsi="Arial"/>
                <w:sz w:val="18"/>
                <w:szCs w:val="18"/>
                <w:color w:val="auto"/>
              </w:rPr>
              <w:t>77</w:t>
            </w:r>
          </w:p>
        </w:tc>
        <w:tc>
          <w:tcPr>
            <w:tcW w:w="1260" w:type="dxa"/>
            <w:vAlign w:val="bottom"/>
          </w:tcPr>
          <w:p>
            <w:pPr>
              <w:jc w:val="right"/>
              <w:ind w:right="959"/>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360" w:type="dxa"/>
            <w:vAlign w:val="bottom"/>
          </w:tcPr>
          <w:p>
            <w:pPr>
              <w:spacing w:after="0"/>
              <w:rPr>
                <w:sz w:val="19"/>
                <w:szCs w:val="19"/>
                <w:color w:val="auto"/>
              </w:rPr>
            </w:pPr>
          </w:p>
        </w:tc>
      </w:tr>
      <w:tr>
        <w:trPr>
          <w:trHeight w:val="229"/>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Cash paid for licenses</w:t>
            </w: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360" w:type="dxa"/>
            <w:vAlign w:val="bottom"/>
            <w:shd w:val="clear" w:color="auto" w:fill="CFF0FC"/>
          </w:tcPr>
          <w:p>
            <w:pPr>
              <w:spacing w:after="0"/>
              <w:rPr>
                <w:sz w:val="19"/>
                <w:szCs w:val="19"/>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b w:val="1"/>
                <w:bCs w:val="1"/>
                <w:color w:val="auto"/>
              </w:rPr>
              <w:t>Affiliates</w:t>
            </w: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29"/>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Cash paid for consulting fees</w:t>
            </w:r>
          </w:p>
        </w:tc>
        <w:tc>
          <w:tcPr>
            <w:tcW w:w="11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87</w:t>
            </w:r>
          </w:p>
        </w:tc>
        <w:tc>
          <w:tcPr>
            <w:tcW w:w="12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36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discussion should be read in conjunction with the Condensed Consolidated Financial Statements and the related notes that appear elsewhere in this document.</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information in this Quarterly Report on Form 10-Q contains forward-looking statements within the meaning of Section 27A of the Securities Act of 1933, as amended (“Securities Act”), and Section 21E of the Securities Exchange Act of 1934, as amended (“Exchange Act”), which are subject to the “safe harbor” created by those sections. These forward-looking statements reflect our management’s beliefs and views with respect to future events and are based on estimates and assumptions as of the date of this report and are subject to risks and uncertainties. We may, in some cases, use words such as “anticipate,” “believe,” “could,” “continue,” “estimate,” “expect,” “intend,” “may,” “objective,” “plan,” “potential,” “predict,” “project,” “should,” “will,” “would,” or the negative of those terms, and similar expressions that convey uncertainty of future events or outcomes to identify these forward-looking statements. Forward-looking statements in this report include, but are not limited to, statements regarding:</w:t>
      </w:r>
    </w:p>
    <w:p>
      <w:pPr>
        <w:spacing w:after="0" w:line="177"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plans to focus on oscillators, clock ICs, resonators and timing synchronization solutions and to aggressively expand our presence in these markets;</w:t>
      </w:r>
    </w:p>
    <w:p>
      <w:pPr>
        <w:spacing w:after="0" w:line="46" w:lineRule="exact"/>
        <w:rPr>
          <w:rFonts w:ascii="Arial" w:cs="Arial" w:eastAsia="Arial" w:hAnsi="Arial"/>
          <w:sz w:val="16"/>
          <w:szCs w:val="16"/>
          <w:color w:val="auto"/>
        </w:rPr>
      </w:pPr>
    </w:p>
    <w:p>
      <w:pPr>
        <w:ind w:left="380" w:right="240" w:hanging="372"/>
        <w:spacing w:after="0" w:line="250"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employees, revenue and other operating results, liquidity, and cash flows, and its impact on the businesses of our suppliers and customers, and our anticipated responses thereto;</w:t>
      </w: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address market and customer demands and to timely develop new or enhanced solutions to meet those demands;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anticipated trends, challenges and growth in our business and the markets in which we operate, including pricing expectations;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our revenue, gross margin, and expenses;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expected impact of new legislation and IRS guidance issued in response to the COVID-19 pandemic;</w:t>
      </w:r>
    </w:p>
    <w:p>
      <w:pPr>
        <w:spacing w:after="0" w:line="9" w:lineRule="exact"/>
        <w:rPr>
          <w:rFonts w:ascii="Arial" w:cs="Arial" w:eastAsia="Arial" w:hAnsi="Arial"/>
          <w:sz w:val="18"/>
          <w:szCs w:val="18"/>
          <w:color w:val="auto"/>
        </w:rPr>
      </w:pPr>
    </w:p>
    <w:p>
      <w:pPr>
        <w:ind w:left="380" w:right="120" w:hanging="372"/>
        <w:spacing w:after="0" w:line="250"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belief as to the sufficiency of our existing cash and cash equivalents and funds available for borrowing under our credit facilities to meet our cash needs for at least the next 12 months and our future capital requirements over the longer term, including the potential impact of the COVID-19 pandemic thereon;</w:t>
      </w:r>
    </w:p>
    <w:p>
      <w:pPr>
        <w:spacing w:after="0" w:line="1"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dependence on our largest customer;</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customer relationships and our ability to retain and expand our customer relationships and to achieve design wins;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cost, and timing of new products;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solutions, and our ability to serve and expand our presence in those markets;</w:t>
      </w:r>
    </w:p>
    <w:p>
      <w:pPr>
        <w:spacing w:after="0" w:line="9" w:lineRule="exact"/>
        <w:rPr>
          <w:rFonts w:ascii="Arial" w:cs="Arial" w:eastAsia="Arial" w:hAnsi="Arial"/>
          <w:sz w:val="18"/>
          <w:szCs w:val="18"/>
          <w:color w:val="auto"/>
        </w:rPr>
      </w:pPr>
    </w:p>
    <w:p>
      <w:pPr>
        <w:ind w:left="380" w:right="240" w:hanging="372"/>
        <w:spacing w:after="0" w:line="265"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plans to expand sales and marketing efforts through increased collaboration with our distributors, resellers, and contracted sales representatives, and our plans to introduce a self-service web portal as well as digital marketing campaigns for branding and lead generation;</w:t>
      </w: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goal to become the leading timing solution provider for advanced and challenging applications;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positioning of being designed into current systems as well as future products;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belief that our advanced packaging designs can enable the smallest footprints in the industry;</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regarding competition in our existing and future markets;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performance of, and our relationships with, our third-party suppliers and manufacturers;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and our customers’ ability to respond successfully to technological or industry developments;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intellectual property and related litigation;</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adequacy and availability of our leased facilities;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accuracy of our estimates regarding capital requirements, expectations regarding renewal of loans, and needs for additional financing.</w:t>
      </w:r>
    </w:p>
    <w:p>
      <w:pPr>
        <w:spacing w:after="0" w:line="222" w:lineRule="exact"/>
        <w:rPr>
          <w:sz w:val="20"/>
          <w:szCs w:val="20"/>
          <w:color w:val="auto"/>
        </w:rPr>
      </w:pPr>
    </w:p>
    <w:p>
      <w:pPr>
        <w:spacing w:after="0" w:line="218" w:lineRule="exact"/>
        <w:rPr>
          <w:sz w:val="20"/>
          <w:szCs w:val="20"/>
          <w:color w:val="auto"/>
        </w:rPr>
      </w:pPr>
      <w:r>
        <w:rPr>
          <w:rFonts w:ascii="Arial" w:cs="Arial" w:eastAsia="Arial" w:hAnsi="Arial"/>
          <w:sz w:val="16"/>
          <w:szCs w:val="16"/>
          <w:color w:val="auto"/>
        </w:rPr>
        <w:t>In addition, any statements contained herein that are not statements of historical facts may be deemed to be forward-looking statements.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are subject to a number of risks and uncertainties that could cause actual results to differ materially from those expected or referenced in these forward-looking statements. These risks and uncertainties include, but are not limited to, those risks discussed in Part II, Item 1A Risk Factors of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We qualify all of the forward-looking statements in this report by these cautionary statements.</w:t>
      </w:r>
    </w:p>
    <w:p>
      <w:pPr>
        <w:spacing w:after="0" w:line="20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neither we nor any other</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 w:name="page19"/>
    <w:bookmarkEnd w:id="18"/>
    <w:p>
      <w:pPr>
        <w:ind w:right="20"/>
        <w:spacing w:after="0" w:line="263" w:lineRule="auto"/>
        <w:rPr>
          <w:sz w:val="20"/>
          <w:szCs w:val="20"/>
          <w:color w:val="auto"/>
        </w:rPr>
      </w:pPr>
      <w:r>
        <w:rPr>
          <w:rFonts w:ascii="Arial" w:cs="Arial" w:eastAsia="Arial" w:hAnsi="Arial"/>
          <w:sz w:val="18"/>
          <w:szCs w:val="18"/>
          <w:color w:val="auto"/>
        </w:rPr>
        <w:t>person assumes responsibility for the accuracy and completeness of the forward-looking statements. We undertake no obligation to update publicly any forward looking statements for any reason after the date of this report to conform these statements to actual results or to changes in our expectations, except as required by law.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We are a leading provider of silicon timing solutions. Our timing solutions are the heartbeat of our customers’ electronic systems, solve complex timing problems and enable industry-leading products. We provide solutions that are differentiated by high performance and reliability, programmability, small size, and low power consumption. Our products have been designed into over 250 applications across our target markets, including communications and enterprise, automotive, industrial, aerospace, and mobile, IoT and consumer.</w:t>
      </w:r>
    </w:p>
    <w:p>
      <w:pPr>
        <w:spacing w:after="0" w:line="18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commenced commercial shipments of our first oscillator products in 2006. Substantially all of our revenue to date has been derived from sales of oscillator systems across our target end markets. We intend to focus on clock IC and timing sync solutions in the future. We seek to aggressively expand our presence in these two markets.</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sell our products primarily through distributors and resellers, who in turn sell to our end customers. We also sell products directly to end customers who integrate our products into their applications. Based on sell-through information provided by these distributors, we believe the majority of our end customers are based in the U.S.</w:t>
      </w:r>
    </w:p>
    <w:p>
      <w:pPr>
        <w:spacing w:after="0" w:line="18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operate a fabless business model, allowing us to focus on the design, sales, and marketing of our products, quickly scale production, and significantly reduce our capital expenditures. We leverage our global network of distributors and resellers to address the broad set of end markets we serve. For our largest accounts, dedicated sales personnel work with the end customer to ensure that our solutions fully address the end customer’s timing needs. Our smaller customers work directly with our distributors to select the optimum timing solution for their needs.</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were acquired by MegaChips in 2014 and were a wholly-owned subsidiary of MegaChips, a fabless semiconductor company based in Japan and traded on the Tokyo Stock Exchange, until November 25, 2019. On November 25, 2019, we completed the initial public offering of shares of our common stock. On June 16, 2020, we completed a follow-on public offering, in which we issued and sold 1,525,000 shares of our common stock and MegaChips sold 2,500,000 shares of our common stock held by them. On February 22, 2021, we completed an additional follow-on public offering, in which we issued and sold 1,500,000 shares of our common stock and MegaChips sold 1,500,000 shares of our common stock held by them. MegaChips continues to be our largest stockholder and held approximately 31.8% of our common stock as of March 31, 2021.</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are currently experiencing a growth in demand for some of our products, however, there are a number of industry-wide supply constraints affecting the supply of analog circuits manufactured by certain foundries, including Taiwan Semiconductor Manufacturing Company, which may limit our ability to fully satisfy the increase in demand. If we cannot ship our products to our customers on time and in the quantity required as a result of this supply constraint our sales could decline and we could lose customers.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future impact of the ongoing COVID-19 pandemic on our business remains unknown. In an effort to protect the health and safety of our employees, we took proactive actions and adopted social distancing policies at our locations around the world, including requiring employees to work from home (“WFH”), reducing the number of people in our sites at any one time, and suspending employee travel. In an effort to contain the COVID-19 pandemic or slow its spread, governments around the world have also enacted various measures, including orders to close all businesses not deemed “essential,” isolate residents in their homes or places of residence, and practice social distancing. In addition, the United States and other countries in which we operate have imposed measures such as quarantines and “shelter-in-place” orders that restrict business operations and travel and require individuals to WFH, which has impacted all aspects of our business, as well as those of the third-parties we rely upon for our manufacturing, assembly, testing, shipping and other operations.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spacing w:after="0" w:line="268" w:lineRule="auto"/>
        <w:rPr>
          <w:sz w:val="20"/>
          <w:szCs w:val="20"/>
          <w:color w:val="auto"/>
        </w:rPr>
      </w:pPr>
      <w:r>
        <w:rPr>
          <w:rFonts w:ascii="Arial" w:cs="Arial" w:eastAsia="Arial" w:hAnsi="Arial"/>
          <w:sz w:val="17"/>
          <w:szCs w:val="17"/>
          <w:color w:val="auto"/>
        </w:rPr>
        <w:t>We anticipate the global health crisis caused by the COVID-19 pandemic will continue to impact business activity across the globe and will continue to impact our business, employees and operations for the foreseeable future. We believe that the COVID-19 pandemic could cause delay and disruption in the manufacture, shipment, and sales of, and overall demand for, our products. In addition, we believe the production capabilities of our suppliers has been, and may continue to be, impacted as a result of quarantines, closures of production facilities, lack of supplies, or delays caused by restrictions on travel or WFH orders. For example, on March 16, 2020, the government of Malaysia announced measures to restrict movement in that country to suppress the number of COVID-19 cases, which have been extended currently until August 2021. These restrictions could limit our suppliers’ ability to operate their manufacturing facilities in that country. Any delay or disruption in the manufacture, shipment and sales of, or overall demand for, our products in turn may negatively and materially impact our operating and financial results, including revenue, gross margins, operating margins, cash flows and other operating results. Further, the resumption of normal business operations after such disruptions may be delayed and a resurgence of COVID-19 could result in continued disruption to us, our suppliers, and/or our customers. To date, we have experienced minimal impact from any supplier disruption. The duration and full magnitude of the COVID-19 pandemic’s impact on credit and financial markets is also unknown, which creates uncertainty as to the financial condition of our distributors or customers. In addition, the deterioration in credit markets could limit our ability to obtain external financing to fund our operations and capital expenditures. We may also experience losses on our holdings of cash and investments due to failures of financial institutions and other parties.</w:t>
      </w:r>
    </w:p>
    <w:p>
      <w:pPr>
        <w:spacing w:after="0" w:line="18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currently have employees, third-party contractors, distributors, and customers in numerous countries throughout the world that have each been impacted by the COVID-19 pandemic. The COVID-19 pandemic has restricted and is expected to continue to restrict travel and use of our facilities and the facilities of our suppliers, customers, or other vendors in our supply chain, which could impact our business, interactions and relationships with our customers, third-party suppliers and contractors, and results of operations. We cannot predict with certainty what other impacts the COVID-19 pandemic may have on our business, employees, service providers, customers and results of operations.</w:t>
      </w:r>
    </w:p>
    <w:p>
      <w:pPr>
        <w:spacing w:after="0" w:line="17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There remains a high degree of uncertainty in the global business environment given the impact of the COVID-19 pandemic which creates challenges with visibility beyond the near term. We will continue to actively monitor the situation and may take further actions altering our business operations that we determine are in the best interests of our employees, customers, partners, suppliers, and stakeholders, or as required by federal, state, or local authorities. It is not clear what the potential effects any such alterations or modifications may have on our business, including the effects on our customers, employees, operations, and prospects, or on our financial results for remainder of fiscal 2021 or beyond. For additional discussion, please see Part II, Item 1A Risk Factors of this report.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derive revenue primarily from sales of silicon timing products to distributors and resellers who in turn sell to our end customers. We also sell products directly to end customers who integrate our products into their applications. Our sales are made pursuant to standard purchase orders which may be cancelled, reduced, or rescheduled, with little or no notice. We recognize product revenue upon shipment when we satisfy our performance obligations as evidenced by the transfer of control of our products to customers. We measure revenue based on the amount of consideration we expect to be entitled to in exchange for products.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0" w:type="dxa"/>
            <w:vAlign w:val="bottom"/>
            <w:gridSpan w:val="4"/>
          </w:tcPr>
          <w:p>
            <w:pPr>
              <w:ind w:left="62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4"/>
                <w:szCs w:val="14"/>
                <w:color w:val="auto"/>
              </w:rPr>
            </w:pPr>
          </w:p>
        </w:tc>
        <w:tc>
          <w:tcPr>
            <w:tcW w:w="1360" w:type="dxa"/>
            <w:vAlign w:val="bottom"/>
          </w:tcPr>
          <w:p>
            <w:pPr>
              <w:jc w:val="right"/>
              <w:ind w:right="102"/>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4160" w:type="dxa"/>
            <w:vAlign w:val="bottom"/>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620" w:type="dxa"/>
            <w:vAlign w:val="bottom"/>
            <w:tcBorders>
              <w:top w:val="single" w:sz="8" w:color="auto"/>
              <w:bottom w:val="single" w:sz="8" w:color="auto"/>
            </w:tcBorders>
          </w:tcPr>
          <w:p>
            <w:pPr>
              <w:jc w:val="right"/>
              <w:ind w:right="902"/>
              <w:spacing w:after="0" w:line="155"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bottom w:val="single" w:sz="8" w:color="auto"/>
            </w:tcBorders>
          </w:tcPr>
          <w:p>
            <w:pPr>
              <w:spacing w:after="0"/>
              <w:rPr>
                <w:sz w:val="13"/>
                <w:szCs w:val="13"/>
                <w:color w:val="auto"/>
              </w:rPr>
            </w:pPr>
          </w:p>
        </w:tc>
        <w:tc>
          <w:tcPr>
            <w:tcW w:w="1720" w:type="dxa"/>
            <w:vAlign w:val="bottom"/>
            <w:tcBorders>
              <w:top w:val="single" w:sz="8" w:color="auto"/>
              <w:bottom w:val="single" w:sz="8" w:color="auto"/>
            </w:tcBorders>
          </w:tcPr>
          <w:p>
            <w:pPr>
              <w:jc w:val="right"/>
              <w:ind w:right="722"/>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1042"/>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4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40" w:type="dxa"/>
            <w:vAlign w:val="bottom"/>
            <w:gridSpan w:val="3"/>
          </w:tcPr>
          <w:p>
            <w:pPr>
              <w:jc w:val="right"/>
              <w:ind w:right="187"/>
              <w:spacing w:after="0" w:line="155" w:lineRule="exact"/>
              <w:rPr>
                <w:sz w:val="20"/>
                <w:szCs w:val="20"/>
                <w:color w:val="auto"/>
              </w:rPr>
            </w:pPr>
            <w:r>
              <w:rPr>
                <w:rFonts w:ascii="Arial" w:cs="Arial" w:eastAsia="Arial" w:hAnsi="Arial"/>
                <w:sz w:val="14"/>
                <w:szCs w:val="14"/>
                <w:b w:val="1"/>
                <w:bCs w:val="1"/>
                <w:color w:val="auto"/>
                <w:w w:val="92"/>
              </w:rPr>
              <w:t>(in thousands except percentage)</w:t>
            </w: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ind w:right="102"/>
              <w:spacing w:after="0"/>
              <w:rPr>
                <w:sz w:val="20"/>
                <w:szCs w:val="20"/>
                <w:color w:val="auto"/>
              </w:rPr>
            </w:pPr>
            <w:r>
              <w:rPr>
                <w:rFonts w:ascii="Arial" w:cs="Arial" w:eastAsia="Arial" w:hAnsi="Arial"/>
                <w:sz w:val="18"/>
                <w:szCs w:val="18"/>
                <w:color w:val="auto"/>
              </w:rPr>
              <w:t>35,542</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21,742</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ind w:right="562"/>
              <w:spacing w:after="0"/>
              <w:rPr>
                <w:sz w:val="20"/>
                <w:szCs w:val="20"/>
                <w:color w:val="auto"/>
              </w:rPr>
            </w:pPr>
            <w:r>
              <w:rPr>
                <w:rFonts w:ascii="Arial" w:cs="Arial" w:eastAsia="Arial" w:hAnsi="Arial"/>
                <w:sz w:val="18"/>
                <w:szCs w:val="18"/>
                <w:color w:val="auto"/>
              </w:rPr>
              <w:t>13,800</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w:t>
            </w:r>
          </w:p>
        </w:tc>
      </w:tr>
    </w:tbl>
    <w:p>
      <w:pPr>
        <w:spacing w:after="0" w:line="24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Revenue increased by $13.8 million, or 63%, for the three months ended March 31, 2021 compared to the same period in the prior year. The increase was primarily related to 9% higher volume of shipments year over year and an increase of 15% in average selling price of our products (“ASPs”). The increase in sales volume was driven by higher demand for our products from new and existing customers, including new design wins at new and existing customers. The ASP increase was related to change in mix of the products we shipped and increase in selling prices for certain customers. We expect our revenue to fluctuate in the future primarily based on the volume of shipments and ASP changes. We may not be able to sustain our ASP increases in the future at this current rate.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ind w:right="360"/>
        <w:spacing w:after="0" w:line="259" w:lineRule="auto"/>
        <w:rPr>
          <w:sz w:val="20"/>
          <w:szCs w:val="20"/>
          <w:color w:val="auto"/>
        </w:rPr>
      </w:pPr>
      <w:r>
        <w:rPr>
          <w:rFonts w:ascii="Arial" w:cs="Arial" w:eastAsia="Arial" w:hAnsi="Arial"/>
          <w:sz w:val="18"/>
          <w:szCs w:val="18"/>
          <w:color w:val="auto"/>
        </w:rPr>
        <w:t>For the three months ended March 31, 2021, sales attributable to our largest end customer accounted for 37% of our revenue. Our end customers predominantly purchase our products from distributors. For the three months ended March 31, 2021, our top three distributors by revenue together accounted for approximately 62% of our revenue. Revenue attributable to our largest ten end customers accounted for 60% of our revenue for the three months ended March 31,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 Gross Profit, and Gross Margin</w:t>
      </w:r>
    </w:p>
    <w:p>
      <w:pPr>
        <w:spacing w:after="0" w:line="121" w:lineRule="exact"/>
        <w:rPr>
          <w:sz w:val="20"/>
          <w:szCs w:val="20"/>
          <w:color w:val="auto"/>
        </w:rPr>
      </w:pPr>
    </w:p>
    <w:p>
      <w:pPr>
        <w:jc w:val="both"/>
        <w:ind w:right="420"/>
        <w:spacing w:after="0" w:line="279" w:lineRule="auto"/>
        <w:rPr>
          <w:sz w:val="20"/>
          <w:szCs w:val="20"/>
          <w:color w:val="auto"/>
        </w:rPr>
      </w:pPr>
      <w:r>
        <w:rPr>
          <w:rFonts w:ascii="Arial" w:cs="Arial" w:eastAsia="Arial" w:hAnsi="Arial"/>
          <w:sz w:val="17"/>
          <w:szCs w:val="17"/>
          <w:color w:val="auto"/>
        </w:rPr>
        <w:t>Cost of revenue consists of wafers acquired from third-party foundries, assembly, packaging, and test cost of our products paid to third-party contract manufacturers, and personnel and other costs associated with our manufacturing operations. Cost of revenue also includes depreciation of production equipment, inventory write-downs, amortization of internally developed software, shipping and handling costs, and allocation of overhead and facility costs. We also include credits for rebates received from foundries to cost of revenue.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2"/>
          </w:tcPr>
          <w:p>
            <w:pPr>
              <w:jc w:val="right"/>
              <w:ind w:right="362"/>
              <w:spacing w:after="0"/>
              <w:rPr>
                <w:sz w:val="20"/>
                <w:szCs w:val="20"/>
                <w:color w:val="auto"/>
              </w:rPr>
            </w:pPr>
            <w:r>
              <w:rPr>
                <w:rFonts w:ascii="Arial" w:cs="Arial" w:eastAsia="Arial" w:hAnsi="Arial"/>
                <w:sz w:val="14"/>
                <w:szCs w:val="14"/>
                <w:b w:val="1"/>
                <w:bCs w:val="1"/>
                <w:color w:val="auto"/>
                <w:w w:val="94"/>
              </w:rPr>
              <w:t>Three Months Ended March 31,</w:t>
            </w:r>
          </w:p>
        </w:tc>
        <w:tc>
          <w:tcPr>
            <w:tcW w:w="6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Change</w:t>
            </w: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2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10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82"/>
              <w:spacing w:after="0" w:line="155"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1039"/>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6"/>
        </w:trPr>
        <w:tc>
          <w:tcPr>
            <w:tcW w:w="2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(in thousands except percentage)</w:t>
            </w: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w:t>
            </w:r>
          </w:p>
        </w:tc>
        <w:tc>
          <w:tcPr>
            <w:tcW w:w="2500" w:type="dxa"/>
            <w:vAlign w:val="bottom"/>
            <w:gridSpan w:val="2"/>
            <w:shd w:val="clear" w:color="auto" w:fill="CFF0FC"/>
          </w:tcPr>
          <w:p>
            <w:pPr>
              <w:jc w:val="right"/>
              <w:ind w:right="908"/>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95"/>
              <w:spacing w:after="0"/>
              <w:rPr>
                <w:sz w:val="20"/>
                <w:szCs w:val="20"/>
                <w:color w:val="auto"/>
              </w:rPr>
            </w:pPr>
            <w:r>
              <w:rPr>
                <w:rFonts w:ascii="Arial" w:cs="Arial" w:eastAsia="Arial" w:hAnsi="Arial"/>
                <w:sz w:val="18"/>
                <w:szCs w:val="18"/>
                <w:color w:val="auto"/>
              </w:rPr>
              <w:t>16,725</w:t>
            </w:r>
          </w:p>
        </w:tc>
        <w:tc>
          <w:tcPr>
            <w:tcW w:w="1360" w:type="dxa"/>
            <w:vAlign w:val="bottom"/>
            <w:shd w:val="clear" w:color="auto" w:fill="CFF0FC"/>
          </w:tcPr>
          <w:p>
            <w:pPr>
              <w:jc w:val="right"/>
              <w:ind w:right="1062"/>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11,766</w:t>
            </w:r>
          </w:p>
        </w:tc>
        <w:tc>
          <w:tcPr>
            <w:tcW w:w="4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ind w:right="559"/>
              <w:spacing w:after="0"/>
              <w:rPr>
                <w:sz w:val="20"/>
                <w:szCs w:val="20"/>
                <w:color w:val="auto"/>
              </w:rPr>
            </w:pPr>
            <w:r>
              <w:rPr>
                <w:rFonts w:ascii="Arial" w:cs="Arial" w:eastAsia="Arial" w:hAnsi="Arial"/>
                <w:sz w:val="18"/>
                <w:szCs w:val="18"/>
                <w:color w:val="auto"/>
              </w:rPr>
              <w:t>4,959</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Gross Profit</w:t>
            </w:r>
          </w:p>
        </w:tc>
        <w:tc>
          <w:tcPr>
            <w:tcW w:w="1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tcPr>
          <w:p>
            <w:pPr>
              <w:jc w:val="right"/>
              <w:ind w:right="195"/>
              <w:spacing w:after="0"/>
              <w:rPr>
                <w:sz w:val="20"/>
                <w:szCs w:val="20"/>
                <w:color w:val="auto"/>
              </w:rPr>
            </w:pPr>
            <w:r>
              <w:rPr>
                <w:rFonts w:ascii="Arial" w:cs="Arial" w:eastAsia="Arial" w:hAnsi="Arial"/>
                <w:sz w:val="18"/>
                <w:szCs w:val="18"/>
                <w:color w:val="auto"/>
              </w:rPr>
              <w:t>18,817</w:t>
            </w:r>
          </w:p>
        </w:tc>
        <w:tc>
          <w:tcPr>
            <w:tcW w:w="1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9,976</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ind w:right="559"/>
              <w:spacing w:after="0"/>
              <w:rPr>
                <w:sz w:val="20"/>
                <w:szCs w:val="20"/>
                <w:color w:val="auto"/>
              </w:rPr>
            </w:pPr>
            <w:r>
              <w:rPr>
                <w:rFonts w:ascii="Arial" w:cs="Arial" w:eastAsia="Arial" w:hAnsi="Arial"/>
                <w:sz w:val="18"/>
                <w:szCs w:val="18"/>
                <w:color w:val="auto"/>
              </w:rPr>
              <w:t>8,841</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r>
      <w:tr>
        <w:trPr>
          <w:trHeight w:val="229"/>
        </w:trPr>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4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53%</w:t>
            </w:r>
          </w:p>
        </w:tc>
        <w:tc>
          <w:tcPr>
            <w:tcW w:w="1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Gross profit increased by $8.8 million in the three months ended March 31, 2021 compared to the same period in the prior year. Gross profit increased a net $9.8 million mainly from higher sales volume and an increase in ASPs of our products. This increase was offset by higher other manufacturing and overhead costs of $1.0 million of which $0.4 million was related to higher stock-based compensation expense.</w:t>
      </w:r>
    </w:p>
    <w:p>
      <w:pPr>
        <w:spacing w:after="0" w:line="21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Gross margin was higher by 7% in the three months ended March 31, 2021 when compared to the same period in the prior year. The gross margin increased by 5% from higher sales volume and an increase in ASPs. There was additonal 2% improvement in our other manufacturing costs as it decreased as a percentage of revenue.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Our operating expenses consist of research and development, sales and marketing, and general and administrative expenses. Personnel costs are the most significant component of our operating expenses and consist of salaries, benefits, bonuses, stock-based compensation, and commissions. Our operating expenses also include consulting costs, allocated costs of facilities, information technology and depreciation.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4440" w:type="dxa"/>
            <w:vAlign w:val="bottom"/>
            <w:gridSpan w:val="6"/>
          </w:tcPr>
          <w:p>
            <w:pPr>
              <w:ind w:left="106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4"/>
                <w:szCs w:val="14"/>
                <w:color w:val="auto"/>
              </w:rPr>
            </w:pPr>
          </w:p>
        </w:tc>
        <w:tc>
          <w:tcPr>
            <w:tcW w:w="1360" w:type="dxa"/>
            <w:vAlign w:val="bottom"/>
            <w:gridSpan w:val="2"/>
          </w:tcPr>
          <w:p>
            <w:pPr>
              <w:ind w:left="700"/>
              <w:spacing w:after="0"/>
              <w:rPr>
                <w:sz w:val="20"/>
                <w:szCs w:val="20"/>
                <w:color w:val="auto"/>
              </w:rPr>
            </w:pPr>
            <w:r>
              <w:rPr>
                <w:rFonts w:ascii="Arial" w:cs="Arial" w:eastAsia="Arial" w:hAnsi="Arial"/>
                <w:sz w:val="14"/>
                <w:szCs w:val="14"/>
                <w:b w:val="1"/>
                <w:bCs w:val="1"/>
                <w:color w:val="auto"/>
              </w:rPr>
              <w:t>Change</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55"/>
        </w:trPr>
        <w:tc>
          <w:tcPr>
            <w:tcW w:w="4160" w:type="dxa"/>
            <w:vAlign w:val="bottom"/>
          </w:tcPr>
          <w:p>
            <w:pPr>
              <w:spacing w:after="0"/>
              <w:rPr>
                <w:sz w:val="13"/>
                <w:szCs w:val="13"/>
                <w:color w:val="auto"/>
              </w:rPr>
            </w:pPr>
          </w:p>
        </w:tc>
        <w:tc>
          <w:tcPr>
            <w:tcW w:w="1240" w:type="dxa"/>
            <w:vAlign w:val="bottom"/>
            <w:tcBorders>
              <w:top w:val="single" w:sz="8" w:color="auto"/>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2021</w:t>
            </w:r>
          </w:p>
        </w:tc>
        <w:tc>
          <w:tcPr>
            <w:tcW w:w="66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720" w:type="dxa"/>
            <w:vAlign w:val="bottom"/>
            <w:tcBorders>
              <w:top w:val="single" w:sz="8" w:color="auto"/>
              <w:bottom w:val="single" w:sz="8" w:color="auto"/>
            </w:tcBorders>
          </w:tcPr>
          <w:p>
            <w:pPr>
              <w:jc w:val="right"/>
              <w:ind w:right="717"/>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r>
      <w:tr>
        <w:trPr>
          <w:trHeight w:val="155"/>
        </w:trPr>
        <w:tc>
          <w:tcPr>
            <w:tcW w:w="4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40" w:type="dxa"/>
            <w:vAlign w:val="bottom"/>
            <w:gridSpan w:val="3"/>
          </w:tcPr>
          <w:p>
            <w:pPr>
              <w:jc w:val="right"/>
              <w:ind w:right="187"/>
              <w:spacing w:after="0" w:line="155" w:lineRule="exact"/>
              <w:rPr>
                <w:sz w:val="20"/>
                <w:szCs w:val="20"/>
                <w:color w:val="auto"/>
              </w:rPr>
            </w:pPr>
            <w:r>
              <w:rPr>
                <w:rFonts w:ascii="Arial" w:cs="Arial" w:eastAsia="Arial" w:hAnsi="Arial"/>
                <w:sz w:val="14"/>
                <w:szCs w:val="14"/>
                <w:b w:val="1"/>
                <w:bCs w:val="1"/>
                <w:color w:val="auto"/>
                <w:w w:val="92"/>
              </w:rPr>
              <w:t>(in thousands except percentage)</w:t>
            </w: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2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1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240" w:type="dxa"/>
            <w:vAlign w:val="bottom"/>
          </w:tcPr>
          <w:p>
            <w:pPr>
              <w:jc w:val="right"/>
              <w:ind w:right="1059"/>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11,180</w:t>
            </w:r>
          </w:p>
        </w:tc>
        <w:tc>
          <w:tcPr>
            <w:tcW w:w="3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7,024</w:t>
            </w:r>
          </w:p>
        </w:tc>
        <w:tc>
          <w:tcPr>
            <w:tcW w:w="34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4,156</w:t>
            </w:r>
          </w:p>
        </w:tc>
        <w:tc>
          <w:tcPr>
            <w:tcW w:w="6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r>
      <w:tr>
        <w:trPr>
          <w:trHeight w:val="230"/>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1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11,123</w:t>
            </w: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7,808</w:t>
            </w:r>
          </w:p>
        </w:tc>
        <w:tc>
          <w:tcPr>
            <w:tcW w:w="3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3,315</w:t>
            </w:r>
          </w:p>
        </w:tc>
        <w:tc>
          <w:tcPr>
            <w:tcW w:w="6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w:t>
            </w: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240" w:type="dxa"/>
            <w:vAlign w:val="bottom"/>
            <w:tcBorders>
              <w:bottom w:val="single" w:sz="8" w:color="auto"/>
            </w:tcBorders>
          </w:tcPr>
          <w:p>
            <w:pPr>
              <w:jc w:val="right"/>
              <w:ind w:right="105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22,303</w:t>
            </w:r>
          </w:p>
        </w:tc>
        <w:tc>
          <w:tcPr>
            <w:tcW w:w="3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14,832</w:t>
            </w:r>
          </w:p>
        </w:tc>
        <w:tc>
          <w:tcPr>
            <w:tcW w:w="34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7,471</w:t>
            </w:r>
          </w:p>
        </w:tc>
        <w:tc>
          <w:tcPr>
            <w:tcW w:w="6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0"/>
        </w:trPr>
        <w:tc>
          <w:tcPr>
            <w:tcW w:w="4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research and development efforts are focused on the design and development of next-generation silicon timing systems solutions. Our research and development expense consists primarily of personnel costs, which include stock-based compensation, pre-production engineering mask costs, software license and intellectual property expenses, design tools and prototype-related expenses, facility costs, supplies, professional and consulting fees, and allocated overhead costs. We expense research and development costs as incurred. We believe that continued investment in our products and services is important for our future growth and acquisition of new customers and, as a result, we expect our research and development expenses to continue to increase in absolute dollars. However, we expect our research and development expense to fluctuate as a percentage of revenue from period to period depending on the timing of these expenses.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spacing w:after="0" w:line="263" w:lineRule="auto"/>
        <w:rPr>
          <w:sz w:val="20"/>
          <w:szCs w:val="20"/>
          <w:color w:val="auto"/>
        </w:rPr>
      </w:pPr>
      <w:r>
        <w:rPr>
          <w:rFonts w:ascii="Arial" w:cs="Arial" w:eastAsia="Arial" w:hAnsi="Arial"/>
          <w:sz w:val="18"/>
          <w:szCs w:val="18"/>
          <w:color w:val="auto"/>
        </w:rPr>
        <w:t>Research and development expense increased by $4.2 million, or 59%, for the three months ended March 31, 2021 compared to the same period in the prior year, primarily due to an increase in stock-based compensation expense of $1.8 million, higher personnel costs of $1.4 million due to increased headcount, and higher project expenses.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General and Administrative</w:t>
      </w:r>
    </w:p>
    <w:p>
      <w:pPr>
        <w:spacing w:after="0" w:line="117"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Sales, general and administrative expense consists of personnel costs, including stock-based compensation, professional and consulting fees, accounting and audit fees, legal costs, field application engineering support, travel costs, advertising expenses and allocated overhead costs. We expect sales, general and administrative expense to continue to increase in absolute dollars as we increase our personnel and grow our operations, although it may fluctuate as a percentage of revenue from period to period depending on the timing of these expenses.</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Selling, general and administrative expense increased by $3.3 million, or 42%, for the three months ended March 31, 2021 compared to the same period in the prior year, primarily due to higher stock-based compensation expense of $2.0 million and higher personnel costs of $1.3 million largely related to increased headcount.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w:t>
      </w:r>
    </w:p>
    <w:p>
      <w:pPr>
        <w:spacing w:after="0" w:line="12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Other expense (income) consists primarily of interest expense on our outstanding debt, interest income on our cash balances, foreign exchange gains and losses, and asset dispositions. See Note 9 to our condensed consolidated financial statements under Item 1 for more information about our debt.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4420" w:type="dxa"/>
            <w:vAlign w:val="bottom"/>
            <w:gridSpan w:val="6"/>
          </w:tcPr>
          <w:p>
            <w:pPr>
              <w:jc w:val="right"/>
              <w:ind w:right="140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4"/>
                <w:szCs w:val="1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55"/>
        </w:trPr>
        <w:tc>
          <w:tcPr>
            <w:tcW w:w="4120" w:type="dxa"/>
            <w:vAlign w:val="bottom"/>
          </w:tcPr>
          <w:p>
            <w:pPr>
              <w:spacing w:after="0"/>
              <w:rPr>
                <w:sz w:val="13"/>
                <w:szCs w:val="13"/>
                <w:color w:val="auto"/>
              </w:rPr>
            </w:pPr>
          </w:p>
        </w:tc>
        <w:tc>
          <w:tcPr>
            <w:tcW w:w="1380" w:type="dxa"/>
            <w:vAlign w:val="bottom"/>
            <w:tcBorders>
              <w:top w:val="single" w:sz="8" w:color="auto"/>
              <w:bottom w:val="single" w:sz="8" w:color="auto"/>
            </w:tcBorders>
          </w:tcPr>
          <w:p>
            <w:pPr>
              <w:jc w:val="right"/>
              <w:ind w:right="227"/>
              <w:spacing w:after="0" w:line="155"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740" w:type="dxa"/>
            <w:vAlign w:val="bottom"/>
            <w:tcBorders>
              <w:top w:val="single" w:sz="8" w:color="auto"/>
              <w:bottom w:val="single" w:sz="8" w:color="auto"/>
            </w:tcBorders>
          </w:tcPr>
          <w:p>
            <w:pPr>
              <w:jc w:val="right"/>
              <w:ind w:right="737"/>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r>
      <w:tr>
        <w:trPr>
          <w:trHeight w:val="156"/>
        </w:trPr>
        <w:tc>
          <w:tcPr>
            <w:tcW w:w="4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40" w:type="dxa"/>
            <w:vAlign w:val="bottom"/>
            <w:gridSpan w:val="3"/>
          </w:tcPr>
          <w:p>
            <w:pPr>
              <w:jc w:val="right"/>
              <w:ind w:right="170"/>
              <w:spacing w:after="0" w:line="155" w:lineRule="exact"/>
              <w:rPr>
                <w:sz w:val="20"/>
                <w:szCs w:val="20"/>
                <w:color w:val="auto"/>
              </w:rPr>
            </w:pPr>
            <w:r>
              <w:rPr>
                <w:rFonts w:ascii="Arial" w:cs="Arial" w:eastAsia="Arial" w:hAnsi="Arial"/>
                <w:sz w:val="14"/>
                <w:szCs w:val="14"/>
                <w:b w:val="1"/>
                <w:bCs w:val="1"/>
                <w:color w:val="auto"/>
                <w:w w:val="92"/>
              </w:rPr>
              <w:t>(in thousands except percentage)</w:t>
            </w: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29"/>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380" w:type="dxa"/>
            <w:vAlign w:val="bottom"/>
            <w:shd w:val="clear" w:color="auto" w:fill="CFF0FC"/>
          </w:tcPr>
          <w:p>
            <w:pPr>
              <w:jc w:val="right"/>
              <w:ind w:right="122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560"/>
              <w:spacing w:after="0"/>
              <w:rPr>
                <w:sz w:val="20"/>
                <w:szCs w:val="20"/>
                <w:color w:val="auto"/>
              </w:rPr>
            </w:pPr>
            <w:r>
              <w:rPr>
                <w:rFonts w:ascii="Arial" w:cs="Arial" w:eastAsia="Arial" w:hAnsi="Arial"/>
                <w:sz w:val="18"/>
                <w:szCs w:val="18"/>
                <w:color w:val="auto"/>
              </w:rPr>
              <w:t>(303)</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380" w:type="dxa"/>
            <w:vAlign w:val="bottom"/>
          </w:tcPr>
          <w:p>
            <w:pPr>
              <w:spacing w:after="0"/>
              <w:rPr>
                <w:sz w:val="19"/>
                <w:szCs w:val="19"/>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w w:val="89"/>
              </w:rPr>
              <w:t>39</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gridSpan w:val="2"/>
          </w:tcPr>
          <w:p>
            <w:pPr>
              <w:jc w:val="right"/>
              <w:ind w:right="260"/>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w:t>
            </w:r>
          </w:p>
        </w:tc>
        <w:tc>
          <w:tcPr>
            <w:tcW w:w="6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r>
      <w:tr>
        <w:trPr>
          <w:trHeight w:val="223"/>
        </w:trPr>
        <w:tc>
          <w:tcPr>
            <w:tcW w:w="4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expense</w:t>
            </w:r>
          </w:p>
        </w:tc>
        <w:tc>
          <w:tcPr>
            <w:tcW w:w="1380" w:type="dxa"/>
            <w:vAlign w:val="bottom"/>
            <w:tcBorders>
              <w:top w:val="single" w:sz="8" w:color="auto"/>
              <w:bottom w:val="single" w:sz="8" w:color="auto"/>
            </w:tcBorders>
            <w:shd w:val="clear" w:color="auto" w:fill="CFF0FC"/>
          </w:tcPr>
          <w:p>
            <w:pPr>
              <w:jc w:val="right"/>
              <w:ind w:right="122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FF0FC"/>
          </w:tcPr>
          <w:p>
            <w:pPr>
              <w:ind w:left="300"/>
              <w:spacing w:after="0"/>
              <w:rPr>
                <w:sz w:val="20"/>
                <w:szCs w:val="20"/>
                <w:color w:val="auto"/>
              </w:rPr>
            </w:pPr>
            <w:r>
              <w:rPr>
                <w:rFonts w:ascii="Arial" w:cs="Arial" w:eastAsia="Arial" w:hAnsi="Arial"/>
                <w:sz w:val="18"/>
                <w:szCs w:val="18"/>
                <w:color w:val="auto"/>
                <w:w w:val="89"/>
              </w:rPr>
              <w:t>39</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w:t>
            </w:r>
          </w:p>
        </w:tc>
      </w:tr>
      <w:tr>
        <w:trPr>
          <w:trHeight w:val="20"/>
        </w:trPr>
        <w:tc>
          <w:tcPr>
            <w:tcW w:w="4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expense decreased $0.2 million for three months ended March 31, 2021 compared to the same period in the prior year, primarily as a result of interest expense savings paying down of all our outstanding loans under our credit facilities.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Income tax expense consists primarily of state income taxes and income taxes in certain foreign jurisdictions in which we conduct business. We have a full valuation allowance for deferred tax assets as the realization of the full amount of our deferred tax asset is uncertain, including NOL, carryforwards, and tax credits related primarily to research and development. We expect to maintain this full valuation allowance until realization of the deferred tax assets becomes more likely than not.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80" w:type="dxa"/>
            <w:vAlign w:val="bottom"/>
            <w:gridSpan w:val="4"/>
          </w:tcPr>
          <w:p>
            <w:pPr>
              <w:jc w:val="right"/>
              <w:ind w:right="1280"/>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ind w:right="2"/>
              <w:spacing w:after="0"/>
              <w:rPr>
                <w:sz w:val="20"/>
                <w:szCs w:val="20"/>
                <w:color w:val="auto"/>
              </w:rPr>
            </w:pPr>
            <w:r>
              <w:rPr>
                <w:rFonts w:ascii="Arial" w:cs="Arial" w:eastAsia="Arial" w:hAnsi="Arial"/>
                <w:sz w:val="14"/>
                <w:szCs w:val="14"/>
                <w:b w:val="1"/>
                <w:bCs w:val="1"/>
                <w:color w:val="auto"/>
              </w:rPr>
              <w:t>Change</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28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660" w:type="dxa"/>
            <w:vAlign w:val="bottom"/>
            <w:tcBorders>
              <w:top w:val="single" w:sz="8" w:color="auto"/>
              <w:bottom w:val="single" w:sz="8" w:color="auto"/>
            </w:tcBorders>
          </w:tcPr>
          <w:p>
            <w:pPr>
              <w:jc w:val="right"/>
              <w:ind w:right="939"/>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auto"/>
            </w:tcBorders>
          </w:tcPr>
          <w:p>
            <w:pPr>
              <w:spacing w:after="0"/>
              <w:rPr>
                <w:sz w:val="13"/>
                <w:szCs w:val="13"/>
                <w:color w:val="auto"/>
              </w:rPr>
            </w:pPr>
          </w:p>
        </w:tc>
        <w:tc>
          <w:tcPr>
            <w:tcW w:w="1740" w:type="dxa"/>
            <w:vAlign w:val="bottom"/>
            <w:tcBorders>
              <w:top w:val="single" w:sz="8" w:color="auto"/>
              <w:bottom w:val="single" w:sz="8" w:color="auto"/>
            </w:tcBorders>
          </w:tcPr>
          <w:p>
            <w:pPr>
              <w:jc w:val="right"/>
              <w:ind w:right="74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962"/>
              <w:spacing w:after="0" w:line="155" w:lineRule="exact"/>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ind w:right="439"/>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r>
      <w:tr>
        <w:trPr>
          <w:trHeight w:val="155"/>
        </w:trPr>
        <w:tc>
          <w:tcPr>
            <w:tcW w:w="28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right"/>
              <w:ind w:right="260"/>
              <w:spacing w:after="0" w:line="155" w:lineRule="exact"/>
              <w:rPr>
                <w:sz w:val="20"/>
                <w:szCs w:val="20"/>
                <w:color w:val="auto"/>
              </w:rPr>
            </w:pPr>
            <w:r>
              <w:rPr>
                <w:rFonts w:ascii="Arial" w:cs="Arial" w:eastAsia="Arial" w:hAnsi="Arial"/>
                <w:sz w:val="14"/>
                <w:szCs w:val="14"/>
                <w:b w:val="1"/>
                <w:bCs w:val="1"/>
                <w:color w:val="auto"/>
                <w:w w:val="92"/>
              </w:rPr>
              <w:t>(in thousands except percentage)</w:t>
            </w:r>
          </w:p>
        </w:tc>
        <w:tc>
          <w:tcPr>
            <w:tcW w:w="1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8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(38)</w:t>
            </w:r>
          </w:p>
        </w:tc>
        <w:tc>
          <w:tcPr>
            <w:tcW w:w="940" w:type="dxa"/>
            <w:vAlign w:val="bottom"/>
            <w:shd w:val="clear" w:color="auto" w:fill="CFF0FC"/>
          </w:tcPr>
          <w:p>
            <w:pPr>
              <w:jc w:val="right"/>
              <w:ind w:right="259"/>
              <w:spacing w:after="0"/>
              <w:rPr>
                <w:sz w:val="20"/>
                <w:szCs w:val="20"/>
                <w:color w:val="auto"/>
              </w:rPr>
            </w:pPr>
            <w:r>
              <w:rPr>
                <w:rFonts w:ascii="Arial" w:cs="Arial" w:eastAsia="Arial" w:hAnsi="Arial"/>
                <w:sz w:val="18"/>
                <w:szCs w:val="18"/>
                <w:color w:val="auto"/>
              </w:rPr>
              <w:t>1900%</w:t>
            </w:r>
          </w:p>
        </w:tc>
        <w:tc>
          <w:tcPr>
            <w:tcW w:w="100" w:type="dxa"/>
            <w:vAlign w:val="bottom"/>
            <w:shd w:val="clear" w:color="auto" w:fill="CFF0FC"/>
          </w:tcPr>
          <w:p>
            <w:pPr>
              <w:spacing w:after="0"/>
              <w:rPr>
                <w:sz w:val="19"/>
                <w:szCs w:val="19"/>
                <w:color w:val="auto"/>
              </w:rPr>
            </w:pPr>
          </w:p>
        </w:tc>
      </w:tr>
      <w:tr>
        <w:trPr>
          <w:trHeight w:val="743"/>
        </w:trPr>
        <w:tc>
          <w:tcPr>
            <w:tcW w:w="28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jc w:val="right"/>
              <w:ind w:right="479"/>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8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March 31, 2021 and December 31, 2020, we had cash and cash equivalents of $257.0 million and $73.5 million, respectively. Our principal use of cash is to fund our operations to support growth.</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June 2020, we completed a follow-on public offering of our shares, resulting in net proceeds to us of $45.8 million after deducting underwriting discounts and commissions and deferred offering costs. We used the funds obtained to pay down all our outstanding debt. In February 2021, we completed an additional follow-on public offering of our shares, resulting in net proceeds to us of $181.6 million after deducting underwriting discounts and commissions and deferred offering costs.</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canceled its $50.0 million credit facility with MUFG. We believe that our existing cash and cash equivalents will be sufficient to meet our cash needs for at least the next 12 months. Over the longer term, our future capital requirements will depend on many factors, including our growth rate, the timing and extent of our sales and marketing and research and development expenditures, and the continuing market acceptance of our solutions. In the event that we need to borrow funds or issue additional equity, we cannot provide any assurance that any such additional financing will be available on terms acceptable to us, if at all. If we are unable to raise additional capital when we need it, it would harm our business, results of operations and financial condition.</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5"/>
        </w:trPr>
        <w:tc>
          <w:tcPr>
            <w:tcW w:w="7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900" w:type="dxa"/>
            <w:vAlign w:val="bottom"/>
            <w:gridSpan w:val="3"/>
          </w:tcPr>
          <w:p>
            <w:pPr>
              <w:jc w:val="right"/>
              <w:ind w:right="616"/>
              <w:spacing w:after="0" w:line="155"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6,075</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(4,236)</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(1,417)</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181,588</w:t>
            </w:r>
          </w:p>
        </w:tc>
        <w:tc>
          <w:tcPr>
            <w:tcW w:w="2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7,212</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183,427</w:t>
            </w:r>
          </w:p>
        </w:tc>
        <w:tc>
          <w:tcPr>
            <w:tcW w:w="280" w:type="dxa"/>
            <w:vAlign w:val="bottom"/>
          </w:tcPr>
          <w:p>
            <w:pPr>
              <w:spacing w:after="0"/>
              <w:rPr>
                <w:sz w:val="19"/>
                <w:szCs w:val="19"/>
                <w:color w:val="auto"/>
              </w:rPr>
            </w:pPr>
          </w:p>
        </w:tc>
        <w:tc>
          <w:tcPr>
            <w:tcW w:w="10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7,830</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the three months ended March 31, 2021, net cash provided by operating activities of $6.1 million was primarily due to a net loss of $3.6 million offset by non-cash expenses of $8.3 million and a change in operating assets and liabilities of $1.4 million. Non-cash expenses were mainly related to depreciation and amortization and stock-based compensation expense. Operating assets and liabilities increased primarily due to higher accounts payable due to timing of payments and higher accounts receivables due to timing of shipments partially offset by an increase in inventories as we managed our inventory levels.</w:t>
      </w:r>
    </w:p>
    <w:p>
      <w:pPr>
        <w:spacing w:after="0" w:line="15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the three months ended March 31, 2020, net cash provided by operating activities of $2.0 million was primarily due to a net loss of $5.1 million offset by non-cash expenses of $4.7 million and a change in operating assets and liabilities of $2.4 million. Non-cash expenses were mainly related to depreciation and amortization, stock-based compensation expense, and non-cash operating lease costs. Operating assets and liabilities increased primarily due to by lower prepaid expenses and other current assets related to advance payments to suppliers for inventory, higher accrued expenses and other liabilities due to timing of payments and lower accounts receivables and related party receivables due to timing of shipments and collections partially offset by an increase in inventories as we managed our inventory levels and lower lease liabilities due to timing of payments.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investing activities consist primarily of capital expenditures for property and equipment purchases. Our capital expenditures for property and equipment have primarily been for general business purposes, including machinery and equipment, leasehold improvements, acquired software, internally developed software used in production and support of our products, computer equipment used internally, and production masks to manufacture our products.</w:t>
      </w:r>
    </w:p>
    <w:p>
      <w:pPr>
        <w:spacing w:after="0" w:line="187"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In the three months ended March 31, 2021, cash used in investing activities was $4.2 million. We paid $3.9 million largely to purchase test and other manufacturing equipment to support the increase in demand of our products and other property and equipment for general business purposes.</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the three months ended March 31, 2020, cash used in investing activities was approximately $1.4 million and consisted primarily of the purchase of production masks, internally developed software, and other property and equipment for general business purposes.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provided by financing activities includes proceeds from borrowings under our credit facilities and proceeds from issuance of shares.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3" w:name="page24"/>
    <w:bookmarkEnd w:id="23"/>
    <w:p>
      <w:pPr>
        <w:ind w:right="100"/>
        <w:spacing w:after="0" w:line="308" w:lineRule="auto"/>
        <w:rPr>
          <w:sz w:val="20"/>
          <w:szCs w:val="20"/>
          <w:color w:val="auto"/>
        </w:rPr>
      </w:pPr>
      <w:r>
        <w:rPr>
          <w:rFonts w:ascii="Arial" w:cs="Arial" w:eastAsia="Arial" w:hAnsi="Arial"/>
          <w:sz w:val="17"/>
          <w:szCs w:val="17"/>
          <w:color w:val="auto"/>
        </w:rPr>
        <w:t>In the three months ended March 31, 2021, net cash provided by financing activities was $181.6 million, consisting of proceeds from issuance of shares of $190.5 million net of underwriting commissions and discounts of $8.6 million and deferred offering costs of $0.3 million.</w:t>
      </w:r>
    </w:p>
    <w:p>
      <w:pPr>
        <w:spacing w:after="0" w:line="14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the three months ended March 31, 2020 cash used in financing activities was $7.2 million, consisting of borrowings of $12.0 million offset by repayments of $3.0 million under our short-term revolving line of credit and $1.8 million payment of tax withholdings paid on behalf of employees for net share settlement at the time of vesting.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During the periods presented,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consolidated financial statements have been prepared in accordance with GAAP. The preparation of these financial statements and accompanying disclosures requires us to make estimates and assumptions that affect the reported amounts of assets, liabilities, revenues and expenses, and related disclosures of contingent assets and liabilities in the consolidated financial statements and the accompanying notes. The Securities and Exchange Commission, or SEC, has defined a company’s critical accounting policies as policies that are most important to the portrayal of a company’s financial condition and results of operations, and which require a company to make its most difficult and subjective judgments, often as a result of the need to make estimates of matters that are inherently uncertain. Based on this definition, we have identified our most critical accounting policies and estimates to be as follows: (1) revenue recognition; (2) inventory; (3) stock-based compensation; (4) accounting for income taxes and (5) segment reporting. Although we believe that our estimates, assumptions, and judgments are reasonable, they are based upon information not presently available. Actual results may differ significantly from these estimates if the assumptions, judgments, and conditions upon which they are based turn out to be inaccurate. Management believes that there have been no significant changes to the items that we disclosed as our critical accounting policies and estimates in Management’s Discussion and Analysis of Financial Condition and Results of Operations, in our Annual Report on Form 10-K for the year ended December 31, 2020 filed with the SEC on February 16, 2021.</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Substantially all of our revenue is denominated in U.S. dollars. Our expenses are generally denominated in the currencies in which our operations are located, which is primarily in the United States and, to a lesser extent, in Malaysia, the Netherlands, France, Taiwan, Japan, and Ukraine. Our results of operations and cash flows are, therefore, subject to fluctuations due to changes in foreign currency exchange rates and may be adversely affected in the future due to changes in foreign exchange rates. The effect of a hypothetical 10% change in foreign currency exchanges rates applicable to our business would not have a material impact on our historical consolidated financial statements. We do not currently have a hedging program with respect to foreign currency exchange risk.</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We had cash and cash equivalents of $257.0 million and $73.5 million as of March 31, 2021 and December 31, 2020, respectively, consisting of bank deposits. Such interest-earning instruments carry a degree of interest rate risk. To date, fluctuations in interest income have not been significant. The Company paid down all of its debt in 2020.</w:t>
      </w:r>
    </w:p>
    <w:p>
      <w:pPr>
        <w:spacing w:after="0" w:line="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risk exposure. Our exposure to interest rates relates to the change in the amounts of interest we must pay on our short-term revolving line of credit which changes at time of renewals. The effect of a hypothetical 10% change in interest rates applicable to our business would not have a material impact on our historical consolidated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maintain “disclosure controls and procedures,” as such term is defined in Rules 13a-15 (e) and 15d – 15(e) under the Exchange Act, that are designed to provide reasonable assurance that information required to be disclosed by us in reports we file or submit under the Exchange Act is recorded, processed, summarized and reported within the time periods specified in the SEC’s rules and forms and that such information is accumulated and communicated to our management, including our Chief Executive Officer (principal executive officer) and Chief Financial Officer (principal financial officer), as appropriate, to allow for timely decisions regarding required disclosure.</w:t>
      </w:r>
    </w:p>
    <w:p>
      <w:pPr>
        <w:spacing w:after="0" w:line="8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management, including our principal executive and chief executive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ind w:right="120"/>
        <w:spacing w:after="0" w:line="277" w:lineRule="auto"/>
        <w:rPr>
          <w:sz w:val="20"/>
          <w:szCs w:val="20"/>
          <w:color w:val="auto"/>
        </w:rPr>
      </w:pPr>
      <w:r>
        <w:rPr>
          <w:rFonts w:ascii="Arial" w:cs="Arial" w:eastAsia="Arial" w:hAnsi="Arial"/>
          <w:sz w:val="18"/>
          <w:szCs w:val="18"/>
          <w:color w:val="auto"/>
        </w:rPr>
        <w:t>Because of the inherent limitations in all control systems, no evaluation of controls can provide absolute assurance that all control issues and instances of fraud, if any, within SiTime have been detected.</w:t>
      </w:r>
    </w:p>
    <w:p>
      <w:pPr>
        <w:spacing w:after="0" w:line="6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March 31, 2021 that have materially affected, or are reasonably likely to materially affect, our internal control over financial reporting.</w:t>
      </w: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included in Note 10 of the Notes to Condensed Consolidated Financial Statements in Part I Item 1 of this Quarterly Report on Form 10-Q and is incorporated herein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ind w:right="120"/>
        <w:spacing w:after="0" w:line="329" w:lineRule="auto"/>
        <w:rPr>
          <w:sz w:val="20"/>
          <w:szCs w:val="20"/>
          <w:color w:val="auto"/>
        </w:rPr>
      </w:pPr>
      <w:r>
        <w:rPr>
          <w:rFonts w:ascii="Arial" w:cs="Arial" w:eastAsia="Arial" w:hAnsi="Arial"/>
          <w:sz w:val="15"/>
          <w:szCs w:val="15"/>
          <w:b w:val="1"/>
          <w:bCs w:val="1"/>
          <w:color w:val="auto"/>
        </w:rPr>
        <w:t>In addition to the factors discussed elsewhere in this Form 10-Q, the following are important factors, the order of which is not necessarily indicative of the level of risk that each poses to us, which could cause actual results or events to differ materially from those contained in any forward-looking statements made by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adversely affect our business, results of operations, and financial condition.</w:t>
      </w:r>
    </w:p>
    <w:p>
      <w:pPr>
        <w:spacing w:after="0" w:line="131"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effects of the ongoing COVID-19 pandemic on our business are evolving and difficult to predict. To date, the COVID-19 pandemic has significantly and negatively impacted the global economy and it is unclear how long the pandemic will continue to do so. To combat the spread of COVID-19, the United States and other foreign countries in which we operate have imposed measures such as quarantines and “shelter-in-place” orders that restrict business operations and travel and require individuals to work from home (“WFH”), which has impacted all aspects of our business as well as those of the third-parties we rely upon for our manufacturing, assembly, testing, shipping and other operations. The continuation of WFH and other restrictions for an extended period of time may negatively impact our productivity, product development, operations, sales and support, business and financial results. Among other things, the continued COVID-19 pandemic may result in:</w:t>
      </w:r>
    </w:p>
    <w:p>
      <w:pPr>
        <w:spacing w:after="0" w:line="4" w:lineRule="exact"/>
        <w:rPr>
          <w:sz w:val="20"/>
          <w:szCs w:val="20"/>
          <w:color w:val="auto"/>
        </w:rPr>
      </w:pP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global economic recession or depression that could significantly reduce demand and/or prices for our products;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productivity in our product development, operations, marketing, sales, and other activities;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disruptions to our supply chain;</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costs resulting from WFH or from our efforts to mitigate the impact of the COVID-19 pandemic;</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access to financing to fund our operations due to a deterioration of credit and financial markets; or</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higher rate of losses on our accounts receivables due to credit defaults.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6" w:name="page27"/>
    <w:bookmarkEnd w:id="26"/>
    <w:p>
      <w:pPr>
        <w:ind w:right="140"/>
        <w:spacing w:after="0" w:line="279" w:lineRule="auto"/>
        <w:rPr>
          <w:sz w:val="20"/>
          <w:szCs w:val="20"/>
          <w:color w:val="auto"/>
        </w:rPr>
      </w:pPr>
      <w:r>
        <w:rPr>
          <w:rFonts w:ascii="Arial" w:cs="Arial" w:eastAsia="Arial" w:hAnsi="Arial"/>
          <w:sz w:val="17"/>
          <w:szCs w:val="17"/>
          <w:color w:val="auto"/>
        </w:rPr>
        <w:t>The COVID-19 pandemic has also caused significant uncertainty and volatility in global financial markets and the trading prices for the common stock of technology companies, including us. Due to such volatility, we may not be able to raise additional capital, if needed, on favorable terms, or at all. Further adverse economic events resulting from the COVID-19 pandemic, including a recession, depression, or other sustained economic downturn, could materially and adversely affect our business, access to capital markets and the value of our common stock.</w:t>
      </w:r>
    </w:p>
    <w:p>
      <w:pPr>
        <w:spacing w:after="0" w:line="6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given the inherent uncertainty surrounding COVID-19 due to rapidly changing governmental directives, public health challenges and economic disruption and the duration of the foregoing, the potential impact that the COVID-19 pandemic could have on the other risk factors described in this “Risk Factors” section remain unclear.</w:t>
      </w:r>
    </w:p>
    <w:p>
      <w:pPr>
        <w:spacing w:after="0" w:line="7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a result of the COVID pandemic, we believe we have experienced some delay and disruption in the manufacture, shipment, and sales of our products. In addition, we believe the production capabilities of our suppliers has been, and will likely continue to be, impacted as a result of quarantines, closures of production facilities, lack of supplies, or delays caused by restrictions on travel or WFH orders. Further, as WFH orders terminate and individuals return to work in offices, we may experience a reduction in demand for certain of our products that are incorporated in our customers’ products that experienced higher demand as a result of the increase in WFH during the COVID pandemic. The continued disruption in the manufacture, shipment and sales of our products may negatively and materially impact our operating and financial operating results, including revenue, gross margins, operating margins, cash flows and other operating results. The resumption of normal business operations after such disruptions may be delayed and a resurgence of COVID-19 could occur resulting in continued disruption to us, our suppliers, and/or our customers. As a result, the effects of the COVID-19 pandemic could have a material adverse impact on our business, results of operations and financial condition in the future.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downturn in the worldwide economy may harm our business.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COVID-19 pandemic could cause a further downturn in the worldwide economy, which would likely result in reduced demand for our products and our customers’ products. Reduced demand for our products could result in significant decreases in sales and margins. In addition, the deterioration in credit markets could limit our ability to obtain external financing to fund our operations and capital expenditures. We may experience losses on our holdings of cash and investments due to failures of financial institutions and other parties. Adverse economic conditions may also result in a higher rate of losses on our accounts receivables due to credit defaults. As a result, a downturn in the worldwide economy could have a material adverse effect on our business, results of operations, or financial condition.</w:t>
      </w:r>
    </w:p>
    <w:p>
      <w:pPr>
        <w:spacing w:after="0" w:line="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depend on third parties for our wafer fabrication, assembly, packaging and testing operations, which exposes us to certain risks that may harm our business.</w:t>
      </w:r>
    </w:p>
    <w:p>
      <w:pPr>
        <w:spacing w:after="0" w:line="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operate an outsourced manufacturing business model. As a result, we rely on third parties for all of our manufacturing operations, including wafer fabrication, assembly, packaging and testing. Although we use multiple third-party supplier sources, we depend on these third parties to supply us with material of a requested quantity in a timely manner that meets our standards for yield, cost, and manufacturing quality. The manufacturing processes of our third-party suppliers for our products require specialized technology that requires certain raw materials. Except for our agreement with Bosch for MEMS wafers, we do not have any long-term supply agreements with any of our other manufacturing suppliers. These third-party manufacturers often serve customers that are larger than us or require a greater portion of their services, which may decrease our relative importance and negotiating leverage with these third parties.</w:t>
      </w:r>
    </w:p>
    <w:p>
      <w:pPr>
        <w:spacing w:after="0" w:line="8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If market demand for wafers or production and assembly materials increases, if a supplier of our wafers fails to procure materials needed for manufacture of our products, or if a supplier of our wafers ceases or suspends operations, our supply of wafers and other materials could become limited. We currently have a ten-year supply agreement with Bosch for the fabrication of our MEMS wafers. This agreement expires in 2027 and may be terminated with three years’ advance notice beginning in February 2024. We currently rely on Bosch for our MEMS fabrication, and TSMC for our analog circuits fabrication, and any disruption in their supply of wafers or any increases in their wafer or materials prices could adversely affect our gross margins and our ability to meet customer demands in a timely manner, or at all, and lead to reduced revenue. There is currently a number of industry-wide supply constraints affecting the supply of analog circuits manufactured by certain foundries, including TSMC, which may limit our ability to fully satisfy an increase in demand for some of our products. Moreover, wafers constitute a large portion of our product cost. If we are unable to negotiate volume discounts or otherwise purchase wafers at favorable prices and in sufficient quantities in a timely manner, our ability to ship our solutions to our customers on time and in the quantity required could be adversely affected, which in turn could cause an unanticipated decline in our sales, harm to our customer relationships, and our gross margins to be adversely affected.</w:t>
      </w:r>
    </w:p>
    <w:p>
      <w:pPr>
        <w:spacing w:after="0" w:line="7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To ensure continued wafer supply, we may be required to establish alternative wafer supply sources, which could require significant expenditures and limit our negotiating leverage. We currently rely on Bosch and TSMC as our primary foundries and suppliers for our MEMS timing devices and analog circuits, respectively, and only a few foundry vendors have the capability to manufacture our most advanced solutions, in particular with respect to our MEMS solution. If we engage alternative supply sources, we may incur additional costs and encounter difficulties and/or delays in qualifying the supply sources. For example, we have a license agreement with Bosch under which Bosch granted us a license to use certain patents. Under this agreement, we are required to pay a royalty fee to Bosch if we engage third parties to manufacture, or if we decide to manufacture ourselves, certain generations of our MEMS wafers through March 31, 2024. In addition, shipments could be significantly delayed while these sources are qualified for volume production. If we are unable to maintain our relationship with Bosch or TSMC, our ability to produce high-quality products could suffer, which in turn could harm our business, financial condition, and results of operations.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7" w:name="page28"/>
    <w:bookmarkEnd w:id="27"/>
    <w:p>
      <w:pPr>
        <w:ind w:right="20"/>
        <w:spacing w:after="0" w:line="289" w:lineRule="auto"/>
        <w:rPr>
          <w:sz w:val="20"/>
          <w:szCs w:val="20"/>
          <w:color w:val="auto"/>
        </w:rPr>
      </w:pPr>
      <w:r>
        <w:rPr>
          <w:rFonts w:ascii="Arial" w:cs="Arial" w:eastAsia="Arial" w:hAnsi="Arial"/>
          <w:sz w:val="16"/>
          <w:szCs w:val="16"/>
          <w:color w:val="auto"/>
        </w:rPr>
        <w:t>We currently rely on Advanced Semiconductor Engineering, Inc. (“ASE”), Carsem (M) Sdn. Bhd. (“Carsem”), and United Test and Assembly Center Ltd. (“UTAC”) for assembly and testing, as well as Daishinku Corp. (“Daishinku”) and UTAC for ceramic packaging for some of our products. Certain of our manufacturing, packaging, assembly, and testing facilities are located outside of the United States, including Malaysia, Taiwan, and Thailand, where we are subject to increased risk of political and economic instability, difficulties in managing operations, difficulties in enforcing contracts and our intellectual property, severe weather, and employment and labor difficulties. Additionally, public health crises, such as an outbreak of contagious diseases like the COVID-19 pandemic, may affect the production capabilities of our suppliers, including as a result of quarantines, closures of production facilities, lack of supplies, or delays caused by restrictions on travel or work-from-home orders. For example, on March 16, 2020, the government of Malaysia announced measures to restrict movement in that country in an effort to suppress the number of COVID-19 cases. The restrictions have been extended several times. These restrictions could limit our suppliers’ ability to operate their manufacturing facilities in that country.</w:t>
      </w:r>
    </w:p>
    <w:p>
      <w:pPr>
        <w:spacing w:after="0" w:line="5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Although we maintain business disruption insurance, this insurance may not be adequate to cover any losses we may experience as a result of such difficulties. Any of these factors could result in manufacturing and supply problems, and delays in our ability to provide our solutions to our customers on a timely basis, or at all. If we experience manufacturing problems at a particular location, we may be required to transfer manufacturing to a new location or supplier. Converting or transferring manufacturing from a primary location or supplier to a backup facility could be expensive and could take several quarters or more. During such a transition, we would be required to meet customer demand from our then-existing inventory, as well as any partially finished goods that could be modified to the required product specifications. In addition, our end customers may require requalification with a new wafer manufacturer. We typically maintain at least a six-month supply of our MEMS wafers for which Bosch is our primary supplier. We do not otherwise maintain sufficient inventory to address a lengthy transition period. As a result, we may not be able to meet customer needs during such a transition, which could damage our customer relationships.</w:t>
      </w:r>
    </w:p>
    <w:p>
      <w:pPr>
        <w:spacing w:after="0" w:line="8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If one or more of these vendors terminates its relationship with us, or if we encounter any problems with our manufacturing supply chain, our ability to ship our solutions to our customers on time and in the quantity required would be adversely affected, which in turn could cause an unanticipated decline in our sales, harm to our customer relationships and loss of customers. In addition, the inability of our customers or their contract manufacturers to obtain sufficient supplies of third-party components used with our products could result in a decline in the demand of our products and a loss of sales.</w:t>
      </w:r>
    </w:p>
    <w:p>
      <w:pPr>
        <w:spacing w:after="0" w:line="373"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We currently depend on one end customer for a large portion of our revenue. The loss of, or a significant reduction in orders from our customers, including this end customer, could significantly reduce our revenue and adversely impact our operating results.</w:t>
      </w:r>
    </w:p>
    <w:p>
      <w:pPr>
        <w:spacing w:after="0" w:line="3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believe that our operating results for the foreseeable future will continue to depend to a significant extent on revenue attributable to Apple, our largest end customer. Sales attributable to this end customer have historically accounted for a large portion of our revenue and accounted for approximately 37% and 34% of our revenue for the three months ended March 31, 2021 and 2020, respectively. Revenue attributable to this end customer decreased in absolute dollars and as a percentage of revenue from 2019 to 2020 and increased in absolute dollars and as a percentage of revenue from three months ended March 31, 2020 to 2021. We anticipate revenue attributable to this customer will fluctuate from period to period, although we expect to remain dependent on this end customer for a substantial portion of our revenue for the foreseeable future. Although we sell our products to this customer through distributors on a purchase order basis, including Pernas Electronics Co., Ltd. (“Pernas”), Arrow Electronics, Inc. (“Arrow”), and Quantek Technology Corporation (“Quantek”), we have a development and supply agreement, which provides a general framework for certain transactions with Apple. This agreement continues until either party terminates for material breach. Under this agreement, we have agreed to develop and deliver new products to this end customer at its request, provided it also meets our business purposes, and have agreed to indemnify it for intellectual property infringement or any injury or damages caused by our products. This end customer does not have any minimum or binding purchase obligations to us under this agreement and could elect to discontinue making purchases from us with little or no notice. If our end customers were to choose to work with other manufacturers or our relationships with our customers is disrupted for any reason, it could have a significant negative impact on our business. Any reduction in sales attributable to our larger customers, including our largest end customer, would have a significant and disproportionate impact on our business, financial condition, and results of operations.</w:t>
      </w:r>
    </w:p>
    <w:p>
      <w:pPr>
        <w:spacing w:after="0" w:line="7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Because our sales are made pursuant to standard purchase orders, orders may be cancelled, reduced, or rescheduled with little or no notice and without penalty. Cancellations of orders could result in the loss of anticipated sales without allowing us sufficient time to reduce our inventory and operating expenses. In addition, changes in forecasts or the timing of orders from our customers expose us to the risks of inventory shortages or excess inventory. This in turn could cause our operating results to fluctuate.</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ind w:right="340"/>
        <w:spacing w:after="0" w:line="301" w:lineRule="auto"/>
        <w:rPr>
          <w:sz w:val="20"/>
          <w:szCs w:val="20"/>
          <w:color w:val="auto"/>
        </w:rPr>
      </w:pPr>
      <w:r>
        <w:rPr>
          <w:rFonts w:ascii="Arial" w:cs="Arial" w:eastAsia="Arial" w:hAnsi="Arial"/>
          <w:sz w:val="16"/>
          <w:szCs w:val="16"/>
          <w:color w:val="auto"/>
        </w:rPr>
        <w:t>Our end customers, or the distributors through which we sell to these customers, may choose to use products in addition to ours, use a different product altogether, or develop an in-house solution. Any of these events could significantly harm our business, financial condition, and results of operations. In addition, if our distributors’ relationships with our end customers, including our larger end customers, are disrupted for inability to deliver sufficient products or for any other reason, it could have a significant negative impact on our business, financial condition, and results of operations.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expand or further diversify our customer base, our business, financial condition, and results of operations could suffer.</w:t>
      </w:r>
    </w:p>
    <w:p>
      <w:pPr>
        <w:spacing w:after="0" w:line="12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sell our products primarily through distributors and resellers, who in turn sell to our end customers. For the three months ended March 31, 2021 and 2020, our top three distributors by revenue together accounted for approximately 62%, and 57% of our revenue, respectively. Based on our shipment information, we believe that revenue attributable to our ten largest end customers accounted for 60%, and 55% of our revenue in the three months ended March 31, 2021 and 2020, respectively. Sales attributable to our largest end customer accounted for approximately 37% and 34%, respectively of our revenue for the three months ended March 31, 2021 and 2020, respectively. We expect the composition of our largest end customers to vary from period to period, and that revenue attributable to our largest ten end customers in any given period may decline over time. Our relationships with existing customers may deter potential customers who compete with these customers from buying our silicon timing systems solutions. If we are unable to expand or further diversify our customer base, it could harm our business, financial condition, and results of operations.</w:t>
      </w:r>
    </w:p>
    <w:p>
      <w:pPr>
        <w:spacing w:after="0" w:line="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Because we do not have long-term purchase commitments with our customers, orders may be cancelled, reduced, or rescheduled with little or no notice, which in turn exposes us to inventory risk, and may cause our business and results of operations to suffer.</w:t>
      </w:r>
    </w:p>
    <w:p>
      <w:pPr>
        <w:spacing w:after="0" w:line="6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sell our products primarily through distributors and resellers, with no long-term or minimum purchase commitments from them or their end customers. Substantially all of our sales to date have been made on a purchase order basis, which orders may be cancelled, changed, or rescheduled with little or no notice or penalty. As a result, our revenue and operating results could fluctuate materially and could be materially and disproportionately impacted by purchasing decisions of our customers, including our larger customers. In the future, our distributors or their end customers may decide to purchase fewer units than they have in the past, may alter their purchasing patterns at any time with limited or no notice, or may decide not to continue to purchase our silicon timing systems solutions at all, any of which could cause our revenue to decline materially and materially harm our business, financial condition, and results of operations. Cancellations of, reductions in, or rescheduling of customer orders could also result in the loss of anticipated sales without allowing us sufficient time to reduce our inventory and operating expenses, as a substantial portion of our expenses are fixed at least in the short term. In addition, changes in forecasts or the timing of orders expose us to the risks of inventory shortages or excess inventory. As we no longer intend to acquire inventory to pre-build custom products, we may not be able to fulfill increased demand in the short term. Any of the foregoing events could materially and adversely affect our business, financial condition, and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and operating results may fluctuate from period to period, which could cause our stock price to fluctuate.</w:t>
      </w:r>
    </w:p>
    <w:p>
      <w:pPr>
        <w:spacing w:after="0" w:line="117"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Our revenue and operating results have fluctuated in the past and may fluctuate from period to period in the future due to a variety of factors, many of which are beyond our control. Factors relating to our business that may contribute to these fluctuations include the following factors, as well as other factors described elsewhere in this report:</w:t>
      </w:r>
    </w:p>
    <w:p>
      <w:pPr>
        <w:spacing w:after="0" w:line="76" w:lineRule="exact"/>
        <w:rPr>
          <w:sz w:val="20"/>
          <w:szCs w:val="20"/>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suppliers, and customers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demand and product life cycles;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receipt, reduction, or cancellation of, or changes in the forecasts or timing of, orders by customers;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the levels of inventories held by our distributors or end customers;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supply chain disruptions, delays, shortages, and capacity limitations as a result of the COVID-19 pandemic or other reasons.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acceptance of our products and our customers’ products;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introduce, and market new products and technologies on a timely basis;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extent of product development costs;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product announcements and introductions by us or our competitors;</w:t>
      </w:r>
    </w:p>
    <w:p>
      <w:pPr>
        <w:spacing w:after="0" w:line="117" w:lineRule="exact"/>
        <w:rPr>
          <w:rFonts w:ascii="Arial" w:cs="Arial" w:eastAsia="Arial" w:hAnsi="Arial"/>
          <w:sz w:val="18"/>
          <w:szCs w:val="18"/>
          <w:color w:val="auto"/>
        </w:rPr>
      </w:pPr>
    </w:p>
    <w:p>
      <w:pPr>
        <w:ind w:left="1120" w:right="800" w:hanging="748"/>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research and development costs and related new product expenditures and our ability to achieve cost reductions in a timely or predictable manner;</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seasonality and fluctuations in sales by product manufacturers that incorporate our silicon timing systems solutions into their products;</w:t>
      </w:r>
    </w:p>
    <w:p>
      <w:pPr>
        <w:spacing w:after="0" w:line="128" w:lineRule="exact"/>
        <w:rPr>
          <w:rFonts w:ascii="Arial" w:cs="Arial" w:eastAsia="Arial" w:hAnsi="Arial"/>
          <w:sz w:val="17"/>
          <w:szCs w:val="17"/>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end-market demand into which we have limited insight, including cyclicality, seasonality, and the competitive landscape;</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cyclical fluctuations in the semiconductor market;</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ind w:left="1120" w:hanging="74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our manufacturing yields;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warranty claims, including those not covered by our suppliers; and</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pricing, product cost, and product mix.</w:t>
      </w:r>
    </w:p>
    <w:p>
      <w:pPr>
        <w:spacing w:after="0" w:line="11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an accumulated deficit and have incurred net losses in the past, and we may continue to incur net losses in the future.</w:t>
      </w:r>
    </w:p>
    <w:p>
      <w:pPr>
        <w:spacing w:after="0" w:line="11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As of March 31, 2021, and December 31, 2020, we had an accumulated deficit of $67.0 million and $63.4 million, respectively. We generated net losses of $3.6 million and $5.1 million in the three months ended March 31, 2021 and 2020, respectively. We may continue to incur net losses in the future.</w:t>
      </w:r>
    </w:p>
    <w:p>
      <w:pPr>
        <w:spacing w:after="0" w:line="16" w:lineRule="exact"/>
        <w:rPr>
          <w:sz w:val="20"/>
          <w:szCs w:val="20"/>
          <w:color w:val="auto"/>
        </w:rPr>
      </w:pPr>
    </w:p>
    <w:p>
      <w:pPr>
        <w:ind w:right="440"/>
        <w:spacing w:after="0" w:line="311" w:lineRule="auto"/>
        <w:rPr>
          <w:sz w:val="20"/>
          <w:szCs w:val="20"/>
          <w:color w:val="auto"/>
        </w:rPr>
      </w:pPr>
      <w:r>
        <w:rPr>
          <w:rFonts w:ascii="Arial" w:cs="Arial" w:eastAsia="Arial" w:hAnsi="Arial"/>
          <w:sz w:val="16"/>
          <w:szCs w:val="16"/>
          <w:color w:val="auto"/>
        </w:rPr>
        <w:t>We expect to continue to make significant investments to support our research and development, sales and marketing and general and administrative functions. As a public company, we also continue to incur significant additional legal, accounting, and other expenses. If our revenue growth does not exceed the growth of these anticipated expenses, we may not be able to achieve or sustain profitability, and our stock price could decline.</w:t>
      </w:r>
    </w:p>
    <w:p>
      <w:pPr>
        <w:spacing w:after="0" w:line="4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Our success and future revenue depend on our ability to achieve design wins and to convince our current and prospective customers to design our products into their product offerings. If we do not continue to win designs or our products are not designed into our customers’ product offerings, our results of operations and business will be harmed.</w:t>
      </w:r>
    </w:p>
    <w:p>
      <w:pPr>
        <w:spacing w:after="0" w:line="76"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We sell our silicon timing systems solutions to customers who select our solutions for inclusion in their product offerings. This selection process is typically lengthy and may require us to incur significant design and development expenditures and dedicate scarce engineering resources in pursuit of a single design win with no assurance that our solutions will be selected. If we fail to convince our current or prospective customers to include our products in their product offerings or to achieve a consistent number of design wins, our business, financial condition, and results of operations will be harmed.</w:t>
      </w:r>
    </w:p>
    <w:p>
      <w:pPr>
        <w:spacing w:after="0" w:line="4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Because of our extended sales cycle, our revenue in future years is highly dependent on design wins we are awarded in prior years. It is typical that a design win will not result in meaningful revenue for a year or more, if at all. If we do not continue to achieve design wins in the short term, our revenue in the following years will deteriorate.</w:t>
      </w:r>
    </w:p>
    <w:p>
      <w:pPr>
        <w:spacing w:after="0" w:line="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adversely affect our business, financial condition, and results of operations.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spacing w:after="0" w:line="8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If we fail to anticipate or respond to technological shifts or market demands, or to timely develop new or enhanced products or technologies in response to the same, it could result in decreased revenue and the loss of our design wins to our competitors. Due to the interdependence of various components in the systems within which our products and the products of our competitors operate, customers are unlikely to change to another design, once adopted, until the next generation of a technology. As a result, if we fail to introduce new or enhanced products that meet the needs of our customers or penetrate new markets in a timely fashion, and our designs do not gain acceptance, we will lose market share and our competitive position.</w:t>
      </w:r>
    </w:p>
    <w:p>
      <w:pPr>
        <w:spacing w:after="0" w:line="53"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loss of a key customer or design win, a reduction in sales to any key customer, a significant delay or negative development in our customers’ product development plans, or our inability to attract new significant customers or secure new key design wins could seriously impact our revenue and materially and adversely affect our business, financial condition, and results of operations</w:t>
      </w:r>
      <w:r>
        <w:rPr>
          <w:rFonts w:ascii="Arial" w:cs="Arial" w:eastAsia="Arial" w:hAnsi="Arial"/>
          <w:sz w:val="18"/>
          <w:szCs w:val="18"/>
          <w:b w:val="1"/>
          <w:bCs w:val="1"/>
          <w:i w:val="1"/>
          <w:iCs w:val="1"/>
          <w:color w:val="auto"/>
        </w:rPr>
        <w:t>.</w:t>
      </w:r>
    </w:p>
    <w:p>
      <w:pPr>
        <w:spacing w:after="0" w:line="76"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We may experience difficulties demonstrating the value to customers of newer solutions if they believe existing solutions are adequate to meet end customer expectations. If we are unable to sell new generations of our product, our business would be harmed.</w:t>
      </w:r>
    </w:p>
    <w:p>
      <w:pPr>
        <w:spacing w:after="0" w:line="16"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As we develop and introduce new solutions, we face the risk that customers may not value or be willing to bear the cost of incorporating these newer solutions into their product offerings, particularly if they believe their customers are satisfied with prior offerings. Regardless of the improved features or superior performance of the newer solutions, customers may be unwilling to adopt our new solutions due to design or pricing constraints. Because of the extensive time and resources that we invest in developing new solutions, if we are unable to sell new generations of our solutions, our revenue could decline and our business, financial condition, and results of operations would be negatively affected.</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ind w:right="260"/>
        <w:spacing w:after="0" w:line="263" w:lineRule="auto"/>
        <w:rPr>
          <w:sz w:val="20"/>
          <w:szCs w:val="20"/>
          <w:color w:val="auto"/>
        </w:rPr>
      </w:pPr>
      <w:r>
        <w:rPr>
          <w:rFonts w:ascii="Arial" w:cs="Arial" w:eastAsia="Arial" w:hAnsi="Arial"/>
          <w:sz w:val="18"/>
          <w:szCs w:val="18"/>
          <w:b w:val="1"/>
          <w:bCs w:val="1"/>
          <w:i w:val="1"/>
          <w:iCs w:val="1"/>
          <w:color w:val="auto"/>
        </w:rPr>
        <w:t>Some of our customer and other third-party agreements provide for joint and/or custom product development, which subject us to a number of risks, and any failure to execute on any of these arrangements could have a material adverse effect on our business, results of operations, and financial condition.</w:t>
      </w:r>
    </w:p>
    <w:p>
      <w:pPr>
        <w:spacing w:after="0" w:line="7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entered into development, product collaboration and technology licensing arrangements with some of our customers and other third parties, and we expect to enter into new arrangements of these kinds from time to time in the future. These agreements may increase risks for us, such as the risks related to timely delivery of new products, risks associated with the ownership of the intellectual property developed, risks that such activities may not result in products that are commercially successful or available in a timely fashion, and risks that third parties involved may abandon or fail to perform their obligations related to such agreements. In addition, such arrangements may provide for exclusivity periods during which we may only sell specified products or technologies to that particular customer. Any failure to timely develop commercially successful products under such arrangements as a result of any of these and other challenges could have a material adverse effect on our business, results of operations, and financial condition.</w:t>
      </w:r>
    </w:p>
    <w:p>
      <w:pPr>
        <w:spacing w:after="0" w:line="7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success of our products is dependent on our customers’ ability to develop products that achieve market acceptance, and our customers’ failure to do so could negatively affect our business.</w:t>
      </w:r>
    </w:p>
    <w:p>
      <w:pPr>
        <w:spacing w:after="0" w:line="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success of our silicon timing systems solutions is heavily dependent on the timely introduction, quality, and market acceptance of our customers’ products incorporating our solutions, which are impacted by factors beyond our control. Our customers’ products are often very complex and subject to design complexities that may result in design flaws, as well as potential defects, errors, and bugs. We have in the past been subject to delays and project cancellations as a result of design flaws in the products developed by our customers, changing market requirements, such as the customer adding a new feature, or because a customer’s product fails their end customer’s evaluation or field trial. In other cases, customer products are delayed due to incompatible deliverables from other vendors. We incur significant design and development costs in connection with designing our products for customers’ products that may not ultimately achieve market acceptance. If our customers discover design flaws, defects, errors, or bugs in their products, or if they experience changing market requirements, failed evaluations or field trials, or incompatible deliverables from other vendors, they may delay, change, or cancel a project, and we may have incurred significant additional development costs and may not be able to recoup our costs, which in turn would adversely affect our business, financial condition, and results of operations.</w:t>
      </w:r>
    </w:p>
    <w:p>
      <w:pPr>
        <w:spacing w:after="0" w:line="77"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Our target customer and product markets may not grow or develop as we currently expect, and if we fail to penetrate new markets and scale successfully within those markets, our revenue and financial condition would be harmed.</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target markets include the enterprise and telecommunications infrastructure, automotive, industrial, IoT and mobile, and aerospace and defense markets. Substantially all of our revenue for the three months ended March 31, 2021 and 2020 was derived from sales in the IoT and mobile, industrial, and consumer markets. In 2017, we began introducing products for the automotive market. In addition, within the timing market, substantially all of our revenue to date has been attributable to sales of MEMS oscillators. We intend to focus on clock IC and timing sync solutions in the future. Any deterioration in our target customer or product markets or reduction in capital spending to support these markets could lead to a reduction in demand for our products, which would adversely affect our revenue and results of operations. Further, if our target customer markets, including the 5G communications or IoT and mobile markets, do not grow or develop in ways that we currently expect, demand for our technology may not materialize as expected, which would also negatively impact our business, financial condition, and results of operations.</w:t>
      </w:r>
    </w:p>
    <w:p>
      <w:pPr>
        <w:spacing w:after="0" w:line="70"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We may be unable to predict the timing or development of trends in our target markets with any accuracy. If we fail to accurately predict market requirements or market demand for these solutions, our business will suffer. A market shift towards an industry standard that we may not support could significantly decrease the demand for our solutions.</w:t>
      </w:r>
    </w:p>
    <w:p>
      <w:pPr>
        <w:spacing w:after="0" w:line="76"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Our future revenue growth, if any, will depend in part on our ability to expand within our existing markets, our ability to continue to penetrate emerging markets, such as the 5G communications market, which we entered in 2019, and our ability to enter into new markets, such as the industrial, medical, and military markets. Each of these markets presents distinct and substantial challenges and risks and, in many cases, requires us to develop new customized solutions to address the particular requirements of that market. Meeting the technical requirements and securing design wins in any of these new markets will require a substantial investment of our time and resources. We cannot assure you that we will secure design wins from these or other new markets, or that we will achieve meaningful revenue from sales in these markets. If any of these markets do not develop as we currently anticipate or if we are unable to penetrate them and scale in them successfully, our revenue could decline.</w:t>
      </w:r>
    </w:p>
    <w:p>
      <w:pPr>
        <w:spacing w:after="0" w:line="6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average selling prices of our individual products have fluctuated historically over time and may do so in the future, which could harm our revenue and gross margins.</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Although on average selling prices of our products have increased over time as we introduce higher end products, the average selling prices of our individual products generally decrease over time. Our revenue is derived from sales to large distributors and, in some cases, we have agreed in advance to price reductions, generally over a period of time ranging from two months to three years, once the specified product begins to ship in volume. However, our customers may change their purchase orders and demand forecasts at any time with limited notice due in part to fluctuating end-market demand, which can sometimes lead to price renegotiations. Although these price renegotiations can sometimes result in the average selling prices fluctuating over the shorter term, we expect average selling prices generally to decline over the longer term as our products and our end customers’ products mature.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ind w:right="220"/>
        <w:spacing w:after="0" w:line="259" w:lineRule="auto"/>
        <w:rPr>
          <w:sz w:val="20"/>
          <w:szCs w:val="20"/>
          <w:color w:val="auto"/>
        </w:rPr>
      </w:pPr>
      <w:r>
        <w:rPr>
          <w:rFonts w:ascii="Arial" w:cs="Arial" w:eastAsia="Arial" w:hAnsi="Arial"/>
          <w:sz w:val="18"/>
          <w:szCs w:val="18"/>
          <w:color w:val="auto"/>
        </w:rPr>
        <w:t>We seek to offset the anticipated reductions in our average selling prices by reducing the cost of our products through improvements in manufacturing yields and lower wafer, assembly, and testing costs, developing new products, enhancing lower-cost products on a timely basis, and increasing unit sales. However, if we are unable to offset these anticipated reductions in our average selling prices, our business, financial condition, and results of operations could be negatively affected.</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not able to successfully introduce and ship in volume new products in a timely manner, our business and revenue will suffer.</w:t>
      </w:r>
    </w:p>
    <w:p>
      <w:pPr>
        <w:spacing w:after="0" w:line="1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have developed products that we anticipate will have product life cycles of ten years or more, as well as other products in more volatile high growth or rapidly changing areas, which may have shorter life cycles. Our future success depends, in part, on our ability to develop and introduce new technologies and products that generate new sources of revenue to replace, or build upon, existing revenue streams. If we are unable to repeatedly introduce, in successive years, new products that ship in volume, or if our transition to these new products does not successfully occur prior to any decrease in revenue from our prior products, our revenue will likely decline significantly and rapidly.</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gross margins may fluctuate due to a variety of factors, which could negatively impact our results of operations and our financial condition.</w:t>
      </w:r>
    </w:p>
    <w:p>
      <w:pPr>
        <w:spacing w:after="0" w:line="140"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Our gross margins may fluctuate due to a number of factors, including customer and product mix, market acceptance of our new products, timing and seasonality of the end-market demand, yield, wafer pricing, packaging and testing costs, competitive pricing dynamics, the impact of the COVID-19 pandemic and geographic and market pricing strategies.</w:t>
      </w:r>
    </w:p>
    <w:p>
      <w:pPr>
        <w:spacing w:after="0" w:line="7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To attract new customers or retain existing customers, we have in the past and will in the future offer certain customers favorable prices, which would decrease our average selling prices and likely impact gross margins. Further, we may also offer pricing incentives to our customers on earlier generations of products that inherently have a higher cost structure, which would negatively affect our gross margins. In addition, in the event our customers, including our larger end customers, exert more pressure with respect to pricing and other terms with us, it could put downward pressure on our margins.</w:t>
      </w:r>
    </w:p>
    <w:p>
      <w:pPr>
        <w:spacing w:after="0" w:line="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Because we do not operate our own manufacturing, assembly, or testing facilities, we may not be able to reduce our costs as rapidly as companies that operate their own facilities, and our costs may even increase, which could further reduce our gross margins. We rely primarily on obtaining yield improvements and volume-based cost reductions to drive cost reductions in the manufacture of existing products, introducing new products that incorporate advanced features and optimize die size, and other price and performance factors that enable us to increase revenue while maintaining gross margins. To the extent that such cost reductions or revenue increases do not occur at a sufficient level and in a timely manner, our business, financial condition, and results of operations could be adversely affected.</w:t>
      </w:r>
    </w:p>
    <w:p>
      <w:pPr>
        <w:spacing w:after="0" w:line="8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 addition, we maintain an inventory of our products at various stages of production and in some cases as finished good inventory. We hold these inventories in anticipation of customer orders. If those customer orders do not materialize in a timely manner, we may have excess or obsolete inventory which we would have to reserve or write-down, and our gross margins would be adversely affected.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in recent periods may not be indicative of future performance and our revenue may fluctuate over time.</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recent revenue should not be considered indicative of our future performance. For the three months ended March 31, 2021 and 2020, our revenue was $35.5 million and $21.7 million, respectively. You should not rely on our revenue for any previous quarterly or annual periods as any indication of our revenue for future fiscal periods. As we grow our business, our revenue may fluctuate in future periods due to a number of reasons, which may include slowing demand for our products, increasing competition, the impact of the COVID-19 pandemic, a decrease in the growth of our overall market or market saturation, and challenges and our failure to capitalize on growth opportunities.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manage our growth effectively, we may not be able to execute our business plan and our operating results could suffer.</w:t>
      </w:r>
    </w:p>
    <w:p>
      <w:pPr>
        <w:spacing w:after="0" w:line="1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order to succeed in executing our business plan, we will need to manage our growth effectively as we make significant investments in research and development and sales and marketing and expand our operations and infrastructure both domestically and internationally. If our revenue does not increase to offset these increases in our expenses, we may not achieve or maintain profitability in future periods.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ind w:right="60"/>
        <w:spacing w:after="0" w:line="291" w:lineRule="auto"/>
        <w:rPr>
          <w:sz w:val="20"/>
          <w:szCs w:val="20"/>
          <w:color w:val="auto"/>
        </w:rPr>
      </w:pPr>
      <w:r>
        <w:rPr>
          <w:rFonts w:ascii="Arial" w:cs="Arial" w:eastAsia="Arial" w:hAnsi="Arial"/>
          <w:sz w:val="16"/>
          <w:szCs w:val="16"/>
          <w:color w:val="auto"/>
        </w:rPr>
        <w:t>To manage our growth effectively, we must continue to expand our operations, engineering, financial accounting, internal management, and other systems, procedures, and controls. This may require substantial managerial and financial resources, and our efforts may not be successful. Any failure to successfully implement systems enhancements and improvements will likely have a negative impact on our ability to manage our expected growth, as well as our ability to ensure uninterrupted operation of key business systems and compliance with the rules and regulations applicable to public companies. If we are unable to manage our growth effectively, we may not be able to take advantage of market opportunities or develop new silicon timing systems solutions, and we may fail to satisfy customer product or support requirements, maintain the quality of our solutions, execute our business plan or respond to competitive pressures, any of which could negatively affect our business, financial condition, and results of operations.</w:t>
      </w:r>
    </w:p>
    <w:p>
      <w:pPr>
        <w:spacing w:after="0" w:line="58" w:lineRule="exact"/>
        <w:rPr>
          <w:sz w:val="20"/>
          <w:szCs w:val="20"/>
          <w:color w:val="auto"/>
        </w:rPr>
      </w:pPr>
    </w:p>
    <w:p>
      <w:pPr>
        <w:ind w:right="200"/>
        <w:spacing w:after="0" w:line="375" w:lineRule="auto"/>
        <w:rPr>
          <w:sz w:val="20"/>
          <w:szCs w:val="20"/>
          <w:color w:val="auto"/>
        </w:rPr>
      </w:pPr>
      <w:r>
        <w:rPr>
          <w:rFonts w:ascii="Arial" w:cs="Arial" w:eastAsia="Arial" w:hAnsi="Arial"/>
          <w:sz w:val="15"/>
          <w:szCs w:val="15"/>
          <w:b w:val="1"/>
          <w:bCs w:val="1"/>
          <w:i w:val="1"/>
          <w:iCs w:val="1"/>
          <w:color w:val="auto"/>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spacing w:after="0" w:line="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Prior to purchasing our silicon timing systems solutions, our customers require that both our solutions and our third-party contractors undergo extensive qualification processes, which involve testing of our products in the customers’ systems, as well as testing for reliability. This qualification process may continue for several months. However, qualification of a product by a customer does not assure any sales of the product to that customer. Even after successful qualification and sales of a product to a customer, a subsequent revision in our third-party contractors’ manufacturing process or our selection of a new supplier may require a new qualification process with our customers,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qualifying our products with customers in anticipation of sales. If we are unsuccessful or delayed in qualifying any of our products with a customer, sales of those products to the customer may be precluded or delayed, which would cause our business, financial condition, and results of operations to suffer.</w:t>
      </w:r>
    </w:p>
    <w:p>
      <w:pPr>
        <w:spacing w:after="0" w:line="7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provide a lifetime warranty on our products and may be subject to warranty or product liability claims, which could result in unexpected expenses and loss of market share.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provide a lifetime warranty on our products and generally agree to indemnify our customers for defects in our products or failure of our products to meet our product specifications. We may be subject to warranty or product liability claims. These claims may require us to make significant expenditures to defend those claims, replace our solutions, refund payments, or pay damage awards. This risk is exacerbated by the lifetime warranty of our products, which exposes us to warranty claims for the entire product lifecycle.</w:t>
      </w:r>
    </w:p>
    <w:p>
      <w:pPr>
        <w:spacing w:after="0" w:line="7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silicon timing systems solutions have only been incorporated into end products for the past 13 years. Accordingly, the operation of our products and technology has not been validated over longer periods. If a customer’s product fails in use, the customer may incur significant monetary damages, including a product recall or associated replacement expenses as well as lost revenue. The customer may claim that a defect in our product caused the product failure and assert a claim against us to recover monetary damages. In certain situations, circumstances might warrant that we consider incurring the costs or expenses related to a recall of one of our products in order to avoid the potential claims that may be raised should a customer reasonably rely upon our product and suffer a failure due to a design or manufacturing process defect. In addition, the cost of defending these claims and satisfying any arbitration award or judgment with respect to these claims would result in unexpected expenses, which could be substantial, and could harm our business, financial condition, and results of operations. Although we carry product liability insurance, this insurance is subject to significant deductibles and may not adequately cover our costs arising from defects in our products or otherwise.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Defects in our products or failures to meet product specifications could harm our relationships with our customers and damage our reputation.</w:t>
      </w:r>
    </w:p>
    <w:p>
      <w:pPr>
        <w:spacing w:after="0" w:line="14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products must meet demanding specifications for quality, performance, and reliability. Defects in our products or failure of our products to meet required product specifications may cause our customers to be reluctant to buy our products, which could harm our ability to retain existing customers and attract new customers and adversely impact our reputation. The process of identifying a defective or potentially defective product in systems that have been widely distributed may be lengthy and require significant resources. Further, if we are unable to determine the root cause of a problem or find an appropriate solution, we may delay shipment to customers. As a result, we may incur significant replacement costs and contract damage claims from our customers, and our reputation, business, financial condition, and results of operations may be adversely affected.</w:t>
      </w:r>
    </w:p>
    <w:p>
      <w:pPr>
        <w:spacing w:after="0" w:line="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fail to accurately anticipate and respond to rapid technological change in the industries in which we operate, our ability to attract and retain customers could be impaired and our competitive position could be harmed.</w:t>
      </w:r>
    </w:p>
    <w:p>
      <w:pPr>
        <w:spacing w:after="0" w:line="62"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We operate in industries characterized by rapidly changing technologies as well as technological obsolescence. The introduction of new products by our competitors, the delay or cancellation of any of our customers’ product offerings for which our silicon timing systems solutions are designed, the market acceptance of products based on new or alternative technologies, or the emergence of new industry standards could render our existing or future products uncompetitive, obsolete, and otherwise unmarketable. Our failure to anticipate or timely develop new or enhanced products or technologies in response to changing market demand, whether due to</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3" w:name="page34"/>
    <w:bookmarkEnd w:id="33"/>
    <w:p>
      <w:pPr>
        <w:ind w:right="700"/>
        <w:spacing w:after="0" w:line="277" w:lineRule="auto"/>
        <w:rPr>
          <w:sz w:val="20"/>
          <w:szCs w:val="20"/>
          <w:color w:val="auto"/>
        </w:rPr>
      </w:pPr>
      <w:r>
        <w:rPr>
          <w:rFonts w:ascii="Arial" w:cs="Arial" w:eastAsia="Arial" w:hAnsi="Arial"/>
          <w:sz w:val="18"/>
          <w:szCs w:val="18"/>
          <w:color w:val="auto"/>
        </w:rPr>
        <w:t>technological shifts or otherwise, could result in the loss of customers and decreased revenue and have an adverse effect on our business, financial condition, and results of operations.</w:t>
      </w:r>
    </w:p>
    <w:p>
      <w:pPr>
        <w:spacing w:after="0" w:line="6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If our products do not conform to, or are not compatible with, existing or emerging industry standards, demand for our existing solutions may decrease, which in turn would harm our business and operating results.</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design certain of our products to conform to current industry standards. Some industry standards may not be widely adopted or implemented uniformly and competing standards may emerge that may be preferred by our distributors or our end customers.</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ability to compete in the future will depend on our ability to identify and ensure compliance with evolving industry standards in our target markets, as well as in the timing IC industry. The emergence of new industry standards could render our products incompatible with products developed by third-party suppliers or make it difficult for our products to meet the requirements of certain OEMs. If our customers or our third-party suppliers adopt new or competing industry standards with which our solutions are not compatible, or if industry groups fail to adopt standards with which our solutions are compatible, our products would become less desirable to our current or prospective customers. As a result, our sales would suffer, and we could be required to make significant expenditures to develop new products. Although we believe our products are compliant with applicable industry standards, proprietary enhancements may not in the future result in conformance with existing industry standards under all circumstances. If our products do not conform to, or are not compatible with, existing or emerging standards, it would harm our business, financial condition, and results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make the substantial investments that are required to remain competitive in our business.</w:t>
      </w:r>
    </w:p>
    <w:p>
      <w:pPr>
        <w:spacing w:after="0" w:line="11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semiconductor industry requires substantial and continuous investment in research and development in order to bring to market new and enhanced solutions. We expect our research and development expenditures to increase in the future as part of our strategy to increase demand for our solutions in our current markets and to expand into additional markets. We are a smaller company with limited resources, and we may not have sufficient resources to maintain the level of investment in research and development required to remain competitive. In addition, we cannot assure you that the technologies, which are the focus of our research and development expenditures, will become commercially successful or generate any revenue.</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compete effectively, we may lose or fail to gain market share, which could negatively impact our operating results and our business.</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 global semiconductor market in general, and the timing IC market in particular, is highly competitive. We expect competition to increase and intensify as additional companies enter our target markets, and as internal silicon design resources of large OEMs grow. Increased competition could result in price pressure, reduced gross margins and loss of market share, any of which could harm our business, financial condition, and results of operations. Our competitors range from large, international companies offering a wide range of semiconductor and quartz products to smaller companies, including start-ups, specializing in narrow market verticals. In the MEMS-based oscillator market, we primarily compete against Microchip Technology Inc. (“MCHP”) through their acquisition of Micrel, Incorporated. In the MEMS-based resonator market, we primarily compete against Murata Manufacturing Co., Ltd. In the analog mixed-signal IC and clocking market, we primarily compete against Renesas Electronics Corporation (through their acquisition of Integrated Device Technology, Inc.), Silicon Laboratories Inc., Texas Instruments Incorporated, Micrel, (which is owned by MCHP), and Analog Devices, Inc. In the oscillator market, we primarily compete against quartz crystal suppliers such as Rakon Limited, Daishinku Corporation, Nihon Dempa Kogyo Co., Ltd., TXC Corporation, Seiko Epson Corporation, Kyocera Corporation and Vectron International (which is owned by MCHP), as well as semiconductor suppliers such as Silicon Laboratories Inc. In the Aerospace-defense market for oscillators, we also typically complete against, small, specialized companies that offer quartz-based solutions for various applications. We expect competition in our current markets to increase in the future as existing competitors improve or expand their technology and product offerings and as new competitors enter these markets. In addition, our future growth will depend in part on our ability to successfully enter and compete in new markets. Some of these markets will likely be served by only a few large, multinational OEMs with substantial negotiating and buying power relative to us and, in some instances, with internally developed silicon solutions that can be competitive to our products.</w:t>
      </w:r>
    </w:p>
    <w:p>
      <w:pPr>
        <w:spacing w:after="0" w:line="7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ability to compete successfully depends, in part, on factors that are outside of our control, including industry and general economic trends. Many of our competitors are substantially larger, have greater financial, technical, marketing, distribution, customer support, government support, and other resources, are more established than we are and have significantly better brand recognition and broader product offerings. This in turn may enable them to better withstand adverse economic or market conditions, such as those caused by the current COVID-19 pandemic, in the future and significantly reduce their pricing so as to compete against us. Our ability to compete successfully will depend on a number of factors, including:</w:t>
      </w:r>
    </w:p>
    <w:p>
      <w:pPr>
        <w:spacing w:after="0" w:line="68" w:lineRule="exact"/>
        <w:rPr>
          <w:sz w:val="20"/>
          <w:szCs w:val="20"/>
          <w:color w:val="auto"/>
        </w:rPr>
      </w:pPr>
    </w:p>
    <w:p>
      <w:pPr>
        <w:ind w:left="1120" w:right="180" w:hanging="748"/>
        <w:spacing w:after="0" w:line="277"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define, design, and regularly introduce new products that anticipate the functionality and integration needs of our customers’ next-generation products and applications;</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build strong and long-lasting relationships with our customers and other industry participants;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capitalize on, and prevent losses due to, vertical integration by significant customers;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ind w:left="1120" w:hanging="74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solutions’ performance and cost-effectiveness relative to those of competing products;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achieve design wins;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effectiveness and success of our customers’ products utilizing our solutions within their competitive end markets;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research and development capabilities to provide innovative solutions and maintain our product roadmap;</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strength of our sales and marketing efforts, including those of our distributors, and our brand awareness and reputation;</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secure capacity with our foundry and assembly partners to manufacture and assemble our products;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deliver products in volume on a timely basis at competitive prices;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withstand or respond to significant price competition;</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build and expand international operations in a cost-effective manner;</w:t>
      </w:r>
    </w:p>
    <w:p>
      <w:pPr>
        <w:spacing w:after="0" w:line="117" w:lineRule="exact"/>
        <w:rPr>
          <w:rFonts w:ascii="Arial" w:cs="Arial" w:eastAsia="Arial" w:hAnsi="Arial"/>
          <w:sz w:val="18"/>
          <w:szCs w:val="18"/>
          <w:color w:val="auto"/>
        </w:rPr>
      </w:pPr>
    </w:p>
    <w:p>
      <w:pPr>
        <w:ind w:left="1120" w:right="320" w:hanging="748"/>
        <w:spacing w:after="0" w:line="277"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rights, including obtaining intellectual property rights from third-parties that may be necessary to meet the evolving demands of the market;</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defend potential patent infringement claims arising from third-parties;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promote and support our customers’ incorporation of our solutions into their products; and</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retain high-level talent, including our management team and engineers.</w:t>
      </w:r>
    </w:p>
    <w:p>
      <w:pPr>
        <w:spacing w:after="0" w:line="11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Our competitors may also establish cooperative relationships among themselves or with third-parties or may acquire companies that provide similar products to ours. As a result, new competitors or alliances may emerge that could capture significant market share. Additionally, timing suppliers, especially resonator suppliers, may engage directly with our customers to help the customer build timing products, and eliminate the need for an external timing supplier in some of their applications. Any of these factors, alone or in combination with others, could harm our business, financial condition, and results of operations and result in a loss of market share and an increase in pricing pressure.</w:t>
      </w:r>
    </w:p>
    <w:p>
      <w:pPr>
        <w:spacing w:after="0" w:line="6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or an inability to attract or retain highly skilled employees could adversely affect our business.</w:t>
      </w:r>
    </w:p>
    <w:p>
      <w:pPr>
        <w:spacing w:after="0" w:line="6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success depends largely upon the continued services of our executive officers and other key employees, including our engineering and sales and marketing personnel. From time to time, there may be changes in our executive management team or other key personnel,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other key employees could have an adverse effect on our business.</w:t>
      </w:r>
    </w:p>
    <w:p>
      <w:pPr>
        <w:spacing w:after="0" w:line="8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to execute our growth plan, we must attract and retain highly qualified personnel. Competition for these personnel in the San Francisco Bay Area, where our headquarters is located, and in other locations where we maintain offices, is intense, especially for engineers with MEMS technology and advanced clock IC design expertise. We have from time to time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Further, changes in immigration policies may negatively impact our ability to attract and retain personnel, including personnel with specialized technical expertise. If we fail to attract new personnel or fail to retain or motivate our current personnel, our business and future growth prospects could be adversely affected.</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company culture has contributed to our success and if we cannot maintain this culture as we grow, our business could be harmed.</w:t>
      </w:r>
    </w:p>
    <w:p>
      <w:pPr>
        <w:spacing w:after="0" w:line="1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believe that our company culture, which promotes innovation, open communication, and teamwork, has been critical to our success. We face a number of challenges that may affect our ability to sustain our corporate culture, including:</w:t>
      </w:r>
    </w:p>
    <w:p>
      <w:pPr>
        <w:spacing w:after="0" w:line="62" w:lineRule="exact"/>
        <w:rPr>
          <w:sz w:val="20"/>
          <w:szCs w:val="20"/>
          <w:color w:val="auto"/>
        </w:rPr>
      </w:pPr>
    </w:p>
    <w:p>
      <w:pPr>
        <w:ind w:left="1120" w:right="240" w:hanging="748"/>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identify, attract, reward, and retain people in leadership positions in our organization who share and further our culture, values, and mission;</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increasing size and geographic diversity of our workforce;</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competitive pressures to move in directions that may divert us from our mission, vision, and values;</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35" w:name="page36"/>
    <w:bookmarkEnd w:id="35"/>
    <w:p>
      <w:pPr>
        <w:ind w:left="1120" w:hanging="74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continued challenges of a rapidly-evolving industry; and</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increasing need to develop expertise in new areas of business that affect us.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we are not able to maintain our culture, our business, financial condition, and results of operations could be adversely affected.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foundries with which we contract do not achieve satisfactory yields or quality, our reputation and customer relationships could be harmed.</w:t>
      </w:r>
    </w:p>
    <w:p>
      <w:pPr>
        <w:spacing w:after="0" w:line="14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depend on satisfactory wafer foundry manufacturing capacity, wafer prices, and production yields, as well as timely wafer delivery to meet customer demand and enable us to maintain gross margins. The fabrication of our products is a complex and technically demanding process. Minor deviations in the manufacturing process can cause substantial decreases in yields and, in some cases, cause production to be suspended. Our foundry vendors may experience manufacturing defects and reduced manufacturing yields from time to time. Further, any new foundry vendors we employ may present additional and unexpected manufacturing challenges that could require significant management time and focus. Changes in manufacturing processes or the inadvertent use of defective or contaminated materials by the foundries that we employ could result in lower than anticipated production yields or unacceptable performance of our devices. Many of these problems are difficult to detect at an early stage of the manufacturing process and may be time-consuming and expensive to correct. Poor production yields from the foundries that we employ, or defects, integration issues, or other performance problems in our solutions could significantly harm our customer relationships and financial results and give rise to financial or other damages to our customers. Any product liability claim brought against us, even if unsuccessful, would likely be time-consuming and costly to defend.</w:t>
      </w:r>
    </w:p>
    <w:p>
      <w:pPr>
        <w:spacing w:after="0" w:line="6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Manufacturing yields for new products initially tend to be lower as we complete product development and commence volume manufacturing, and typically increase as we bring the product to full production. Our business model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w:t>
      </w:r>
    </w:p>
    <w:p>
      <w:pPr>
        <w:spacing w:after="0" w:line="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Raw material price fluctuations can increase the cost of our products, impact our ability to meet customer commitments, and may adversely affect our results of operations.</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cost of raw materials is a key element in the cost of our products. Our inability to offset material price inflation through increased prices to customers, suppliers, productivity actions, or through commodity hedges could adversely affect our results of operations. Many major components, product equipment items, and raw materials, are procured or subcontracted on a single or sole-source basis. Although we maintain a qualification and performance surveillance process and we believe that sources of supply for raw materials and components are generally adequate, it is difficult to predict what effects shortages or price increases may have in the future. Our inability to fill our supply needs would jeopardize our ability to fulfill obligations under our contracts, which could, in turn, result in reduced sales and profits, contract penalties or terminations, and damage to our customer relationships.</w:t>
      </w:r>
    </w:p>
    <w:p>
      <w:pPr>
        <w:spacing w:after="0" w:line="16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Furthermore, increases in the price of silicon wafers, testing costs, and commodities, which may result in increased production costs, mainly assembly and packaging costs, may result in a decrease in our gross margins. Moreover, our suppliers may pass the increase in raw materials and commodity costs onto us which would further reduce the gross margin of our products. In addition, as we are a fabless company, global market trends such as a shortage of capacity to fulfill our fabrication needs also may increase our raw material costs and thus decrease our gross margin.</w:t>
      </w:r>
    </w:p>
    <w:p>
      <w:pPr>
        <w:spacing w:after="0" w:line="6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We rely on our relationships with industry and technology leaders to enhance our product offerings and our inability to continue to develop or maintain such relationships in the future would harm our ability to remain competitive.</w:t>
      </w:r>
    </w:p>
    <w:p>
      <w:pPr>
        <w:spacing w:after="0" w:line="62"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We develop many of our silicon timing systems products for applications in systems that are driven by industry and technology leaders in the communications and computing markets. We work with distributors, resellers, OEMs, and system manufacturers to define industry conventions and standards within our target markets. We believe that these relationships enhance our ability to achieve market acceptance and widespread adoption of our products. If we are unable to continue to develop or maintain these relationships, our silicon timing systems solutions could become less desirable to our customers, our sales could suffer and our competitive position could be harmed.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cyclical nature of the semiconductor industry.</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semiconductor industry is highly cyclical and is characterized by constant and rapid technological change, rapid product obsolescence, price erosion, evolving standards, short product life cycles, and wide fluctuations in product supply and demand. The industry experienced a significant downturn during past global recessions. These downturns have been characterized by diminished product demand, production overcapacity, high inventory levels, and accelerated erosion of average selling prices. Any downturns in the semiconductor industry could harm our business, financial condition, and results of operations. Furthermore, any significant upturn in the semiconductor industry could result in increased competition for access to third-party foundry and assembly capacity. We are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6" w:name="page37"/>
    <w:bookmarkEnd w:id="36"/>
    <w:p>
      <w:pPr>
        <w:ind w:right="300"/>
        <w:spacing w:after="0" w:line="277" w:lineRule="auto"/>
        <w:rPr>
          <w:sz w:val="20"/>
          <w:szCs w:val="20"/>
          <w:color w:val="auto"/>
        </w:rPr>
      </w:pPr>
      <w:r>
        <w:rPr>
          <w:rFonts w:ascii="Arial" w:cs="Arial" w:eastAsia="Arial" w:hAnsi="Arial"/>
          <w:sz w:val="18"/>
          <w:szCs w:val="18"/>
          <w:color w:val="auto"/>
        </w:rPr>
        <w:t>dependent on the availability of this capacity to manufacture and assemble our products and we can provide no assurance that adequate capacity will be available to us in the future.</w:t>
      </w:r>
    </w:p>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ability to receive timely payments from, or the deterioration of the financial conditions of, our distributors or our end customers could adversely affect our operating results.</w:t>
      </w:r>
    </w:p>
    <w:p>
      <w:pPr>
        <w:spacing w:after="0" w:line="6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ability to receive timely payments from or the deterioration of the financial condition of, our distributors or our end customers could adversely impact our collection of accounts receivable, and, as a result, our revenue. We regularly review the collectability and creditworthiness of our customers to determine an appropriate allowance for doubtful accounts. However, the extent of the COVID-19 pandemic’s impact on credit and financial markets is unknown, which creates uncertainty as to the financial condition of our distributors and customers. Based on our review of our customers annually and as of March 31, 2021, substantially all of which are large distributors, resellers, OEMs, and system manufacturers, we had a $0.1 million and $0.1 million for doubtful accounts as of March 31, 2021 and December 31, 2020, respectively. If our doubtful accounts, however, were to exceed our current or future allowance for doubtful accounts, our business, financial condition, and results of operations would be adversely affected.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agreements contain certain restrictive covenants that may limit our operating flexibility.</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loan agreements contain certain restrictive covenants that either limit our ability to, or require a mandatory prepayment in the event that we, incur additional indebtedness, merge with other companies or enter into or consummate certain change of control transactions, acquire other companies, make certain investments, transfer or dispose of assets, amend certain material agreements, or enter into certain other transactions. Furthermore, our future working capital, borrowings, or equity financing could be unavailable to repay or refinance the amounts outstanding under our current debt obligations. In the event of a liquidation, our existing and any future lenders would be repaid all outstanding principal and interest prior to distribution of assets to unsecured creditors, and the holders of our common stock would receive a portion of any liquidation proceeds only if all of our creditors, including our existing and any future lenders, were first repaid in full.</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accurately predict our future capital needs, and we may not be able to obtain additional financing to fund our operations.</w:t>
      </w:r>
    </w:p>
    <w:p>
      <w:pPr>
        <w:spacing w:after="0" w:line="140"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may need to raise additional funds in the future. Any required additional financing may not be available on terms acceptable to us, or at all. If we raise additional funds by issuing equity securities or convertible debt, stockholders may experience significant dilution of their ownership interest, and the newly-issued securities may have rights senior to those of the holders of our common stock. If we raise additional funds by obtaining loans from third parties, the terms of those financing arrangements may include negative covenants or other restrictions on our business that could impair our operational flexibility and would also require us to incur additional interest expense. If additional financing is not available when required or is not available on acceptable terms, we may have to scale back our operations or limit our production activities, and we may not be able to expand our business, develop or enhance our solutions, take advantage of business opportunities, or respond to competitive pressures, which could negatively impact our revenue and the competitiveness of our products.</w:t>
      </w:r>
    </w:p>
    <w:p>
      <w:pPr>
        <w:spacing w:after="0" w:line="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recently repaid all of our outstanding indebtedness under our revolving line of credit and may seek, or be required to seek, alternative or additional debt financing in the immediate or near term.</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cancelled our $50.0 million revolving line of credit with The Bank of Tokyo-Mitsubishi UFJ, Ltd. (“MUFG”) in July 2020 when we paid down all our loans outstanding. We may seek, or be required to seek, additional or alternative sources of debt financing, in lieu of such cancelled credit facilities. Any required additional financing may not be available on terms acceptable to us, or at all. Further, we may not have the leverage to negotiate terms favorable to us under these arrangements, including with MUFG, as we are no longer a wholly-owned subsidiary of MegaChips. We do not expect MegaChips to provide guarantees of our indebtedness in the future, which may make it more difficult or expensive to borrow funds in the future. In addition, the terms of any financing arrangements may include negative covenants or other restrictions on our business that could impair our operational flexibility and would also require us to incur additional interest expense. If additional financing is not available when required or is not available on acceptable terms, it could harm our liquidity position and we may have to scale back our operations or limit our production activities, which in turn would harm our business, operating results, and financial condition.</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7" w:name="page38"/>
    <w:bookmarkEnd w:id="37"/>
    <w:p>
      <w:pPr>
        <w:ind w:right="300"/>
        <w:spacing w:after="0" w:line="277" w:lineRule="auto"/>
        <w:rPr>
          <w:sz w:val="20"/>
          <w:szCs w:val="20"/>
          <w:color w:val="auto"/>
        </w:rPr>
      </w:pPr>
      <w:r>
        <w:rPr>
          <w:rFonts w:ascii="Arial" w:cs="Arial" w:eastAsia="Arial" w:hAnsi="Arial"/>
          <w:sz w:val="18"/>
          <w:szCs w:val="18"/>
          <w:b w:val="1"/>
          <w:bCs w:val="1"/>
          <w:i w:val="1"/>
          <w:iCs w:val="1"/>
          <w:color w:val="auto"/>
        </w:rPr>
        <w:t>A portion of our operations is located outside of the United States, which subjects us to additional risks, including increased complexity and costs of managing international operations and geopolitical instability.</w:t>
      </w:r>
    </w:p>
    <w:p>
      <w:pPr>
        <w:spacing w:after="0" w:line="6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outsource the fabrication and assembly of all of our products to third parties that are primarily located in Germany and Asia. In addition, we conduct research and development activities in the United States, Japan, the Netherlands, Taiwan, and Ukraine and work with third-party contractors in Russia. We also conduct marketing and administrative functions in the United States, China, Taiwan, and Ukraine. In addition, members of our sales force are located in the United States, China, India, France, Taiwan, and Ukraine. In addition, approximately 97% and 93% of our revenue for the three months ended March 31, 2021 and 2020, respectively, was from distributors with ship-to locations outside the United States, although we believe the majority of our end customers are based in the U.S., based on sell-through information provided by these distributors. As a result of our international focus, we face numerous challenges and risks, including:</w:t>
      </w:r>
    </w:p>
    <w:p>
      <w:pPr>
        <w:spacing w:after="0" w:line="87" w:lineRule="exact"/>
        <w:rPr>
          <w:sz w:val="20"/>
          <w:szCs w:val="20"/>
          <w:color w:val="auto"/>
        </w:rPr>
      </w:pPr>
    </w:p>
    <w:p>
      <w:pPr>
        <w:ind w:left="1120" w:right="180" w:hanging="74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complexity and costs of managing international operations, including manufacturing, assembly, and testing of our products and associated costs;</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geopolitical and economic instability and military conflicts;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protection for, and vulnerability to theft of, our intellectual property rights, including our trade secrets;</w:t>
      </w:r>
    </w:p>
    <w:p>
      <w:pPr>
        <w:spacing w:after="0" w:line="117" w:lineRule="exact"/>
        <w:rPr>
          <w:rFonts w:ascii="Arial" w:cs="Arial" w:eastAsia="Arial" w:hAnsi="Arial"/>
          <w:sz w:val="18"/>
          <w:szCs w:val="18"/>
          <w:color w:val="auto"/>
        </w:rPr>
      </w:pPr>
    </w:p>
    <w:p>
      <w:pPr>
        <w:ind w:left="1120" w:right="360" w:hanging="74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local laws and regulations and unanticipated changes in local laws and regulations, including tax laws and regulations, including uncertainty surrounding the United Kingdom’s exit from the European Union;</w:t>
      </w:r>
    </w:p>
    <w:p>
      <w:pPr>
        <w:spacing w:after="0" w:line="62" w:lineRule="exact"/>
        <w:rPr>
          <w:rFonts w:ascii="Arial" w:cs="Arial" w:eastAsia="Arial" w:hAnsi="Arial"/>
          <w:sz w:val="18"/>
          <w:szCs w:val="18"/>
          <w:color w:val="auto"/>
        </w:rPr>
      </w:pPr>
    </w:p>
    <w:p>
      <w:pPr>
        <w:ind w:left="1120" w:right="60" w:hanging="74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trade and foreign exchange restrictions and higher tariffs, including the ongoing trade tensions between the U.S. and China that has resulted in higher tariffs on certain semiconductor products;</w:t>
      </w:r>
    </w:p>
    <w:p>
      <w:pPr>
        <w:spacing w:after="0" w:line="62" w:lineRule="exact"/>
        <w:rPr>
          <w:rFonts w:ascii="Arial" w:cs="Arial" w:eastAsia="Arial" w:hAnsi="Arial"/>
          <w:sz w:val="18"/>
          <w:szCs w:val="18"/>
          <w:color w:val="auto"/>
        </w:rPr>
      </w:pPr>
    </w:p>
    <w:p>
      <w:pPr>
        <w:ind w:left="1120" w:right="980" w:hanging="74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timing and availability of import and export licenses and other governmental approvals, permits, and licenses, including export classification requirements;</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currency fluctuations and exchange losses relating to our international operating activities;</w:t>
      </w:r>
    </w:p>
    <w:p>
      <w:pPr>
        <w:spacing w:after="0" w:line="117" w:lineRule="exact"/>
        <w:rPr>
          <w:rFonts w:ascii="Arial" w:cs="Arial" w:eastAsia="Arial" w:hAnsi="Arial"/>
          <w:sz w:val="18"/>
          <w:szCs w:val="18"/>
          <w:color w:val="auto"/>
        </w:rPr>
      </w:pPr>
    </w:p>
    <w:p>
      <w:pPr>
        <w:ind w:left="1120" w:right="80" w:hanging="748"/>
        <w:spacing w:after="0" w:line="342" w:lineRule="auto"/>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restrictions imposed by the U.S. government or foreign governments on our ability to do business with certain companies or in certain countries as a result of international political conflicts or the COVID-19 pandemic and the complexity of complying with those restrictions;</w:t>
      </w:r>
    </w:p>
    <w:p>
      <w:pPr>
        <w:spacing w:after="0" w:line="15" w:lineRule="exact"/>
        <w:rPr>
          <w:rFonts w:ascii="Arial" w:cs="Arial" w:eastAsia="Arial" w:hAnsi="Arial"/>
          <w:sz w:val="16"/>
          <w:szCs w:val="16"/>
          <w:color w:val="auto"/>
        </w:rPr>
      </w:pPr>
    </w:p>
    <w:p>
      <w:pPr>
        <w:ind w:left="1120" w:right="140" w:hanging="74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transportation delays and other consequences of limited local infrastructure, and disruptions, such as large scale outages or interruptions of service from utilities or telecommunications providers;</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staffing international operations;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immigration policies which may impact our ability to hire personnel;</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normal standards and practices;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differing employment practices and labor relations;</w:t>
      </w:r>
    </w:p>
    <w:p>
      <w:pPr>
        <w:spacing w:after="0" w:line="117" w:lineRule="exact"/>
        <w:rPr>
          <w:rFonts w:ascii="Arial" w:cs="Arial" w:eastAsia="Arial" w:hAnsi="Arial"/>
          <w:sz w:val="18"/>
          <w:szCs w:val="18"/>
          <w:color w:val="auto"/>
        </w:rPr>
      </w:pPr>
    </w:p>
    <w:p>
      <w:pPr>
        <w:ind w:left="1120" w:right="500" w:hanging="74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requirements in foreign countries which may impact availability of personnel, such as mandatory military service in countries such as Ukraine;</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heightened risk of terrorist acts;</w:t>
      </w:r>
    </w:p>
    <w:p>
      <w:pPr>
        <w:spacing w:after="0" w:line="117" w:lineRule="exact"/>
        <w:rPr>
          <w:rFonts w:ascii="Arial" w:cs="Arial" w:eastAsia="Arial" w:hAnsi="Arial"/>
          <w:sz w:val="18"/>
          <w:szCs w:val="18"/>
          <w:color w:val="auto"/>
        </w:rPr>
      </w:pPr>
    </w:p>
    <w:p>
      <w:pPr>
        <w:ind w:left="1120" w:right="180" w:hanging="74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regional health issues and the impact of public health epidemics on employees and the global economy, such as the worldwide COVID-19 pandemic;</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power outages and natural disasters; and</w:t>
      </w:r>
    </w:p>
    <w:p>
      <w:pPr>
        <w:spacing w:after="0" w:line="117" w:lineRule="exact"/>
        <w:rPr>
          <w:rFonts w:ascii="Arial" w:cs="Arial" w:eastAsia="Arial" w:hAnsi="Arial"/>
          <w:sz w:val="18"/>
          <w:szCs w:val="18"/>
          <w:color w:val="auto"/>
        </w:rPr>
      </w:pPr>
    </w:p>
    <w:p>
      <w:pPr>
        <w:ind w:left="1120" w:right="160" w:hanging="748"/>
        <w:spacing w:after="0" w:line="277"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travel, work-from-home or other restrictions or stoppages, like those currently imposed by governments around the world as a result of the COVID-19 pandemic.</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These risks could harm our international operations, delay new product releases, increase our operating costs, and hinder our ability to grow our operations and business and, consequently, our business, financial condition, and results of operations could suffer. For example, we rely on TSMC in Taiwan for the fabrication of our analog circuits and have sales force personnel in Taiwan. If political tensions between China and Taiwan were to increase, it could disrupt our business. In addition, if the political and military situation in Russia and Ukraine, or the relationship between Russia and the United States, significantly worsens, or if either Russia or the United States imposes significant new economic sanctions or restrictions on doing business, and we are restricted or precluded from continuing our operations in Russia or Ukraine, our costs could increase, and our product development efforts, business, financial condition, and results of operations could be significantly harmed. Further, the ongoing COVID-19 pandemic has led to travel, work-from-home and other restrictions, which has significantly impacted our domestic and international operations and the operations of our suppliers, distributors, partners, and customers. At this point, the extent to which the COVID-19 pandemic may impact our business remains uncertain but it may materially adversely affect our business, financial condition or results of operations.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spacing w:after="0" w:line="277" w:lineRule="auto"/>
        <w:rPr>
          <w:sz w:val="20"/>
          <w:szCs w:val="20"/>
          <w:color w:val="auto"/>
        </w:rPr>
      </w:pPr>
      <w:r>
        <w:rPr>
          <w:rFonts w:ascii="Arial" w:cs="Arial" w:eastAsia="Arial" w:hAnsi="Arial"/>
          <w:sz w:val="18"/>
          <w:szCs w:val="18"/>
          <w:b w:val="1"/>
          <w:bCs w:val="1"/>
          <w:i w:val="1"/>
          <w:iCs w:val="1"/>
          <w:color w:val="auto"/>
        </w:rPr>
        <w:t>If significant tariffs or other restrictions are placed on Chinese imports or any related counter-measures are taken by China, our revenue and results of operations may be materially harmed.</w:t>
      </w:r>
    </w:p>
    <w:p>
      <w:pPr>
        <w:spacing w:after="0" w:line="62"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If significant tariffs or other restrictions are placed on Chinese imports or any related counter-measures are taken by China, our revenue and results of operations may be materially and adversely affected. Beginning in July 2018, the U.S. Trade Representative imposed tariffs on products from China. If the existing tariffs are increased, new tariffs are imposed, or there is a court or governmental agency determination that exposes additional products to the tariffs, we may be required to raise our prices on those products, which may further result in a loss of customers and harm our operating performance. The prior U.S. administration imposed new or additional tariffs on Chinese products with short notice and China then imposed certain retaliatory tariffs. It is uncertain the current U.S. administration may further alter trade agreements and terms between China and the United States, including limiting trade with China and imposing additional tariffs on imports from China. If our products become subject to tariffs or other retaliatory trade measures, it could materially and adversely affect our business and operating results. In the event that these or future tariffs are imposed on imports of our products, or that China or other countries take retaliatory trade measures in response to existing or future tariffs, our business may be impacted and we may be required to raise prices or make changes to our operations, any of which could materially harm our revenue or operating results.</w:t>
      </w:r>
    </w:p>
    <w:p>
      <w:pPr>
        <w:spacing w:after="0" w:line="6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Fluctuations in exchange rates between and among the currencies of the countries in which we do business could adversely affect our results of operations.</w:t>
      </w:r>
    </w:p>
    <w:p>
      <w:pPr>
        <w:spacing w:after="0" w:line="6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Our sales have been historically denominated in U.S. dollars. An increase in the value of the U.S. dollar relative to the currencies of the countries in which our customers operate could impair the ability of our customers to cost-effectively purchase or integrate our solutions into their product offerings, which may materially affect the demand for our solutions and cause these customers to reduce their orders, which in turn would adversely affect our revenue and business. If we increase operations in other currencies in the future, we may experience foreign exchange gains or losses due to the volatility of other currencies compared to the U.S. dollar. Certain of our employees are located in Malaysia, the Netherlands, Taiwan, Japan, France and Ukraine, and we have engineering consultants in Russia. Accordingly, a portion of our payroll as well as certain other operating expenses are paid in currencies other than the U.S. dollar. Our results of operations are denominated in U.S. dollars, and the difference in exchange rates in one period compared to another may directly impact period-to-period comparisons of our results of operations. Furthermore, currency exchange rates have been especially volatile in the recent past, and these currency fluctuations may make it difficult for us to predict our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comply with the laws associated with our activities outside of the United States could subject us to penalties and other adverse consequences.</w:t>
      </w:r>
    </w:p>
    <w:p>
      <w:pPr>
        <w:spacing w:after="0" w:line="1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face significant risks if we fail to comply with anti-corruption laws and anti-bribery laws, including, without limitation, the U.S. Foreign Corrupt Practices Act of 1977, as amended (the “FCPA”), the U.S. Travel Act, and the UK Bribery Act 2010,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Any violation of these laws could result in severe criminal or civil sanctions and, in the case of the FCPA, suspension or debarment from U.S. government contracting, which could have an adverse effect on our reputation, business, financial condition, and results of operations.</w:t>
      </w:r>
    </w:p>
    <w:p>
      <w:pPr>
        <w:spacing w:after="0" w:line="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are subject to government regulation, including import, export and economic sanctions laws and regulations that may expose us to liability and increase our costs.</w:t>
      </w:r>
    </w:p>
    <w:p>
      <w:pPr>
        <w:spacing w:after="0" w:line="6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Our products and technology are subject to U.S. export controls, including the U.S. Department of Commerce’s Export Administration Regulations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For example, we sell to markets in Asia where multiple companies have been added to the Entity List in the last 18 months, requiring license for exports of items subject to control under the EAR. To our knowledge, we have not sold products subject to the EAR to Entity List persons.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U.S. and other laws or else we may be adversely affected through reputational harm, government investigations, penalties, and a denial or curtailment of our ability to export our products and technology. Although we take precautions to prevent our products and technology from being provided in violation of such laws, our products and technology may have previously been, and could in the future be, provided inadvertently in violation of such laws, despite the precautions we take. Changes in export or import laws or sanctions policies also may adversely impact our operations, delay the introduction and sale of our products in international markets, or, in some cases, prevent the export or import of our products and technology to certain countries, regions, governments, persons, or entities altogether, which could adversely affect our business, financial condition, and results of operations.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i w:val="1"/>
          <w:iCs w:val="1"/>
          <w:color w:val="auto"/>
        </w:rPr>
        <w:t>Changes in environmental laws or regulations, including conflict minerals rules, could impair our ability to compete in international markets.</w:t>
      </w:r>
    </w:p>
    <w:p>
      <w:pPr>
        <w:spacing w:after="0" w:line="14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product or manufacturing standards could be impacted by new or revised environmental rules and regulations or other social initiatives. For example, the SEC adopted disclosure requirements in 2012 relating to the sourcing of certain minerals from the Democratic Republic of Congo and certain other adjoining countries. These rules, which required reporting starting in 2014, could adversely affect our costs, the availability of minerals used in our products, and our relationships with customers and suppliers. Also, since our supply chain is complex, we may face reputational challenges with our customers, stockholders, and other stakeholders if we are unable to sufficiently verify the origins for any conflict minerals used in the products that we sell.</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or future changes to U.S. and non-U.S. tax laws could materially adversely affect us.</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New or future changes in tax laws, regulations, and treaties, or the interpretation thereof, in addition to tax regulations enacted but not in effect, tax policy initiatives and reforms under consideration in the United States or related to the Organisation for Economic Co-operation and Development’s (“OECD”), Base Erosion and Profit Shifting Project (“BEPSP”), the European Commission’s state aid investigations, and other initiatives could have an adverse effect on the taxation of international businesses. Furthermore, countries where we are subject to taxes, including the United States, are independently evaluating their tax policy and we may see significant changes in legislation and regulations concerning taxation. Certain countries have already enacted legislation, including those related to BEPSP, which could affect international businesses, and other countries have become more aggressive in their approach to audits and enforcement of their applicable tax laws. In addition, we are unable to predict what future tax reform may be proposed or enacted or what effect such changes would have on our business, but any changes, to the extent they are brought into tax legislation, regulations, policies, or practices, could increase our effective tax rates in the countries where we have operations and have an adverse effect on our overall tax rate, along with increasing the complexity, burden and cost of tax compliance, all of which could impact our business, financial condition, and results of operations.</w:t>
      </w:r>
    </w:p>
    <w:p>
      <w:pPr>
        <w:spacing w:after="0" w:line="6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Tax regulatory authorities may disagree with our positions and conclusions regarding certain tax positions resulting in unanticipated costs or non-realization of expected benefits.</w:t>
      </w:r>
    </w:p>
    <w:p>
      <w:pPr>
        <w:spacing w:after="0" w:line="6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 tax authority may disagree with tax positions that we have taken. For example, the Internal Revenue Service (“IRS”), or another tax authority could challenge our allocation of income by tax jurisdiction and the amounts paid between our affiliated companies pursuant to our intercompany arrangements and transfer pricing policies, including amounts paid with respect to our intellectual property in connection with our intercompany research and development cost sharing arrangement and legal structure.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be materially adverse to us and affect our anticipated effective tax rate or operating income, and we could be required to pay substantial penalties and interest where applicable.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corporate headquarters and some of our suppliers and foundry vendors are located in areas that are in active earthquake zones or are subject to power outages, natural disasters, political, social, or economic unrest, and other potentially catastrophic events. In the event of a major earthquake, hurricane, flooding, or other catastrophic event such as fire, power loss, telecommunications failure, cyber-attack, war, terrorist attack, political, social, or economic unrest, or disease outbreak, such as the current COVID-19 pandemic, we may be unable to continue our operations and may endure system interruptions, reputational harm, delays in our product development, breaches of data security, or loss of critical data, any of which could have an adverse effect on our future results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federal, and foreign laws and regulations related to privacy, data use, and security could adversely affect us.</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are subject to state and federal laws and regulations related to privacy, data use, and security. In addition, in recent years, there has been a heightened legislative and regulatory focus on data security, including requiring consumer notification in the event of a data breach. Legislation has been introduced in Congress and there have been several Congressional hearings addressing these issues. From time to time, Congress has considered, and may do so again, legislation establishing requirements for data security and response to data breaches that, if implemented, could affect us by increasing our costs of doing business. In addition, several states have enacted privacy or security breach legislation requiring varying levels of consumer notification in the event of a security breach. For example, California passed the California Consumer Privacy Act (“CCPA”), which enhances consumer protection and privacy rights by granting consumers resident in California new rights with respect to the collection of their personal data and imposing new operational requirements on businesses, and went into effect in January 2020. The CCPA includes a statutory damages framework and private rights of action against businesses that fail to comply with certain CCPA terms or implement reasonable security procedures and practices to prevent data breaches. Several other states are considering similar legislation.</w:t>
      </w:r>
    </w:p>
    <w:p>
      <w:pPr>
        <w:spacing w:after="0" w:line="77"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Foreign governments are raising similar privacy and data security concerns. In particular, the European Union has enacted a General Data Protection Regulation (“GDPR”), which became effective in May 2018. China, Russia, Japan, and other countries in Latin America and Asia are also strengthening their privacy laws and the enforcement of privacy and data security requirements. Complying with such laws and regulations may be time-consuming and require additional resources, and could therefore adversely affect our business, financial condition, and results of operations.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Breaches or other disruptions of our security systems may damage our reputation and adversely affect our business.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security systems are designed to protect our customers’, suppliers’, and employees’ confidential information, as well as maintain the physical security of our facilities. We also rely on a number of third-party cloud-based service providers of corporate infrastructure services relating to, among other things, human resources, electronic communication services, and some finance functions, and we are, of necessity, dependent on the security systems of these providers. These technologies are subject to failure, including as a result of an inability to have such technologies properly supported, updated, expanded, or integrated into other technologies. These technologies may also contain open source and third-party software which may unbeknownst to us contain defects or viruses.</w:t>
      </w:r>
    </w:p>
    <w:p>
      <w:pPr>
        <w:spacing w:after="0" w:line="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Any security breaches or other unauthorized access by third parties to the systems of our cloud-based service providers or the existence of computer viruses in their data or software could expose us to a risk of information loss and misappropriation of confidential information. Accidental or willful security breaches or other unauthorized access by third parties to our information systems or facilities, or the existence of computer viruses in our data or software could expose us to a risk of information loss, misappropriation of proprietary and confidential information, as well as work stoppages or disruptions. Any theft or misuse of this information could result in, among other things, unfavorable publicity, damage to our reputation, difficulty in marketing our products, allegations by our customers that we have not performed our contractual obligations, regulatory fines or penalties, litigation by affected parties and possible financial obligations for liabilities and damages related to the theft or misuse of this information, any of which could have an adverse effect on our business, financial condition, results of operations, reputation, and relationships with our customers and suppliers. Cybersecurity threats, which include computer viruses, spyware and malware, attempts to access information, denial of service attacks, and other electronic security breaches, are persistent and evolve quickly. Such threats have increased in frequency, scope, and potential impact in recent years. Since the techniques used to obtain unauthorized access or to sabotage systems change frequently and are often not recognized until after they are launched against a target, we may be unable to anticipate these techniques or to implement adequate preventative measures.</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might not be able to utilize a significant portion of our net operating loss carryforwards and research and development tax credit carryforwards.</w:t>
      </w:r>
    </w:p>
    <w:p>
      <w:pPr>
        <w:spacing w:after="0" w:line="15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As of December 31, 2020, we had U.S. federal and state net operating loss (“NOL”), carryforwards of approximately $201.5 million and $64.0 million, respectively, and U.S. federal and state research and development tax credit carryforwards of approximately $3.9 million and $3.6 million, respectively. The U.S. federal NOL carryforwards begin to expire in 2025 and the state NOL carryforwards begin to expire in 2028. The U.S. federal research and development tax credit carryforwards begin to expire in 2025 and the state research and development tax credit carryforwards carry forward indefinitely. These net operating loss and U.S. federal tax credit carryforwards could expire unused and/or be unavailable to offset future income tax liabilities. In addition, under Section 382 of the Internal Revenue Code of 1986, as amended (the “Code”), and corresponding provisions of California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completed a Section 382 analysis and determined an ownership change occurred in 2014 and concluded that it had no impact on U.S. federal and California net operating losses or on U.S. federal research and development credits. Our initial public offering in November 2019 did not result in a change in ownership of greater than 50% under Section 382. We also had a follow-on offering on June 16, 2020, which resulted in greater than 50% change under Section 382. We completed an updated Section 382 analysis based on this new change event and determined that it will not prohibit us from eventually utilizing our carryforwards. We may experience ownership changes in the future as a result of subsequent shifts in our stock ownership, some of which may be outside of our control. If we determine that an ownership change has occurred and our ability to use our historical net operating loss and tax credit carryforwards is materially limited, it would harm our future business, financial condition, and results of operations by effectively increasing our future tax obligations. In addition, under the Tax Act, federal NOLs incurred in 2018 and in future years may be carried forward indefinitely but generally may not be carried back and the deductibility of such NOLs is limited to 80% of taxable income.</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62"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success depends, in part, on our ability to protect our intellectual property. We rely primarily on patent, copyright, trademark, and trade secret laws, as well as confidentiality and non-disclosure agreements, and other contractual protections, to protect our technologies and proprietary know-how, all of which offer only limited protection. The steps we have taken to protect our intellectual property rights may not be adequate to prevent the misappropriation, infringement, or other violation of our proprietary information or infringement of our intellectual property rights, and our ability to prevent such misappropriation, infringement, or other violation is uncertain, particularly in countries outside of the United States. As of March 31, 2021, we had 78 issued U.S. patents, expiring generally between 2026 and 2039 and 31 pending U.S. patent applications (including two provisional applications). We also had one foreign issued patent expiring in 2039 and four pending foreign patent applications. Our issued patents and pending patent applications generally relate to our MEMS fabrication process, MEMS resonators, circuits, packaging, and oscillator systems. We cannot assure you that any patents from any pending patent applications (or from any future patent applications) will be issued, and even if the pending patent applications are granted, the scope of the rights granted to us may not be meaningful or provide us with any commercial advantage. For example, these patents could be opposed, contested, circumvented, designed around by third parties, be narrowed or declared invalid or unenforceable in judicial or administrative proceedings including re-examination, inter partes review, post-grant review, interference and derivation proceedings and equivalent proceedings in foreign jurisdictions, or be subject to ownership claims by third parties. The failure of our patents to adequately protect our technology might make it easier for our competitors to offer similar products or technologies. Our foreign patent protection is less comprehensive than our U.S. patent protection and may not protect our intellectual property rights in some countries where our products are sold or may be sold in the future. Many U.S.-based companies have encountered substantial third-party intellectual property infringement in foreign countries, including countries where we sell products. Even if foreign patents are granted, effective enforcement in foreign countries may not be available. If such an impermissible use of our intellectual property or trade secrets were to occur, our ability to sell our solutions at competitive prices may be adversely affected and our business, financial condition, and results of operations could be adversely affected.</w:t>
      </w:r>
    </w:p>
    <w:p>
      <w:pPr>
        <w:spacing w:after="0" w:line="8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legal standards relating to the validity, enforceability, and scope of protection of intellectual property rights are uncertain and evolving. We cannot assure you that others will not develop or patent similar or superior technologies or solutions, or that our patents, trademarks, and other intellectual property will not be challenged, invalidated, or circumvented by others.</w:t>
      </w:r>
    </w:p>
    <w:p>
      <w:pPr>
        <w:spacing w:after="0" w:line="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have a license to certain patents from Bosch relating to the design and manufacture of MEMS-based timing applications. The patent rights obtained under the license agreement expire between 2021 and 2029, and the license agreement expires upon expiration of the last patent licensed under the agreement. If we were to lose the benefit of these patents or other licensed technology used in our business, it could harm our business and our ability to compete.</w:t>
      </w:r>
    </w:p>
    <w:p>
      <w:pPr>
        <w:spacing w:after="0" w:line="7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w:t>
      </w:r>
    </w:p>
    <w:p>
      <w:pPr>
        <w:spacing w:after="0" w:line="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Unauthorized copying or other misappropriation of our proprietary technologies could enable third parties to benefit from our technologies without paying us for doing so, which could harm our business. Monitoring unauthorized use of our intellectual property is difficult and costly. It is possible that unauthorized use of our intellectual property may have occurred or may occur without our knowledge. We cannot assure you that the steps we have taken will prevent unauthorized use of our intellectual property, or that others will not develop technologies similar or superior to our technology or design around our intellectual property. Our failure to effectively protect our intellectual property could reduce the value of our technology in licensing arrangements or in cross-licensing negotiations.</w:t>
      </w:r>
    </w:p>
    <w:p>
      <w:pPr>
        <w:spacing w:after="0" w:line="84"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In addition, we also rely on contractual protections with our customers, suppliers, distributors, employees, and consultants, and we implement security measures designed to protect our trade secrets and know-how. However, we cannot assure you that we have entered into such agreements with every such party,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spacing w:after="0" w:line="4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may in the future need to initiate infringement claims or litigation in order to try to protect or enforce our intellectual property rights. Litigation, whether we are a plaintiff or a defendant, can be expensive and time-consuming and may divert the efforts of our management and other personnel, which could harm our business, whether or not such litigation results in a determination favorable to us. Litigation also puts our patents at risk of being invalidated or interpreted narrowly and our patent applications at risk of not issuing. Additionally, any enforcement of our patents or other intellectual property may provoke third parties to assert counterclaims against us. If we are unable to meaningfully protect our proprietary rights or if third parties independently develop or gain access to our or similar technologies, our business, financial condition, results of operations, reputation, and competitive position could be harmed.</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2" w:name="page43"/>
    <w:bookmarkEnd w:id="42"/>
    <w:p>
      <w:pPr>
        <w:ind w:right="240"/>
        <w:spacing w:after="0" w:line="308" w:lineRule="auto"/>
        <w:rPr>
          <w:sz w:val="20"/>
          <w:szCs w:val="20"/>
          <w:color w:val="auto"/>
        </w:rPr>
      </w:pPr>
      <w:r>
        <w:rPr>
          <w:rFonts w:ascii="Arial" w:cs="Arial" w:eastAsia="Arial" w:hAnsi="Arial"/>
          <w:sz w:val="17"/>
          <w:szCs w:val="17"/>
          <w:b w:val="1"/>
          <w:bCs w:val="1"/>
          <w:i w:val="1"/>
          <w:iCs w:val="1"/>
          <w:color w:val="auto"/>
        </w:rPr>
        <w:t>We may face intellectual property infringement, misappropriation, or other claims, which could be time-consuming and costly to defend or settle and which could result in the loss of significant rights and harm our relationships with our customers and distributors.</w:t>
      </w:r>
    </w:p>
    <w:p>
      <w:pPr>
        <w:spacing w:after="0" w:line="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semiconductor industry in which we operate is characterized by companies that hold patents and other intellectual property rights and vigorously pursue, protect, and enforce intellectual property rights. From time to time, third parties may assert against us and our customers and distributors their patent and other intellectual property rights to technologies that are important to our business. For example, in March 2019, VTT Technical Research Centre of Finland, Ltd. filed suit in the United States District Court for the Northern District of California alleging infringement by us of a patent. While the District Court ruled in our favor, VTT has filed an appeal with the U.S. Court of Appeals for the Federal Circuit (“CAFC”). The CAFC has scheduled an oral hearing to occur on June 9, 2021. We have not accrued for a loss contingency relating to this matter.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 For more information regarding this matter, see Note 10 in Notes to Unaudited Condensed Consolidated Financial Statements in Item 1 of Part I of this Report.</w:t>
      </w:r>
    </w:p>
    <w:p>
      <w:pPr>
        <w:spacing w:after="0" w:line="74"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In addition, our commercial success depends upon our ability to manufacture and sell our products without infringing, misappropriating, or otherwise violating the intellectual property rights of others. Claims that our products, processes, or technology infringe, misappropriate, or otherwise violate third-party intellectual property rights, regardless of their merit or resolution, could be costly to defend or settle and could divert the efforts and attention of our management and other personnel. We may in the future, particularly as a public company with an increased profile and visibility, receive communications from others alleging our infringement, misappropriation, or other violation of patents, trade secrets, or other intellectual property rights. We cannot assure you that, if made, these claims will not be successful, and lawsuits resulting from such allegations, even if we believe they are invalid, could subject us to significant liability for damages, invalidate our proprietary rights, and prevent us from selling specific products.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5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Intellectual property claims could also harm our relationships with our customers or distributors and might deter future customers from doing business with us. We do not know whether we will prevail in any such proceedings given the complex technical issues and inherent uncertainties in intellectual property litigation. If any future proceedings result in an adverse outcome, we could be required to:</w:t>
      </w:r>
    </w:p>
    <w:p>
      <w:pPr>
        <w:spacing w:after="0" w:line="76" w:lineRule="exact"/>
        <w:rPr>
          <w:sz w:val="20"/>
          <w:szCs w:val="20"/>
          <w:color w:val="auto"/>
        </w:rPr>
      </w:pPr>
    </w:p>
    <w:p>
      <w:pPr>
        <w:ind w:left="1120" w:hanging="74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cease the manufacture, use or sale of the applicable products, processes, or technology;</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substantial damages for infringement by us or our customers;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expend significant resources to develop non-infringing products, processes, or technology, which may not be successful;</w:t>
      </w:r>
    </w:p>
    <w:p>
      <w:pPr>
        <w:spacing w:after="0" w:line="117" w:lineRule="exact"/>
        <w:rPr>
          <w:rFonts w:ascii="Arial" w:cs="Arial" w:eastAsia="Arial" w:hAnsi="Arial"/>
          <w:sz w:val="18"/>
          <w:szCs w:val="18"/>
          <w:color w:val="auto"/>
        </w:rPr>
      </w:pPr>
    </w:p>
    <w:p>
      <w:pPr>
        <w:ind w:left="1120" w:right="120" w:hanging="748"/>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license technology from the third-party claiming infringement, which license may not be available on commercially reasonable terms, or at all;</w:t>
      </w:r>
    </w:p>
    <w:p>
      <w:pPr>
        <w:spacing w:after="0" w:line="62" w:lineRule="exact"/>
        <w:rPr>
          <w:rFonts w:ascii="Arial" w:cs="Arial" w:eastAsia="Arial" w:hAnsi="Arial"/>
          <w:sz w:val="18"/>
          <w:szCs w:val="18"/>
          <w:color w:val="auto"/>
        </w:rPr>
      </w:pPr>
    </w:p>
    <w:p>
      <w:pPr>
        <w:ind w:left="1120" w:right="680" w:hanging="748"/>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cross-license our technology to a competitor to resolve an infringement claim, which could weaken our ability to compete with that competitor;</w:t>
      </w:r>
    </w:p>
    <w:p>
      <w:pPr>
        <w:spacing w:after="0" w:line="62" w:lineRule="exact"/>
        <w:rPr>
          <w:rFonts w:ascii="Arial" w:cs="Arial" w:eastAsia="Arial" w:hAnsi="Arial"/>
          <w:sz w:val="18"/>
          <w:szCs w:val="18"/>
          <w:color w:val="auto"/>
        </w:rPr>
      </w:pPr>
    </w:p>
    <w:p>
      <w:pPr>
        <w:ind w:left="1120" w:right="80" w:hanging="748"/>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lose the opportunity to license our technology to others or to collect royalty payments based upon successful protection and assertion of our intellectual property rights against others; or</w:t>
      </w:r>
    </w:p>
    <w:p>
      <w:pPr>
        <w:spacing w:after="0" w:line="62" w:lineRule="exact"/>
        <w:rPr>
          <w:rFonts w:ascii="Arial" w:cs="Arial" w:eastAsia="Arial" w:hAnsi="Arial"/>
          <w:sz w:val="18"/>
          <w:szCs w:val="18"/>
          <w:color w:val="auto"/>
        </w:rPr>
      </w:pPr>
    </w:p>
    <w:p>
      <w:pPr>
        <w:ind w:left="1120" w:right="80" w:hanging="748"/>
        <w:spacing w:after="0" w:line="277"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substantial damages to our customers or end users to discontinue their use of or to replace infringing technology sold to them with non-infringing technology, if available.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results could adversely affect our business, financial condition, and results of operations.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Any potential dispute involving patents or other intellectual property could affect our customers, which could trigger our indemnification obligations to them and result in substantial expense to us.</w:t>
      </w:r>
    </w:p>
    <w:p>
      <w:pPr>
        <w:spacing w:after="0" w:line="62"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In any potential dispute involving patents or other intellectual property, our customers could also become the target of litigation. Our agreements with customers and other third-parties generally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solutions included in their products. Large indemnity payments or damage claims from contractual breach could harm our business, financial condition, and results of operations. From time to time, customers require us to indemnify or otherwise be liable to them for breach of confidentiality or failure to implement adequate security measures with respect to their intellectual property and trade secrets. Although we normally contractually limit our liability with respect to such obligations, we may still incur substantial liability related to them. Any litigation</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3" w:name="page44"/>
    <w:bookmarkEnd w:id="43"/>
    <w:p>
      <w:pPr>
        <w:ind w:right="440"/>
        <w:spacing w:after="0" w:line="277" w:lineRule="auto"/>
        <w:rPr>
          <w:sz w:val="20"/>
          <w:szCs w:val="20"/>
          <w:color w:val="auto"/>
        </w:rPr>
      </w:pPr>
      <w:r>
        <w:rPr>
          <w:rFonts w:ascii="Arial" w:cs="Arial" w:eastAsia="Arial" w:hAnsi="Arial"/>
          <w:sz w:val="18"/>
          <w:szCs w:val="18"/>
          <w:color w:val="auto"/>
        </w:rPr>
        <w:t>against our customers could trigger technical support and indemnification obligations under some of our agreements, which could result in substantial expense to us.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other customers, or end customers with whom we do not have formal agreements requiring us to indemnify them may ask us to indemnify them if a claim is made as a condition to awarding future design wins to us. Because some of our customers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customers that could increase our expenses, disrupt our ability to sell our solutions and reduce our revenue. Any dispute with a customer with respect to such obligations could have adverse effects on our relationship with that customer and other current and prospective customers and reduce demand for our solutions.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 Any of the foregoing could harm our business, financial condition,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MegaChips Corporation’s Ownership Position in Our Common Stock</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As long as MegaChips holds a significant amount of our stock, our other shareholders’ ability to influence matters requiring stockholder approval will be limited.</w:t>
      </w:r>
    </w:p>
    <w:p>
      <w:pPr>
        <w:spacing w:after="0" w:line="62"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MegaChips owns 6,000,000 shares of our common stock, representing approximately 31.8% of our outstanding common stock as of March 31, 2021. For so long as MegaChips or its successors in interest continue to hold the largest ownership position in our outstanding common stock, we expect MegaChips to continue to hold at least one out of eight seats on our board of directors, to be able to elect members of our board of directors, and could replace our entire board of directors. As long as MegaChips continues to be our largest stockholder, it will continue to have significant influence over us.</w:t>
      </w:r>
    </w:p>
    <w:p>
      <w:pPr>
        <w:spacing w:after="0" w:line="4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For example, as long as MegaChips continues to hold a significant or the largest ownership position in our outstanding common stock, MegaChips may have the ability to control or otherwise affect the outcome of any stockholder vote during this period. As a result, MegaChips will have the ability to exert significant influence over many matters affecting us, either through its board representative or as a stockholder, including:</w:t>
      </w:r>
    </w:p>
    <w:p>
      <w:pPr>
        <w:spacing w:after="0" w:line="57" w:lineRule="exact"/>
        <w:rPr>
          <w:sz w:val="20"/>
          <w:szCs w:val="20"/>
          <w:color w:val="auto"/>
        </w:rPr>
      </w:pPr>
    </w:p>
    <w:p>
      <w:pPr>
        <w:ind w:left="1120" w:hanging="74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determinations with respect to our business plans and policies, including the appointment and removal of our officers;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determinations with respect to mergers and other business combinations;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acquisition or disposition of assets;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financing activities;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allocation of business opportunities that may be suitable for us and MegaChips;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payment of dividends on our common stock; and</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shares available for issuance under our stock plans.</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MegaChips’ voting control may discourage transactions involving a change of control of us, including transactions in which other holders of our common stock might otherwise receive a premium for their shares over the then current market price. In addition, as a result of this voting control and representation on our board of directors, persons who we would like to invite to join our board of directors may decline to do so.</w:t>
      </w:r>
    </w:p>
    <w:p>
      <w:pPr>
        <w:spacing w:after="0" w:line="5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inability to resolve any disputes that arise between us and MegaChips with respect to our past and ongoing relationships may adversely affect our operating results.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Disputes may arise between MegaChips and us in a number of areas relating to our past and ongoing relationships, including:</w:t>
      </w:r>
    </w:p>
    <w:p>
      <w:pPr>
        <w:spacing w:after="0" w:line="117" w:lineRule="exact"/>
        <w:rPr>
          <w:sz w:val="20"/>
          <w:szCs w:val="20"/>
          <w:color w:val="auto"/>
        </w:rPr>
      </w:pPr>
    </w:p>
    <w:p>
      <w:pPr>
        <w:ind w:left="1120" w:hanging="74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labor, tax, employee benefit, indemnification, and other matters arising from our separation from MegaChips;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or distributions by MegaChips of our products under our distribution agreement with MegaChips;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or distributions by MegaChips of all or any portion of its ownership interest in us;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nature, quality, and pricing of services MegaChips has agreed to provide us; and</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MegaChips and us.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may not be able to resolve any potential conflicts, and even if we do, the resolution may be less favorable than if we were dealing with an unaffiliated party.</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entered into a distribution agreement with MegaChips under which MegaChips has the exclusive right to promote, market, and sell our products in Japan as the exclusive distributor. We also have an integration and purchase agreement with MegaChips for the sale of resonators by us to MegaChips. The agreements we entered into with MegaChips may be amended upon agreement</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ind w:right="200"/>
        <w:spacing w:after="0" w:line="308" w:lineRule="auto"/>
        <w:rPr>
          <w:sz w:val="20"/>
          <w:szCs w:val="20"/>
          <w:color w:val="auto"/>
        </w:rPr>
      </w:pPr>
      <w:r>
        <w:rPr>
          <w:rFonts w:ascii="Arial" w:cs="Arial" w:eastAsia="Arial" w:hAnsi="Arial"/>
          <w:sz w:val="17"/>
          <w:szCs w:val="17"/>
          <w:color w:val="auto"/>
        </w:rPr>
        <w:t>between the parties. Because MegaChips is a major stockholder with representatives on our board of directors, we may not have the leverage to negotiate amendments to these agreements on terms as favorable to us compared to those we would negotiate with an unaffiliated third party.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could be potential conflicts of interest between us and affiliates of MegaChips, which could impact our business and operating results.</w:t>
      </w:r>
    </w:p>
    <w:p>
      <w:pPr>
        <w:spacing w:after="0" w:line="14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Some of our employees, directors and executive officers own MegaChips’ common stock and restricted stock units. In addition, some of our directors have or had affiliations with MegaChips. Ownership of MegaChips securities by our directors and officers and affiliations of directors with MegaChips could create, or appear to create, conflicts of interest with respect to matters involving both us and MegaChips. For example, corporate opportunities may arise that concern both of our businesses, such as the potential acquisition of a particular business or technology that is complementary to both of our businesses. Our Board has adopted a Related Persons Transactions Policy to address actual or perceived conflicts of interest of directors, officers and greater than 5% stockholders on a case-by-case basis. If any corporate opportunity arises and if our directors and officers do not pursue it on our behalf, we may not become aware of, and may potentially lose, a significant business opportunity.</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future sales of our common stock could cause the market price of our common stock to decline.</w:t>
      </w:r>
    </w:p>
    <w:p>
      <w:pPr>
        <w:spacing w:after="0" w:line="117"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The market price of our common stock could decline as a result of substantial sales of our common stock, particularly sales by our directors, executive officers, and significant stockholders, including MegaChips, or the perception in the market that holders of a large number of shares intend to sell their shares.</w:t>
      </w:r>
    </w:p>
    <w:p>
      <w:pPr>
        <w:spacing w:after="0" w:line="76"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more difficult, limit attempts by our stockholders to replace or remove our current management and limit the market price of our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Provisions in our certificate of incorporation and bylaws may have the effect of delaying or preventing a change of control or changes in our management.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amended and restated certificate of incorporation and bylaws include provisions that:</w:t>
      </w:r>
    </w:p>
    <w:p>
      <w:pPr>
        <w:spacing w:after="0" w:line="103" w:lineRule="exact"/>
        <w:rPr>
          <w:sz w:val="20"/>
          <w:szCs w:val="20"/>
          <w:color w:val="auto"/>
        </w:rPr>
      </w:pPr>
    </w:p>
    <w:p>
      <w:pPr>
        <w:ind w:left="1120" w:right="440" w:hanging="748"/>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40" w:lineRule="exact"/>
        <w:rPr>
          <w:rFonts w:ascii="Arial" w:cs="Arial" w:eastAsia="Arial" w:hAnsi="Arial"/>
          <w:sz w:val="16"/>
          <w:szCs w:val="16"/>
          <w:color w:val="auto"/>
        </w:rPr>
      </w:pPr>
    </w:p>
    <w:p>
      <w:pPr>
        <w:ind w:left="1120" w:right="40" w:hanging="748"/>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our board of directors, or our Chief Executive Officer;</w:t>
      </w:r>
    </w:p>
    <w:p>
      <w:pPr>
        <w:spacing w:after="0" w:line="62" w:lineRule="exact"/>
        <w:rPr>
          <w:rFonts w:ascii="Arial" w:cs="Arial" w:eastAsia="Arial" w:hAnsi="Arial"/>
          <w:sz w:val="18"/>
          <w:szCs w:val="18"/>
          <w:color w:val="auto"/>
        </w:rPr>
      </w:pPr>
    </w:p>
    <w:p>
      <w:pPr>
        <w:ind w:left="1120" w:right="40" w:hanging="748"/>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by a majority of directors then in office, even if less than a quorum; and</w:t>
      </w:r>
    </w:p>
    <w:p>
      <w:pPr>
        <w:spacing w:after="0" w:line="128" w:lineRule="exact"/>
        <w:rPr>
          <w:rFonts w:ascii="Arial" w:cs="Arial" w:eastAsia="Arial" w:hAnsi="Arial"/>
          <w:sz w:val="17"/>
          <w:szCs w:val="17"/>
          <w:color w:val="auto"/>
        </w:rPr>
      </w:pPr>
    </w:p>
    <w:p>
      <w:pPr>
        <w:ind w:left="1120" w:right="440" w:hanging="748"/>
        <w:spacing w:after="0" w:line="277" w:lineRule="auto"/>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 2/3% of our outstanding shares of capital stock to amend our bylaws and certain provisions of our certificate of incorporation.</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Any delay or prevention of a change of control transaction or changes in our management could cause our stock price to decline.</w:t>
      </w:r>
    </w:p>
    <w:p>
      <w:pPr>
        <w:spacing w:after="0" w:line="84" w:lineRule="exact"/>
        <w:rPr>
          <w:sz w:val="20"/>
          <w:szCs w:val="20"/>
          <w:color w:val="auto"/>
        </w:rPr>
      </w:pPr>
    </w:p>
    <w:p>
      <w:pPr>
        <w:ind w:right="120"/>
        <w:spacing w:after="0" w:line="340" w:lineRule="auto"/>
        <w:rPr>
          <w:sz w:val="20"/>
          <w:szCs w:val="20"/>
          <w:color w:val="auto"/>
        </w:rPr>
      </w:pPr>
      <w:r>
        <w:rPr>
          <w:rFonts w:ascii="Arial" w:cs="Arial" w:eastAsia="Arial" w:hAnsi="Arial"/>
          <w:sz w:val="15"/>
          <w:szCs w:val="15"/>
          <w:b w:val="1"/>
          <w:bCs w:val="1"/>
          <w:i w:val="1"/>
          <w:iCs w:val="1"/>
          <w:color w:val="auto"/>
        </w:rPr>
        <w:t>Our bylaws designate the Court of Chancery of the State of Delaware as the sole and exclusive forum for certain types of actions and proceedings that may be initiated by our stockholders, and federal district courts will be the sole and exclusive forum for Securities Act claims, which could limit our stockholders’ ability to obtain what they believe to be a favorable judicial forum for disputes with us or our directors, officers, or other employees.</w:t>
      </w:r>
    </w:p>
    <w:p>
      <w:pPr>
        <w:spacing w:after="0" w:line="2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bylaws provide that, unless we consent in writing to the selection of an alternative forum, to the fullest extent permitted by law, the Court of Chancery of the State of Delaware shall be the sole and exclusive forum for (a) any derivative action or proceeding</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spacing w:after="0" w:line="254" w:lineRule="auto"/>
        <w:rPr>
          <w:sz w:val="20"/>
          <w:szCs w:val="20"/>
          <w:color w:val="auto"/>
        </w:rPr>
      </w:pPr>
      <w:r>
        <w:rPr>
          <w:rFonts w:ascii="Arial" w:cs="Arial" w:eastAsia="Arial" w:hAnsi="Arial"/>
          <w:sz w:val="18"/>
          <w:szCs w:val="18"/>
          <w:color w:val="auto"/>
        </w:rPr>
        <w:t>brought on our behalf, (b) any action asserting a claim of breach of a fiduciary duty owed by any of our directors, officers, or other employees to us or our stockholders, (c) any action asserting a claim arising pursuant to any provision of the Delaware General Corporation Law, our certificate of incorporation or our bylaws, or (d) any action asserting a claim against us governed by the internal affairs doctrine. Section 27 of the Securities Exchange Act of 1934, or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Our bylaws further provide that, unless we consent in writing to the selection of an alternative forum, the federal district courts are the sole and exclusive forum for the resolution of any complaint asserting a cause of action arising under the Securities Act.</w:t>
      </w:r>
    </w:p>
    <w:p>
      <w:pPr>
        <w:spacing w:after="0" w:line="8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Any person or entity purchasing or otherwise acquiring any interest in our capital stock shall be deemed to have notice of and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or other employees. Alternatively, if a court were to find these provisions of our bylaws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In preparing our consolidated financial statements, we make good faith estimates and judgments that may change or turn out to be erroneous, which could adversely affect our operating results for the periods in which we revise our estimates or judgments.</w:t>
      </w:r>
    </w:p>
    <w:p>
      <w:pPr>
        <w:spacing w:after="0" w:line="6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preparing our consolidated financial statements in conformity with generally accepted accounting principles in the United States (“GAAP”), we must make estimates and judgments in applying our most critical accounting policies. Those estimates and judgments have a significant impact on the results we report in our consolidated financial statements. The most difficult estimates and subjective judgments that we make relate to revenue recognition, inventories, internally developed software capitalization, and income taxes. We base our estimates on historical experience, input from outside experts and on various other assumptions that we believe to be reasonable under the circumstances, the results of which form the basis for making judgments about the carrying values of assets and liabilities that are not readily apparent from other sources. We also have other key accounting policies that are not as subjective, and therefore, their application would not require us to make estimates or judgments that are as difficult, but which nevertheless could significantly affect our financial reporting. Actual results may differ materially from these estimates. If these estimates, judgments, or their related assumptions change, our operating results for the periods in which we revise our estimates, judgments, or assumptions could be adversely and perhaps materially affected.</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to financial accounting standards may affect our results of operations and could cause us to change our business practices.</w:t>
      </w:r>
    </w:p>
    <w:p>
      <w:pPr>
        <w:spacing w:after="0" w:line="12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prepare our consolidated financial statements in accordance with GAAP. These accounting principles are subject to interpretation by the Financial Accounting Standards Board, the SEC, and various bodies formed to interpret and create accounting rules and regulations. Changes in accounting rules can have a significant effect on our reported financial results and may affect our reporting of transactions completed before a change is announced. Changes to those rules or the questioning of current practices may adversely affect our financial results or the way we conduct our business.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ind w:right="180"/>
        <w:spacing w:after="0" w:line="277" w:lineRule="auto"/>
        <w:rPr>
          <w:sz w:val="20"/>
          <w:szCs w:val="20"/>
          <w:color w:val="auto"/>
        </w:rPr>
      </w:pPr>
      <w:r>
        <w:rPr>
          <w:rFonts w:ascii="Arial" w:cs="Arial" w:eastAsia="Arial" w:hAnsi="Arial"/>
          <w:sz w:val="18"/>
          <w:szCs w:val="18"/>
          <w:b w:val="1"/>
          <w:bCs w:val="1"/>
          <w:i w:val="1"/>
          <w:iCs w:val="1"/>
          <w:color w:val="auto"/>
        </w:rPr>
        <w:t>We may make acquisitions in the future that could disrupt our business, cause dilution to our stockholders, reduce our financial resources, and harm our business.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future, we may acquire other businesses, products, or technologies. Our ability to make acquisitions and successfully integrate personnel, technologies, or operations of any acquired business is unproven. If we complete acquisitions, we may not achieve the combined revenue, cost synergies, or other benefits from the acquisition that we anticipate, strengthen our competitive position, or achieve our other goals in a timely manner, or at all, and these acquisitions may be viewed negatively by our customers, financial markets, or investors. In addition, any acquisitions we make may create difficulties in integrating personnel, technologies, and operations from the acquired businesses and in retaining and motivating key personnel. Acquisitions may disrupt our ongoing operations, divert management from their primary responsibilities, subject us to additional liabilities, increase our expenses, and adversely impact our business, financial condition, and results of operations. Acquisitions may also reduce our cash available for operations and other uses, and could result in an increase in amortization expense related to identifiable assets acquired, potentially dilutive issuances of equity securities, or the incurrence of debt, any of which could harm our business, financial condition, and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may decline, resulting in a loss of some or all of our stockholder investment.</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trading price and volume of our common stock is likely to be volatile and could fluctuate significantly in response to numerous factors, many of which are beyond our control, including:</w:t>
      </w:r>
    </w:p>
    <w:p>
      <w:pPr>
        <w:spacing w:after="0" w:line="62" w:lineRule="exact"/>
        <w:rPr>
          <w:sz w:val="20"/>
          <w:szCs w:val="20"/>
          <w:color w:val="auto"/>
        </w:rPr>
      </w:pPr>
    </w:p>
    <w:p>
      <w:pPr>
        <w:ind w:left="1120" w:right="200" w:hanging="748"/>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fluctuations in our results of operations due to, among other things, changes in customer demand, product life cycles, pricing, ordering patterns, and unforeseen operating costs;</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117" w:lineRule="exact"/>
        <w:rPr>
          <w:rFonts w:ascii="Arial" w:cs="Arial" w:eastAsia="Arial" w:hAnsi="Arial"/>
          <w:sz w:val="18"/>
          <w:szCs w:val="18"/>
          <w:color w:val="auto"/>
        </w:rPr>
      </w:pPr>
    </w:p>
    <w:p>
      <w:pPr>
        <w:ind w:left="1120" w:right="180" w:hanging="748"/>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with respect to developments, status, and impact on us, our competition, our constituents, and our suppliers of the COVID 19 global pandemic;</w:t>
      </w:r>
    </w:p>
    <w:p>
      <w:pPr>
        <w:spacing w:after="0" w:line="62" w:lineRule="exact"/>
        <w:rPr>
          <w:rFonts w:ascii="Arial" w:cs="Arial" w:eastAsia="Arial" w:hAnsi="Arial"/>
          <w:sz w:val="18"/>
          <w:szCs w:val="18"/>
          <w:color w:val="auto"/>
        </w:rPr>
      </w:pPr>
    </w:p>
    <w:p>
      <w:pPr>
        <w:ind w:left="1120" w:right="220" w:hanging="748"/>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us, changes in financial estimates or ratings by any securities analysts who follow us, or our failure to meet these estimates or the expectations of investors;</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our significant customers of changes to their product offerings, business plans, or strategies;</w:t>
      </w:r>
    </w:p>
    <w:p>
      <w:pPr>
        <w:spacing w:after="0" w:line="117" w:lineRule="exact"/>
        <w:rPr>
          <w:rFonts w:ascii="Arial" w:cs="Arial" w:eastAsia="Arial" w:hAnsi="Arial"/>
          <w:sz w:val="18"/>
          <w:szCs w:val="18"/>
          <w:color w:val="auto"/>
        </w:rPr>
      </w:pPr>
    </w:p>
    <w:p>
      <w:pPr>
        <w:ind w:left="1120" w:right="220" w:hanging="748"/>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62" w:lineRule="exact"/>
        <w:rPr>
          <w:rFonts w:ascii="Arial" w:cs="Arial" w:eastAsia="Arial" w:hAnsi="Arial"/>
          <w:sz w:val="18"/>
          <w:szCs w:val="18"/>
          <w:color w:val="auto"/>
        </w:rPr>
      </w:pPr>
    </w:p>
    <w:p>
      <w:pPr>
        <w:ind w:left="1120" w:right="440" w:hanging="748"/>
        <w:spacing w:after="0" w:line="277" w:lineRule="auto"/>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the semiconductor industry;</w:t>
      </w:r>
    </w:p>
    <w:p>
      <w:pPr>
        <w:spacing w:after="0" w:line="62" w:lineRule="exact"/>
        <w:rPr>
          <w:rFonts w:ascii="Arial" w:cs="Arial" w:eastAsia="Arial" w:hAnsi="Arial"/>
          <w:sz w:val="18"/>
          <w:szCs w:val="18"/>
          <w:color w:val="auto"/>
        </w:rPr>
      </w:pPr>
    </w:p>
    <w:p>
      <w:pPr>
        <w:ind w:left="1120" w:hanging="74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timing and seasonality of the end-market demand;</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cyclical fluctuations in the semiconductor market;</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 including as a result of trends in the economy as a whole;</w:t>
      </w:r>
    </w:p>
    <w:p>
      <w:pPr>
        <w:spacing w:after="0" w:line="128" w:lineRule="exact"/>
        <w:rPr>
          <w:rFonts w:ascii="Arial" w:cs="Arial" w:eastAsia="Arial" w:hAnsi="Arial"/>
          <w:sz w:val="17"/>
          <w:szCs w:val="17"/>
          <w:color w:val="auto"/>
        </w:rPr>
      </w:pPr>
    </w:p>
    <w:p>
      <w:pPr>
        <w:ind w:left="1120" w:hanging="74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or our competitors’ businesses or the competitive landscape generally;</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major change in our management;</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lawsuits threatened or filed against us; and</w:t>
      </w:r>
    </w:p>
    <w:p>
      <w:pPr>
        <w:spacing w:after="0" w:line="117" w:lineRule="exact"/>
        <w:rPr>
          <w:rFonts w:ascii="Arial" w:cs="Arial" w:eastAsia="Arial" w:hAnsi="Arial"/>
          <w:sz w:val="18"/>
          <w:szCs w:val="18"/>
          <w:color w:val="auto"/>
        </w:rPr>
      </w:pPr>
    </w:p>
    <w:p>
      <w:pPr>
        <w:ind w:left="1120" w:hanging="748"/>
        <w:spacing w:after="0"/>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incidents of terrorism, the COVID-19 pandemic, or responses to these events.</w:t>
      </w:r>
    </w:p>
    <w:p>
      <w:pPr>
        <w:spacing w:after="0" w:line="14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the market for technology stocks and the stock markets in general have experienced extreme price and volume fluctuations. Stock prices of many technology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 financial condition, and results of operations.</w:t>
      </w:r>
    </w:p>
    <w:p>
      <w:pPr>
        <w:spacing w:after="0" w:line="8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securities analysts or industry analysts downgrade our common stock, publish negative research or reports, or fail to publish reports about our business, our stock price and trading volume could decline.</w:t>
      </w:r>
    </w:p>
    <w:p>
      <w:pPr>
        <w:spacing w:after="0" w:line="6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market price and trading market for our common stock will be influenced by the research and reports that industry or securities analysts publish about us, our business, and our market. If one or more analysts adversely change their recommendation regarding our stock or change their recommendation about our competitors’ stock, our stock price would likely decline. If one or more analysts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ind w:right="140"/>
        <w:spacing w:after="0" w:line="263" w:lineRule="auto"/>
        <w:rPr>
          <w:sz w:val="20"/>
          <w:szCs w:val="20"/>
          <w:color w:val="auto"/>
        </w:rPr>
      </w:pPr>
      <w:r>
        <w:rPr>
          <w:rFonts w:ascii="Arial" w:cs="Arial" w:eastAsia="Arial" w:hAnsi="Arial"/>
          <w:sz w:val="18"/>
          <w:szCs w:val="18"/>
          <w:color w:val="auto"/>
        </w:rPr>
        <w:t>cease coverage of us or fail to regularly publish reports on us, we could lose visibility in the financial markets which in turn could cause our stock price or trading volume to decline. In addition, if our operating results fail to meet the expectations created by securities analysts’ reports, our stock price could decline.</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on our common stock so any returns will be limited to changes in the value of our common stock.</w:t>
      </w:r>
    </w:p>
    <w:p>
      <w:pPr>
        <w:spacing w:after="0" w:line="1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Although our existing loan agreements do not contain restrictions on our ability to pay dividends or make distributions, we may in the future amend our existing loan agreements or enter into agreements that contain such restrictions. Any return to stockholders will therefore be limited to the increase, if any, in our stock price, which may never occur.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operating results may not meet our guidance and expectations, which would likely cause our stock price to decline.</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From time to time, we may release guidance in our earnings releases, earnings conference calls, or otherwise, regarding our future performance that represent our management’s estimates as of the date of release. If given, this guidance, which will include forward-looking statements, will be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such as the uncertainty around the impact of the COVID-19 pandemic. The principal reason that we expect to release guidance is to provide a basis for our management to discuss our business outlook with analysts and stockholders. With or without our guidance, analysts, and other third parties may publish expectations regarding our business, financial condition, and results of operations. We do not accept any responsibility for any projections or reports published by any such third parties. Guidance is necessarily speculative in nature, and it can be expected that some or all of the assumptions of the guidance furnished by us will not materialize or will vary significantly from actual results. If our actual performance does not meet or exceed our guidance or expectations, the trading price of our common stock is likely to decline.</w:t>
      </w:r>
    </w:p>
    <w:p>
      <w:pPr>
        <w:spacing w:after="0" w:line="7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incur increased costs and demands on management as a result of compliance with laws and regulations applicable to public companies, which could harm our operating results.</w:t>
      </w:r>
    </w:p>
    <w:p>
      <w:pPr>
        <w:spacing w:after="0" w:line="6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As a public company we incur significant legal, accounting, and other expenses, including costs associated with public company reporting requirements. Our management team and other personnel have and will continue to devote a substantial amount of time complying with these public company reporting requirements.</w:t>
      </w:r>
    </w:p>
    <w:p>
      <w:pPr>
        <w:spacing w:after="0" w:line="7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intend to hire additional accounting and finance personnel with system implementation experience and expertise regarding compliance with the Sarbanes-Oxley Act. We may be unable to locate and hire qualified professionals with requisite technical and public company experience when and as needed. In addition, new employees will require time and training to learn our business and operating processes and procedures. If we are unable to recruit and retain additional finance personnel or if our finance and accounting team is unable for any reason to respond adequately to the increased demands that will result from being a public company, the quality and timeliness of our financial reporting may suffer, which could result in the identification of material weaknesses in our internal controls. Any consequences resulting from inaccuracies or delays in our reported financial statements could cause our stock price to decline and could harm our business, financial condition, and results of operations.</w:t>
      </w:r>
    </w:p>
    <w:p>
      <w:pPr>
        <w:spacing w:after="0" w:line="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we fail to strengthen our financial reporting systems, infrastructure, and internal control over financial reporting to meet the demands required as a public company, including the requirements of the Sarbanes-Oxley Act, we may be unable to report our financial results timely and accurately or prevent fraud. We expect to incur significant expense and devote substantial management effort toward ensuring compliance with Section 404 of the Sarbanes-Oxley Act (“Section 404”).</w:t>
      </w:r>
    </w:p>
    <w:p>
      <w:pPr>
        <w:spacing w:after="0" w:line="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additional regulatory compliance requirements, including Section 404, and if we fail to maintain an effective system of internal controls, we may not be able to accurately report our financial results or prevent fraud.</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Rules and regulations such as the Sarbanes-Oxley Act have increased our legal and finance compliance costs and made some activities more time-consuming and costly. For example, Section 404 requires that our management report on, and our independent auditors attest to, the effectiveness of our internal control structure and procedures for financial reporting. However, our auditors will not be required to formally attest to the effectiveness of our internal control over financial reporting pursuant to Section 404 until we are no longer an “emerging growth company,” as defined in the JOBS Act. Effective internal controls are necessary for us to provide reliable financial reports and effectively prevent fraud. Section 404 compliance may divert internal resources and will take a significant amount of time and effort to complete. We may not be able to successfully complete the procedures and certification and attestation requirements of Section 404 by the time we will be required to do so. Implementing these changes may take a significant amount of time and may require specific compliance training of our personnel. In the future, we may discover areas of our internal controls that need improvement. If our auditors or we discover a material weakness or significant deficiency, the disclosure of that fact, even if quickly remedied, could reduce the market’s confidence in our consolidated financial statements and harm our stock price. Any inability to provide reliable financial reports or prevent fraud would harm our business. We may not be able to effectively and timely implement necessary control changes and employee training to ensure continued compliance with the Sarbanes-Oxley Act and other</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spacing w:after="0" w:line="272" w:lineRule="auto"/>
        <w:rPr>
          <w:sz w:val="20"/>
          <w:szCs w:val="20"/>
          <w:color w:val="auto"/>
        </w:rPr>
      </w:pPr>
      <w:r>
        <w:rPr>
          <w:rFonts w:ascii="Arial" w:cs="Arial" w:eastAsia="Arial" w:hAnsi="Arial"/>
          <w:sz w:val="17"/>
          <w:szCs w:val="17"/>
          <w:color w:val="auto"/>
        </w:rPr>
        <w:t>regulatory and reporting requirements. If we fail to successfully complete the procedures and certification and attestation requirements of Section 404, or if in the future our Chief Executive Officer, Chief Financial Officer or independent registered public accounting firm determines that our internal controls over financial reporting are not effective as defined under Section 404, we could be subject to investigations or sanctions by Nasdaq, the SEC or other regulatory authorities. Furthermore, perceptions of the company may suffer, and this could cause a decline in the market price of our shares of common stock. We cannot assure you that we will be able to fully comply with the requirements of the Sarbanes-Oxley Act or that management or, when applicable, our auditors will conclude that our internal controls are effective in future periods. Irrespective of compliance with Section 404, any failure of our internal controls could have a material adverse effect on our stated results of operations and harm our reputation.</w:t>
      </w:r>
    </w:p>
    <w:p>
      <w:pPr>
        <w:spacing w:after="0" w:line="69"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3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an “emerging growth company,” as defined in the JOBS Act. We intend to take advantage of certain exemptions under the JOBS Act from various public company reporting requirements, including not being required to have our internal control over financial reporting audited by our independent registered public accounting firm pursuant to Section 404(b) of the Sarbanes-Oxley Act, reduced disclosure obligations regarding executive compensation in our periodic reports and proxy statements, and exemptions from the requirements of holding a nonbinding advisory vote on executive compensation and any golden parachute payments not previously approved. We may take advantage of these exemptions for up to five years or until we are no longer an “emerging growth company,” whichever is earlier.</w:t>
      </w:r>
    </w:p>
    <w:p>
      <w:pPr>
        <w:spacing w:after="0" w:line="8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An emerging growth company can therefore delay the adoption of certain accounting standards until those standards would otherwise apply to private companies. However, we are choosing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cannot predict if investors will find our common stock less attractive if we choose to rely on any of the exemptions afforded to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documents listed below are filed (or furnished, as noted) as exhibits to this Quarterly Report on Form 10-Q:</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20" w:type="dxa"/>
            <w:vAlign w:val="bottom"/>
            <w:gridSpan w:val="13"/>
            <w:vMerge w:val="restart"/>
          </w:tcPr>
          <w:p>
            <w:pPr>
              <w:ind w:left="7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20" w:type="dxa"/>
            <w:vAlign w:val="bottom"/>
            <w:gridSpan w:val="1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80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9760" w:type="dxa"/>
            <w:vAlign w:val="bottom"/>
            <w:tcBorders>
              <w:top w:val="single" w:sz="8" w:color="auto"/>
              <w:bottom w:val="single" w:sz="8" w:color="0000EE"/>
            </w:tcBorders>
            <w:gridSpan w:val="12"/>
          </w:tcPr>
          <w:p>
            <w:pPr>
              <w:spacing w:after="0"/>
              <w:rPr>
                <w:rFonts w:ascii="Arial" w:cs="Arial" w:eastAsia="Arial" w:hAnsi="Arial"/>
                <w:sz w:val="18"/>
                <w:szCs w:val="18"/>
                <w:color w:val="0000EE"/>
                <w:w w:val="91"/>
              </w:rPr>
            </w:pPr>
            <w:hyperlink r:id="rId85">
              <w:r>
                <w:rPr>
                  <w:rFonts w:ascii="Arial" w:cs="Arial" w:eastAsia="Arial" w:hAnsi="Arial"/>
                  <w:sz w:val="18"/>
                  <w:szCs w:val="18"/>
                  <w:color w:val="0000EE"/>
                  <w:w w:val="91"/>
                </w:rPr>
                <w:t>Restated Certificate of Incorporation of SiTime Corporate (the “Company”) (incorporated by reference to Exhibit 3.1 to the Company’s</w:t>
              </w:r>
            </w:hyperlink>
          </w:p>
        </w:tc>
        <w:tc>
          <w:tcPr>
            <w:tcW w:w="440" w:type="dxa"/>
            <w:vAlign w:val="bottom"/>
            <w:tcBorders>
              <w:top w:val="single" w:sz="8" w:color="auto"/>
            </w:tcBorders>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0" w:type="dxa"/>
            <w:vAlign w:val="bottom"/>
            <w:gridSpan w:val="19"/>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Current Report on Form 8-K filed November 26, 2019)</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00" w:type="dxa"/>
            <w:vAlign w:val="bottom"/>
          </w:tcPr>
          <w:p>
            <w:pPr>
              <w:jc w:val="right"/>
              <w:ind w:right="292"/>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200" w:type="dxa"/>
            <w:vAlign w:val="bottom"/>
            <w:gridSpan w:val="19"/>
          </w:tcPr>
          <w:p>
            <w:pPr>
              <w:spacing w:after="0"/>
              <w:rPr>
                <w:rFonts w:ascii="Arial" w:cs="Arial" w:eastAsia="Arial" w:hAnsi="Arial"/>
                <w:sz w:val="18"/>
                <w:szCs w:val="18"/>
                <w:color w:val="0000EE"/>
                <w:w w:val="94"/>
              </w:rPr>
            </w:pPr>
            <w:hyperlink r:id="rId86">
              <w:r>
                <w:rPr>
                  <w:rFonts w:ascii="Arial" w:cs="Arial" w:eastAsia="Arial" w:hAnsi="Arial"/>
                  <w:sz w:val="18"/>
                  <w:szCs w:val="18"/>
                  <w:color w:val="0000EE"/>
                  <w:w w:val="94"/>
                </w:rPr>
                <w:t>Amended and Restated Bylaws of the Company (incorporated by reference to Exhibit 3.2 to the Company’s Current Report on Form 8-K</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filed June 9, 2020).</w:t>
              </w:r>
            </w:hyperlink>
          </w:p>
        </w:tc>
        <w:tc>
          <w:tcPr>
            <w:tcW w:w="3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00" w:type="dxa"/>
            <w:vAlign w:val="bottom"/>
          </w:tcPr>
          <w:p>
            <w:pPr>
              <w:jc w:val="right"/>
              <w:ind w:right="292"/>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200" w:type="dxa"/>
            <w:vAlign w:val="bottom"/>
            <w:gridSpan w:val="19"/>
          </w:tcPr>
          <w:p>
            <w:pPr>
              <w:spacing w:after="0"/>
              <w:rPr>
                <w:rFonts w:ascii="Arial" w:cs="Arial" w:eastAsia="Arial" w:hAnsi="Arial"/>
                <w:sz w:val="18"/>
                <w:szCs w:val="18"/>
                <w:color w:val="0000EE"/>
                <w:w w:val="92"/>
              </w:rPr>
            </w:pPr>
            <w:hyperlink r:id="rId87">
              <w:r>
                <w:rPr>
                  <w:rFonts w:ascii="Arial" w:cs="Arial" w:eastAsia="Arial" w:hAnsi="Arial"/>
                  <w:sz w:val="18"/>
                  <w:szCs w:val="18"/>
                  <w:color w:val="0000EE"/>
                  <w:w w:val="92"/>
                </w:rPr>
                <w:t>Form of Common Stock Certificate of the Company ((incorporated by reference to Exhibit 4.1 to the Company’s Registration Statement on</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87">
              <w:r>
                <w:rPr>
                  <w:rFonts w:ascii="Arial" w:cs="Arial" w:eastAsia="Arial" w:hAnsi="Arial"/>
                  <w:sz w:val="18"/>
                  <w:szCs w:val="18"/>
                  <w:color w:val="0000EE"/>
                  <w:w w:val="92"/>
                </w:rPr>
                <w:t>Form S-1 (File No. 333-234305) (the “S-1”)).</w:t>
              </w:r>
            </w:hyperlink>
          </w:p>
        </w:tc>
        <w:tc>
          <w:tcPr>
            <w:tcW w:w="6720" w:type="dxa"/>
            <w:vAlign w:val="bottom"/>
            <w:tcBorders>
              <w:top w:val="single" w:sz="8" w:color="0000EE"/>
            </w:tcBorders>
            <w:gridSpan w:val="12"/>
          </w:tcPr>
          <w:p>
            <w:pPr>
              <w:spacing w:after="0"/>
              <w:rPr>
                <w:sz w:val="17"/>
                <w:szCs w:val="17"/>
                <w:color w:val="auto"/>
              </w:rPr>
            </w:pPr>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00" w:type="dxa"/>
            <w:vAlign w:val="bottom"/>
          </w:tcPr>
          <w:p>
            <w:pPr>
              <w:jc w:val="right"/>
              <w:ind w:right="292"/>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10200" w:type="dxa"/>
            <w:vAlign w:val="bottom"/>
            <w:gridSpan w:val="19"/>
          </w:tcPr>
          <w:p>
            <w:pPr>
              <w:spacing w:after="0"/>
              <w:rPr>
                <w:rFonts w:ascii="Arial" w:cs="Arial" w:eastAsia="Arial" w:hAnsi="Arial"/>
                <w:sz w:val="18"/>
                <w:szCs w:val="18"/>
                <w:color w:val="0000EE"/>
                <w:w w:val="96"/>
              </w:rPr>
            </w:pPr>
            <w:hyperlink r:id="rId88">
              <w:r>
                <w:rPr>
                  <w:rFonts w:ascii="Arial" w:cs="Arial" w:eastAsia="Arial" w:hAnsi="Arial"/>
                  <w:sz w:val="18"/>
                  <w:szCs w:val="18"/>
                  <w:color w:val="0000EE"/>
                  <w:w w:val="96"/>
                </w:rPr>
                <w:t>Description of Securities Registered Pursuant to Section 12 of the Securities Exchange Act of 1934 (incorporated by reference to the</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5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Company’s Annual Report on Form 10-K filed February 16, 2021).</w:t>
              </w:r>
            </w:hyperlink>
          </w:p>
        </w:tc>
        <w:tc>
          <w:tcPr>
            <w:tcW w:w="6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00" w:type="dxa"/>
            <w:vAlign w:val="bottom"/>
          </w:tcPr>
          <w:p>
            <w:pPr>
              <w:jc w:val="right"/>
              <w:ind w:right="292"/>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0200" w:type="dxa"/>
            <w:vAlign w:val="bottom"/>
            <w:gridSpan w:val="19"/>
          </w:tcPr>
          <w:p>
            <w:pPr>
              <w:spacing w:after="0"/>
              <w:rPr>
                <w:rFonts w:ascii="Arial" w:cs="Arial" w:eastAsia="Arial" w:hAnsi="Arial"/>
                <w:sz w:val="18"/>
                <w:szCs w:val="18"/>
                <w:color w:val="0000EE"/>
                <w:w w:val="93"/>
              </w:rPr>
            </w:pPr>
            <w:hyperlink r:id="rId89">
              <w:r>
                <w:rPr>
                  <w:rFonts w:ascii="Arial" w:cs="Arial" w:eastAsia="Arial" w:hAnsi="Arial"/>
                  <w:sz w:val="18"/>
                  <w:szCs w:val="18"/>
                  <w:color w:val="0000EE"/>
                  <w:w w:val="93"/>
                </w:rPr>
                <w:t>Independent Director Compensation Policy (incorporated by reference to the Company’s Annual Report on Form 10-K filed February 16,</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2021)</w:t>
              </w:r>
              <w:r>
                <w:rPr>
                  <w:rFonts w:ascii="Arial" w:cs="Arial" w:eastAsia="Arial" w:hAnsi="Arial"/>
                  <w:sz w:val="18"/>
                  <w:szCs w:val="18"/>
                  <w:color w:val="000000"/>
                </w:rPr>
                <w:t>.</w:t>
              </w:r>
            </w:hyperlink>
          </w:p>
        </w:tc>
        <w:tc>
          <w:tcPr>
            <w:tcW w:w="48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5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jc w:val="right"/>
              <w:ind w:right="292"/>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9900" w:type="dxa"/>
            <w:vAlign w:val="bottom"/>
            <w:tcBorders>
              <w:bottom w:val="single" w:sz="8" w:color="0000EE"/>
            </w:tcBorders>
            <w:gridSpan w:val="14"/>
          </w:tcPr>
          <w:p>
            <w:pPr>
              <w:spacing w:after="0"/>
              <w:rPr>
                <w:rFonts w:ascii="Arial" w:cs="Arial" w:eastAsia="Arial" w:hAnsi="Arial"/>
                <w:sz w:val="18"/>
                <w:szCs w:val="18"/>
                <w:color w:val="0000EE"/>
                <w:w w:val="90"/>
              </w:rPr>
            </w:pPr>
            <w:hyperlink r:id="rId90">
              <w:r>
                <w:rPr>
                  <w:rFonts w:ascii="Arial" w:cs="Arial" w:eastAsia="Arial" w:hAnsi="Arial"/>
                  <w:sz w:val="18"/>
                  <w:szCs w:val="18"/>
                  <w:color w:val="0000EE"/>
                  <w:w w:val="90"/>
                </w:rPr>
                <w:t>Letter Agreement dated April 1, 2021, between the Company and Christine Heckart (incorporated by reference to the Company’s Current</w:t>
              </w:r>
            </w:hyperlink>
          </w:p>
        </w:tc>
        <w:tc>
          <w:tcPr>
            <w:tcW w:w="3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r:id="rId90">
              <w:r>
                <w:rPr>
                  <w:rFonts w:ascii="Arial" w:cs="Arial" w:eastAsia="Arial" w:hAnsi="Arial"/>
                  <w:sz w:val="18"/>
                  <w:szCs w:val="18"/>
                  <w:color w:val="0000EE"/>
                  <w:w w:val="93"/>
                </w:rPr>
                <w:t>Report on Form 8-K filed April 5, 2021).</w:t>
              </w:r>
            </w:hyperlink>
          </w:p>
        </w:tc>
        <w:tc>
          <w:tcPr>
            <w:tcW w:w="72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10200" w:type="dxa"/>
            <w:vAlign w:val="bottom"/>
            <w:gridSpan w:val="19"/>
          </w:tcPr>
          <w:p>
            <w:pPr>
              <w:spacing w:after="0"/>
              <w:rPr>
                <w:rFonts w:ascii="Arial" w:cs="Arial" w:eastAsia="Arial" w:hAnsi="Arial"/>
                <w:sz w:val="18"/>
                <w:szCs w:val="18"/>
                <w:color w:val="0000EE"/>
                <w:w w:val="96"/>
              </w:rPr>
            </w:pPr>
            <w:hyperlink w:anchor="page52">
              <w:r>
                <w:rPr>
                  <w:rFonts w:ascii="Arial" w:cs="Arial" w:eastAsia="Arial" w:hAnsi="Arial"/>
                  <w:sz w:val="18"/>
                  <w:szCs w:val="18"/>
                  <w:color w:val="0000EE"/>
                  <w:w w:val="96"/>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Adopted Pursuant to Section 302 of the Sarbanes-Oxley Act of 2002.</w:t>
              </w:r>
            </w:hyperlink>
          </w:p>
        </w:tc>
        <w:tc>
          <w:tcPr>
            <w:tcW w:w="4620" w:type="dxa"/>
            <w:vAlign w:val="bottom"/>
            <w:tcBorders>
              <w:top w:val="single" w:sz="8" w:color="0000EE"/>
            </w:tcBorders>
            <w:gridSpan w:val="3"/>
          </w:tcPr>
          <w:p>
            <w:pPr>
              <w:spacing w:after="0"/>
              <w:rPr>
                <w:sz w:val="17"/>
                <w:szCs w:val="17"/>
                <w:color w:val="auto"/>
              </w:rPr>
            </w:pPr>
          </w:p>
        </w:tc>
        <w:tc>
          <w:tcPr>
            <w:tcW w:w="6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800" w:type="dxa"/>
            <w:vAlign w:val="bottom"/>
          </w:tcPr>
          <w:p>
            <w:pPr>
              <w:jc w:val="right"/>
              <w:ind w:right="212"/>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95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Certification of Principal Financial Officer Pursuant to Rules 13a-14(a) and 15d-14(a) under the Securities Exchange Act of 1934, as</w:t>
              </w:r>
            </w:hyperlink>
          </w:p>
        </w:tc>
        <w:tc>
          <w:tcPr>
            <w:tcW w:w="6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Adopted Pursuant to Section 302 of the Sarbanes-Oxley Act of 2002.</w:t>
              </w:r>
            </w:hyperlink>
          </w:p>
        </w:tc>
        <w:tc>
          <w:tcPr>
            <w:tcW w:w="52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800" w:type="dxa"/>
            <w:vAlign w:val="bottom"/>
          </w:tcPr>
          <w:p>
            <w:pPr>
              <w:jc w:val="right"/>
              <w:ind w:right="112"/>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1004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Certification of Principal Executive Officer Pursuant to 18 U.S.C. Section 1350, as Adopted Pursuant to Section 906 of the Sarbanes-Oxley</w:t>
              </w:r>
            </w:hyperlink>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Act of 2002.</w:t>
              </w:r>
            </w:hyperlink>
          </w:p>
        </w:tc>
        <w:tc>
          <w:tcPr>
            <w:tcW w:w="93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800" w:type="dxa"/>
            <w:vAlign w:val="bottom"/>
          </w:tcPr>
          <w:p>
            <w:pPr>
              <w:jc w:val="right"/>
              <w:ind w:right="112"/>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10200" w:type="dxa"/>
            <w:vAlign w:val="bottom"/>
            <w:gridSpan w:val="19"/>
          </w:tcPr>
          <w:p>
            <w:pP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Certification of Principal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Act of 2002.</w:t>
              </w:r>
            </w:hyperlink>
          </w:p>
        </w:tc>
        <w:tc>
          <w:tcPr>
            <w:tcW w:w="9080" w:type="dxa"/>
            <w:vAlign w:val="bottom"/>
            <w:tcBorders>
              <w:top w:val="single" w:sz="8" w:color="0000EE"/>
            </w:tcBorders>
            <w:gridSpan w:val="14"/>
          </w:tcPr>
          <w:p>
            <w:pPr>
              <w:spacing w:after="0"/>
              <w:rPr>
                <w:sz w:val="17"/>
                <w:szCs w:val="17"/>
                <w:color w:val="auto"/>
              </w:rPr>
            </w:pPr>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00" w:type="dxa"/>
            <w:vAlign w:val="bottom"/>
            <w:gridSpan w:val="19"/>
          </w:tcPr>
          <w:p>
            <w:pPr>
              <w:spacing w:after="0"/>
              <w:rPr>
                <w:sz w:val="20"/>
                <w:szCs w:val="20"/>
                <w:color w:val="auto"/>
              </w:rPr>
            </w:pPr>
            <w:r>
              <w:rPr>
                <w:rFonts w:ascii="Arial" w:cs="Arial" w:eastAsia="Arial" w:hAnsi="Arial"/>
                <w:sz w:val="18"/>
                <w:szCs w:val="18"/>
                <w:color w:val="auto"/>
                <w:w w:val="92"/>
              </w:rPr>
              <w:t>Inline XBRL Instance - the instance document does not appear in the Interactive Data File because its XBRL tags are embedded within the</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0" w:type="dxa"/>
            <w:vAlign w:val="bottom"/>
            <w:gridSpan w:val="19"/>
          </w:tcPr>
          <w:p>
            <w:pPr>
              <w:spacing w:after="0"/>
              <w:rPr>
                <w:sz w:val="20"/>
                <w:szCs w:val="20"/>
                <w:color w:val="auto"/>
              </w:rPr>
            </w:pPr>
            <w:r>
              <w:rPr>
                <w:rFonts w:ascii="Arial" w:cs="Arial" w:eastAsia="Arial" w:hAnsi="Arial"/>
                <w:sz w:val="18"/>
                <w:szCs w:val="18"/>
                <w:color w:val="auto"/>
              </w:rPr>
              <w:t>Inline XBRL document.</w:t>
            </w:r>
          </w:p>
        </w:tc>
        <w:tc>
          <w:tcPr>
            <w:tcW w:w="0" w:type="dxa"/>
            <w:vAlign w:val="bottom"/>
          </w:tcPr>
          <w:p>
            <w:pPr>
              <w:spacing w:after="0"/>
              <w:rPr>
                <w:sz w:val="1"/>
                <w:szCs w:val="1"/>
                <w:color w:val="auto"/>
              </w:rPr>
            </w:pPr>
          </w:p>
        </w:tc>
      </w:t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00" w:type="dxa"/>
            <w:vAlign w:val="bottom"/>
            <w:gridSpan w:val="19"/>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29"/>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00" w:type="dxa"/>
            <w:vAlign w:val="bottom"/>
            <w:gridSpan w:val="1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00" w:type="dxa"/>
            <w:vAlign w:val="bottom"/>
            <w:gridSpan w:val="19"/>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00" w:type="dxa"/>
            <w:vAlign w:val="bottom"/>
            <w:gridSpan w:val="19"/>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00" w:type="dxa"/>
            <w:vAlign w:val="bottom"/>
            <w:gridSpan w:val="1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0"/>
                <w:szCs w:val="20"/>
                <w:color w:val="auto"/>
              </w:rPr>
            </w:pPr>
          </w:p>
        </w:tc>
        <w:tc>
          <w:tcPr>
            <w:tcW w:w="10200" w:type="dxa"/>
            <w:vAlign w:val="bottom"/>
            <w:gridSpan w:val="1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22"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500" w:right="280" w:hanging="492"/>
        <w:spacing w:after="0" w:line="220" w:lineRule="exact"/>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accordance with Item 601(b)(32)(ii) of Regulation S</w:t>
      </w:r>
      <w:r>
        <w:rPr>
          <w:rFonts w:ascii="MS PGothic" w:cs="MS PGothic" w:eastAsia="MS PGothic" w:hAnsi="MS PGothic"/>
          <w:sz w:val="18"/>
          <w:szCs w:val="18"/>
          <w:color w:val="auto"/>
        </w:rPr>
        <w:t>‑</w:t>
      </w:r>
      <w:r>
        <w:rPr>
          <w:rFonts w:ascii="Arial" w:cs="Arial" w:eastAsia="Arial" w:hAnsi="Arial"/>
          <w:sz w:val="18"/>
          <w:szCs w:val="18"/>
          <w:color w:val="auto"/>
        </w:rPr>
        <w:t>K and SEC Release No. 34</w:t>
      </w:r>
      <w:r>
        <w:rPr>
          <w:rFonts w:ascii="MS PGothic" w:cs="MS PGothic" w:eastAsia="MS PGothic" w:hAnsi="MS PGothic"/>
          <w:sz w:val="18"/>
          <w:szCs w:val="18"/>
          <w:color w:val="auto"/>
        </w:rPr>
        <w:t>‑</w:t>
      </w:r>
      <w:r>
        <w:rPr>
          <w:rFonts w:ascii="Arial" w:cs="Arial" w:eastAsia="Arial" w:hAnsi="Arial"/>
          <w:sz w:val="18"/>
          <w:szCs w:val="18"/>
          <w:color w:val="auto"/>
        </w:rPr>
        <w:t>47986, the certifications furnished in Exhibits 32.1 and 32.2 hereto are deemed to accompany this Form 10</w:t>
      </w:r>
      <w:r>
        <w:rPr>
          <w:rFonts w:ascii="MS PGothic" w:cs="MS PGothic" w:eastAsia="MS PGothic" w:hAnsi="MS PGothic"/>
          <w:sz w:val="18"/>
          <w:szCs w:val="18"/>
          <w:color w:val="auto"/>
        </w:rPr>
        <w:t>‑</w:t>
      </w:r>
      <w:r>
        <w:rPr>
          <w:rFonts w:ascii="Arial" w:cs="Arial" w:eastAsia="Arial" w:hAnsi="Arial"/>
          <w:sz w:val="18"/>
          <w:szCs w:val="18"/>
          <w:color w:val="auto"/>
        </w:rPr>
        <w:t>Q and will not be deemed “filed” for purposes of Section 18 of the Exchange Act or deemed to be incorporated by reference into any filing under the Exchange Act or the Securities Act of 1933 except to the extent that the Company specifically incorporates it by reference.</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SiTime Corporation</w:t>
      </w:r>
    </w:p>
    <w:p>
      <w:pPr>
        <w:spacing w:after="0" w:line="252" w:lineRule="exact"/>
        <w:rPr>
          <w:sz w:val="20"/>
          <w:szCs w:val="20"/>
          <w:color w:val="auto"/>
        </w:rPr>
      </w:pPr>
    </w:p>
    <w:p>
      <w:pPr>
        <w:spacing w:after="0"/>
        <w:tabs>
          <w:tab w:leader="none" w:pos="5680" w:val="left"/>
          <w:tab w:leader="none" w:pos="7760" w:val="left"/>
        </w:tabs>
        <w:rPr>
          <w:sz w:val="20"/>
          <w:szCs w:val="20"/>
          <w:color w:val="auto"/>
        </w:rPr>
      </w:pPr>
      <w:r>
        <w:rPr>
          <w:rFonts w:ascii="Arial" w:cs="Arial" w:eastAsia="Arial" w:hAnsi="Arial"/>
          <w:sz w:val="18"/>
          <w:szCs w:val="18"/>
          <w:color w:val="auto"/>
        </w:rPr>
        <w:t>Date: May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Arthur D. Chadwick</w:t>
      </w:r>
    </w:p>
    <w:p>
      <w:pPr>
        <w:spacing w:after="0" w:line="27" w:lineRule="exact"/>
        <w:rPr>
          <w:sz w:val="20"/>
          <w:szCs w:val="20"/>
          <w:color w:val="auto"/>
        </w:rPr>
      </w:pPr>
    </w:p>
    <w:p>
      <w:pPr>
        <w:jc w:val="center"/>
        <w:ind w:left="5980"/>
        <w:spacing w:after="0"/>
        <w:rPr>
          <w:sz w:val="20"/>
          <w:szCs w:val="20"/>
          <w:color w:val="auto"/>
        </w:rPr>
      </w:pPr>
      <w:r>
        <w:rPr>
          <w:rFonts w:ascii="Arial" w:cs="Arial" w:eastAsia="Arial" w:hAnsi="Arial"/>
          <w:sz w:val="18"/>
          <w:szCs w:val="18"/>
          <w:b w:val="1"/>
          <w:bCs w:val="1"/>
          <w:color w:val="auto"/>
        </w:rPr>
        <w:t>Executive Vice President, Chief Financial Officer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320" w:top="337" w:right="37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Rule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Rajesh Vashist, certify that:</w:t>
      </w:r>
    </w:p>
    <w:p>
      <w:pPr>
        <w:spacing w:after="0" w:line="225"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SiTime Corporation.;</w:t>
      </w:r>
    </w:p>
    <w:p>
      <w:pPr>
        <w:spacing w:after="0" w:line="238" w:lineRule="exact"/>
        <w:rPr>
          <w:rFonts w:ascii="Arial" w:cs="Arial" w:eastAsia="Arial" w:hAnsi="Arial"/>
          <w:sz w:val="18"/>
          <w:szCs w:val="18"/>
          <w:color w:val="auto"/>
        </w:rPr>
      </w:pPr>
    </w:p>
    <w:p>
      <w:pPr>
        <w:ind w:left="220" w:right="40" w:hanging="212"/>
        <w:spacing w:after="0" w:line="342" w:lineRule="auto"/>
        <w:tabs>
          <w:tab w:leader="none" w:pos="2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6"/>
          <w:szCs w:val="16"/>
          <w:color w:val="auto"/>
        </w:rPr>
      </w:pPr>
    </w:p>
    <w:p>
      <w:pPr>
        <w:ind w:left="220" w:right="520" w:hanging="212"/>
        <w:spacing w:after="0" w:line="308" w:lineRule="auto"/>
        <w:tabs>
          <w:tab w:leader="none" w:pos="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220" w:right="120" w:hanging="212"/>
        <w:spacing w:after="0" w:line="263" w:lineRule="auto"/>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620" w:right="460" w:hanging="396"/>
        <w:spacing w:after="0" w:line="263" w:lineRule="auto"/>
        <w:tabs>
          <w:tab w:leader="none" w:pos="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620" w:right="100" w:hanging="396"/>
        <w:spacing w:after="0" w:line="263" w:lineRule="auto"/>
        <w:tabs>
          <w:tab w:leader="none" w:pos="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620" w:right="900" w:hanging="396"/>
        <w:spacing w:after="0" w:line="342" w:lineRule="auto"/>
        <w:tabs>
          <w:tab w:leader="none" w:pos="6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jc w:val="both"/>
        <w:ind w:left="620" w:right="20" w:hanging="396"/>
        <w:spacing w:after="0" w:line="263" w:lineRule="auto"/>
        <w:tabs>
          <w:tab w:leader="none" w:pos="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220" w:right="440" w:hanging="212"/>
        <w:spacing w:after="0" w:line="308" w:lineRule="auto"/>
        <w:tabs>
          <w:tab w:leader="none" w:pos="2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Arial" w:cs="Arial" w:eastAsia="Arial" w:hAnsi="Arial"/>
          <w:sz w:val="17"/>
          <w:szCs w:val="17"/>
          <w:color w:val="auto"/>
        </w:rPr>
      </w:pPr>
    </w:p>
    <w:p>
      <w:pPr>
        <w:ind w:left="620" w:right="360" w:hanging="396"/>
        <w:spacing w:after="0" w:line="308" w:lineRule="auto"/>
        <w:tabs>
          <w:tab w:leader="none" w:pos="62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7"/>
          <w:szCs w:val="17"/>
          <w:color w:val="auto"/>
        </w:rPr>
      </w:pPr>
    </w:p>
    <w:p>
      <w:pPr>
        <w:ind w:left="620" w:right="320" w:hanging="396"/>
        <w:spacing w:after="0" w:line="277" w:lineRule="auto"/>
        <w:tabs>
          <w:tab w:leader="none" w:pos="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252"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3" w:lineRule="exact"/>
        <w:rPr>
          <w:sz w:val="20"/>
          <w:szCs w:val="20"/>
          <w:color w:val="auto"/>
        </w:rPr>
      </w:pPr>
    </w:p>
    <w:p>
      <w:pPr>
        <w:ind w:left="8600"/>
        <w:spacing w:after="0"/>
        <w:rPr>
          <w:sz w:val="20"/>
          <w:szCs w:val="20"/>
          <w:color w:val="auto"/>
        </w:rPr>
      </w:pPr>
      <w:r>
        <w:rPr>
          <w:rFonts w:ascii="Arial" w:cs="Arial" w:eastAsia="Arial" w:hAnsi="Arial"/>
          <w:sz w:val="18"/>
          <w:szCs w:val="18"/>
          <w:b w:val="1"/>
          <w:bCs w:val="1"/>
          <w:color w:val="auto"/>
        </w:rPr>
        <w:t>Rajesh Vashist</w:t>
      </w:r>
    </w:p>
    <w:p>
      <w:pPr>
        <w:spacing w:after="0" w:line="23"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and Rule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Arthur D. Chadwick, certify that:</w:t>
      </w:r>
    </w:p>
    <w:p>
      <w:pPr>
        <w:spacing w:after="0" w:line="225"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SiTime Corporation.;</w:t>
      </w:r>
    </w:p>
    <w:p>
      <w:pPr>
        <w:spacing w:after="0" w:line="238" w:lineRule="exact"/>
        <w:rPr>
          <w:rFonts w:ascii="Arial" w:cs="Arial" w:eastAsia="Arial" w:hAnsi="Arial"/>
          <w:sz w:val="18"/>
          <w:szCs w:val="18"/>
          <w:color w:val="auto"/>
        </w:rPr>
      </w:pPr>
    </w:p>
    <w:p>
      <w:pPr>
        <w:ind w:left="220" w:right="40" w:hanging="212"/>
        <w:spacing w:after="0" w:line="342" w:lineRule="auto"/>
        <w:tabs>
          <w:tab w:leader="none" w:pos="2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6"/>
          <w:szCs w:val="16"/>
          <w:color w:val="auto"/>
        </w:rPr>
      </w:pPr>
    </w:p>
    <w:p>
      <w:pPr>
        <w:ind w:left="220" w:right="520" w:hanging="212"/>
        <w:spacing w:after="0" w:line="308" w:lineRule="auto"/>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220" w:right="120" w:hanging="212"/>
        <w:spacing w:after="0" w:line="263" w:lineRule="auto"/>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jc w:val="both"/>
        <w:ind w:left="620" w:right="460" w:hanging="396"/>
        <w:spacing w:after="0" w:line="263" w:lineRule="auto"/>
        <w:tabs>
          <w:tab w:leader="none" w:pos="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620" w:right="100" w:hanging="396"/>
        <w:spacing w:after="0" w:line="263" w:lineRule="auto"/>
        <w:tabs>
          <w:tab w:leader="none" w:pos="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620" w:right="900" w:hanging="396"/>
        <w:spacing w:after="0" w:line="342" w:lineRule="auto"/>
        <w:tabs>
          <w:tab w:leader="none" w:pos="6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jc w:val="both"/>
        <w:ind w:left="620" w:right="20" w:hanging="396"/>
        <w:spacing w:after="0" w:line="263" w:lineRule="auto"/>
        <w:tabs>
          <w:tab w:leader="none" w:pos="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220" w:right="440" w:hanging="212"/>
        <w:spacing w:after="0" w:line="308" w:lineRule="auto"/>
        <w:tabs>
          <w:tab w:leader="none" w:pos="2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Arial" w:cs="Arial" w:eastAsia="Arial" w:hAnsi="Arial"/>
          <w:sz w:val="17"/>
          <w:szCs w:val="17"/>
          <w:color w:val="auto"/>
        </w:rPr>
      </w:pPr>
    </w:p>
    <w:p>
      <w:pPr>
        <w:ind w:left="620" w:right="360" w:hanging="396"/>
        <w:spacing w:after="0" w:line="308" w:lineRule="auto"/>
        <w:tabs>
          <w:tab w:leader="none" w:pos="6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Arial" w:cs="Arial" w:eastAsia="Arial" w:hAnsi="Arial"/>
          <w:sz w:val="17"/>
          <w:szCs w:val="17"/>
          <w:color w:val="auto"/>
        </w:rPr>
      </w:pPr>
    </w:p>
    <w:p>
      <w:pPr>
        <w:ind w:left="620" w:right="320" w:hanging="396"/>
        <w:spacing w:after="0" w:line="277" w:lineRule="auto"/>
        <w:tabs>
          <w:tab w:leader="none" w:pos="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252"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3"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Arthur D. Chadwick</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7"/>
          <w:szCs w:val="17"/>
          <w:b w:val="1"/>
          <w:bCs w:val="1"/>
          <w:color w:val="auto"/>
        </w:rPr>
        <w:t>Executive Vice President, Chief Financial Officer</w:t>
      </w:r>
    </w:p>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479"/>
        <w:spacing w:after="0" w:line="263" w:lineRule="auto"/>
        <w:rPr>
          <w:sz w:val="20"/>
          <w:szCs w:val="20"/>
          <w:color w:val="auto"/>
        </w:rPr>
      </w:pPr>
      <w:r>
        <w:rPr>
          <w:rFonts w:ascii="Arial" w:cs="Arial" w:eastAsia="Arial" w:hAnsi="Arial"/>
          <w:sz w:val="18"/>
          <w:szCs w:val="18"/>
          <w:color w:val="auto"/>
        </w:rPr>
        <w:t>In connection with the Quarterly Report of SiTime Corporation. (the “Company”) on Form 10-Q for the period ended March 31, 2021 as filed with the Securities and Exchange Commission on the date hereof (the “Report”), I, certify, pursuant to 18 U.S.C. § 1350, as adopted pursuant to § 906 of the Sarbanes-Oxley Act of 2002, that to the best of my knowledge:</w:t>
      </w:r>
    </w:p>
    <w:p>
      <w:pPr>
        <w:spacing w:after="0" w:line="89" w:lineRule="exact"/>
        <w:rPr>
          <w:sz w:val="20"/>
          <w:szCs w:val="20"/>
          <w:color w:val="auto"/>
        </w:rPr>
      </w:pPr>
    </w:p>
    <w:p>
      <w:pPr>
        <w:ind w:left="920" w:hanging="453"/>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20" w:right="660" w:hanging="453"/>
        <w:spacing w:after="0" w:line="277" w:lineRule="auto"/>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25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/s/ Rajesh Vashist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auto"/>
        </w:rPr>
        <w:t>Rajesh Vashist</w:t>
      </w:r>
    </w:p>
    <w:p>
      <w:pPr>
        <w:spacing w:after="0" w:line="23" w:lineRule="exact"/>
        <w:rPr>
          <w:sz w:val="20"/>
          <w:szCs w:val="20"/>
          <w:color w:val="auto"/>
        </w:rPr>
      </w:pPr>
    </w:p>
    <w:p>
      <w:pPr>
        <w:ind w:left="840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479"/>
        <w:spacing w:after="0" w:line="263" w:lineRule="auto"/>
        <w:rPr>
          <w:sz w:val="20"/>
          <w:szCs w:val="20"/>
          <w:color w:val="auto"/>
        </w:rPr>
      </w:pPr>
      <w:r>
        <w:rPr>
          <w:rFonts w:ascii="Arial" w:cs="Arial" w:eastAsia="Arial" w:hAnsi="Arial"/>
          <w:sz w:val="18"/>
          <w:szCs w:val="18"/>
          <w:color w:val="auto"/>
        </w:rPr>
        <w:t>In connection with the Quarterly Report of SiTime Corporation. (the “Company”) on Form 10-Q for the period ended March 31, 2021 as filed with the Securities and Exchange Commission on the date hereof (the “Report”), I, certify, pursuant to 18 U.S.C. § 1350, as adopted pursuant to § 906 of the Sarbanes-Oxley Act of 2002, that to the best of my knowledge:</w:t>
      </w:r>
    </w:p>
    <w:p>
      <w:pPr>
        <w:spacing w:after="0" w:line="89" w:lineRule="exact"/>
        <w:rPr>
          <w:sz w:val="20"/>
          <w:szCs w:val="20"/>
          <w:color w:val="auto"/>
        </w:rPr>
      </w:pPr>
    </w:p>
    <w:p>
      <w:pPr>
        <w:ind w:left="920" w:hanging="453"/>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20" w:right="660" w:hanging="453"/>
        <w:spacing w:after="0" w:line="277" w:lineRule="auto"/>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5, 2021</w:t>
      </w:r>
    </w:p>
    <w:p>
      <w:pPr>
        <w:spacing w:after="0" w:line="252"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/s/ Arthur D.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 w:lineRule="exact"/>
        <w:rPr>
          <w:sz w:val="20"/>
          <w:szCs w:val="20"/>
          <w:color w:val="auto"/>
        </w:rPr>
      </w:pPr>
    </w:p>
    <w:p>
      <w:pPr>
        <w:ind w:left="8500"/>
        <w:spacing w:after="0"/>
        <w:rPr>
          <w:sz w:val="20"/>
          <w:szCs w:val="20"/>
          <w:color w:val="auto"/>
        </w:rPr>
      </w:pPr>
      <w:r>
        <w:rPr>
          <w:rFonts w:ascii="Arial" w:cs="Arial" w:eastAsia="Arial" w:hAnsi="Arial"/>
          <w:sz w:val="18"/>
          <w:szCs w:val="18"/>
          <w:b w:val="1"/>
          <w:bCs w:val="1"/>
          <w:color w:val="auto"/>
        </w:rPr>
        <w:t>Arthur D. Chadwick</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6"/>
          <w:szCs w:val="16"/>
          <w:b w:val="1"/>
          <w:bCs w:val="1"/>
          <w:color w:val="auto"/>
        </w:rPr>
        <w:t>Executive Vice President, 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85" Type="http://schemas.openxmlformats.org/officeDocument/2006/relationships/hyperlink" Target="http://www.sec.gov/Archives/edgar/data/0001451809/000119312519272678/d701682dex32.htm" TargetMode="External"/><Relationship Id="rId86" Type="http://schemas.openxmlformats.org/officeDocument/2006/relationships/hyperlink" Target="http://www.sec.gov/Archives/edgar/data/1451809/000119312520164650/d920552dex32.htm" TargetMode="External"/><Relationship Id="rId87" Type="http://schemas.openxmlformats.org/officeDocument/2006/relationships/hyperlink" Target="http://www.sec.gov/Archives/edgar/data/0001451809/000119312519272678/d701682dex41.htm" TargetMode="External"/><Relationship Id="rId88" Type="http://schemas.openxmlformats.org/officeDocument/2006/relationships/hyperlink" Target="http://www.sec.gov/Archives/edgar/data/1451809/000156459021005867/sitm-ex42_644.htm" TargetMode="External"/><Relationship Id="rId89" Type="http://schemas.openxmlformats.org/officeDocument/2006/relationships/hyperlink" Target="http://www.sec.gov/Archives/edgar/data/1451809/000156459021005867/sitm-ex1023_324.htm" TargetMode="External"/><Relationship Id="rId90" Type="http://schemas.openxmlformats.org/officeDocument/2006/relationships/hyperlink" Target="http://www.sec.gov/Archives/edgar/data/1451809/000156459021017612/sitm-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2021-05-05T15:27:36Z</dcterms:created>
  <dcterms:modified xsi:type="dcterms:W3CDTF">2021-05-05T15:27:36Z</dcterms:modified>
</cp:coreProperties>
</file>