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564" w:type="dxa"/>
        <w:jc w:val="left"/>
        <w:tblInd w:w="0" w:type="dxa"/>
        <w:tblLayout w:type="fixed"/>
        <w:tblCellMar>
          <w:top w:w="28" w:type="dxa"/>
          <w:left w:w="28" w:type="dxa"/>
          <w:bottom w:w="28" w:type="dxa"/>
          <w:right w:w="28" w:type="dxa"/>
        </w:tblCellMar>
      </w:tblPr>
      <w:tblGrid>
        <w:gridCol w:w="1781"/>
        <w:gridCol w:w="1564"/>
        <w:gridCol w:w="2219"/>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05, 2026</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SiTime Corporation</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1"/>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001-39135</w:t>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02-0713868</w:t>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(State or Other Jurisdiction</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5451 Patrick Henry Drive</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Santa Clara,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6090" w:type="dxa"/>
        <w:jc w:val="left"/>
        <w:tblInd w:w="0" w:type="dxa"/>
        <w:tblLayout w:type="fixed"/>
        <w:tblCellMar>
          <w:top w:w="28" w:type="dxa"/>
          <w:left w:w="28" w:type="dxa"/>
          <w:bottom w:w="28" w:type="dxa"/>
          <w:right w:w="28" w:type="dxa"/>
        </w:tblCellMar>
      </w:tblPr>
      <w:tblGrid>
        <w:gridCol w:w="1951"/>
        <w:gridCol w:w="1715"/>
        <w:gridCol w:w="2424"/>
      </w:tblGrid>
      <w:tr>
        <w:trPr/>
        <w:tc>
          <w:tcPr>
            <w:tcW w:w="195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76" w:before="18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(408) 328-4400</w:t>
            </w:r>
          </w:p>
        </w:tc>
      </w:tr>
    </w:tbl>
    <w:p>
      <w:pPr>
        <w:pStyle w:val="TextBody"/>
        <w:bidi w:val="0"/>
        <w:spacing w:lineRule="auto" w:line="288" w:before="360" w:after="283"/>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issued a press release announcing its financial results for the second quarter of 2026. A copy of the press release is furnished as Exhibit 99.1 to this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under Item 2.02 of this report, including Exhibit 99.1 hereto, shall not be deemed to be "filed" for purposes of Section 18 of the Securities Exchange Act of 1934, as amended, or otherwise subject to the liabilities of that section or Sections 11 and 12(a)(2) of the Securities Act of 1933, as amended. The information and the accompanying exhibit shall not be incorporated by reference into filings with the U.S. Securities and Exchange Commission (the "SEC") made by the Company,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228" w:type="dxa"/>
        <w:jc w:val="left"/>
        <w:tblInd w:w="0" w:type="dxa"/>
        <w:tblLayout w:type="fixed"/>
        <w:tblCellMar>
          <w:top w:w="28" w:type="dxa"/>
          <w:left w:w="28" w:type="dxa"/>
          <w:bottom w:w="28" w:type="dxa"/>
          <w:right w:w="28" w:type="dxa"/>
        </w:tblCellMar>
      </w:tblPr>
      <w:tblGrid>
        <w:gridCol w:w="124"/>
        <w:gridCol w:w="109"/>
        <w:gridCol w:w="109"/>
        <w:gridCol w:w="259"/>
        <w:gridCol w:w="259"/>
        <w:gridCol w:w="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7739" w:type="dxa"/>
        <w:jc w:val="left"/>
        <w:tblInd w:w="0" w:type="dxa"/>
        <w:tblLayout w:type="fixed"/>
        <w:tblCellMar>
          <w:top w:w="28" w:type="dxa"/>
          <w:left w:w="28" w:type="dxa"/>
          <w:bottom w:w="28" w:type="dxa"/>
          <w:right w:w="28" w:type="dxa"/>
        </w:tblCellMar>
      </w:tblPr>
      <w:tblGrid>
        <w:gridCol w:w="391"/>
        <w:gridCol w:w="344"/>
        <w:gridCol w:w="345"/>
        <w:gridCol w:w="1943"/>
        <w:gridCol w:w="1943"/>
        <w:gridCol w:w="277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6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sitm-q226x8kxexx991.htm">
              <w:r>
                <w:rPr>
                  <w:rStyle w:val="InternetLink"/>
                  <w:rFonts w:ascii="Times New Roman;serif" w:hAnsi="Times New Roman;serif"/>
                  <w:b w:val="false"/>
                  <w:color w:val="0000FF"/>
                  <w:sz w:val="20"/>
                  <w:u w:val="single"/>
                </w:rPr>
                <w:t>99.1</w:t>
              </w:r>
            </w:hyperlink>
          </w:p>
        </w:tc>
        <w:tc>
          <w:tcPr>
            <w:tcW w:w="6659"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sitm-q226x8kxexx991.htm">
              <w:r>
                <w:rPr>
                  <w:rStyle w:val="InternetLink"/>
                  <w:rFonts w:ascii="Times New Roman;serif" w:hAnsi="Times New Roman;serif"/>
                  <w:b w:val="false"/>
                  <w:color w:val="0000FF"/>
                  <w:sz w:val="20"/>
                  <w:u w:val="single"/>
                </w:rPr>
                <w:t>Press Release of SiTime Corporation dated August 5,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5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49"/>
        <w:gridCol w:w="149"/>
        <w:gridCol w:w="151"/>
        <w:gridCol w:w="1347"/>
        <w:gridCol w:w="1347"/>
        <w:gridCol w:w="19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Elizabeth A. Howe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SiTime Reports Second Quarter 2026 Financial Results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Q2 Net Revenue Increased 127% to $157.4 Million</w:t>
      </w:r>
    </w:p>
    <w:p>
      <w:pPr>
        <w:pStyle w:val="TextBody"/>
        <w:bidi w:val="0"/>
        <w:spacing w:lineRule="auto" w:line="288" w:before="120" w:after="283"/>
        <w:jc w:val="left"/>
        <w:rPr/>
      </w:pPr>
      <w:r>
        <w:rPr>
          <w:rFonts w:ascii="Times New Roman;serif" w:hAnsi="Times New Roman;serif"/>
          <w:b/>
          <w:color w:val="000000"/>
          <w:sz w:val="20"/>
        </w:rPr>
        <w:t xml:space="preserve">SANTA CLARA, Calif., August 5, 2026 </w:t>
      </w:r>
      <w:r>
        <w:rPr>
          <w:color w:val="000000"/>
        </w:rPr>
        <w:t xml:space="preserve">– </w:t>
      </w:r>
      <w:r>
        <w:rPr>
          <w:rFonts w:ascii="Times New Roman;serif" w:hAnsi="Times New Roman;serif"/>
          <w:b w:val="false"/>
          <w:color w:val="000000"/>
          <w:sz w:val="20"/>
        </w:rPr>
        <w:t>SiTime Corporation, (Nasdaq: SITM), the Precision Timing company, today announced financial results for the second quarter ended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revenue in the second quarter of 2026 was $157.4 million, as compared to $69.5 million in the year ago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delivered exceptional results in the second quarter, with revenue increasing 127% year over year to $157.4 million and gross margin of 67.1%," said Rajesh Vashist, chairman and CEO of SiTime. "While every segment grew by at least 50%, CED grew by 181%. On July 1, we completed the acquisition of Renesas' Timing Business, adding over 550 clocking products to our portfolio. Only SiTime offers the full breadth of Precision Timing solutions — and that unmatched capability is accelerating our industry leadership across every end market we serve."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GAAP gross profit was $99.1 million, or 63.0% of revenue, GAAP operating expenses were $90.9 million, GAAP income from operations was $8.2 million, and GAAP net income was $18.2 million, or $0.66 per diluted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non-GAAP gross profit was $105.6 million, or 67.1% of revenue, non-GAAP operating expenses were $52.1 million, non-GAAP income from operations was $53.5 million and non-GAAP net income was $65.6 million, or $2.34 per diluted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short-term investments were $1,921 million on June 30, 2026. The balance includes net proceeds from the convertible senior notes offering that were used to fund the acquisition of certain assets from Renesas Electronics Corporation which was completed on July 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plans to discuss its business outlook as part of today’s scheduled conference call.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Non-GAAP Financial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and its attachments include certain non-GAAP supplemental performance measures. The presentation of this financial information is not intended to be considered in isolation or as a substitute for the financial information prepared and presented in accordance with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believes that the presentation of non-GAAP financial measures provides important supplemental information to management and investors regarding financial and business trends relating to SiTime’s financial condition and results of operations. SiTime believes that these non-GAAP financial measures provide additional insight into SiTime’s ongoing performance and core operational activities and has chosen to provide these measures for more consistent and meaningful comparison between periods. These measures should only be used to evaluate SiTime’s results of operations in conjunction with the corresponding GAAP measures. The non-GAAP financial measures exclude stock-based compensation expense, amortization of acquired intangibles, amortization of financing related transaction costs, and acquisition-related expenses which include transaction and certain other cash costs associated with business acquisition as well as changes in the estimated fair value of earn out liabilities and accretion of acquisition consideration payable. The reconciliation between GAAP and non-GAAP financial results is provided in the financial statements portion of this release.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Inducement Plan Grants</w:t>
      </w:r>
    </w:p>
    <w:p>
      <w:pPr>
        <w:pStyle w:val="TextBody"/>
        <w:bidi w:val="0"/>
        <w:spacing w:lineRule="auto" w:line="288" w:before="120" w:after="283"/>
        <w:jc w:val="left"/>
        <w:rPr/>
      </w:pPr>
      <w:r>
        <w:rPr>
          <w:rFonts w:ascii="Times New Roman;serif" w:hAnsi="Times New Roman;serif"/>
          <w:b w:val="false"/>
          <w:color w:val="000000"/>
          <w:sz w:val="20"/>
        </w:rPr>
        <w:t>SiTime granted restricted stock unit awards (“RSUs”) on August 3, 2026 that were approved by the Compensation and Talent Committee of its Board of Directors under SiTime’s Amended and Restated 2022 Inducement Award Plan, as a material inducement to the employment of 168 newly hired individuals globally, including 126 employees, hired in connection with SiTime’s acquisition of certain assets from Renesas Electronics Corporation. The RSUs were approved in accordance with Nasdaq Listing Rule 5635(c)(4). The inducement grants consisted of an aggregate of 109,689 RSUs. For employees hired in connection with the acquisition of certain assets of Renesas Electronics Corporation, 1/16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the RSUs will vest on August 20, 2026, and then 1/16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the RSUs will vest in equal quarterly installments on each November 20, February 20, May 20, and August 20 thereafter, subject to each such employee’s continued service on each vesting date.</w:t>
      </w:r>
      <w:r>
        <w:rPr>
          <w:color w:val="000000"/>
        </w:rPr>
        <w:t xml:space="preserve"> </w:t>
      </w:r>
      <w:r>
        <w:rPr>
          <w:rFonts w:ascii="Times New Roman;serif" w:hAnsi="Times New Roman;serif"/>
          <w:b w:val="false"/>
          <w:color w:val="000000"/>
          <w:sz w:val="20"/>
        </w:rPr>
        <w:t>For the other newly hired individuals, one-fourth of the RSUs will vest on the first February 20, May 20, August 20, or November 20, falling in the one-year anniversary quarter of the applicable vesting start date, and then 1/16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the RSUs will vest in equal quarterly installments on each February 20, May 20, August 20, and November 20 thereafter, subject to each such employee’s continued service on each vesting date. The inducement grants are subject to the terms and conditions of award agreements covering the RSU grants and SiTime’s Amended and Restated 2022 Inducement Award Plan.</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will broadcast the financial results for its second quarter of 2026 via conference call today, August 5, 2026, at 2:00 p.m. Pacific Time (5:00 p.m. Eastern Time). To join the conference call via phone, participants are required to complete the following registration form to receive a dial-in number and dedicated PIN for accessing the conference call. The conference call will also be available via a live audio webcast on the investor relations section of the SiTime website at investor.sitime.com. Please access the website at least a few minutes prior to the start of the call to download and install any necessary audio software. An archived webcast replay of the call will be available on the website.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About SiTime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Corporation is the Precision Timing company. Our semiconductor MEMS programmable solutions offer a rich feature set that enables customers to differentiate their products with higher performance, smaller size, lower power, and better reliability. With more than 4 billion devices shipped, SiTime is changing the timing industry. For more information, visit www.sitime.com.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About Precision Timing – Timing is the heartbeat of all electronics, ensuring performance, resilience and scalability. For decades, quartz devices, non-silicon technology, have kept systems in sync, but they struggle in harsher, more demanding environments. MEMS-based Precision Timing delivers greater accuracy, smaller size and resilience. Today, MEMS timing powers over 400 applications, including high-growth ones in AI data centers, automated driving, industrial and humanoid robots, wearables and IoT.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and the earnings call referencing this press release contains forward-looking statements within the meaning of Section 27A of the Securities Act of 1933, as amended, and Section 21E of the Security Exchange Act of 1934, as amended. These forward-looking statements involve risks, uncertainties, assumptions, and other factors that may cause actual results or outcomes to differ materially from those anticipated in such forward-looking statements. The risks, uncertainties, assumptions, and other factors include, but are not limited to our expectations and trends relating to the growth of our new products, our product differentiation and market acceptance of our products, and our ability to accurately forecast our future performance, business and growth. More information about these and other risks, uncertainties, and other factors that may cause actual outcomes and results to differ materially from those included in the forward-looking statements contained in this release are included under the caption “Risk Factors” and elsewhere in our most recent Form 10-Q filed with the Securities and Exchange Commission and other filings SiTime makes with the Securities and Exchange Commission from time to time, including SiTime's Annual Report on Form 10-K that has been filed for the year ended December 31, 2025. The financial information set forth in this release reflects estimates based on information available at this time. While SiTime believes these estimates to be reasonable, these amounts could differ materially from reported amounts in SiTime’s Quarterly Report on Form 10-Q for the quarter ended June 30, 2026 and SiTime’s other filings with the Securities and Exchange Commission. Forward-looking statements speak only as of the date the statements are made and are based on information available to SiTime at the time those statements are made and/or management's good faith belief as of that time with respect to future events. Except as required by law, SiTime undertakes no obligation, and does not intend, to update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GAAP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2284"/>
        <w:gridCol w:w="1865"/>
        <w:gridCol w:w="1867"/>
        <w:gridCol w:w="211"/>
        <w:gridCol w:w="826"/>
        <w:gridCol w:w="109"/>
        <w:gridCol w:w="109"/>
        <w:gridCol w:w="109"/>
        <w:gridCol w:w="109"/>
        <w:gridCol w:w="227"/>
        <w:gridCol w:w="889"/>
        <w:gridCol w:w="116"/>
        <w:gridCol w:w="109"/>
        <w:gridCol w:w="109"/>
        <w:gridCol w:w="109"/>
        <w:gridCol w:w="211"/>
        <w:gridCol w:w="787"/>
        <w:gridCol w:w="159"/>
      </w:tblGrid>
      <w:tr>
        <w:trPr/>
        <w:tc>
          <w:tcPr>
            <w:tcW w:w="2284"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 thousands, except per share data)</w:t>
            </w:r>
            <w:r>
              <w:rPr>
                <w:color w:val="000000"/>
              </w:rPr>
              <w:t xml:space="preserve"> </w:t>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113,567 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69,494 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99,142 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66,955 </w:t>
            </w:r>
          </w:p>
        </w:tc>
        <w:tc>
          <w:tcPr>
            <w:tcW w:w="11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36,052 </w:t>
            </w:r>
          </w:p>
        </w:tc>
        <w:tc>
          <w:tcPr>
            <w:tcW w:w="15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32,738 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30,563 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79,294 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60,663 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(12,339)</w:t>
            </w:r>
          </w:p>
        </w:tc>
        <w:tc>
          <w:tcPr>
            <w:tcW w:w="11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(24,611)</w:t>
            </w:r>
          </w:p>
        </w:tc>
        <w:tc>
          <w:tcPr>
            <w:tcW w:w="15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18,196 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(5,203)</w:t>
            </w:r>
          </w:p>
        </w:tc>
        <w:tc>
          <w:tcPr>
            <w:tcW w:w="11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(20,144)</w:t>
            </w:r>
          </w:p>
        </w:tc>
        <w:tc>
          <w:tcPr>
            <w:tcW w:w="15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w:t>
            </w:r>
          </w:p>
        </w:tc>
        <w:tc>
          <w:tcPr>
            <w:tcW w:w="11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5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and comprehensive income (loss)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w:t>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6"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5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net income (loss) per share</w:t>
            </w:r>
          </w:p>
        </w:tc>
        <w:tc>
          <w:tcPr>
            <w:tcW w:w="1146"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23,923</w:t>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(loss) per share</w:t>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GAAP Condensed Consolidated Statements of Operations</w:t>
      </w:r>
    </w:p>
    <w:tbl>
      <w:tblPr>
        <w:tblW w:w="10180" w:type="dxa"/>
        <w:jc w:val="left"/>
        <w:tblInd w:w="0" w:type="dxa"/>
        <w:tblLayout w:type="fixed"/>
        <w:tblCellMar>
          <w:top w:w="28" w:type="dxa"/>
          <w:left w:w="28" w:type="dxa"/>
          <w:bottom w:w="28" w:type="dxa"/>
          <w:right w:w="28" w:type="dxa"/>
        </w:tblCellMar>
      </w:tblPr>
      <w:tblGrid>
        <w:gridCol w:w="2641"/>
        <w:gridCol w:w="2329"/>
        <w:gridCol w:w="2334"/>
        <w:gridCol w:w="228"/>
        <w:gridCol w:w="893"/>
        <w:gridCol w:w="117"/>
        <w:gridCol w:w="117"/>
        <w:gridCol w:w="117"/>
        <w:gridCol w:w="117"/>
        <w:gridCol w:w="228"/>
        <w:gridCol w:w="893"/>
        <w:gridCol w:w="166"/>
      </w:tblGrid>
      <w:tr>
        <w:trPr/>
        <w:tc>
          <w:tcPr>
            <w:tcW w:w="264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 thousands, except per share data)</w:t>
            </w:r>
            <w:r>
              <w:rPr>
                <w:color w:val="000000"/>
              </w:rPr>
              <w:t xml:space="preserve"> </w:t>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270,999 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129,808 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166,097 </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66,387 </w:t>
            </w:r>
          </w:p>
        </w:tc>
        <w:tc>
          <w:tcPr>
            <w:tcW w:w="16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68,854 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60,589 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1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170,220 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119,108 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11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(52,721)</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(43,954)</w:t>
            </w:r>
          </w:p>
        </w:tc>
        <w:tc>
          <w:tcPr>
            <w:tcW w:w="16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6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and comprehensive income (loss)</w:t>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w:t>
            </w:r>
          </w:p>
        </w:tc>
        <w:tc>
          <w:tcPr>
            <w:tcW w:w="228"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1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66"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net income (loss) per share</w:t>
            </w:r>
          </w:p>
        </w:tc>
        <w:tc>
          <w:tcPr>
            <w:tcW w:w="1238"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26,397</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23,790</w:t>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(loss) per share</w:t>
            </w:r>
          </w:p>
        </w:tc>
        <w:tc>
          <w:tcPr>
            <w:tcW w:w="1238"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27,335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Non-GAAP Adjustments</w:t>
      </w:r>
    </w:p>
    <w:tbl>
      <w:tblPr>
        <w:tblW w:w="10205" w:type="dxa"/>
        <w:jc w:val="center"/>
        <w:tblInd w:w="0" w:type="dxa"/>
        <w:tblLayout w:type="fixed"/>
        <w:tblCellMar>
          <w:top w:w="28" w:type="dxa"/>
          <w:left w:w="28" w:type="dxa"/>
          <w:bottom w:w="28" w:type="dxa"/>
          <w:right w:w="28" w:type="dxa"/>
        </w:tblCellMar>
      </w:tblPr>
      <w:tblGrid>
        <w:gridCol w:w="2098"/>
        <w:gridCol w:w="1763"/>
        <w:gridCol w:w="1771"/>
        <w:gridCol w:w="211"/>
        <w:gridCol w:w="826"/>
        <w:gridCol w:w="271"/>
        <w:gridCol w:w="109"/>
        <w:gridCol w:w="109"/>
        <w:gridCol w:w="109"/>
        <w:gridCol w:w="211"/>
        <w:gridCol w:w="826"/>
        <w:gridCol w:w="271"/>
        <w:gridCol w:w="109"/>
        <w:gridCol w:w="109"/>
        <w:gridCol w:w="109"/>
        <w:gridCol w:w="211"/>
        <w:gridCol w:w="774"/>
        <w:gridCol w:w="318"/>
      </w:tblGrid>
      <w:tr>
        <w:trPr/>
        <w:tc>
          <w:tcPr>
            <w:tcW w:w="209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 thousands, except per share data)</w:t>
            </w:r>
            <w:r>
              <w:rPr>
                <w:color w:val="000000"/>
              </w:rPr>
              <w:t xml:space="preserve"> </w:t>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gross profit and margin to non-GAAP</w:t>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69,494 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99,142 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66,955 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36,052 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3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105,585 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73,289 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40,450 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operating expenses to non-GAAP</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36,117 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30,563 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 expenses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25,616 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21,510 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sales, 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46,301 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38,937 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28,228 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general and administrative expenses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26,508 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13,771 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acquisition related costs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acquisition related costs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52,124 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41,465 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33,290 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income (loss) from operations to non-GAAP income from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(loss) from operations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26,326 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53,461 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as a percentage of revenue</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net income (loss) to non-GAAP net income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related transaction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30,993 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26,326 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65,649 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38,946 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3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per share</w:t>
            </w:r>
          </w:p>
        </w:tc>
        <w:tc>
          <w:tcPr>
            <w:tcW w:w="1308"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28,061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24,633</w:t>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 per share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detailed above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Non-GAAP diluted weighted average shares are calculated using the treasury stock method and differ from GAAP diluted weighted average shares in certain periods due to non-GAAP net income reported.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Non-GAAP Adjustments</w:t>
      </w:r>
    </w:p>
    <w:tbl>
      <w:tblPr>
        <w:tblW w:w="10205" w:type="dxa"/>
        <w:jc w:val="center"/>
        <w:tblInd w:w="0" w:type="dxa"/>
        <w:tblLayout w:type="fixed"/>
        <w:tblCellMar>
          <w:top w:w="28" w:type="dxa"/>
          <w:left w:w="28" w:type="dxa"/>
          <w:bottom w:w="28" w:type="dxa"/>
          <w:right w:w="28" w:type="dxa"/>
        </w:tblCellMar>
      </w:tblPr>
      <w:tblGrid>
        <w:gridCol w:w="2623"/>
        <w:gridCol w:w="2291"/>
        <w:gridCol w:w="2301"/>
        <w:gridCol w:w="211"/>
        <w:gridCol w:w="826"/>
        <w:gridCol w:w="271"/>
        <w:gridCol w:w="109"/>
        <w:gridCol w:w="109"/>
        <w:gridCol w:w="109"/>
        <w:gridCol w:w="211"/>
        <w:gridCol w:w="826"/>
        <w:gridCol w:w="318"/>
      </w:tblGrid>
      <w:tr>
        <w:trPr/>
        <w:tc>
          <w:tcPr>
            <w:tcW w:w="262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 thousands, except per share data)</w:t>
            </w:r>
            <w:r>
              <w:rPr>
                <w:color w:val="000000"/>
              </w:rPr>
              <w:t xml:space="preserve"> </w:t>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gross profit and margin to non-GAAP</w:t>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270,999 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129,808 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166,097 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66,387 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178,875 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75,058 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operating expenses to non-GAAP</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68,854 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60,589 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 expenses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47,126 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38,863 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sales, 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85,237 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55,086 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(28,119)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general and administrative expenses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46,462 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acquisition related costs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acquisition related costs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65,830 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loss from operations to non-GAAP income (loss) from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51,371 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85,287 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3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as a percentage of revenue</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net income (loss) to non-GAAP net income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related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61,792 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51,371 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104,596 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17,893 </w:t>
            </w:r>
          </w:p>
        </w:tc>
        <w:tc>
          <w:tcPr>
            <w:tcW w:w="3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Weighted-average shares used to compute diluted net income per share </w:t>
            </w:r>
            <w:r>
              <w:rPr>
                <w:rFonts w:ascii="Times New Roman;serif" w:hAnsi="Times New Roman;serif"/>
                <w:b w:val="false"/>
                <w:color w:val="000000"/>
                <w:sz w:val="13"/>
              </w:rPr>
              <w:t>(1)</w:t>
            </w:r>
          </w:p>
        </w:tc>
        <w:tc>
          <w:tcPr>
            <w:tcW w:w="1308"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27,621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24,566</w:t>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 per share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detailed above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Non-GAAP diluted weighted average shares are calculated using the treasury stock method and differ from GAAP diluted weighted average shares in certain periods due to non-GAAP net income reported.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GAAP Condensed Consolidated Balance Sheets </w:t>
      </w:r>
    </w:p>
    <w:tbl>
      <w:tblPr>
        <w:tblW w:w="7562" w:type="dxa"/>
        <w:jc w:val="left"/>
        <w:tblInd w:w="0" w:type="dxa"/>
        <w:tblLayout w:type="fixed"/>
        <w:tblCellMar>
          <w:top w:w="28" w:type="dxa"/>
          <w:left w:w="28" w:type="dxa"/>
          <w:bottom w:w="28" w:type="dxa"/>
          <w:right w:w="28" w:type="dxa"/>
        </w:tblCellMar>
      </w:tblPr>
      <w:tblGrid>
        <w:gridCol w:w="1583"/>
        <w:gridCol w:w="1397"/>
        <w:gridCol w:w="1414"/>
        <w:gridCol w:w="211"/>
        <w:gridCol w:w="976"/>
        <w:gridCol w:w="109"/>
        <w:gridCol w:w="109"/>
        <w:gridCol w:w="109"/>
        <w:gridCol w:w="109"/>
        <w:gridCol w:w="243"/>
        <w:gridCol w:w="1125"/>
        <w:gridCol w:w="177"/>
      </w:tblGrid>
      <w:tr>
        <w:trPr/>
        <w:tc>
          <w:tcPr>
            <w:tcW w:w="158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As of</w:t>
            </w:r>
            <w:r>
              <w:rPr>
                <w:color w:val="000000"/>
              </w:rPr>
              <w:t xml:space="preserve">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 thousands)</w:t>
            </w:r>
            <w:r>
              <w:rPr>
                <w:color w:val="000000"/>
              </w:rPr>
              <w:t xml:space="preserve"> </w:t>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1,921,141 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16,759 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in held-to-maturity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791,648 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45,040 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14,275 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2,133,865 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949,279 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114,387 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105,114 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147,366 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2,505,523 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1,294,699 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109,736 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84,005 </w:t>
            </w:r>
          </w:p>
        </w:tc>
        <w:tc>
          <w:tcPr>
            <w:tcW w:w="17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1,480,471 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138,517 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1,381,083 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(224,904)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1,025,052 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1,156,182 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2,505,523 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1,294,699 </w:t>
            </w:r>
          </w:p>
        </w:tc>
        <w:tc>
          <w:tcPr>
            <w:tcW w:w="17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Investor Relations Contacts: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Shelton Group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Leanne Sievers | Brett Perry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sitm-ir@sheltongroup.com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SiTime Corporation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Beth Howe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investor.relations@sitime.com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3063</Words>
  <Characters>17766</Characters>
  <CharactersWithSpaces>20392</CharactersWithSpaces>
  <Paragraphs>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