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pPr>
      <w:bookmarkStart w:id="0" w:name="sitm-20230331.htm"/>
      <w:bookmarkStart w:id="1" w:name="kssitm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8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quarterly period ended March 31,</w:t>
      </w:r>
      <w:r>
        <w:rPr>
          <w:rFonts w:ascii="Times New Roman;serif" w:hAnsi="Times New Roman;serif"/>
          <w:sz w:val="20"/>
        </w:rPr>
        <w:t xml:space="preserve"> </w:t>
      </w:r>
      <w:r>
        <w:rPr>
          <w:rFonts w:ascii="Times New Roman;serif" w:hAnsi="Times New Roman;serif"/>
          <w:b/>
          <w:sz w:val="20"/>
        </w:rPr>
        <w:t>2023</w:t>
      </w:r>
    </w:p>
    <w:p>
      <w:pPr>
        <w:pStyle w:val="TextBody"/>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001-39135</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48"/>
        </w:rPr>
      </w:pPr>
      <w:r>
        <w:rPr>
          <w:rFonts w:ascii="Times New Roman;serif" w:hAnsi="Times New Roman;serif"/>
          <w:b/>
          <w:sz w:val="48"/>
        </w:rPr>
        <w:t>SiTime Corporation</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02-0713868</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5451 Patrick Henry Drive</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Santa Clara, CA</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95054</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(408) 328-4400</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350" w:type="dxa"/>
        <w:jc w:val="left"/>
        <w:tblInd w:w="0" w:type="dxa"/>
        <w:tblCellMar>
          <w:top w:w="28" w:type="dxa"/>
          <w:left w:w="28" w:type="dxa"/>
          <w:bottom w:w="28" w:type="dxa"/>
          <w:right w:w="28" w:type="dxa"/>
        </w:tblCellMar>
      </w:tblPr>
      <w:tblGrid>
        <w:gridCol w:w="3286"/>
        <w:gridCol w:w="146"/>
        <w:gridCol w:w="145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SITM</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The Nasdaq</w:t>
            </w:r>
            <w:r>
              <w:rPr>
                <w:rFonts w:ascii="Times New Roman" w:hAnsi="Times New Roman"/>
                <w:sz w:val="20"/>
              </w:rPr>
              <w:t> </w:t>
            </w:r>
            <w:r>
              <w:rPr>
                <w:rFonts w:ascii="Times New Roman;serif" w:hAnsi="Times New Roman;serif"/>
                <w:b w:val="false"/>
                <w:sz w:val="18"/>
              </w:rPr>
              <w:t>Stock Market LLC</w:t>
            </w:r>
          </w:p>
        </w:tc>
      </w:tr>
    </w:tbl>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As of May 1, 2023, the registrant had</w:t>
      </w:r>
      <w:r>
        <w:rPr>
          <w:rFonts w:ascii="Times New Roman" w:hAnsi="Times New Roman"/>
          <w:sz w:val="20"/>
        </w:rPr>
        <w:t xml:space="preserve"> </w:t>
      </w:r>
      <w:r>
        <w:rPr>
          <w:rFonts w:ascii="Times New Roman;serif" w:hAnsi="Times New Roman;serif"/>
          <w:b w:val="false"/>
          <w:sz w:val="18"/>
        </w:rPr>
        <w:t>21,951,808</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firstLine="137"/>
              <w:jc w:val="left"/>
              <w:rPr/>
            </w:pPr>
            <w:r>
              <w:rPr/>
              <w:t> </w:t>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risk_factor_summary">
              <w:r>
                <w:rPr>
                  <w:rStyle w:val="InternetLink"/>
                  <w:rFonts w:ascii="Times New Roman;serif" w:hAnsi="Times New Roman;serif"/>
                  <w:b w:val="false"/>
                  <w:sz w:val="20"/>
                  <w:u w:val="single"/>
                </w:rPr>
                <w:t>Risk Factor Summary</w:t>
              </w:r>
            </w:hyperlink>
            <w:hyperlink w:anchor="risk_factor_summary">
              <w:r>
                <w:rPr>
                  <w:rStyle w:val="InternetLink"/>
                  <w:rFonts w:ascii="Times New Roman" w:hAnsi="Times New Roman"/>
                  <w:sz w:val="20"/>
                </w:rPr>
                <w:t xml:space="preserve"> </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_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c_bs">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c_stmt_ops">
              <w:r>
                <w:rPr>
                  <w:rStyle w:val="InternetLink"/>
                  <w:rFonts w:ascii="Times New Roman;serif" w:hAnsi="Times New Roman;serif"/>
                  <w:b w:val="false"/>
                  <w:sz w:val="20"/>
                  <w:u w:val="single"/>
                </w:rPr>
                <w:t>Condensed Consolidated Statements of Operations and Comprehensive Income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c_cash_flow">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risk_factor_summary"/>
      <w:bookmarkEnd w:id="2"/>
      <w:r>
        <w:rPr>
          <w:rFonts w:ascii="Times New Roman;serif" w:hAnsi="Times New Roman;serif"/>
          <w:b/>
          <w:sz w:val="20"/>
        </w:rPr>
        <w:t>RISK FACTORS SUMMARY</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Global macroeconomic conditions have harmed and may continue to harm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the cyclical nature of the semiconductor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we do not typically have long-term purchase commitments with our customers, and orders may be cancelled, reduced, or rescheduled with little or no notice, which in turn exposes us to inventory risk, and may cause our business and results of operations to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the COVID-19 pandemic on our business as well as our suppliers and customers, and product warranty claims. This in turn could cause our stock price to decline;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not able to successfully introduce and ship in volume new products in a timely manner, our business and revenue will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and uncertainty related to the ongoing COVID-19 pandemic could adversely impact our business, results of operations and financial condition, as well as the businesses of our suppliers and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gross margins may fluctuate due to a variety of factors, which could negatively impact our results of operations and our financial condition;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revenue in recent periods may not be indicative of future performance and our revenue may fluctuate over time;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provide a lifetime warranty on our products and may be subject to warranty or product liability claims, which could harm our reputation, result in unexpected expenses, and cause us to lose market share;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Defects in our products could harm our relationships with our customers and damage our reputation;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fail to compete effectively, we may lose or fail to gain market share, which could negatively impact our operating results and our business;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may not be able to accurately predict our future capital needs, and we may not be able to obtain additional financing to fund our operations;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seek, or be required to seek debt financing in the immediate or near term;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significant tariffs or other trade restrictions are placed on our products or third-party suppliers, our revenue and results of operations may be materially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comply with the laws associated with our activities outside of the United States could subject us to penalties and other adverse consequences;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government regulation, including import, export and economic sanctions laws and regulations that may expose us to liability and increase our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New or future changes to U.S. and non-U.S. tax laws, or tax regulatory authorities disagreeing with our positions and conclusions regarding certain tax positions, could materially adversely affect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Breaches or other disruptions of our security systems may damage our reputation and adversely affect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 future sales of our common stock could cause the market price of our common stock to decline;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 w:name="parti_financial_information"/>
      <w:bookmarkEnd w:id="3"/>
      <w:r>
        <w:rPr>
          <w:rFonts w:ascii="Times New Roman;serif" w:hAnsi="Times New Roman;serif"/>
          <w:b/>
          <w:sz w:val="20"/>
        </w:rPr>
        <w:t>PA</w:t>
      </w:r>
      <w:bookmarkStart w:id="4" w:name="part_i"/>
      <w:bookmarkEnd w:id="4"/>
      <w:r>
        <w:rPr>
          <w:rFonts w:ascii="Times New Roman;serif" w:hAnsi="Times New Roman;serif"/>
          <w:b/>
          <w:sz w:val="20"/>
        </w:rPr>
        <w:t>RT I—FINANCIAL INFORMATION</w:t>
      </w:r>
    </w:p>
    <w:p>
      <w:pPr>
        <w:pStyle w:val="TextBody"/>
        <w:spacing w:before="0" w:after="0"/>
        <w:jc w:val="center"/>
        <w:rPr/>
      </w:pPr>
      <w:r>
        <w:rPr/>
        <w:t> </w:t>
      </w:r>
    </w:p>
    <w:p>
      <w:pPr>
        <w:pStyle w:val="TextBody"/>
        <w:spacing w:before="360" w:after="0"/>
        <w:jc w:val="left"/>
        <w:rPr>
          <w:rFonts w:ascii="Times New Roman;serif" w:hAnsi="Times New Roman;serif"/>
          <w:b/>
          <w:sz w:val="20"/>
        </w:rPr>
      </w:pPr>
      <w:bookmarkStart w:id="5" w:name="item_1_financial_statements"/>
      <w:bookmarkEnd w:id="5"/>
      <w:r>
        <w:rPr>
          <w:rFonts w:ascii="Times New Roman;serif" w:hAnsi="Times New Roman;serif"/>
          <w:b/>
          <w:sz w:val="20"/>
        </w:rPr>
        <w:t>Item 1.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SiTime Corporation</w:t>
      </w:r>
    </w:p>
    <w:p>
      <w:pPr>
        <w:pStyle w:val="TextBody"/>
        <w:spacing w:before="0" w:after="0"/>
        <w:jc w:val="center"/>
        <w:rPr>
          <w:rFonts w:ascii="Times New Roman;serif" w:hAnsi="Times New Roman;serif"/>
          <w:b/>
          <w:sz w:val="20"/>
        </w:rPr>
      </w:pPr>
      <w:bookmarkStart w:id="6" w:name="cc_bs"/>
      <w:bookmarkEnd w:id="6"/>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080" w:type="dxa"/>
        <w:jc w:val="left"/>
        <w:tblInd w:w="0" w:type="dxa"/>
        <w:tblCellMar>
          <w:top w:w="28" w:type="dxa"/>
          <w:left w:w="28" w:type="dxa"/>
          <w:bottom w:w="28" w:type="dxa"/>
          <w:right w:w="28" w:type="dxa"/>
        </w:tblCellMar>
      </w:tblPr>
      <w:tblGrid>
        <w:gridCol w:w="5251"/>
        <w:gridCol w:w="146"/>
        <w:gridCol w:w="268"/>
        <w:gridCol w:w="992"/>
        <w:gridCol w:w="166"/>
        <w:gridCol w:w="146"/>
        <w:gridCol w:w="319"/>
        <w:gridCol w:w="1181"/>
        <w:gridCol w:w="611"/>
      </w:tblGrid>
      <w:tr>
        <w:trPr/>
        <w:tc>
          <w:tcPr>
            <w:tcW w:w="5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34,603</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 in held-to-maturity securities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537,818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529,494</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41,229</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57,650</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666,544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669,067</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58,772</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5,205</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net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10,848</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746,428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750,616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14,881</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18,913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33,794</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8,149</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42,136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9)</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52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- 200,000</w:t>
            </w:r>
            <w:r>
              <w:rPr>
                <w:rFonts w:ascii="Times New Roman" w:hAnsi="Times New Roman"/>
                <w:sz w:val="20"/>
              </w:rPr>
              <w:t> </w:t>
            </w:r>
            <w:r>
              <w:rPr>
                <w:rFonts w:ascii="Times New Roman;serif" w:hAnsi="Times New Roman;serif"/>
                <w:b w:val="false"/>
                <w:sz w:val="20"/>
              </w:rPr>
              <w:t>shares authorized;</w:t>
              <w:br/>
              <w:t>   21,952</w:t>
            </w:r>
            <w:r>
              <w:rPr>
                <w:rFonts w:ascii="Times New Roman" w:hAnsi="Times New Roman"/>
                <w:sz w:val="20"/>
              </w:rPr>
              <w:t> </w:t>
            </w:r>
            <w:r>
              <w:rPr>
                <w:rFonts w:ascii="Times New Roman;serif" w:hAnsi="Times New Roman;serif"/>
                <w:b w:val="false"/>
                <w:sz w:val="20"/>
              </w:rPr>
              <w:t>and 21,702</w:t>
            </w:r>
            <w:r>
              <w:rPr>
                <w:rFonts w:ascii="Times New Roman" w:hAnsi="Times New Roman"/>
                <w:sz w:val="20"/>
              </w:rPr>
              <w:t> </w:t>
            </w:r>
            <w:r>
              <w:rPr>
                <w:rFonts w:ascii="Times New Roman;serif" w:hAnsi="Times New Roman;serif"/>
                <w:b w:val="false"/>
                <w:sz w:val="20"/>
              </w:rPr>
              <w:t>shares issued and outstanding at</w:t>
              <w:br/>
              <w:t>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738,013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716,343</w:t>
            </w:r>
          </w:p>
        </w:tc>
        <w:tc>
          <w:tcPr>
            <w:tcW w:w="6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713,660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708,480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2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746,428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750,616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SiTime Corporation</w:t>
      </w:r>
    </w:p>
    <w:p>
      <w:pPr>
        <w:pStyle w:val="TextBody"/>
        <w:spacing w:before="0" w:after="0"/>
        <w:jc w:val="center"/>
        <w:rPr>
          <w:rFonts w:ascii="Times New Roman;serif" w:hAnsi="Times New Roman;serif"/>
          <w:b/>
          <w:sz w:val="20"/>
        </w:rPr>
      </w:pPr>
      <w:bookmarkStart w:id="7" w:name="cc_stmt_ops"/>
      <w:bookmarkEnd w:id="7"/>
      <w:r>
        <w:rPr>
          <w:rFonts w:ascii="Times New Roman;serif" w:hAnsi="Times New Roman;serif"/>
          <w:b/>
          <w:sz w:val="20"/>
        </w:rPr>
        <w:t>Condensed Consolidated Statements Of Operations And Comprehensive Income (Loss)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8042" w:type="dxa"/>
        <w:jc w:val="left"/>
        <w:tblInd w:w="0" w:type="dxa"/>
        <w:tblCellMar>
          <w:top w:w="28" w:type="dxa"/>
          <w:left w:w="28" w:type="dxa"/>
          <w:bottom w:w="28" w:type="dxa"/>
          <w:right w:w="28" w:type="dxa"/>
        </w:tblCellMar>
      </w:tblPr>
      <w:tblGrid>
        <w:gridCol w:w="4906"/>
        <w:gridCol w:w="146"/>
        <w:gridCol w:w="236"/>
        <w:gridCol w:w="823"/>
        <w:gridCol w:w="185"/>
        <w:gridCol w:w="163"/>
        <w:gridCol w:w="236"/>
        <w:gridCol w:w="756"/>
        <w:gridCol w:w="591"/>
      </w:tblGrid>
      <w:tr>
        <w:trPr/>
        <w:tc>
          <w:tcPr>
            <w:tcW w:w="4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38,343</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70,253</w:t>
            </w:r>
          </w:p>
        </w:tc>
        <w:tc>
          <w:tcPr>
            <w:tcW w:w="591" w:type="dxa"/>
            <w:tcBorders/>
            <w:shd w:fill="auto" w:val="cle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25,020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23,041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45,233</w:t>
            </w:r>
          </w:p>
        </w:tc>
        <w:tc>
          <w:tcPr>
            <w:tcW w:w="591" w:type="dxa"/>
            <w:tcBorders/>
            <w:shd w:fill="auto" w:val="cle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59"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9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24,457</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20,595</w:t>
            </w:r>
          </w:p>
        </w:tc>
        <w:tc>
          <w:tcPr>
            <w:tcW w:w="591" w:type="dxa"/>
            <w:tcBorders/>
            <w:shd w:fill="auto" w:val="clear"/>
            <w:vAlign w:val="center"/>
          </w:tcPr>
          <w:p>
            <w:pPr>
              <w:pStyle w:val="TableContents"/>
              <w:spacing w:before="0" w:after="0"/>
              <w:ind w:left="0" w:right="0" w:firstLine="200"/>
              <w:jc w:val="left"/>
              <w:rPr/>
            </w:pPr>
            <w:r>
              <w:rPr/>
              <w:t> </w:t>
            </w:r>
          </w:p>
        </w:tc>
      </w:tr>
      <w:tr>
        <w:trPr/>
        <w:tc>
          <w:tcPr>
            <w:tcW w:w="49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20,733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18,578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9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45,190</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39,173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(22,149</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6,060</w:t>
            </w:r>
          </w:p>
        </w:tc>
        <w:tc>
          <w:tcPr>
            <w:tcW w:w="591" w:type="dxa"/>
            <w:tcBorders/>
            <w:shd w:fill="auto" w:val="clear"/>
            <w:vAlign w:val="center"/>
          </w:tcPr>
          <w:p>
            <w:pPr>
              <w:pStyle w:val="TableContents"/>
              <w:spacing w:before="0" w:after="0"/>
              <w:ind w:left="0" w:right="0" w:firstLine="200"/>
              <w:jc w:val="left"/>
              <w:rPr/>
            </w:pPr>
            <w:r>
              <w:rPr/>
              <w:t> </w:t>
            </w:r>
          </w:p>
        </w:tc>
      </w:tr>
      <w:tr>
        <w:trPr/>
        <w:tc>
          <w:tcPr>
            <w:tcW w:w="49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9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(16,420</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6,208</w:t>
            </w:r>
          </w:p>
        </w:tc>
        <w:tc>
          <w:tcPr>
            <w:tcW w:w="591" w:type="dxa"/>
            <w:tcBorders/>
            <w:shd w:fill="auto" w:val="cle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(16,490</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 and</w:t>
              <w:br/>
              <w:t>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(16,490</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attributable to common</w:t>
              <w:br/>
              <w:t>   stockholders, basic</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attributable to common</w:t>
              <w:br/>
              <w:t>   stockholders, diluted</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used to compute basic </w:t>
              <w:br/>
              <w:t>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21,794</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20,921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to compute diluted</w:t>
              <w:br/>
              <w:t>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21,794</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22,703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SiTime Corporation</w:t>
      </w:r>
    </w:p>
    <w:p>
      <w:pPr>
        <w:pStyle w:val="TextBody"/>
        <w:spacing w:before="0" w:after="0"/>
        <w:jc w:val="center"/>
        <w:rPr>
          <w:rFonts w:ascii="Times New Roman;serif" w:hAnsi="Times New Roman;serif"/>
          <w:b/>
          <w:sz w:val="20"/>
        </w:rPr>
      </w:pPr>
      <w:bookmarkStart w:id="8" w:name="condensed_consolidated_statements_stockh"/>
      <w:bookmarkEnd w:id="8"/>
      <w:r>
        <w:rPr>
          <w:rFonts w:ascii="Times New Roman;serif" w:hAnsi="Times New Roman;serif"/>
          <w:b/>
          <w:sz w:val="20"/>
        </w:rPr>
        <w:t>Condensed Consolidated Statements Of Stockholders' Equity</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serif" w:hAnsi="Times New Roman;serif"/>
          <w:b w:val="false"/>
          <w:sz w:val="20"/>
        </w:rPr>
        <w:t>)</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36"/>
        <w:gridCol w:w="146"/>
        <w:gridCol w:w="146"/>
        <w:gridCol w:w="676"/>
        <w:gridCol w:w="146"/>
        <w:gridCol w:w="146"/>
        <w:gridCol w:w="261"/>
        <w:gridCol w:w="430"/>
        <w:gridCol w:w="146"/>
        <w:gridCol w:w="146"/>
        <w:gridCol w:w="211"/>
        <w:gridCol w:w="781"/>
        <w:gridCol w:w="166"/>
        <w:gridCol w:w="146"/>
        <w:gridCol w:w="234"/>
        <w:gridCol w:w="817"/>
        <w:gridCol w:w="166"/>
        <w:gridCol w:w="146"/>
        <w:gridCol w:w="222"/>
        <w:gridCol w:w="825"/>
        <w:gridCol w:w="212"/>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4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2" w:type="dxa"/>
            <w:tcBorders/>
            <w:shd w:fill="auto" w:val="cle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4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716,343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708,480</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19,136</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(16,490</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in connection with At-The-Market offering net of underwriting discounts and commissions and other offering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12,749</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upon vesting of restricted stock units, net of tax withholdings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(10,215</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738,013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713,660</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663,614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632,497</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15,237</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6,140</w:t>
            </w:r>
          </w:p>
        </w:tc>
        <w:tc>
          <w:tcPr>
            <w:tcW w:w="212"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upon vesting of restricted stock units, net of tax withholdings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678,851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(24,979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653,874</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SiTime Corporation</w:t>
      </w:r>
    </w:p>
    <w:p>
      <w:pPr>
        <w:pStyle w:val="TextBody"/>
        <w:spacing w:before="0" w:after="0"/>
        <w:jc w:val="center"/>
        <w:rPr>
          <w:rFonts w:ascii="Times New Roman;serif" w:hAnsi="Times New Roman;serif"/>
          <w:b/>
          <w:sz w:val="20"/>
        </w:rPr>
      </w:pPr>
      <w:bookmarkStart w:id="9" w:name="cc_cash_flow"/>
      <w:bookmarkEnd w:id="9"/>
      <w:r>
        <w:rPr>
          <w:rFonts w:ascii="Times New Roman;serif" w:hAnsi="Times New Roman;serif"/>
          <w:b/>
          <w:sz w:val="20"/>
        </w:rPr>
        <w:t>Condensed Consolidated Statements Of Cash Flows</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serif" w:hAnsi="Times New Roman;serif"/>
          <w:b w:val="false"/>
          <w:sz w:val="20"/>
        </w:rPr>
        <w:t>)</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serif" w:hAnsi="Times New Roman;serif"/>
          <w:b w:val="false"/>
          <w:sz w:val="20"/>
        </w:rPr>
        <w:t>)</w:t>
      </w:r>
    </w:p>
    <w:p>
      <w:pPr>
        <w:pStyle w:val="TextBody"/>
        <w:spacing w:before="0" w:after="0"/>
        <w:jc w:val="left"/>
        <w:rPr/>
      </w:pPr>
      <w:r>
        <w:rPr/>
        <w:t> </w:t>
      </w:r>
    </w:p>
    <w:tbl>
      <w:tblPr>
        <w:tblW w:w="9302" w:type="dxa"/>
        <w:jc w:val="left"/>
        <w:tblInd w:w="0" w:type="dxa"/>
        <w:tblCellMar>
          <w:top w:w="28" w:type="dxa"/>
          <w:left w:w="28" w:type="dxa"/>
          <w:bottom w:w="28" w:type="dxa"/>
          <w:right w:w="28" w:type="dxa"/>
        </w:tblCellMar>
      </w:tblPr>
      <w:tblGrid>
        <w:gridCol w:w="5746"/>
        <w:gridCol w:w="146"/>
        <w:gridCol w:w="215"/>
        <w:gridCol w:w="857"/>
        <w:gridCol w:w="169"/>
        <w:gridCol w:w="148"/>
        <w:gridCol w:w="215"/>
        <w:gridCol w:w="795"/>
        <w:gridCol w:w="1011"/>
      </w:tblGrid>
      <w:tr>
        <w:trPr/>
        <w:tc>
          <w:tcPr>
            <w:tcW w:w="5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5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(16,490</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6,140</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Adjustments to reconcile net income (loss) to net cash provided by</w:t>
              <w:br/>
              <w:t>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400"/>
              <w:jc w:val="left"/>
              <w:rPr/>
            </w:pPr>
            <w:r>
              <w:rPr/>
              <w:t> </w:t>
            </w:r>
          </w:p>
        </w:tc>
      </w:tr>
      <w:tr>
        <w:trPr/>
        <w:tc>
          <w:tcPr>
            <w:tcW w:w="5746"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Depreciation and amortization expense</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3,824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2,544</w:t>
            </w:r>
          </w:p>
        </w:tc>
        <w:tc>
          <w:tcPr>
            <w:tcW w:w="1011" w:type="dxa"/>
            <w:tcBorders/>
            <w:shd w:fill="auto" w:val="clear"/>
            <w:vAlign w:val="center"/>
          </w:tcPr>
          <w:p>
            <w:pPr>
              <w:pStyle w:val="TableContents"/>
              <w:spacing w:before="0" w:after="0"/>
              <w:ind w:left="0" w:right="0" w:firstLine="400"/>
              <w:jc w:val="left"/>
              <w:rPr/>
            </w:pPr>
            <w:r>
              <w:rPr/>
              <w:t> </w:t>
            </w:r>
          </w:p>
        </w:tc>
      </w:tr>
      <w:tr>
        <w:trPr/>
        <w:tc>
          <w:tcPr>
            <w:tcW w:w="5746"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18,536</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14,280</w:t>
            </w:r>
          </w:p>
        </w:tc>
        <w:tc>
          <w:tcPr>
            <w:tcW w:w="1011" w:type="dxa"/>
            <w:tcBorders/>
            <w:shd w:fill="auto" w:val="clear"/>
            <w:vAlign w:val="center"/>
          </w:tcPr>
          <w:p>
            <w:pPr>
              <w:pStyle w:val="TableContents"/>
              <w:spacing w:before="0" w:after="0"/>
              <w:ind w:left="0" w:right="0" w:firstLine="400"/>
              <w:jc w:val="left"/>
              <w:rPr/>
            </w:pPr>
            <w:r>
              <w:rPr/>
              <w:t> </w:t>
            </w:r>
          </w:p>
        </w:tc>
      </w:tr>
      <w:tr>
        <w:trPr/>
        <w:tc>
          <w:tcPr>
            <w:tcW w:w="5746"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Unrealized interest on held to maturity securities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(4,235</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400"/>
              <w:jc w:val="left"/>
              <w:rPr/>
            </w:pPr>
            <w:r>
              <w:rPr/>
              <w:t> </w:t>
            </w:r>
          </w:p>
        </w:tc>
      </w:tr>
      <w:tr>
        <w:trPr/>
        <w:tc>
          <w:tcPr>
            <w:tcW w:w="5746"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600"/>
              <w:jc w:val="left"/>
              <w:rPr/>
            </w:pPr>
            <w:r>
              <w:rPr/>
              <w:t> </w:t>
            </w:r>
          </w:p>
        </w:tc>
      </w:tr>
      <w:tr>
        <w:trPr/>
        <w:tc>
          <w:tcPr>
            <w:tcW w:w="5746"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19,765</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7,725</w:t>
            </w:r>
          </w:p>
        </w:tc>
        <w:tc>
          <w:tcPr>
            <w:tcW w:w="1011" w:type="dxa"/>
            <w:tcBorders/>
            <w:shd w:fill="auto" w:val="clear"/>
            <w:vAlign w:val="center"/>
          </w:tcPr>
          <w:p>
            <w:pPr>
              <w:pStyle w:val="TableContents"/>
              <w:spacing w:before="0" w:after="0"/>
              <w:ind w:left="0" w:right="0" w:firstLine="600"/>
              <w:jc w:val="left"/>
              <w:rPr/>
            </w:pPr>
            <w:r>
              <w:rPr/>
              <w:t> </w:t>
            </w:r>
          </w:p>
        </w:tc>
      </w:tr>
      <w:tr>
        <w:trPr/>
        <w:tc>
          <w:tcPr>
            <w:tcW w:w="5746"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Inventories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(2,361</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(7,123</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(2,895</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(330</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(6,430</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(1,515</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(2,212</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(1,693</w:t>
            </w:r>
          </w:p>
        </w:tc>
        <w:tc>
          <w:tcPr>
            <w:tcW w:w="1011" w:type="dxa"/>
            <w:tcBorders/>
            <w:shd w:fill="auto" w:val="clear"/>
            <w:vAlign w:val="center"/>
          </w:tcPr>
          <w:p>
            <w:pPr>
              <w:pStyle w:val="TableContents"/>
              <w:spacing w:before="0" w:after="0"/>
              <w:ind w:left="0" w:right="0" w:firstLine="8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5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7,502</w:t>
            </w:r>
          </w:p>
        </w:tc>
        <w:tc>
          <w:tcPr>
            <w:tcW w:w="16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9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20,028</w:t>
            </w:r>
          </w:p>
        </w:tc>
        <w:tc>
          <w:tcPr>
            <w:tcW w:w="10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 of held to maturity securities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(379,543</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maturity of held to maturity securities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375,454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(2,094</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(7,452</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Cash paid for intangibles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(583</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(6,374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(8,035</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Tax withholding paid on behalf of employees for net share settlement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(10,215</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public offering</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13,119</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Payments for offering costs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(370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746"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2,534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746"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3,662</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11,993</w:t>
            </w:r>
          </w:p>
        </w:tc>
        <w:tc>
          <w:tcPr>
            <w:tcW w:w="101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Beginning of period</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34,603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559,461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End of period</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38,265</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571,454</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Income taxes paid</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101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Supplemental disclosure of noncash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Unpaid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486</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2,356</w:t>
            </w:r>
          </w:p>
        </w:tc>
        <w:tc>
          <w:tcPr>
            <w:tcW w:w="101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Right-of-use assets acquired under operating leases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3,659</w:t>
            </w:r>
          </w:p>
        </w:tc>
        <w:tc>
          <w:tcPr>
            <w:tcW w:w="10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SiTime Corporation</w:t>
      </w:r>
    </w:p>
    <w:p>
      <w:pPr>
        <w:pStyle w:val="TextBody"/>
        <w:spacing w:before="0" w:after="0"/>
        <w:jc w:val="center"/>
        <w:rPr>
          <w:rFonts w:ascii="Times New Roman;serif" w:hAnsi="Times New Roman;serif"/>
          <w:b/>
          <w:sz w:val="20"/>
        </w:rPr>
      </w:pPr>
      <w:bookmarkStart w:id="10" w:name="notes_to_unaudited_condensed_consolidate"/>
      <w:bookmarkEnd w:id="10"/>
      <w:r>
        <w:rPr>
          <w:rFonts w:ascii="Times New Roman;serif" w:hAnsi="Times New Roman;serif"/>
          <w:b/>
          <w:sz w:val="20"/>
        </w:rPr>
        <w:t>Notes To Unaudited Condensed Consolidated Financial Statements</w:t>
      </w:r>
    </w:p>
    <w:p>
      <w:pPr>
        <w:pStyle w:val="TextBody"/>
        <w:spacing w:before="240" w:after="0"/>
        <w:jc w:val="left"/>
        <w:rPr>
          <w:rFonts w:ascii="Times New Roman" w:hAnsi="Times New Roman"/>
          <w:sz w:val="20"/>
        </w:rPr>
      </w:pPr>
      <w:r>
        <w:rPr>
          <w:rFonts w:ascii="Times New Roman;serif" w:hAnsi="Times New Roman;serif"/>
          <w:b/>
          <w:sz w:val="20"/>
        </w:rPr>
        <w:t>Note 1.</w:t>
      </w:r>
      <w:r>
        <w:rPr>
          <w:rFonts w:ascii="Times New Roman" w:hAnsi="Times New Roman"/>
          <w:sz w:val="20"/>
        </w:rPr>
        <w:t xml:space="preserve"> </w:t>
      </w:r>
      <w:r>
        <w:rPr>
          <w:rFonts w:ascii="Times New Roman;serif" w:hAnsi="Times New Roman;serif"/>
          <w:b/>
          <w:sz w:val="20"/>
        </w:rPr>
        <w:t>The Company and Basis of Presentation</w:t>
      </w:r>
    </w:p>
    <w:p>
      <w:pPr>
        <w:pStyle w:val="TextBody"/>
        <w:spacing w:before="120" w:after="0"/>
        <w:jc w:val="left"/>
        <w:rPr>
          <w:rFonts w:ascii="Times New Roman" w:hAnsi="Times New Roman"/>
          <w:sz w:val="20"/>
        </w:rPr>
      </w:pPr>
      <w:r>
        <w:rPr>
          <w:rFonts w:ascii="Times New Roman;serif" w:hAnsi="Times New Roman;serif"/>
          <w:b w:val="false"/>
          <w:sz w:val="20"/>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2022. The year-end condensed balance sheet data was derived from audited financial statements but does not include all disclosures required by GAAP.</w:t>
      </w:r>
    </w:p>
    <w:p>
      <w:pPr>
        <w:pStyle w:val="TextBody"/>
        <w:spacing w:before="120" w:after="120"/>
        <w:jc w:val="left"/>
        <w:rPr>
          <w:rFonts w:ascii="Times New Roman;serif" w:hAnsi="Times New Roman;serif"/>
          <w:b/>
          <w:sz w:val="20"/>
        </w:rPr>
      </w:pPr>
      <w:r>
        <w:rPr>
          <w:rFonts w:ascii="Times New Roman;serif" w:hAnsi="Times New Roman;serif"/>
          <w:b/>
          <w:sz w:val="20"/>
        </w:rPr>
        <w:t>Coronavirus Disease (“the 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COVID-19 pandemic continued to impact the Company's workforce and the operations of its customers and suppliers during 2022. In response to the COVID-19 pandemic and related government measures, the Company implemented safety measures to protect its employees and contractors at its locations around the world.</w:t>
      </w:r>
    </w:p>
    <w:p>
      <w:pPr>
        <w:pStyle w:val="TextBody"/>
        <w:spacing w:before="12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condensed consolidated financial statements include the accounts of the Company and its wholly-owned subsidiaries. All intercompany transactions and balances have been eliminated in consolidation.</w:t>
      </w:r>
    </w:p>
    <w:p>
      <w:pPr>
        <w:pStyle w:val="TextBody"/>
        <w:spacing w:before="120" w:after="0"/>
        <w:jc w:val="left"/>
        <w:rPr>
          <w:rFonts w:ascii="Times New Roman;serif" w:hAnsi="Times New Roman;serif"/>
          <w:b/>
          <w:sz w:val="20"/>
        </w:rPr>
      </w:pPr>
      <w:r>
        <w:rPr>
          <w:rFonts w:ascii="Times New Roman;serif" w:hAnsi="Times New Roman;serif"/>
          <w:b/>
          <w:sz w:val="20"/>
        </w:rPr>
        <w:t>Significant Accounting Policies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significant accounting policies are disclosed in the Company’s audited consolidated financial statements and related notes thereto included in the Annual Report on Form 10-K for the year ended December 31, 2022. There have been no changes to these accounting policies through March 31, 2023.</w:t>
      </w:r>
    </w:p>
    <w:p>
      <w:pPr>
        <w:pStyle w:val="TextBody"/>
        <w:spacing w:before="12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no new accounting pronouncements that are pending to be adopted by the Company.</w:t>
      </w:r>
    </w:p>
    <w:p>
      <w:pPr>
        <w:pStyle w:val="TextBody"/>
        <w:spacing w:before="12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2. Net Income (Loss) Per Share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computation of basic and diluted net income per share attributable to common stockholders of the Company:</w:t>
      </w:r>
    </w:p>
    <w:p>
      <w:pPr>
        <w:pStyle w:val="TextBody"/>
        <w:spacing w:before="0" w:after="0"/>
        <w:jc w:val="left"/>
        <w:rPr/>
      </w:pPr>
      <w:r>
        <w:rPr/>
        <w:t> </w:t>
      </w:r>
    </w:p>
    <w:tbl>
      <w:tblPr>
        <w:tblW w:w="9642" w:type="dxa"/>
        <w:jc w:val="left"/>
        <w:tblInd w:w="0" w:type="dxa"/>
        <w:tblCellMar>
          <w:top w:w="28" w:type="dxa"/>
          <w:left w:w="28" w:type="dxa"/>
          <w:bottom w:w="28" w:type="dxa"/>
          <w:right w:w="28" w:type="dxa"/>
        </w:tblCellMar>
      </w:tblPr>
      <w:tblGrid>
        <w:gridCol w:w="6331"/>
        <w:gridCol w:w="146"/>
        <w:gridCol w:w="273"/>
        <w:gridCol w:w="952"/>
        <w:gridCol w:w="214"/>
        <w:gridCol w:w="188"/>
        <w:gridCol w:w="273"/>
        <w:gridCol w:w="874"/>
        <w:gridCol w:w="391"/>
      </w:tblGrid>
      <w:tr>
        <w:trPr/>
        <w:tc>
          <w:tcPr>
            <w:tcW w:w="6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391" w:type="dxa"/>
            <w:tcBorders/>
            <w:shd w:fill="auto" w:val="cle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(16,490</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8"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1225" w:type="dxa"/>
            <w:gridSpan w:val="2"/>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1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used to compute basic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21,794</w:t>
            </w:r>
          </w:p>
        </w:tc>
        <w:tc>
          <w:tcPr>
            <w:tcW w:w="214"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20,921</w:t>
            </w:r>
          </w:p>
        </w:tc>
        <w:tc>
          <w:tcPr>
            <w:tcW w:w="391" w:type="dxa"/>
            <w:tcBorders/>
            <w:shd w:fill="auto" w:val="cle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Dilutive effect of employee equity incentive plans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used to compute diluted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21,794</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22,703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 per share, basic</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8" w:type="dxa"/>
            <w:tcBorders/>
            <w:shd w:fill="auto" w:val="clear"/>
            <w:vAlign w:val="center"/>
          </w:tcPr>
          <w:p>
            <w:pPr>
              <w:pStyle w:val="TableContents"/>
              <w:spacing w:before="0" w:after="0"/>
              <w:ind w:left="0" w:right="0" w:hanging="0"/>
              <w:jc w:val="righ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stockholders per share, diluted</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(0.76</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8" w:type="dxa"/>
            <w:tcBorders/>
            <w:shd w:fill="auto" w:val="clear"/>
            <w:vAlign w:val="center"/>
          </w:tcPr>
          <w:p>
            <w:pPr>
              <w:pStyle w:val="TableContents"/>
              <w:spacing w:before="0" w:after="0"/>
              <w:ind w:left="0" w:right="0" w:hanging="0"/>
              <w:jc w:val="righ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br/>
      </w:r>
      <w:r>
        <w:rPr>
          <w:rFonts w:ascii="Times New Roman" w:hAnsi="Times New Roman"/>
          <w:sz w:val="20"/>
        </w:rPr>
        <w:t> </w:t>
      </w:r>
    </w:p>
    <w:p>
      <w:pPr>
        <w:pStyle w:val="TextBody"/>
        <w:spacing w:before="120" w:after="120"/>
        <w:jc w:val="left"/>
        <w:rPr>
          <w:rFonts w:ascii="Times New Roman" w:hAnsi="Times New Roman"/>
          <w:sz w:val="20"/>
        </w:rPr>
      </w:pPr>
      <w:r>
        <w:rPr>
          <w:rFonts w:ascii="Times New Roman;serif" w:hAnsi="Times New Roman;serif"/>
          <w:b w:val="false"/>
          <w:sz w:val="20"/>
        </w:rPr>
        <w:t>Anti-dilutive potential shares from share-based awards are excluded from the calculation of diluted earnings per share if either their exercise price exceeded the average market price during the period, or the share-based awards were determined to be anti-dilutive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based on applying the treasury stock method. During the three months ended March 31, 2023 and 2022, the Company had 415,017</w:t>
      </w:r>
      <w:r>
        <w:rPr>
          <w:rFonts w:ascii="Times New Roman" w:hAnsi="Times New Roman"/>
          <w:sz w:val="20"/>
        </w:rPr>
        <w:t xml:space="preserve"> </w:t>
      </w:r>
      <w:r>
        <w:rPr>
          <w:rFonts w:ascii="Times New Roman;serif" w:hAnsi="Times New Roman;serif"/>
          <w:b w:val="false"/>
          <w:sz w:val="20"/>
        </w:rPr>
        <w:t>potential shares and 3,211</w:t>
      </w:r>
      <w:r>
        <w:rPr>
          <w:rFonts w:ascii="Times New Roman" w:hAnsi="Times New Roman"/>
          <w:sz w:val="20"/>
        </w:rPr>
        <w:t xml:space="preserve"> </w:t>
      </w:r>
      <w:r>
        <w:rPr>
          <w:rFonts w:ascii="Times New Roman;serif" w:hAnsi="Times New Roman;serif"/>
          <w:b w:val="false"/>
          <w:sz w:val="20"/>
        </w:rPr>
        <w:t>potential shares from share-based awards that are anti-dilutive, respectively.</w:t>
      </w:r>
      <w:r>
        <w:rPr>
          <w:rFonts w:ascii="Times New Roman" w:hAnsi="Times New Roman"/>
          <w:sz w:val="20"/>
        </w:rPr>
        <w:t xml:space="preserve"> </w:t>
      </w:r>
    </w:p>
    <w:p>
      <w:pPr>
        <w:pStyle w:val="TextBody"/>
        <w:spacing w:before="0" w:after="0"/>
        <w:jc w:val="left"/>
        <w:rPr>
          <w:rFonts w:ascii="Times New Roman;serif" w:hAnsi="Times New Roman;serif"/>
          <w:b/>
          <w:sz w:val="20"/>
        </w:rPr>
      </w:pPr>
      <w:r>
        <w:rPr>
          <w:rFonts w:ascii="Times New Roman;serif" w:hAnsi="Times New Roman;serif"/>
          <w:b/>
          <w:sz w:val="20"/>
        </w:rPr>
        <w:t>Note 3. Fair Value Measurements</w:t>
      </w:r>
    </w:p>
    <w:p>
      <w:pPr>
        <w:pStyle w:val="TextBody"/>
        <w:spacing w:before="120" w:after="0"/>
        <w:jc w:val="left"/>
        <w:rPr>
          <w:rFonts w:ascii="Times New Roman" w:hAnsi="Times New Roman"/>
          <w:sz w:val="20"/>
        </w:rPr>
      </w:pPr>
      <w:r>
        <w:rPr>
          <w:rFonts w:ascii="Times New Roman;serif" w:hAnsi="Times New Roman;serif"/>
          <w:b w:val="false"/>
          <w:sz w:val="20"/>
        </w:rPr>
        <w:t>The carrying amounts of the Company’s financial instruments, which include cash equivalents, short-term investments and accounts receivable, accounts payable, accrued liabilities, and other current liabilities, approximate their fair values due to their short maturities.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Cash and cash equivalents</w:t>
      </w:r>
    </w:p>
    <w:p>
      <w:pPr>
        <w:pStyle w:val="TextBody"/>
        <w:spacing w:before="120" w:after="0"/>
        <w:jc w:val="left"/>
        <w:rPr>
          <w:rFonts w:ascii="Times New Roman" w:hAnsi="Times New Roman"/>
          <w:sz w:val="20"/>
        </w:rPr>
      </w:pPr>
      <w:r>
        <w:rPr>
          <w:rFonts w:ascii="Times New Roman;serif" w:hAnsi="Times New Roman;serif"/>
          <w:b w:val="false"/>
          <w:sz w:val="20"/>
        </w:rPr>
        <w:t>On March 31, 2023 and December 31, 2022, cash balances in bank checking and savings accounts of $38.0</w:t>
      </w:r>
      <w:r>
        <w:rPr>
          <w:rFonts w:ascii="Times New Roman" w:hAnsi="Times New Roman"/>
          <w:sz w:val="20"/>
        </w:rPr>
        <w:t xml:space="preserve"> </w:t>
      </w:r>
      <w:r>
        <w:rPr>
          <w:rFonts w:ascii="Times New Roman;serif" w:hAnsi="Times New Roman;serif"/>
          <w:b w:val="false"/>
          <w:sz w:val="20"/>
        </w:rPr>
        <w:t>million and $31.6</w:t>
      </w:r>
      <w:r>
        <w:rPr>
          <w:rFonts w:ascii="Times New Roman" w:hAnsi="Times New Roman"/>
          <w:sz w:val="20"/>
        </w:rPr>
        <w:t xml:space="preserve"> </w:t>
      </w:r>
      <w:r>
        <w:rPr>
          <w:rFonts w:ascii="Times New Roman;serif" w:hAnsi="Times New Roman;serif"/>
          <w:b w:val="false"/>
          <w:sz w:val="20"/>
        </w:rPr>
        <w:t>million, respectively, were valued using Level 1 of the fair value hierarchy. On March 31, 2023 and December 31, 2022, highly liquid money market funds of $0.3</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million, respectively, were valued using Level 1 of the fair value hierarchy, quoted prices in active markets for identical assets, and are included in cash equivalents.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Short-term investments in held-to-maturity securities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Company had entered into treasury bills with maturities of six months, which the Company intends to hold until maturity and has classified as held-to-maturity securities. The held-to-maturity securities are recorded at amortized cost totaling $533.0</w:t>
      </w:r>
      <w:r>
        <w:rPr>
          <w:rFonts w:ascii="Times New Roman" w:hAnsi="Times New Roman"/>
          <w:sz w:val="20"/>
        </w:rPr>
        <w:t xml:space="preserve"> </w:t>
      </w:r>
      <w:r>
        <w:rPr>
          <w:rFonts w:ascii="Times New Roman;serif" w:hAnsi="Times New Roman;serif"/>
          <w:b w:val="false"/>
          <w:sz w:val="20"/>
        </w:rPr>
        <w:t>million with gross accrued interest of $4.8</w:t>
      </w:r>
      <w:r>
        <w:rPr>
          <w:rFonts w:ascii="Times New Roman" w:hAnsi="Times New Roman"/>
          <w:sz w:val="20"/>
        </w:rPr>
        <w:t xml:space="preserve"> </w:t>
      </w:r>
      <w:r>
        <w:rPr>
          <w:rFonts w:ascii="Times New Roman;serif" w:hAnsi="Times New Roman;serif"/>
          <w:b w:val="false"/>
          <w:sz w:val="20"/>
        </w:rPr>
        <w:t>million and net carrying value of $537.8</w:t>
      </w:r>
      <w:r>
        <w:rPr>
          <w:rFonts w:ascii="Times New Roman" w:hAnsi="Times New Roman"/>
          <w:sz w:val="20"/>
        </w:rPr>
        <w:t xml:space="preserve"> </w:t>
      </w:r>
      <w:r>
        <w:rPr>
          <w:rFonts w:ascii="Times New Roman;serif" w:hAnsi="Times New Roman;serif"/>
          <w:b w:val="false"/>
          <w:sz w:val="20"/>
        </w:rPr>
        <w:t>million. As of December 31, 2022, the amortized cost of the held-to-maturity securities totaled $524.4</w:t>
      </w:r>
      <w:r>
        <w:rPr>
          <w:rFonts w:ascii="Times New Roman" w:hAnsi="Times New Roman"/>
          <w:sz w:val="20"/>
        </w:rPr>
        <w:t xml:space="preserve"> </w:t>
      </w:r>
      <w:r>
        <w:rPr>
          <w:rFonts w:ascii="Times New Roman;serif" w:hAnsi="Times New Roman;serif"/>
          <w:b w:val="false"/>
          <w:sz w:val="20"/>
        </w:rPr>
        <w:t>million with gross accrued interest of $5.1</w:t>
      </w:r>
      <w:r>
        <w:rPr>
          <w:rFonts w:ascii="Times New Roman" w:hAnsi="Times New Roman"/>
          <w:sz w:val="20"/>
        </w:rPr>
        <w:t xml:space="preserve"> </w:t>
      </w:r>
      <w:r>
        <w:rPr>
          <w:rFonts w:ascii="Times New Roman;serif" w:hAnsi="Times New Roman;serif"/>
          <w:b w:val="false"/>
          <w:sz w:val="20"/>
        </w:rPr>
        <w:t>million and net carrying value of $529.5</w:t>
      </w:r>
      <w:r>
        <w:rPr>
          <w:rFonts w:ascii="Times New Roman" w:hAnsi="Times New Roman"/>
          <w:sz w:val="20"/>
        </w:rPr>
        <w:t xml:space="preserve"> </w:t>
      </w:r>
      <w:r>
        <w:rPr>
          <w:rFonts w:ascii="Times New Roman;serif" w:hAnsi="Times New Roman;serif"/>
          <w:b w:val="false"/>
          <w:sz w:val="20"/>
        </w:rPr>
        <w:t>million. The carrying value of our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Note 4. Balance Sheet Components</w:t>
      </w:r>
    </w:p>
    <w:p>
      <w:pPr>
        <w:pStyle w:val="TextBody"/>
        <w:spacing w:before="120" w:after="0"/>
        <w:jc w:val="left"/>
        <w:rPr>
          <w:rFonts w:ascii="Times New Roman;serif" w:hAnsi="Times New Roman;serif"/>
          <w:b/>
          <w:sz w:val="20"/>
        </w:rPr>
      </w:pPr>
      <w:r>
        <w:rPr>
          <w:rFonts w:ascii="Times New Roman;serif" w:hAnsi="Times New Roman;serif"/>
          <w:b/>
          <w:sz w:val="20"/>
        </w:rPr>
        <w:t>Accounts Receivable,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Accounts receivable, net consisted of the following:</w:t>
      </w:r>
    </w:p>
    <w:p>
      <w:pPr>
        <w:pStyle w:val="TextBody"/>
        <w:spacing w:before="0" w:after="0"/>
        <w:jc w:val="left"/>
        <w:rPr/>
      </w:pPr>
      <w:r>
        <w:rPr/>
        <w:t> </w:t>
      </w:r>
    </w:p>
    <w:tbl>
      <w:tblPr>
        <w:tblW w:w="5725" w:type="dxa"/>
        <w:jc w:val="left"/>
        <w:tblInd w:w="0" w:type="dxa"/>
        <w:tblCellMar>
          <w:top w:w="28" w:type="dxa"/>
          <w:left w:w="28" w:type="dxa"/>
          <w:bottom w:w="28" w:type="dxa"/>
          <w:right w:w="28" w:type="dxa"/>
        </w:tblCellMar>
      </w:tblPr>
      <w:tblGrid>
        <w:gridCol w:w="2296"/>
        <w:gridCol w:w="146"/>
        <w:gridCol w:w="299"/>
        <w:gridCol w:w="961"/>
        <w:gridCol w:w="166"/>
        <w:gridCol w:w="146"/>
        <w:gridCol w:w="357"/>
        <w:gridCol w:w="1143"/>
        <w:gridCol w:w="211"/>
      </w:tblGrid>
      <w:tr>
        <w:trPr/>
        <w:tc>
          <w:tcPr>
            <w:tcW w:w="2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gross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41,279</w:t>
            </w:r>
          </w:p>
        </w:tc>
        <w:tc>
          <w:tcPr>
            <w:tcW w:w="211" w:type="dxa"/>
            <w:tcBorders/>
            <w:shd w:fill="auto" w:val="cle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41,229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Inventories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Inventories consisted of the following:</w:t>
      </w:r>
    </w:p>
    <w:p>
      <w:pPr>
        <w:pStyle w:val="TextBody"/>
        <w:spacing w:before="0" w:after="0"/>
        <w:jc w:val="left"/>
        <w:rPr/>
      </w:pPr>
      <w:r>
        <w:rPr/>
        <w:t> </w:t>
      </w:r>
    </w:p>
    <w:tbl>
      <w:tblPr>
        <w:tblW w:w="4905" w:type="dxa"/>
        <w:jc w:val="left"/>
        <w:tblInd w:w="0" w:type="dxa"/>
        <w:tblCellMar>
          <w:top w:w="28" w:type="dxa"/>
          <w:left w:w="28" w:type="dxa"/>
          <w:bottom w:w="28" w:type="dxa"/>
          <w:right w:w="28" w:type="dxa"/>
        </w:tblCellMar>
      </w:tblPr>
      <w:tblGrid>
        <w:gridCol w:w="1516"/>
        <w:gridCol w:w="146"/>
        <w:gridCol w:w="299"/>
        <w:gridCol w:w="961"/>
        <w:gridCol w:w="146"/>
        <w:gridCol w:w="146"/>
        <w:gridCol w:w="357"/>
        <w:gridCol w:w="1143"/>
        <w:gridCol w:w="1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17,518</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progress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33,687</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57,650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Prepaid Expenses and Other Current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consisted of the following:</w:t>
      </w:r>
    </w:p>
    <w:p>
      <w:pPr>
        <w:pStyle w:val="TextBody"/>
        <w:spacing w:before="0" w:after="0"/>
        <w:jc w:val="left"/>
        <w:rPr/>
      </w:pPr>
      <w:r>
        <w:rPr/>
        <w:t> </w:t>
      </w:r>
    </w:p>
    <w:tbl>
      <w:tblPr>
        <w:tblW w:w="7320" w:type="dxa"/>
        <w:jc w:val="left"/>
        <w:tblInd w:w="0" w:type="dxa"/>
        <w:tblCellMar>
          <w:top w:w="28" w:type="dxa"/>
          <w:left w:w="28" w:type="dxa"/>
          <w:bottom w:w="28" w:type="dxa"/>
          <w:right w:w="28" w:type="dxa"/>
        </w:tblCellMar>
      </w:tblPr>
      <w:tblGrid>
        <w:gridCol w:w="3931"/>
        <w:gridCol w:w="146"/>
        <w:gridCol w:w="340"/>
        <w:gridCol w:w="920"/>
        <w:gridCol w:w="146"/>
        <w:gridCol w:w="146"/>
        <w:gridCol w:w="403"/>
        <w:gridCol w:w="1097"/>
        <w:gridCol w:w="1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Property and Equipment,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consisted of the following:</w:t>
      </w:r>
    </w:p>
    <w:p>
      <w:pPr>
        <w:pStyle w:val="TextBody"/>
        <w:spacing w:before="0" w:after="0"/>
        <w:jc w:val="left"/>
        <w:rPr/>
      </w:pPr>
      <w:r>
        <w:rPr/>
        <w:t> </w:t>
      </w:r>
    </w:p>
    <w:tbl>
      <w:tblPr>
        <w:tblW w:w="6355" w:type="dxa"/>
        <w:jc w:val="left"/>
        <w:tblInd w:w="0" w:type="dxa"/>
        <w:tblCellMar>
          <w:top w:w="28" w:type="dxa"/>
          <w:left w:w="28" w:type="dxa"/>
          <w:bottom w:w="28" w:type="dxa"/>
          <w:right w:w="28" w:type="dxa"/>
        </w:tblCellMar>
      </w:tblPr>
      <w:tblGrid>
        <w:gridCol w:w="2926"/>
        <w:gridCol w:w="146"/>
        <w:gridCol w:w="280"/>
        <w:gridCol w:w="980"/>
        <w:gridCol w:w="166"/>
        <w:gridCol w:w="146"/>
        <w:gridCol w:w="334"/>
        <w:gridCol w:w="1166"/>
        <w:gridCol w:w="21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 and 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75,652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73,220</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5,967</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89,995</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58,772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Depreciation expense related to property and equipment was $3.2</w:t>
      </w:r>
      <w:r>
        <w:rPr>
          <w:rFonts w:ascii="Times New Roman" w:hAnsi="Times New Roman"/>
          <w:sz w:val="20"/>
        </w:rPr>
        <w:t xml:space="preserve"> </w:t>
      </w:r>
      <w:r>
        <w:rPr>
          <w:rFonts w:ascii="Times New Roman;serif" w:hAnsi="Times New Roman;serif"/>
          <w:b w:val="false"/>
          <w:sz w:val="20"/>
        </w:rPr>
        <w:t>million and $2.1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120" w:after="0"/>
        <w:jc w:val="left"/>
        <w:rPr>
          <w:rFonts w:ascii="Times New Roman;serif" w:hAnsi="Times New Roman;serif"/>
          <w:b/>
          <w:sz w:val="20"/>
        </w:rPr>
      </w:pPr>
      <w:r>
        <w:rPr>
          <w:rFonts w:ascii="Times New Roman;serif" w:hAnsi="Times New Roman;serif"/>
          <w:b/>
          <w:sz w:val="20"/>
        </w:rPr>
        <w:t>Intangible Assets,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Intangible assets, net consisted of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59"/>
        <w:gridCol w:w="146"/>
        <w:gridCol w:w="227"/>
        <w:gridCol w:w="730"/>
        <w:gridCol w:w="146"/>
        <w:gridCol w:w="146"/>
        <w:gridCol w:w="372"/>
        <w:gridCol w:w="1306"/>
        <w:gridCol w:w="166"/>
        <w:gridCol w:w="146"/>
        <w:gridCol w:w="220"/>
        <w:gridCol w:w="596"/>
        <w:gridCol w:w="146"/>
        <w:gridCol w:w="146"/>
        <w:gridCol w:w="227"/>
        <w:gridCol w:w="730"/>
        <w:gridCol w:w="146"/>
        <w:gridCol w:w="146"/>
        <w:gridCol w:w="372"/>
        <w:gridCol w:w="1306"/>
        <w:gridCol w:w="166"/>
        <w:gridCol w:w="146"/>
        <w:gridCol w:w="220"/>
        <w:gridCol w:w="596"/>
        <w:gridCol w:w="198"/>
      </w:tblGrid>
      <w:tr>
        <w:trPr/>
        <w:tc>
          <w:tcPr>
            <w:tcW w:w="14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0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2"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8" w:type="dxa"/>
            <w:tcBorders/>
            <w:shd w:fill="auto" w:val="clear"/>
            <w:vAlign w:val="center"/>
          </w:tcPr>
          <w:p>
            <w:pPr>
              <w:pStyle w:val="TableContents"/>
              <w:spacing w:before="0" w:after="0"/>
              <w:ind w:left="0" w:right="0" w:hanging="0"/>
              <w:jc w:val="center"/>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Assets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7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Assets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Assets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7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Assets</w:t>
            </w:r>
          </w:p>
        </w:tc>
        <w:tc>
          <w:tcPr>
            <w:tcW w:w="198" w:type="dxa"/>
            <w:tcBorders/>
            <w:shd w:fill="auto" w:val="clear"/>
            <w:vAlign w:val="center"/>
          </w:tcPr>
          <w:p>
            <w:pPr>
              <w:pStyle w:val="TableContents"/>
              <w:spacing w:before="0" w:after="0"/>
              <w:ind w:left="0" w:right="0" w:hanging="0"/>
              <w:jc w:val="center"/>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use software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Purchased software</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4,604</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5,205</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Amortization expense for intangible assets was $0.6</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estimated aggregate future amortization expense for intangible assets subject to amortization as of March 31, 2023 is summarized as below:</w:t>
      </w:r>
    </w:p>
    <w:p>
      <w:pPr>
        <w:pStyle w:val="TextBody"/>
        <w:spacing w:before="0" w:after="0"/>
        <w:jc w:val="left"/>
        <w:rPr/>
      </w:pPr>
      <w:r>
        <w:rPr/>
        <w:t> </w:t>
      </w:r>
    </w:p>
    <w:tbl>
      <w:tblPr>
        <w:tblW w:w="2978" w:type="dxa"/>
        <w:jc w:val="left"/>
        <w:tblInd w:w="0" w:type="dxa"/>
        <w:tblCellMar>
          <w:top w:w="28" w:type="dxa"/>
          <w:left w:w="28" w:type="dxa"/>
          <w:bottom w:w="28" w:type="dxa"/>
          <w:right w:w="28" w:type="dxa"/>
        </w:tblCellMar>
      </w:tblPr>
      <w:tblGrid>
        <w:gridCol w:w="1516"/>
        <w:gridCol w:w="146"/>
        <w:gridCol w:w="302"/>
        <w:gridCol w:w="823"/>
        <w:gridCol w:w="1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1,803</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1,711</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Accrued Expenses and Other 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expenses and other current liabilities consisted of the following:</w:t>
      </w:r>
    </w:p>
    <w:p>
      <w:pPr>
        <w:pStyle w:val="TextBody"/>
        <w:spacing w:before="0" w:after="0"/>
        <w:jc w:val="left"/>
        <w:rPr/>
      </w:pPr>
      <w:r>
        <w:rPr/>
        <w:t> </w:t>
      </w:r>
    </w:p>
    <w:tbl>
      <w:tblPr>
        <w:tblW w:w="7650" w:type="dxa"/>
        <w:jc w:val="left"/>
        <w:tblInd w:w="0" w:type="dxa"/>
        <w:tblCellMar>
          <w:top w:w="28" w:type="dxa"/>
          <w:left w:w="28" w:type="dxa"/>
          <w:bottom w:w="28" w:type="dxa"/>
          <w:right w:w="28" w:type="dxa"/>
        </w:tblCellMar>
      </w:tblPr>
      <w:tblGrid>
        <w:gridCol w:w="4261"/>
        <w:gridCol w:w="146"/>
        <w:gridCol w:w="299"/>
        <w:gridCol w:w="961"/>
        <w:gridCol w:w="146"/>
        <w:gridCol w:w="146"/>
        <w:gridCol w:w="357"/>
        <w:gridCol w:w="1143"/>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6,109</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reserves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non-recurring engineering services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2,689</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 term lease liability</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18,913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The Company recorded reductions to research and development expenses related to non-recurring engineering service arrangements in the condensed consolidated statements of operations of $1.2</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w:t>
      </w:r>
    </w:p>
    <w:p>
      <w:pPr>
        <w:pStyle w:val="TextBody"/>
        <w:spacing w:before="0" w:after="0"/>
        <w:jc w:val="left"/>
        <w:rPr>
          <w:rFonts w:ascii="Times New Roman;serif" w:hAnsi="Times New Roman;serif"/>
          <w:b/>
          <w:sz w:val="20"/>
        </w:rPr>
      </w:pPr>
      <w:r>
        <w:rPr>
          <w:rFonts w:ascii="Times New Roman;serif" w:hAnsi="Times New Roman;serif"/>
          <w:b/>
          <w:sz w:val="20"/>
        </w:rPr>
        <w:t>Note 5. Leases</w:t>
      </w:r>
    </w:p>
    <w:p>
      <w:pPr>
        <w:pStyle w:val="TextBody"/>
        <w:spacing w:before="120" w:after="0"/>
        <w:jc w:val="left"/>
        <w:rPr>
          <w:rFonts w:ascii="Times New Roman" w:hAnsi="Times New Roman"/>
          <w:sz w:val="20"/>
        </w:rPr>
      </w:pPr>
      <w:r>
        <w:rPr>
          <w:rFonts w:ascii="Times New Roman;serif" w:hAnsi="Times New Roman;serif"/>
          <w:b w:val="false"/>
          <w:sz w:val="20"/>
        </w:rPr>
        <w:t>The Company leases</w:t>
      </w:r>
      <w:r>
        <w:rPr>
          <w:rFonts w:ascii="Times New Roman" w:hAnsi="Times New Roman"/>
          <w:sz w:val="20"/>
        </w:rPr>
        <w:t xml:space="preserve"> </w:t>
      </w:r>
      <w:r>
        <w:rPr>
          <w:rFonts w:ascii="Times New Roman;serif" w:hAnsi="Times New Roman;serif"/>
          <w:b w:val="false"/>
          <w:sz w:val="20"/>
        </w:rPr>
        <w:t>real estate property under operating leases. The Company leases office space in California, Michigan, Malaysia, Japan, Taiwan, the Netherlands, Finland, and Ukraine all under non-cancellable operating leases with various expiration dates through May 2029.</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remaining lease terms vary from a few months to 6 years. For certain of its leases the Company has options to extend the lease term for periods varying from one</w:t>
      </w:r>
      <w:r>
        <w:rPr>
          <w:rFonts w:ascii="Times New Roman;serif" w:hAnsi="Times New Roman;serif"/>
          <w:sz w:val="20"/>
        </w:rPr>
        <w:t xml:space="preserve"> </w:t>
      </w:r>
      <w:r>
        <w:rPr>
          <w:rFonts w:ascii="Times New Roman;serif" w:hAnsi="Times New Roman;serif"/>
          <w:b w:val="false"/>
          <w:sz w:val="20"/>
        </w:rPr>
        <w:t>to five years.</w:t>
      </w:r>
      <w:r>
        <w:rPr>
          <w:rFonts w:ascii="Times New Roman" w:hAnsi="Times New Roman"/>
          <w:sz w:val="20"/>
        </w:rPr>
        <w:t xml:space="preserve"> </w:t>
      </w:r>
      <w:r>
        <w:rPr>
          <w:rFonts w:ascii="Times New Roman;serif" w:hAnsi="Times New Roman;serif"/>
          <w:b w:val="false"/>
          <w:sz w:val="20"/>
        </w:rPr>
        <w:t>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table below presents the lease-related assets and liabilities recorded on the consolidated balance sheet as of March 31, 2023:</w:t>
      </w:r>
    </w:p>
    <w:p>
      <w:pPr>
        <w:pStyle w:val="TextBody"/>
        <w:spacing w:before="0" w:after="0"/>
        <w:jc w:val="left"/>
        <w:rPr/>
      </w:pPr>
      <w:r>
        <w:rPr/>
        <w:t> </w:t>
      </w:r>
    </w:p>
    <w:tbl>
      <w:tblPr>
        <w:tblW w:w="9730" w:type="dxa"/>
        <w:jc w:val="left"/>
        <w:tblInd w:w="0" w:type="dxa"/>
        <w:tblCellMar>
          <w:top w:w="28" w:type="dxa"/>
          <w:left w:w="28" w:type="dxa"/>
          <w:bottom w:w="28" w:type="dxa"/>
          <w:right w:w="28" w:type="dxa"/>
        </w:tblCellMar>
      </w:tblPr>
      <w:tblGrid>
        <w:gridCol w:w="6091"/>
        <w:gridCol w:w="146"/>
        <w:gridCol w:w="299"/>
        <w:gridCol w:w="961"/>
        <w:gridCol w:w="271"/>
        <w:gridCol w:w="146"/>
        <w:gridCol w:w="357"/>
        <w:gridCol w:w="1143"/>
        <w:gridCol w:w="316"/>
      </w:tblGrid>
      <w:tr>
        <w:trPr/>
        <w:tc>
          <w:tcPr>
            <w:tcW w:w="6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6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10,848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included in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316" w:type="dxa"/>
            <w:tcBorders/>
            <w:shd w:fill="auto" w:val="clear"/>
            <w:vAlign w:val="center"/>
          </w:tcPr>
          <w:p>
            <w:pPr>
              <w:pStyle w:val="TableContents"/>
              <w:spacing w:before="0" w:after="0"/>
              <w:ind w:left="0" w:right="0" w:hanging="0"/>
              <w:jc w:val="left"/>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 non-current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10,045</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10,634</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16" w:type="dxa"/>
            <w:tcBorders/>
            <w:shd w:fill="auto" w:val="clear"/>
            <w:vAlign w:val="center"/>
          </w:tcPr>
          <w:p>
            <w:pPr>
              <w:pStyle w:val="TableContents"/>
              <w:spacing w:before="0" w:after="0"/>
              <w:ind w:left="0" w:right="0" w:hanging="0"/>
              <w:jc w:val="left"/>
              <w:rPr/>
            </w:pPr>
            <w:r>
              <w:rPr/>
              <w:t> </w:t>
            </w:r>
          </w:p>
        </w:tc>
      </w:tr>
      <w:tr>
        <w:trPr/>
        <w:tc>
          <w:tcPr>
            <w:tcW w:w="6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table below presents certain information related to the lease costs for operating leases for the three months ended March 31, 2023 and 2022:</w:t>
      </w:r>
    </w:p>
    <w:p>
      <w:pPr>
        <w:pStyle w:val="TextBody"/>
        <w:spacing w:before="0" w:after="0"/>
        <w:jc w:val="left"/>
        <w:rPr/>
      </w:pPr>
      <w:r>
        <w:rPr/>
        <w:t> </w:t>
      </w:r>
    </w:p>
    <w:tbl>
      <w:tblPr>
        <w:tblW w:w="4534" w:type="dxa"/>
        <w:jc w:val="left"/>
        <w:tblInd w:w="0" w:type="dxa"/>
        <w:tblCellMar>
          <w:top w:w="28" w:type="dxa"/>
          <w:left w:w="28" w:type="dxa"/>
          <w:bottom w:w="28" w:type="dxa"/>
          <w:right w:w="28" w:type="dxa"/>
        </w:tblCellMar>
      </w:tblPr>
      <w:tblGrid>
        <w:gridCol w:w="1801"/>
        <w:gridCol w:w="146"/>
        <w:gridCol w:w="272"/>
        <w:gridCol w:w="738"/>
        <w:gridCol w:w="188"/>
        <w:gridCol w:w="188"/>
        <w:gridCol w:w="272"/>
        <w:gridCol w:w="738"/>
        <w:gridCol w:w="19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19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19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Cash paid for operating lease liabilities was $0.7</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Operating Lease Cash Flows</w:t>
      </w:r>
    </w:p>
    <w:p>
      <w:pPr>
        <w:pStyle w:val="TextBody"/>
        <w:spacing w:before="120" w:after="0"/>
        <w:jc w:val="left"/>
        <w:rPr>
          <w:rFonts w:ascii="Times New Roman" w:hAnsi="Times New Roman"/>
          <w:sz w:val="20"/>
        </w:rPr>
      </w:pPr>
      <w:r>
        <w:rPr>
          <w:rFonts w:ascii="Times New Roman;serif" w:hAnsi="Times New Roman;serif"/>
          <w:b w:val="false"/>
          <w:sz w:val="20"/>
        </w:rPr>
        <w:t>The table below reconciles the undiscounted cash flows for each of the first five years and total of the remaining years to the operating lease liabilities recorded on the condensed consolidated balance sheet as of March 31, 2023:</w:t>
      </w:r>
      <w:r>
        <w:rPr>
          <w:rFonts w:ascii="Times New Roman" w:hAnsi="Times New Roman"/>
          <w:sz w:val="20"/>
        </w:rPr>
        <w:t xml:space="preserve"> </w:t>
      </w:r>
    </w:p>
    <w:p>
      <w:pPr>
        <w:pStyle w:val="TextBody"/>
        <w:spacing w:before="0" w:after="0"/>
        <w:jc w:val="left"/>
        <w:rPr/>
      </w:pPr>
      <w:r>
        <w:rPr/>
        <w:t> </w:t>
      </w:r>
    </w:p>
    <w:tbl>
      <w:tblPr>
        <w:tblW w:w="5863" w:type="dxa"/>
        <w:jc w:val="left"/>
        <w:tblInd w:w="0" w:type="dxa"/>
        <w:tblCellMar>
          <w:top w:w="28" w:type="dxa"/>
          <w:left w:w="28" w:type="dxa"/>
          <w:bottom w:w="28" w:type="dxa"/>
          <w:right w:w="28" w:type="dxa"/>
        </w:tblCellMar>
      </w:tblPr>
      <w:tblGrid>
        <w:gridCol w:w="4381"/>
        <w:gridCol w:w="146"/>
        <w:gridCol w:w="267"/>
        <w:gridCol w:w="858"/>
        <w:gridCol w:w="21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3,060</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2,702</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beyond</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10,955</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of lease payments representing interest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10,045</w:t>
            </w:r>
          </w:p>
        </w:tc>
        <w:tc>
          <w:tcPr>
            <w:tcW w:w="211" w:type="dxa"/>
            <w:tcBorders/>
            <w:shd w:fill="auto" w:val="cle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obligations under leases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6. Stockholders’ Equity</w:t>
      </w:r>
    </w:p>
    <w:p>
      <w:pPr>
        <w:pStyle w:val="TextBody"/>
        <w:spacing w:before="120" w:after="120"/>
        <w:jc w:val="left"/>
        <w:rPr>
          <w:rFonts w:ascii="Times New Roman;serif" w:hAnsi="Times New Roman;serif"/>
          <w:b/>
          <w:i/>
          <w:sz w:val="20"/>
        </w:rPr>
      </w:pPr>
      <w:r>
        <w:rPr>
          <w:rFonts w:ascii="Times New Roman;serif" w:hAnsi="Times New Roman;serif"/>
          <w:b/>
          <w:i/>
          <w:sz w:val="20"/>
        </w:rPr>
        <w:t>At-The-Market offering</w:t>
      </w:r>
    </w:p>
    <w:p>
      <w:pPr>
        <w:pStyle w:val="TextBody"/>
        <w:spacing w:before="120" w:after="120"/>
        <w:jc w:val="left"/>
        <w:rPr>
          <w:rFonts w:ascii="Times New Roman" w:hAnsi="Times New Roman"/>
          <w:sz w:val="20"/>
        </w:rPr>
      </w:pPr>
      <w:r>
        <w:rPr>
          <w:rFonts w:ascii="Times New Roman;serif" w:hAnsi="Times New Roman;serif"/>
          <w:b w:val="false"/>
          <w:sz w:val="20"/>
        </w:rPr>
        <w:t>On May 4, 2022, the Company entered into a Sales Agreement ("Sales Agreement"), with Stifel, Nicolaus &amp; Company, Incorporated ("Stifel"), under which the Company may offer and sell from time to time at its sole discretion, up to an aggregate of 800,000</w:t>
      </w:r>
      <w:r>
        <w:rPr>
          <w:rFonts w:ascii="Times New Roman" w:hAnsi="Times New Roman"/>
          <w:sz w:val="20"/>
        </w:rPr>
        <w:t xml:space="preserve"> </w:t>
      </w:r>
      <w:r>
        <w:rPr>
          <w:rFonts w:ascii="Times New Roman;serif" w:hAnsi="Times New Roman;serif"/>
          <w:b w:val="false"/>
          <w:sz w:val="20"/>
        </w:rPr>
        <w:t>shares of its common stock, par value $0.0001</w:t>
      </w:r>
      <w:r>
        <w:rPr>
          <w:rFonts w:ascii="Times New Roman" w:hAnsi="Times New Roman"/>
          <w:sz w:val="20"/>
        </w:rPr>
        <w:t xml:space="preserve"> </w:t>
      </w:r>
      <w:r>
        <w:rPr>
          <w:rFonts w:ascii="Times New Roman;serif" w:hAnsi="Times New Roman;serif"/>
          <w:b w:val="false"/>
          <w:sz w:val="20"/>
        </w:rPr>
        <w:t>per share, through Stifel as its sales agent.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w:t>
      </w:r>
      <w:r>
        <w:rPr>
          <w:rFonts w:ascii="Times New Roman" w:hAnsi="Times New Roman"/>
          <w:sz w:val="20"/>
        </w:rPr>
        <w:t xml:space="preserve"> </w:t>
      </w:r>
      <w:r>
        <w:rPr>
          <w:rFonts w:ascii="Times New Roman;serif" w:hAnsi="Times New Roman;serif"/>
          <w:b w:val="false"/>
          <w:sz w:val="20"/>
        </w:rPr>
        <w:t>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During the three months ended March 31, 2023, the Company sold 100,000</w:t>
      </w:r>
      <w:r>
        <w:rPr>
          <w:rFonts w:ascii="Times New Roman" w:hAnsi="Times New Roman"/>
          <w:sz w:val="20"/>
        </w:rPr>
        <w:t xml:space="preserve"> </w:t>
      </w:r>
      <w:r>
        <w:rPr>
          <w:rFonts w:ascii="Times New Roman;serif" w:hAnsi="Times New Roman;serif"/>
          <w:b w:val="false"/>
          <w:sz w:val="20"/>
        </w:rPr>
        <w:t>shares of its common stock through Stifel, Nicolaus &amp; Company, Incorporated ("Stifel") under a Sales Agreement at a weighted average price of $131.19</w:t>
      </w:r>
      <w:r>
        <w:rPr>
          <w:rFonts w:ascii="Times New Roman" w:hAnsi="Times New Roman"/>
          <w:sz w:val="20"/>
        </w:rPr>
        <w:t xml:space="preserve"> </w:t>
      </w:r>
      <w:r>
        <w:rPr>
          <w:rFonts w:ascii="Times New Roman;serif" w:hAnsi="Times New Roman;serif"/>
          <w:b w:val="false"/>
          <w:sz w:val="20"/>
        </w:rPr>
        <w:t>per share resulting in net proceeds to the Company of $12.7</w:t>
      </w:r>
      <w:r>
        <w:rPr>
          <w:rFonts w:ascii="Times New Roman" w:hAnsi="Times New Roman"/>
          <w:sz w:val="20"/>
        </w:rPr>
        <w:t xml:space="preserve"> </w:t>
      </w:r>
      <w:r>
        <w:rPr>
          <w:rFonts w:ascii="Times New Roman;serif" w:hAnsi="Times New Roman;serif"/>
          <w:b w:val="false"/>
          <w:sz w:val="20"/>
        </w:rPr>
        <w:t>million, after deducting underwriting discounts and commissions of $0.3</w:t>
      </w:r>
      <w:r>
        <w:rPr>
          <w:rFonts w:ascii="Times New Roman" w:hAnsi="Times New Roman"/>
          <w:sz w:val="20"/>
        </w:rPr>
        <w:t xml:space="preserve"> </w:t>
      </w:r>
      <w:r>
        <w:rPr>
          <w:rFonts w:ascii="Times New Roman;serif" w:hAnsi="Times New Roman;serif"/>
          <w:b w:val="false"/>
          <w:sz w:val="20"/>
        </w:rPr>
        <w:t>million and deferred offering costs of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Equity Incentive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RSU, performance based restricted stock unit awards ("PRSU"), and multi-year performance restricted stock units ("MYPSU") activity for the three months ended March 31, 2023:</w:t>
      </w:r>
    </w:p>
    <w:p>
      <w:pPr>
        <w:pStyle w:val="TextBody"/>
        <w:spacing w:before="0" w:after="0"/>
        <w:jc w:val="left"/>
        <w:rPr/>
      </w:pPr>
      <w:r>
        <w:rPr/>
        <w:t> </w:t>
      </w:r>
    </w:p>
    <w:tbl>
      <w:tblPr>
        <w:tblW w:w="9693" w:type="dxa"/>
        <w:jc w:val="left"/>
        <w:tblInd w:w="0" w:type="dxa"/>
        <w:tblCellMar>
          <w:top w:w="28" w:type="dxa"/>
          <w:left w:w="28" w:type="dxa"/>
          <w:bottom w:w="28" w:type="dxa"/>
          <w:right w:w="28" w:type="dxa"/>
        </w:tblCellMar>
      </w:tblPr>
      <w:tblGrid>
        <w:gridCol w:w="2521"/>
        <w:gridCol w:w="146"/>
        <w:gridCol w:w="826"/>
        <w:gridCol w:w="166"/>
        <w:gridCol w:w="146"/>
        <w:gridCol w:w="262"/>
        <w:gridCol w:w="683"/>
        <w:gridCol w:w="146"/>
        <w:gridCol w:w="146"/>
        <w:gridCol w:w="146"/>
        <w:gridCol w:w="691"/>
        <w:gridCol w:w="166"/>
        <w:gridCol w:w="146"/>
        <w:gridCol w:w="262"/>
        <w:gridCol w:w="683"/>
        <w:gridCol w:w="146"/>
        <w:gridCol w:w="146"/>
        <w:gridCol w:w="146"/>
        <w:gridCol w:w="691"/>
        <w:gridCol w:w="146"/>
        <w:gridCol w:w="146"/>
        <w:gridCol w:w="300"/>
        <w:gridCol w:w="645"/>
        <w:gridCol w:w="1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RSU</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PRSU</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MYPSU</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r>
          </w:p>
        </w:tc>
        <w:tc>
          <w:tcPr>
            <w:tcW w:w="1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of</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of</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Unvested at December 31, 2022</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1,717,994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58,954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311,872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88.6</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368,363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Vested</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(234,633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(27,792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(58,954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Unvested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1,823,932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311,872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120"/>
        <w:jc w:val="left"/>
        <w:rPr>
          <w:rFonts w:ascii="Times New Roman" w:hAnsi="Times New Roman"/>
          <w:sz w:val="20"/>
        </w:rPr>
      </w:pPr>
      <w:r>
        <w:rPr>
          <w:rFonts w:ascii="Times New Roman;serif" w:hAnsi="Times New Roman;serif"/>
          <w:b w:val="false"/>
          <w:sz w:val="20"/>
        </w:rPr>
        <w:t>On August 4, 2020, the Compensation Committee of the Company adopted and approved the Executive Bonus and Retention Plan (the “Bonus and Retention Plan”). In August 2022, the Compensation Committee approved target bonus amounts and performance goals for the second half of the fiscal year 2022 (the “2022 Goals”). In February 2023, the Compensation Committee approved target bonus amounts for the fiscal year 2023 (the "2023 Goals"). The 2022 Goals and the 2023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$0.1</w:t>
      </w:r>
      <w:r>
        <w:rPr>
          <w:rFonts w:ascii="Times New Roman" w:hAnsi="Times New Roman"/>
          <w:sz w:val="20"/>
        </w:rPr>
        <w:t xml:space="preserve"> </w:t>
      </w:r>
      <w:r>
        <w:rPr>
          <w:rFonts w:ascii="Times New Roman;serif" w:hAnsi="Times New Roman;serif"/>
          <w:b w:val="false"/>
          <w:sz w:val="20"/>
        </w:rPr>
        <w:t>million for 2023 Goals was recorded as accrued expenses and other current liabilities in the condensed consolidated balance sheet as of March 31, 2023. Actual payouts for 2022 Goals ranged from 44% to 89% of target, based on performance.</w:t>
      </w:r>
    </w:p>
    <w:p>
      <w:pPr>
        <w:pStyle w:val="TextBody"/>
        <w:spacing w:before="0" w:after="120"/>
        <w:jc w:val="left"/>
        <w:rPr>
          <w:rFonts w:ascii="Times New Roman" w:hAnsi="Times New Roman"/>
          <w:sz w:val="20"/>
        </w:rPr>
      </w:pPr>
      <w:r>
        <w:rPr>
          <w:rFonts w:ascii="Times New Roman;serif" w:hAnsi="Times New Roman;serif"/>
          <w:b w:val="false"/>
          <w:sz w:val="20"/>
        </w:rPr>
        <w:t>In February 2023 and March 2023, the Compensation Committee of the Company approved PRSUs for the year 2023 with performance goals based on the achievement of revenue over a one year</w:t>
      </w:r>
      <w:r>
        <w:rPr>
          <w:rFonts w:ascii="Times New Roman" w:hAnsi="Times New Roman"/>
          <w:sz w:val="20"/>
        </w:rPr>
        <w:t xml:space="preserve"> </w:t>
      </w:r>
      <w:r>
        <w:rPr>
          <w:rFonts w:ascii="Times New Roman;serif" w:hAnsi="Times New Roman;serif"/>
          <w:b w:val="false"/>
          <w:sz w:val="20"/>
        </w:rPr>
        <w:t>performance period (the “PRSU 2023 Goals”) and achievement of relative total stockholder return with a two year</w:t>
      </w:r>
      <w:r>
        <w:rPr>
          <w:rFonts w:ascii="Times New Roman" w:hAnsi="Times New Roman"/>
          <w:sz w:val="20"/>
        </w:rPr>
        <w:t xml:space="preserve"> </w:t>
      </w:r>
      <w:r>
        <w:rPr>
          <w:rFonts w:ascii="Times New Roman;serif" w:hAnsi="Times New Roman;serif"/>
          <w:b w:val="false"/>
          <w:sz w:val="20"/>
        </w:rPr>
        <w:t>performance period (the "2023 TSR PRSU Goals"). The grant-date fair value of each 2023 TSR PRSU Goals was determined using Monte Carlo simulation model. The assumptions used in the Monte Carlo simulation included expected volatility of 84.0% and 83.8%, risk free rate of 4.67% and 4.05%, no</w:t>
      </w:r>
      <w:r>
        <w:rPr>
          <w:rFonts w:ascii="Times New Roman" w:hAnsi="Times New Roman"/>
          <w:sz w:val="20"/>
        </w:rPr>
        <w:t xml:space="preserve"> </w:t>
      </w:r>
      <w:r>
        <w:rPr>
          <w:rFonts w:ascii="Times New Roman;serif" w:hAnsi="Times New Roman;serif"/>
          <w:b w:val="false"/>
          <w:sz w:val="20"/>
        </w:rPr>
        <w:t>expected dividend yield and expected term of 1.9</w:t>
      </w:r>
      <w:r>
        <w:rPr>
          <w:rFonts w:ascii="Times New Roman" w:hAnsi="Times New Roman"/>
          <w:sz w:val="20"/>
        </w:rPr>
        <w:t xml:space="preserve"> </w:t>
      </w:r>
      <w:r>
        <w:rPr>
          <w:rFonts w:ascii="Times New Roman;serif" w:hAnsi="Times New Roman;serif"/>
          <w:b w:val="false"/>
          <w:sz w:val="20"/>
        </w:rPr>
        <w:t>years and 1.8</w:t>
      </w:r>
      <w:r>
        <w:rPr>
          <w:rFonts w:ascii="Times New Roman" w:hAnsi="Times New Roman"/>
          <w:sz w:val="20"/>
        </w:rPr>
        <w:t xml:space="preserve"> </w:t>
      </w:r>
      <w:r>
        <w:rPr>
          <w:rFonts w:ascii="Times New Roman;serif" w:hAnsi="Times New Roman;serif"/>
          <w:b w:val="false"/>
          <w:sz w:val="20"/>
        </w:rPr>
        <w:t>years for the awards issued in February 2023 and March 2023 respectively. The Company recognizes the expense related to the PRSU 2023 Goals and 2023 TSR PRSU Goals on a graded-vesting method over the requisite performance period. These grants are included in the PRSU awards granted in the table above.</w:t>
      </w:r>
    </w:p>
    <w:p>
      <w:pPr>
        <w:pStyle w:val="TextBody"/>
        <w:spacing w:before="0" w:after="0"/>
        <w:jc w:val="left"/>
        <w:rPr>
          <w:rFonts w:ascii="Times New Roman" w:hAnsi="Times New Roman"/>
          <w:sz w:val="20"/>
        </w:rPr>
      </w:pPr>
      <w:r>
        <w:rPr>
          <w:rFonts w:ascii="Times New Roman;serif" w:hAnsi="Times New Roman;serif"/>
          <w:b w:val="false"/>
          <w:sz w:val="20"/>
        </w:rPr>
        <w:t>In April 2022, the Company approved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condensed consolidated cash flow statements. The liability of $0.8</w:t>
      </w:r>
      <w:r>
        <w:rPr>
          <w:rFonts w:ascii="Times New Roman" w:hAnsi="Times New Roman"/>
          <w:sz w:val="20"/>
        </w:rPr>
        <w:t xml:space="preserve"> </w:t>
      </w:r>
      <w:r>
        <w:rPr>
          <w:rFonts w:ascii="Times New Roman;serif" w:hAnsi="Times New Roman;serif"/>
          <w:b w:val="false"/>
          <w:sz w:val="20"/>
        </w:rPr>
        <w:t>million was recorded as accrued expenses and other current liabilities in the condensed consolidated balance sheet as of March 31, 2023.</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February 2022, the Compensation Committee of the Company approved and granted to certain of the Company’s executive officers MYPSUs with vesting based on achievement of stock price targets, which are measured based on the 60-trading day</w:t>
      </w:r>
      <w:r>
        <w:rPr>
          <w:rFonts w:ascii="Times New Roman" w:hAnsi="Times New Roman"/>
          <w:sz w:val="20"/>
        </w:rPr>
        <w:t xml:space="preserve"> </w:t>
      </w:r>
      <w:r>
        <w:rPr>
          <w:rFonts w:ascii="Times New Roman;serif" w:hAnsi="Times New Roman;serif"/>
          <w:b w:val="false"/>
          <w:sz w:val="20"/>
        </w:rPr>
        <w:t>average per share closing price of the Company’s common stock on the Nasdaq Global Market during the performance periods of up to six years</w:t>
      </w:r>
      <w:r>
        <w:rPr>
          <w:rFonts w:ascii="Times New Roman" w:hAnsi="Times New Roman"/>
          <w:sz w:val="20"/>
        </w:rPr>
        <w:t xml:space="preserve"> </w:t>
      </w:r>
      <w:r>
        <w:rPr>
          <w:rFonts w:ascii="Times New Roman;serif" w:hAnsi="Times New Roman;serif"/>
          <w:b w:val="false"/>
          <w:sz w:val="20"/>
        </w:rPr>
        <w:t>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w:t>
      </w:r>
      <w:r>
        <w:rPr>
          <w:rFonts w:ascii="Times New Roman" w:hAnsi="Times New Roman"/>
          <w:sz w:val="20"/>
        </w:rPr>
        <w:t xml:space="preserve"> </w:t>
      </w:r>
      <w:r>
        <w:rPr>
          <w:rFonts w:ascii="Times New Roman;serif" w:hAnsi="Times New Roman;serif"/>
          <w:b w:val="false"/>
          <w:sz w:val="20"/>
        </w:rPr>
        <w:t>expected dividend yield, expected</w:t>
      </w:r>
      <w:r>
        <w:rPr>
          <w:rFonts w:ascii="Times New Roman" w:hAnsi="Times New Roman"/>
          <w:sz w:val="20"/>
        </w:rPr>
        <w:t xml:space="preserve"> </w:t>
      </w:r>
      <w:r>
        <w:rPr>
          <w:rFonts w:ascii="Times New Roman;serif" w:hAnsi="Times New Roman;serif"/>
          <w:b w:val="false"/>
          <w:sz w:val="20"/>
        </w:rPr>
        <w:t>term of six years</w:t>
      </w:r>
      <w:r>
        <w:rPr>
          <w:rFonts w:ascii="Times New Roman" w:hAnsi="Times New Roman"/>
          <w:sz w:val="20"/>
        </w:rPr>
        <w:t xml:space="preserve"> </w:t>
      </w:r>
      <w:r>
        <w:rPr>
          <w:rFonts w:ascii="Times New Roman;serif" w:hAnsi="Times New Roman;serif"/>
          <w:b w:val="false"/>
          <w:sz w:val="20"/>
        </w:rPr>
        <w:t>and possible future stock prices over the performance period based on historical stock and market prices. The Company recognizes the expense related to the MYPSUs on a graded-vesting method over the requisite service period.</w:t>
      </w:r>
    </w:p>
    <w:p>
      <w:pPr>
        <w:pStyle w:val="TextBody"/>
        <w:spacing w:before="0" w:after="0"/>
        <w:jc w:val="left"/>
        <w:rPr/>
      </w:pPr>
      <w:r>
        <w:rPr/>
        <w:t> </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In December 2021, the Compensation Committee of the Company approved PRSUs with performance goals for the year 2022 (the “PRSU 2022 Goals”). The PRSU 2022 Goals were based on the achievement of a revenue goal. These grants were not earned and were cancelled in February 2023.</w:t>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detail of stock-based compensation expense amounts included in the condensed consolidated statement of operations for each of the periods presented:</w:t>
      </w:r>
    </w:p>
    <w:p>
      <w:pPr>
        <w:pStyle w:val="TextBody"/>
        <w:spacing w:before="0" w:after="0"/>
        <w:jc w:val="left"/>
        <w:rPr/>
      </w:pPr>
      <w:r>
        <w:rPr/>
        <w:t> </w:t>
      </w:r>
    </w:p>
    <w:tbl>
      <w:tblPr>
        <w:tblW w:w="9361" w:type="dxa"/>
        <w:jc w:val="left"/>
        <w:tblInd w:w="0" w:type="dxa"/>
        <w:tblCellMar>
          <w:top w:w="28" w:type="dxa"/>
          <w:left w:w="28" w:type="dxa"/>
          <w:bottom w:w="28" w:type="dxa"/>
          <w:right w:w="28" w:type="dxa"/>
        </w:tblCellMar>
      </w:tblPr>
      <w:tblGrid>
        <w:gridCol w:w="6526"/>
        <w:gridCol w:w="146"/>
        <w:gridCol w:w="245"/>
        <w:gridCol w:w="785"/>
        <w:gridCol w:w="169"/>
        <w:gridCol w:w="169"/>
        <w:gridCol w:w="245"/>
        <w:gridCol w:w="785"/>
        <w:gridCol w:w="291"/>
      </w:tblGrid>
      <w:tr>
        <w:trPr/>
        <w:tc>
          <w:tcPr>
            <w:tcW w:w="6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based awards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5,374</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7,736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13,748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Liability based awards - to be settled in equity</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5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stock-based compensation - equity and liability based</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18,536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14,280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52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 recorded to 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based awards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13,748</w:t>
            </w:r>
          </w:p>
        </w:tc>
        <w:tc>
          <w:tcPr>
            <w:tcW w:w="29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based awards - settled in equity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5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stock-based compensation expense recorded to 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table presents the unrecognized compensation costs and related weighted average period of recognition as of March 31, 2023:</w:t>
      </w:r>
    </w:p>
    <w:p>
      <w:pPr>
        <w:pStyle w:val="TextBody"/>
        <w:spacing w:before="40" w:after="0"/>
        <w:jc w:val="left"/>
        <w:rPr/>
      </w:pPr>
      <w:r>
        <w:rPr/>
        <w:t> </w:t>
      </w:r>
    </w:p>
    <w:tbl>
      <w:tblPr>
        <w:tblW w:w="9930" w:type="dxa"/>
        <w:jc w:val="left"/>
        <w:tblInd w:w="0" w:type="dxa"/>
        <w:tblCellMar>
          <w:top w:w="28" w:type="dxa"/>
          <w:left w:w="28" w:type="dxa"/>
          <w:bottom w:w="28" w:type="dxa"/>
          <w:right w:w="28" w:type="dxa"/>
        </w:tblCellMar>
      </w:tblPr>
      <w:tblGrid>
        <w:gridCol w:w="1966"/>
        <w:gridCol w:w="146"/>
        <w:gridCol w:w="944"/>
        <w:gridCol w:w="2566"/>
        <w:gridCol w:w="146"/>
        <w:gridCol w:w="146"/>
        <w:gridCol w:w="1101"/>
        <w:gridCol w:w="2724"/>
        <w:gridCol w:w="191"/>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2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shd w:fill="auto" w:val="clear"/>
            <w:vAlign w:val="center"/>
          </w:tcPr>
          <w:p>
            <w:pPr>
              <w:pStyle w:val="TableContents"/>
              <w:spacing w:before="0" w:after="0"/>
              <w:ind w:left="0" w:right="0" w:hanging="0"/>
              <w:jc w:val="center"/>
              <w:rPr/>
            </w:pPr>
            <w:r>
              <w:rPr/>
              <w:t> </w:t>
            </w:r>
          </w:p>
        </w:tc>
      </w:tr>
      <w:tr>
        <w:trPr/>
        <w:tc>
          <w:tcPr>
            <w:tcW w:w="1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2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Unrecognized Compensation Costs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Period of Recognition (in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left"/>
              <w:rPr/>
            </w:pPr>
            <w:r>
              <w:rPr/>
              <w:t> </w:t>
            </w:r>
          </w:p>
        </w:tc>
        <w:tc>
          <w:tcPr>
            <w:tcW w:w="2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1" w:type="dxa"/>
            <w:tcBorders/>
            <w:shd w:fill="auto" w:val="clear"/>
            <w:vAlign w:val="center"/>
          </w:tcPr>
          <w:p>
            <w:pPr>
              <w:pStyle w:val="TableContents"/>
              <w:spacing w:before="0" w:after="0"/>
              <w:ind w:left="0" w:right="0" w:hanging="0"/>
              <w:jc w:val="left"/>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PRSUs</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left"/>
              <w:rPr/>
            </w:pPr>
            <w:r>
              <w:rPr/>
              <w:t> </w:t>
            </w:r>
          </w:p>
        </w:tc>
        <w:tc>
          <w:tcPr>
            <w:tcW w:w="2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shd w:fill="auto" w:val="clear"/>
            <w:vAlign w:val="center"/>
          </w:tcPr>
          <w:p>
            <w:pPr>
              <w:pStyle w:val="TableContents"/>
              <w:spacing w:before="0" w:after="0"/>
              <w:ind w:left="0" w:right="0" w:hanging="0"/>
              <w:jc w:val="left"/>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MYPSUs</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left"/>
              <w:rPr/>
            </w:pPr>
            <w:r>
              <w:rPr/>
              <w:t> </w:t>
            </w:r>
          </w:p>
        </w:tc>
        <w:tc>
          <w:tcPr>
            <w:tcW w:w="2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91" w:type="dxa"/>
            <w:tcBorders/>
            <w:shd w:fill="auto" w:val="clear"/>
            <w:vAlign w:val="center"/>
          </w:tcPr>
          <w:p>
            <w:pPr>
              <w:pStyle w:val="TableContents"/>
              <w:spacing w:before="0" w:after="0"/>
              <w:ind w:left="0" w:right="0" w:hanging="0"/>
              <w:jc w:val="left"/>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Liability-based awards</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left"/>
              <w:rPr/>
            </w:pPr>
            <w:r>
              <w:rPr/>
              <w:t> </w:t>
            </w:r>
          </w:p>
        </w:tc>
        <w:tc>
          <w:tcPr>
            <w:tcW w:w="2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7.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provision for income taxes and the effective tax rates for the three months ended March 31, 2023 and 2022:</w:t>
      </w:r>
    </w:p>
    <w:p>
      <w:pPr>
        <w:pStyle w:val="TextBody"/>
        <w:spacing w:before="0" w:after="0"/>
        <w:jc w:val="left"/>
        <w:rPr/>
      </w:pPr>
      <w:r>
        <w:rPr/>
        <w:t> </w:t>
      </w:r>
    </w:p>
    <w:tbl>
      <w:tblPr>
        <w:tblW w:w="5247" w:type="dxa"/>
        <w:jc w:val="left"/>
        <w:tblInd w:w="0" w:type="dxa"/>
        <w:tblCellMar>
          <w:top w:w="28" w:type="dxa"/>
          <w:left w:w="28" w:type="dxa"/>
          <w:bottom w:w="28" w:type="dxa"/>
          <w:right w:w="28" w:type="dxa"/>
        </w:tblCellMar>
      </w:tblPr>
      <w:tblGrid>
        <w:gridCol w:w="2386"/>
        <w:gridCol w:w="146"/>
        <w:gridCol w:w="236"/>
        <w:gridCol w:w="823"/>
        <w:gridCol w:w="303"/>
        <w:gridCol w:w="163"/>
        <w:gridCol w:w="236"/>
        <w:gridCol w:w="638"/>
        <w:gridCol w:w="316"/>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9"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3"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874"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(16,420</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6,208</w:t>
            </w:r>
          </w:p>
        </w:tc>
        <w:tc>
          <w:tcPr>
            <w:tcW w:w="316"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March 31, 2023.</w:t>
      </w:r>
    </w:p>
    <w:p>
      <w:pPr>
        <w:pStyle w:val="TextBody"/>
        <w:spacing w:before="12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income tax provision was less than $0.1</w:t>
      </w:r>
      <w:r>
        <w:rPr>
          <w:rFonts w:ascii="Times New Roman" w:hAnsi="Times New Roman"/>
          <w:sz w:val="20"/>
        </w:rPr>
        <w:t xml:space="preserve"> </w:t>
      </w:r>
      <w:r>
        <w:rPr>
          <w:rFonts w:ascii="Times New Roman;serif" w:hAnsi="Times New Roman;serif"/>
          <w:b w:val="false"/>
          <w:sz w:val="20"/>
        </w:rPr>
        <w:t>million for both the three months ended March 31, 2023 and 2022. The effective tax rate was less than 1% for both the three months ended March 31, 2023 and 2022. The provision for income taxes primarily comes from the foreign subsidiaries’ local country obligations. The U.S. effective tax rate is less than 1% and is due to minimum state tax. There is no federal provision for income taxes because the Company has incurred operating losses since inception and has projected an operating loss in the current year.</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Company's tax provision for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Company had $2.3</w:t>
      </w:r>
      <w:r>
        <w:rPr>
          <w:rFonts w:ascii="Times New Roman" w:hAnsi="Times New Roman"/>
          <w:sz w:val="20"/>
        </w:rPr>
        <w:t xml:space="preserve"> </w:t>
      </w:r>
      <w:r>
        <w:rPr>
          <w:rFonts w:ascii="Times New Roman;serif" w:hAnsi="Times New Roman;serif"/>
          <w:b w:val="false"/>
          <w:sz w:val="20"/>
        </w:rPr>
        <w:t>million and $2.3</w:t>
      </w:r>
      <w:r>
        <w:rPr>
          <w:rFonts w:ascii="Times New Roman" w:hAnsi="Times New Roman"/>
          <w:sz w:val="20"/>
        </w:rPr>
        <w:t xml:space="preserve"> </w:t>
      </w:r>
      <w:r>
        <w:rPr>
          <w:rFonts w:ascii="Times New Roman;serif" w:hAnsi="Times New Roman;serif"/>
          <w:b w:val="false"/>
          <w:sz w:val="20"/>
        </w:rPr>
        <w:t>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policy is to record interest and penalties related to unrecognized tax benefits as income tax expense. For the three months ended March 31, 2023 and 2022, the Company recorded immaterial amounts related to the accrual of interest and penalties.</w:t>
      </w:r>
    </w:p>
    <w:p>
      <w:pPr>
        <w:pStyle w:val="TextBody"/>
        <w:spacing w:before="120" w:after="0"/>
        <w:jc w:val="left"/>
        <w:rPr>
          <w:rFonts w:ascii="Times New Roman" w:hAnsi="Times New Roman"/>
          <w:sz w:val="20"/>
        </w:rPr>
      </w:pPr>
      <w:r>
        <w:rPr>
          <w:rFonts w:ascii="Times New Roman;serif" w:hAnsi="Times New Roman;serif"/>
          <w:b/>
          <w:sz w:val="20"/>
        </w:rPr>
        <w:t>Note 8. Segment, Geographic and Customer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operates in one</w:t>
      </w:r>
      <w:r>
        <w:rPr>
          <w:rFonts w:ascii="Times New Roman" w:hAnsi="Times New Roman"/>
          <w:sz w:val="20"/>
        </w:rPr>
        <w:t xml:space="preserve"> </w:t>
      </w:r>
      <w:r>
        <w:rPr>
          <w:rFonts w:ascii="Times New Roman;serif" w:hAnsi="Times New Roman;serif"/>
          <w:b w:val="false"/>
          <w:sz w:val="20"/>
        </w:rPr>
        <w:t>reportable segment related to the design, development, and sale of silicon timing systems solutions.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Revenue by geographic area is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 </w:t>
      </w:r>
    </w:p>
    <w:p>
      <w:pPr>
        <w:pStyle w:val="TextBody"/>
        <w:spacing w:before="0" w:after="0"/>
        <w:jc w:val="left"/>
        <w:rPr/>
      </w:pPr>
      <w:r>
        <w:rPr/>
        <w:t> </w:t>
      </w:r>
    </w:p>
    <w:tbl>
      <w:tblPr>
        <w:tblW w:w="3936" w:type="dxa"/>
        <w:jc w:val="left"/>
        <w:tblInd w:w="0" w:type="dxa"/>
        <w:tblCellMar>
          <w:top w:w="28" w:type="dxa"/>
          <w:left w:w="28" w:type="dxa"/>
          <w:bottom w:w="28" w:type="dxa"/>
          <w:right w:w="28" w:type="dxa"/>
        </w:tblCellMar>
      </w:tblPr>
      <w:tblGrid>
        <w:gridCol w:w="1201"/>
        <w:gridCol w:w="146"/>
        <w:gridCol w:w="245"/>
        <w:gridCol w:w="785"/>
        <w:gridCol w:w="169"/>
        <w:gridCol w:w="169"/>
        <w:gridCol w:w="245"/>
        <w:gridCol w:w="785"/>
        <w:gridCol w:w="19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Taiwan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23,072</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Hong Kong</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14,533</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7,194</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Singapore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5,156</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10,149</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38,343</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70,253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Revenue from sales to three of the Company's distributors accounted for 19%, 14%, and 12%</w:t>
      </w:r>
      <w:r>
        <w:rPr>
          <w:rFonts w:ascii="Times New Roman" w:hAnsi="Times New Roman"/>
          <w:sz w:val="20"/>
        </w:rPr>
        <w:t xml:space="preserve"> </w:t>
      </w:r>
      <w:r>
        <w:rPr>
          <w:rFonts w:ascii="Times New Roman;serif" w:hAnsi="Times New Roman;serif"/>
          <w:b w:val="false"/>
          <w:sz w:val="20"/>
        </w:rPr>
        <w:t>of its consolidated revenues for the three months ended March 31, 2023, and 18%, 13%, and 10%</w:t>
      </w:r>
      <w:r>
        <w:rPr>
          <w:rFonts w:ascii="Times New Roman" w:hAnsi="Times New Roman"/>
          <w:sz w:val="20"/>
        </w:rPr>
        <w:t xml:space="preserve"> </w:t>
      </w:r>
      <w:r>
        <w:rPr>
          <w:rFonts w:ascii="Times New Roman;serif" w:hAnsi="Times New Roman;serif"/>
          <w:b w:val="false"/>
          <w:sz w:val="20"/>
        </w:rPr>
        <w:t>of its consolidated revenues for the three months ended March 31, 2022.</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Revenue from sales to the Company's historically largest end customer through multiple distributors accounted for 3%</w:t>
      </w:r>
      <w:r>
        <w:rPr>
          <w:rFonts w:ascii="Times New Roman" w:hAnsi="Times New Roman"/>
          <w:sz w:val="20"/>
        </w:rPr>
        <w:t xml:space="preserve"> </w:t>
      </w:r>
      <w:r>
        <w:rPr>
          <w:rFonts w:ascii="Times New Roman;serif" w:hAnsi="Times New Roman;serif"/>
          <w:b w:val="false"/>
          <w:sz w:val="20"/>
        </w:rPr>
        <w:t>and 18%</w:t>
      </w:r>
      <w:r>
        <w:rPr>
          <w:rFonts w:ascii="Times New Roman" w:hAnsi="Times New Roman"/>
          <w:sz w:val="20"/>
        </w:rPr>
        <w:t xml:space="preserve"> </w:t>
      </w:r>
      <w:r>
        <w:rPr>
          <w:rFonts w:ascii="Times New Roman;serif" w:hAnsi="Times New Roman;serif"/>
          <w:b w:val="false"/>
          <w:sz w:val="20"/>
        </w:rPr>
        <w:t>for the three months ended March 31, 2023 and 2022, respectively. The Company's end customers predominantly purchase the Company's products from distributors. No</w:t>
      </w:r>
      <w:r>
        <w:rPr>
          <w:rFonts w:ascii="Times New Roman" w:hAnsi="Times New Roman"/>
          <w:sz w:val="20"/>
        </w:rPr>
        <w:t xml:space="preserve"> </w:t>
      </w:r>
      <w:r>
        <w:rPr>
          <w:rFonts w:ascii="Times New Roman;serif" w:hAnsi="Times New Roman;serif"/>
          <w:b w:val="false"/>
          <w:sz w:val="20"/>
        </w:rPr>
        <w:t>other distributors or customers accounted for 10% or more of the Company's consolidated revenues for the three months ended March 31, 2023 and 2022, respectively.</w:t>
      </w:r>
    </w:p>
    <w:p>
      <w:pPr>
        <w:pStyle w:val="TextBody"/>
        <w:spacing w:before="12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sets forth the Company’s total property and equipment attributable to operations by country as of the periods presented:</w:t>
      </w:r>
    </w:p>
    <w:p>
      <w:pPr>
        <w:pStyle w:val="TextBody"/>
        <w:spacing w:before="0" w:after="0"/>
        <w:jc w:val="left"/>
        <w:rPr/>
      </w:pPr>
      <w:r>
        <w:rPr/>
        <w:t> </w:t>
      </w:r>
    </w:p>
    <w:tbl>
      <w:tblPr>
        <w:tblW w:w="4590" w:type="dxa"/>
        <w:jc w:val="left"/>
        <w:tblInd w:w="0" w:type="dxa"/>
        <w:tblCellMar>
          <w:top w:w="28" w:type="dxa"/>
          <w:left w:w="28" w:type="dxa"/>
          <w:bottom w:w="28" w:type="dxa"/>
          <w:right w:w="28" w:type="dxa"/>
        </w:tblCellMar>
      </w:tblPr>
      <w:tblGrid>
        <w:gridCol w:w="1201"/>
        <w:gridCol w:w="146"/>
        <w:gridCol w:w="299"/>
        <w:gridCol w:w="961"/>
        <w:gridCol w:w="146"/>
        <w:gridCol w:w="146"/>
        <w:gridCol w:w="357"/>
        <w:gridCol w:w="1143"/>
        <w:gridCol w:w="19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24,211</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Malaysia</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18,524</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Taiwan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5,570</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58,772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9. Commitments and Contingencies</w:t>
      </w:r>
    </w:p>
    <w:p>
      <w:pPr>
        <w:pStyle w:val="TextBody"/>
        <w:spacing w:before="120" w:after="0"/>
        <w:jc w:val="left"/>
        <w:rPr>
          <w:rFonts w:ascii="Times New Roman;serif" w:hAnsi="Times New Roman;serif"/>
          <w:b/>
          <w:sz w:val="20"/>
        </w:rPr>
      </w:pPr>
      <w:r>
        <w:rPr>
          <w:rFonts w:ascii="Times New Roman;serif" w:hAnsi="Times New Roman;serif"/>
          <w:b/>
          <w:sz w:val="20"/>
        </w:rPr>
        <w:t>Legal Matters</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Indemnification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10. Related Party Transactions</w:t>
      </w:r>
    </w:p>
    <w:p>
      <w:pPr>
        <w:pStyle w:val="TextBody"/>
        <w:spacing w:before="120" w:after="0"/>
        <w:jc w:val="left"/>
        <w:rPr>
          <w:rFonts w:ascii="Times New Roman" w:hAnsi="Times New Roman"/>
          <w:sz w:val="20"/>
        </w:rPr>
      </w:pPr>
      <w:r>
        <w:rPr>
          <w:rFonts w:ascii="Times New Roman;serif" w:hAnsi="Times New Roman;serif"/>
          <w:b w:val="false"/>
          <w:sz w:val="20"/>
        </w:rPr>
        <w:t>MegaChips Corporation is the largest stockholder of the Company and held approximately 21.4%</w:t>
      </w:r>
      <w:r>
        <w:rPr>
          <w:rFonts w:ascii="Times New Roman" w:hAnsi="Times New Roman"/>
          <w:sz w:val="20"/>
        </w:rPr>
        <w:t xml:space="preserve"> </w:t>
      </w:r>
      <w:r>
        <w:rPr>
          <w:rFonts w:ascii="Times New Roman;serif" w:hAnsi="Times New Roman;serif"/>
          <w:b w:val="false"/>
          <w:sz w:val="20"/>
        </w:rPr>
        <w:t>and 23.0% of the Company’s outstanding common stock as of March 31, 2023 and December 31, 2022, respectively.</w:t>
      </w:r>
    </w:p>
    <w:p>
      <w:pPr>
        <w:pStyle w:val="TextBody"/>
        <w:spacing w:before="120" w:after="0"/>
        <w:jc w:val="left"/>
        <w:rPr>
          <w:rFonts w:ascii="Times New Roman" w:hAnsi="Times New Roman"/>
          <w:sz w:val="20"/>
        </w:rPr>
      </w:pPr>
      <w:r>
        <w:rPr>
          <w:rFonts w:ascii="Times New Roman;serif" w:hAnsi="Times New Roman;serif"/>
          <w:b w:val="false"/>
          <w:sz w:val="20"/>
        </w:rPr>
        <w:t>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w:t>
      </w:r>
      <w:r>
        <w:rPr>
          <w:rFonts w:ascii="Times New Roman" w:hAnsi="Times New Roman"/>
          <w:sz w:val="20"/>
        </w:rPr>
        <w:t xml:space="preserve"> </w:t>
      </w:r>
      <w:r>
        <w:rPr>
          <w:rFonts w:ascii="Times New Roman;serif" w:hAnsi="Times New Roman;serif"/>
          <w:b w:val="false"/>
          <w:sz w:val="20"/>
        </w:rPr>
        <w:t>RSUs that fully vested on November 20, 2021. In December 2021, the Company signed an amendment to extend the consulting agreement with Mr. Takata through December 31, 2022, for which he continued to receive the monthly cash fees and reimbursement of expenses, and an equity award of 300</w:t>
      </w:r>
      <w:r>
        <w:rPr>
          <w:rFonts w:ascii="Times New Roman" w:hAnsi="Times New Roman"/>
          <w:sz w:val="20"/>
        </w:rPr>
        <w:t xml:space="preserve"> </w:t>
      </w:r>
      <w:r>
        <w:rPr>
          <w:rFonts w:ascii="Times New Roman;serif" w:hAnsi="Times New Roman;serif"/>
          <w:b w:val="false"/>
          <w:sz w:val="20"/>
        </w:rPr>
        <w:t>RSUs that fully vested on November 20,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discussion should be read in conjunction with the Condensed Consolidated Financial Statements and the related notes that appear elsewhere in this document.</w:t>
      </w:r>
    </w:p>
    <w:p>
      <w:pPr>
        <w:pStyle w:val="TextBody"/>
        <w:spacing w:before="240" w:after="0"/>
        <w:jc w:val="left"/>
        <w:rPr>
          <w:rFonts w:ascii="Times New Roman" w:hAnsi="Times New Roman"/>
          <w:sz w:val="20"/>
        </w:rPr>
      </w:pPr>
      <w:r>
        <w:rPr>
          <w:rFonts w:ascii="Times New Roman;serif" w:hAnsi="Times New Roman;serif"/>
          <w:b w:val="false"/>
          <w:sz w:val="20"/>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to focus on oscillators, clock ICs, resonators and timing synchronization solutions and to expand our presence in these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address market and customer demands and to develop new or enhanced solutions to meet those demands in a timely manner;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anticipated trends, challenges and growth in our business and the markets in which we operate, including pricing expectations;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revenue, average selling prices, gross margin, and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effects of macroeconomic events in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dependence on a limited number of customers and end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customer relationships and our ability to retain and expand our customer relationships and to achieve design wins;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success, cost, and timing of new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and growth potential of the markets for our solutions, and our ability to serve and expand our presence in those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plans to expand sales and marketing efforts through increased collaboration with our distributors and contracted sales representatives, and our plans to grow direct online sales through our self-service online store;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to identify new customers and deliver differentiated precision timing solutions to them;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goal to become the leading provider of precision timing solutions;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positioning of being designed into current systems as well as future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belief that our advanced packaging designs can enable the smallest footprints in the industry and provide higher system performance;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competition in our existing and future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the COVID-19 pandemic will have on our business, employees, revenue and other operating results, liquidity, and cash flows, and its impact on the businesses of our suppliers and customers, and our anticipated responses thereto;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regulatory developments in the United States and foreign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performance of, and our relationships with, our third-party suppliers and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and our customers’ ability to respond successfully to technological or industry developments;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attract and retain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intellectual property and related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belief as to the sufficiency of our existing cash and cash equivalents and short-term investment funds to meet our cash needs for at least the next 12 months and our future capital requirements over the longer term;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adequacy and availability of our leased facilities;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accuracy of our estimates regarding capital requirements and needs for additional financing.</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any statements contained herein that are statements regarding events or results that may occur in the future may be deemed to be forward-looking statements. Forward</w:t>
        <w:noBreakHyphen/>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36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SiTime is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and enterprise, automotive, industrial, aerospace, mobile, IoT and consumer. Our current solutions include various types of oscillators, clocks, and resonators. Our all-silicon solutions are based on three fundamental areas of expertise: micro-electro-mechanical systems (“MEMS”), analog mixed-signal circuit design, and advanced system-level integration and packaging.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ability to accurately measure and reference time has been essential to many of humankind’s greatest inventions and technological advances. Timing technology has continued to evolve over centuries, and has been instrumental in broader technological advancement. Timing is the heartbeat of digital electronic systems, ensuring that the system runs smoothly and reliably, by providing and distributing clock signals to various critical components such as CPUs, communication and interface chips, and radio frequency components. As electronics evolve to deliver higher performance levels, even in increasingly challenging environments, while also being more complex and space-constrained, we believe they will require more sophisticated timing solutions, and precision timing, a category that SiTime created, fills this need.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 the heart of SiTime’s precision timing solutions are our micro-electro-mechanical systems ("MEMS"), analog/mixed-signal, and systems technologies. All of our oscillators and clocks contain MEMS and analog die, co-packaged in plastic, ceramic, or chip-scale packages. We have a deep understanding of mechanical, electrical, and thermal properties of materials, which is a key requirement for developing our proprietary MEMS processes. To maximize MEMS first-silicon success, we have also developed our own MEMS simulation tools. Our analog/mixed-signal die are developed using industry-standard processes and deliver high levels of performance using programmable phase-locked loops, temperature sensors, regulators, data converters, drivers and other building blocks.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Commercial shipments of SiTime’s oscillator products began in 2006. Historically, our revenue has been substantially delivered from sales of oscillators across our target end markets. In addition to oscillators, we have expanded our products to include clock IC and timing sync solutions. We seek to expand our presence in our end markets across all product categories.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sell our products primarily through distributors in Asia, who in turn sell to our end customers. We also sell products directly to some of our end customers. Based on sell-through information provided by our distributors, we believe the majority of our end customers are headquartered in the U.S.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our distributors or by shopping on our online store, SiTimeDirect.</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operate a fabless business model, allowing us to focus on the design, sales, and marketing of our products, quickly scale production, and significantly reduce our capital expenditures by using the semiconductor industry manufacturing infrastructure.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In 2021 and the first half of 2022, there were a number of industry-wide supply constraints affecting the supply of analog circuits manufactured by certain foundries, including Taiwan Semiconductor Manufacturing Company ("TSMC"), and affecting outsourced semiconductor assembly and test providers. In addition, in 2022,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 harmed sales of our products and results of operations. We expect these macroeconomic events will continue to negatively affect sales of our products and results of operations in 2023. We believe that many of our customers built up inventory in our products in 2022 to overcome the industry-wide supply constraints that occurred in the previous periods. We also believe that the macroeconomic events in 2022 led to reduced demand for our customers' products, which led to an inventory buildup at many of our customers, including distributors and their affiliates, partners and contract manufacturers. These inventory buildups at our customers have adversely affected sales of our products and we believe that this will continue until the inventory buildups are reduced and demand increases. The inventory buildups at many of our customers, including distributors and their affiliates, partners, and contract manufacturers could result in significant decreases in our sales,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pStyle w:val="TextBody"/>
        <w:spacing w:before="0" w:after="120"/>
        <w:jc w:val="left"/>
        <w:rPr>
          <w:rFonts w:ascii="Times New Roman" w:hAnsi="Times New Roman"/>
          <w:sz w:val="20"/>
        </w:rPr>
      </w:pPr>
      <w:r>
        <w:rPr>
          <w:rFonts w:ascii="Times New Roman;serif" w:hAnsi="Times New Roman;serif"/>
          <w:b w:val="false"/>
          <w:sz w:val="20"/>
        </w:rPr>
        <w:t>We have employees in Finland, France, Germany, Japan, Korea, Malaysia, the Netherlands, Taiwan, Ukraine, and the U.S.</w:t>
      </w:r>
      <w:r>
        <w:rPr>
          <w:rFonts w:ascii="Times New Roman" w:hAnsi="Times New Roman"/>
          <w:sz w:val="20"/>
        </w:rPr>
        <w:t xml:space="preserve"> </w:t>
      </w:r>
    </w:p>
    <w:p>
      <w:pPr>
        <w:pStyle w:val="TextBody"/>
        <w:spacing w:before="360" w:after="120"/>
        <w:jc w:val="left"/>
        <w:rPr>
          <w:rFonts w:ascii="Times New Roman;serif" w:hAnsi="Times New Roman;serif"/>
          <w:b/>
          <w:sz w:val="20"/>
        </w:rPr>
      </w:pPr>
      <w:r>
        <w:rPr>
          <w:rFonts w:ascii="Times New Roman;serif" w:hAnsi="Times New Roman;serif"/>
          <w:b/>
          <w:sz w:val="20"/>
        </w:rPr>
        <w:t>Impact of COVID-19 on our Business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The COVID-19 pandemic continued to impact our workforce and the operations of our customers and suppliers during 2022. In response to the ongoing COVID-19 pandemic and related government measures, we implemented safety measures to protect our employees and contractors at our locations around the world.</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sz w:val="20"/>
        </w:rPr>
      </w:pPr>
      <w:r>
        <w:rPr>
          <w:rFonts w:ascii="Times New Roman;serif" w:hAnsi="Times New Roman;serif"/>
          <w:b/>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pStyle w:val="TextBody"/>
        <w:spacing w:before="0" w:after="0"/>
        <w:jc w:val="left"/>
        <w:rPr/>
      </w:pPr>
      <w:r>
        <w:rPr/>
        <w:t> </w:t>
      </w:r>
    </w:p>
    <w:tbl>
      <w:tblPr>
        <w:tblW w:w="5594" w:type="dxa"/>
        <w:jc w:val="left"/>
        <w:tblInd w:w="0" w:type="dxa"/>
        <w:tblCellMar>
          <w:top w:w="28" w:type="dxa"/>
          <w:left w:w="28" w:type="dxa"/>
          <w:bottom w:w="28" w:type="dxa"/>
          <w:right w:w="28" w:type="dxa"/>
        </w:tblCellMar>
      </w:tblPr>
      <w:tblGrid>
        <w:gridCol w:w="736"/>
        <w:gridCol w:w="146"/>
        <w:gridCol w:w="249"/>
        <w:gridCol w:w="765"/>
        <w:gridCol w:w="185"/>
        <w:gridCol w:w="185"/>
        <w:gridCol w:w="249"/>
        <w:gridCol w:w="765"/>
        <w:gridCol w:w="146"/>
        <w:gridCol w:w="146"/>
        <w:gridCol w:w="196"/>
        <w:gridCol w:w="661"/>
        <w:gridCol w:w="166"/>
        <w:gridCol w:w="146"/>
        <w:gridCol w:w="146"/>
        <w:gridCol w:w="346"/>
        <w:gridCol w:w="361"/>
      </w:tblGrid>
      <w:tr>
        <w:trPr/>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51"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c>
          <w:tcPr>
            <w:tcW w:w="361" w:type="dxa"/>
            <w:tcBorders/>
            <w:shd w:fill="auto" w:val="clear"/>
            <w:vAlign w:val="center"/>
          </w:tcPr>
          <w:p>
            <w:pPr>
              <w:pStyle w:val="TableContents"/>
              <w:spacing w:before="0" w:after="0"/>
              <w:ind w:left="0" w:right="0" w:hanging="0"/>
              <w:jc w:val="center"/>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38,343</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70,253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(31,910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Revenue decreased by $31.9 million, or 45.4%, for the three months ended March 31, 2023 compared to the same period in the prior year. The decrease was primarily related to a decrease in revenue from our historically largest end customer and lower sales volume to other customers. Such lower sales volume was driven by lower demand for our products due to the excess inventory buildup at many of our customers, including distributors and their affiliates, partners, and contract manufacturers and due to macroeconomic conditions. Such decrease in revenue was partially offset by an increase in average selling prices (“ASPs”) of our products that was mainly related to change in mix of the products we shipped.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Sales attributable to our historically largest end customer through multiple distributors accounted for 3% and 18% of our revenue for the three months ended March 31, 2023 and 2022, respectively. Our end customers predominantly purchase our products from distributors. Our top three customers by revenue, which are distributors, together accounted for approximately 45% and 42% of our revenue for the three months ended March 31, 2023 and 2022, respectively. Revenue attributable to our largest ten end customers accounted for 43% and 40% of our revenue for the three months ended March 31, 2023 and 2022, respectively.</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Cost of Revenue, Gross Profit, and Gross Margin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pStyle w:val="TextBody"/>
        <w:spacing w:before="0" w:after="0"/>
        <w:jc w:val="left"/>
        <w:rPr/>
      </w:pPr>
      <w:r>
        <w:rPr/>
        <w:t> </w:t>
      </w:r>
    </w:p>
    <w:tbl>
      <w:tblPr>
        <w:tblW w:w="6272" w:type="dxa"/>
        <w:jc w:val="left"/>
        <w:tblInd w:w="0" w:type="dxa"/>
        <w:tblCellMar>
          <w:top w:w="28" w:type="dxa"/>
          <w:left w:w="28" w:type="dxa"/>
          <w:bottom w:w="28" w:type="dxa"/>
          <w:right w:w="28" w:type="dxa"/>
        </w:tblCellMar>
      </w:tblPr>
      <w:tblGrid>
        <w:gridCol w:w="1306"/>
        <w:gridCol w:w="146"/>
        <w:gridCol w:w="235"/>
        <w:gridCol w:w="722"/>
        <w:gridCol w:w="307"/>
        <w:gridCol w:w="175"/>
        <w:gridCol w:w="235"/>
        <w:gridCol w:w="722"/>
        <w:gridCol w:w="256"/>
        <w:gridCol w:w="146"/>
        <w:gridCol w:w="196"/>
        <w:gridCol w:w="661"/>
        <w:gridCol w:w="166"/>
        <w:gridCol w:w="146"/>
        <w:gridCol w:w="146"/>
        <w:gridCol w:w="346"/>
        <w:gridCol w:w="361"/>
      </w:tblGrid>
      <w:tr>
        <w:trPr/>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59"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c>
          <w:tcPr>
            <w:tcW w:w="361" w:type="dxa"/>
            <w:tcBorders/>
            <w:shd w:fill="auto" w:val="clear"/>
            <w:vAlign w:val="center"/>
          </w:tcPr>
          <w:p>
            <w:pPr>
              <w:pStyle w:val="TableContents"/>
              <w:spacing w:before="0" w:after="0"/>
              <w:ind w:left="0" w:right="0" w:hanging="0"/>
              <w:jc w:val="center"/>
              <w:rPr/>
            </w:pPr>
            <w:r>
              <w:rPr/>
              <w:t> </w:t>
            </w:r>
          </w:p>
        </w:tc>
      </w:tr>
      <w:tr>
        <w:trPr/>
        <w:tc>
          <w:tcPr>
            <w:tcW w:w="1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15,302</w:t>
            </w:r>
          </w:p>
        </w:tc>
        <w:tc>
          <w:tcPr>
            <w:tcW w:w="307"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25,020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23,041</w:t>
            </w:r>
          </w:p>
        </w:tc>
        <w:tc>
          <w:tcPr>
            <w:tcW w:w="307"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45,233</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(22,192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Margin</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75"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2" w:type="dxa"/>
            <w:gridSpan w:val="2"/>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Gross profit decreased by $22.2 million in the three months ended March 31, 2023 compared to the same period in the prior year. Gross profit decreased $23.2 million mainly from lower revenue. This decrease was partially offset by lower other manufacturing and overhead costs of $1.0 million.</w:t>
      </w:r>
      <w:r>
        <w:rPr>
          <w:rFonts w:ascii="Times New Roman" w:hAnsi="Times New Roman"/>
          <w:sz w:val="20"/>
        </w:rPr>
        <w:t xml:space="preserve"> </w:t>
      </w:r>
    </w:p>
    <w:p>
      <w:pPr>
        <w:pStyle w:val="TextBody"/>
        <w:spacing w:before="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Gross margin was lower by 4% in the three months ended March 31, 2023 compared to the same period in the prior year. The gross margin decreased 5% due to higher other manufacturing cost which increased as a percentage of revenue, offset by higher ASPs due to product mix.</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pStyle w:val="TextBody"/>
        <w:spacing w:before="360" w:after="0"/>
        <w:jc w:val="left"/>
        <w:rPr>
          <w:rFonts w:ascii="Times New Roman;serif" w:hAnsi="Times New Roman;serif"/>
          <w:b/>
          <w:sz w:val="20"/>
        </w:rPr>
      </w:pPr>
      <w:r>
        <w:rPr>
          <w:rFonts w:ascii="Times New Roman;serif" w:hAnsi="Times New Roman;serif"/>
          <w:b/>
          <w:sz w:val="20"/>
        </w:rPr>
        <w:t>Operating Expenses</w:t>
      </w:r>
    </w:p>
    <w:p>
      <w:pPr>
        <w:pStyle w:val="TextBody"/>
        <w:spacing w:before="120" w:after="0"/>
        <w:jc w:val="left"/>
        <w:rPr>
          <w:rFonts w:ascii="Times New Roman" w:hAnsi="Times New Roman"/>
          <w:sz w:val="20"/>
        </w:rPr>
      </w:pPr>
      <w:r>
        <w:rPr>
          <w:rFonts w:ascii="Times New Roman;serif" w:hAnsi="Times New Roman;serif"/>
          <w:b w:val="false"/>
          <w:sz w:val="20"/>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r>
        <w:rPr>
          <w:rFonts w:ascii="Times New Roman" w:hAnsi="Times New Roman"/>
          <w:sz w:val="20"/>
        </w:rPr>
        <w:t xml:space="preserve"> </w:t>
      </w:r>
    </w:p>
    <w:p>
      <w:pPr>
        <w:pStyle w:val="TextBody"/>
        <w:spacing w:before="0" w:after="0"/>
        <w:jc w:val="left"/>
        <w:rPr/>
      </w:pPr>
      <w:r>
        <w:rPr/>
        <w:t> </w:t>
      </w:r>
    </w:p>
    <w:tbl>
      <w:tblPr>
        <w:tblW w:w="7319" w:type="dxa"/>
        <w:jc w:val="left"/>
        <w:tblInd w:w="0" w:type="dxa"/>
        <w:tblCellMar>
          <w:top w:w="28" w:type="dxa"/>
          <w:left w:w="28" w:type="dxa"/>
          <w:bottom w:w="28" w:type="dxa"/>
          <w:right w:w="28" w:type="dxa"/>
        </w:tblCellMar>
      </w:tblPr>
      <w:tblGrid>
        <w:gridCol w:w="2551"/>
        <w:gridCol w:w="146"/>
        <w:gridCol w:w="249"/>
        <w:gridCol w:w="765"/>
        <w:gridCol w:w="185"/>
        <w:gridCol w:w="185"/>
        <w:gridCol w:w="249"/>
        <w:gridCol w:w="765"/>
        <w:gridCol w:w="146"/>
        <w:gridCol w:w="146"/>
        <w:gridCol w:w="196"/>
        <w:gridCol w:w="511"/>
        <w:gridCol w:w="146"/>
        <w:gridCol w:w="146"/>
        <w:gridCol w:w="146"/>
        <w:gridCol w:w="286"/>
        <w:gridCol w:w="50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21"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c>
          <w:tcPr>
            <w:tcW w:w="501"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firstLine="200"/>
              <w:jc w:val="left"/>
              <w:rPr/>
            </w:pPr>
            <w:r>
              <w:rPr/>
              <w:t> </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24,457</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20,595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5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20,733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18,578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45,190</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39,173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Research and Development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pStyle w:val="TextBody"/>
        <w:spacing w:before="240" w:after="0"/>
        <w:jc w:val="left"/>
        <w:rPr>
          <w:rFonts w:ascii="Times New Roman" w:hAnsi="Times New Roman"/>
          <w:sz w:val="20"/>
        </w:rPr>
      </w:pPr>
      <w:r>
        <w:rPr>
          <w:rFonts w:ascii="Times New Roman;serif" w:hAnsi="Times New Roman;serif"/>
          <w:b w:val="false"/>
          <w:sz w:val="20"/>
        </w:rPr>
        <w:t>Research and development expense increased by $3.9 million, or 19%, for the three months ended March 31, 2023 compared to the same period in the prior year, primarily due to an increase in stock-based compensation expense of $2.4 million, higher personnel costs of $1.9 million due to increased headcount, an increase in depreciation and amortization of lab equipment and licenses of $1.1</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million, and a decrease in non-recurring engineering contra-expense recognized of $0.8 million offset by lower ongoing new product related expenses of $2.3 million.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no guarantee we will enter into a non-recurring engineering arrangement or recognize such contra-expense in any future period. Based on our current contracts, we expect the non-recurring engineering contra-expense to decline in future periods.</w:t>
      </w:r>
    </w:p>
    <w:p>
      <w:pPr>
        <w:pStyle w:val="TextBody"/>
        <w:spacing w:before="360" w:after="0"/>
        <w:jc w:val="left"/>
        <w:rPr>
          <w:rFonts w:ascii="Times New Roman;serif" w:hAnsi="Times New Roman;serif"/>
          <w:b/>
          <w:i/>
          <w:sz w:val="20"/>
        </w:rPr>
      </w:pPr>
      <w:r>
        <w:rPr>
          <w:rFonts w:ascii="Times New Roman;serif" w:hAnsi="Times New Roman;serif"/>
          <w:b/>
          <w:i/>
          <w:sz w:val="20"/>
        </w:rPr>
        <w:t>Sales, General and Administrative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pStyle w:val="TextBody"/>
        <w:spacing w:before="240" w:after="0"/>
        <w:jc w:val="left"/>
        <w:rPr>
          <w:rFonts w:ascii="Times New Roman" w:hAnsi="Times New Roman"/>
          <w:sz w:val="20"/>
        </w:rPr>
      </w:pPr>
      <w:r>
        <w:rPr>
          <w:rFonts w:ascii="Times New Roman;serif" w:hAnsi="Times New Roman;serif"/>
          <w:b w:val="false"/>
          <w:sz w:val="20"/>
        </w:rPr>
        <w:t>Selling, general and administrative expense increased by $2.2 million, or 12%, for the three months ended March 31, 2023 compared to the same period in the prior year, primarily due to higher stock-based compensation expense of $1.9 million.</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Interest Income</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Interest income consists primarily of interest income on short term investments.</w:t>
      </w:r>
    </w:p>
    <w:p>
      <w:pPr>
        <w:pStyle w:val="TextBody"/>
        <w:spacing w:before="360" w:after="0"/>
        <w:jc w:val="left"/>
        <w:rPr/>
      </w:pPr>
      <w:r>
        <w:rPr/>
        <w:t> </w:t>
      </w:r>
    </w:p>
    <w:tbl>
      <w:tblPr>
        <w:tblW w:w="5413" w:type="dxa"/>
        <w:jc w:val="left"/>
        <w:tblInd w:w="0" w:type="dxa"/>
        <w:tblCellMar>
          <w:top w:w="28" w:type="dxa"/>
          <w:left w:w="28" w:type="dxa"/>
          <w:bottom w:w="28" w:type="dxa"/>
          <w:right w:w="28" w:type="dxa"/>
        </w:tblCellMar>
      </w:tblPr>
      <w:tblGrid>
        <w:gridCol w:w="1216"/>
        <w:gridCol w:w="146"/>
        <w:gridCol w:w="305"/>
        <w:gridCol w:w="796"/>
        <w:gridCol w:w="227"/>
        <w:gridCol w:w="227"/>
        <w:gridCol w:w="305"/>
        <w:gridCol w:w="539"/>
        <w:gridCol w:w="146"/>
        <w:gridCol w:w="146"/>
        <w:gridCol w:w="196"/>
        <w:gridCol w:w="511"/>
        <w:gridCol w:w="146"/>
        <w:gridCol w:w="146"/>
        <w:gridCol w:w="361"/>
      </w:tblGrid>
      <w:tr>
        <w:trPr/>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1"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r>
      <w:tr>
        <w:trPr/>
        <w:tc>
          <w:tcPr>
            <w:tcW w:w="12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5,629</w:t>
            </w:r>
          </w:p>
        </w:tc>
        <w:tc>
          <w:tcPr>
            <w:tcW w:w="227"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w:t>
            </w:r>
          </w:p>
        </w:tc>
      </w:tr>
    </w:tbl>
    <w:p>
      <w:pPr>
        <w:pStyle w:val="TextBody"/>
        <w:spacing w:before="360" w:after="0"/>
        <w:jc w:val="left"/>
        <w:rPr>
          <w:rFonts w:ascii="Times New Roman;serif" w:hAnsi="Times New Roman;serif"/>
          <w:b w:val="false"/>
          <w:sz w:val="20"/>
        </w:rPr>
      </w:pPr>
      <w:r>
        <w:rPr>
          <w:rFonts w:ascii="Times New Roman;serif" w:hAnsi="Times New Roman;serif"/>
          <w:b w:val="false"/>
          <w:sz w:val="20"/>
        </w:rPr>
        <w:t>Interest income increased by $5.6 million for the three months ended March 31, 2023, compared to the same period in the prior year as the Company started investing its cash in treasury bills since the second quarter of fiscal year 2022 and received interest payments from the treasury bills during the three months ended March 31, 2023.</w:t>
      </w:r>
    </w:p>
    <w:p>
      <w:pPr>
        <w:pStyle w:val="TextBody"/>
        <w:spacing w:before="360" w:after="0"/>
        <w:jc w:val="left"/>
        <w:rPr>
          <w:rFonts w:ascii="Times New Roman;serif" w:hAnsi="Times New Roman;serif"/>
          <w:b/>
          <w:sz w:val="20"/>
        </w:rPr>
      </w:pPr>
      <w:r>
        <w:rPr>
          <w:rFonts w:ascii="Times New Roman;serif" w:hAnsi="Times New Roman;serif"/>
          <w:b/>
          <w:sz w:val="20"/>
        </w:rPr>
        <w:t>Other Income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(expense), net consists primarily of interest income on our cash balances and foreign exchange gains and losses.</w:t>
      </w:r>
    </w:p>
    <w:p>
      <w:pPr>
        <w:pStyle w:val="TextBody"/>
        <w:spacing w:before="0" w:after="0"/>
        <w:jc w:val="left"/>
        <w:rPr/>
      </w:pPr>
      <w:r>
        <w:rPr/>
        <w:t> </w:t>
      </w:r>
    </w:p>
    <w:tbl>
      <w:tblPr>
        <w:tblW w:w="5672" w:type="dxa"/>
        <w:jc w:val="left"/>
        <w:tblInd w:w="0" w:type="dxa"/>
        <w:tblCellMar>
          <w:top w:w="28" w:type="dxa"/>
          <w:left w:w="28" w:type="dxa"/>
          <w:bottom w:w="28" w:type="dxa"/>
          <w:right w:w="28" w:type="dxa"/>
        </w:tblCellMar>
      </w:tblPr>
      <w:tblGrid>
        <w:gridCol w:w="1381"/>
        <w:gridCol w:w="146"/>
        <w:gridCol w:w="327"/>
        <w:gridCol w:w="628"/>
        <w:gridCol w:w="244"/>
        <w:gridCol w:w="244"/>
        <w:gridCol w:w="327"/>
        <w:gridCol w:w="628"/>
        <w:gridCol w:w="146"/>
        <w:gridCol w:w="146"/>
        <w:gridCol w:w="196"/>
        <w:gridCol w:w="346"/>
        <w:gridCol w:w="166"/>
        <w:gridCol w:w="146"/>
        <w:gridCol w:w="601"/>
      </w:tblGrid>
      <w:tr>
        <w:trPr/>
        <w:tc>
          <w:tcPr>
            <w:tcW w:w="1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13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13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13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5"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r>
      <w:tr>
        <w:trPr/>
        <w:tc>
          <w:tcPr>
            <w:tcW w:w="13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244"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(32%)</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Other income, was essentially flat for the three months ended March 31, 2023, compared to the same period in the prior year and primarily related to net unrealized gain on foreign exchange rates due to increased activities in our foreign subsidiaries and favorable exchange rate fluctuations.</w:t>
      </w:r>
    </w:p>
    <w:p>
      <w:pPr>
        <w:pStyle w:val="TextBody"/>
        <w:spacing w:before="360" w:after="0"/>
        <w:jc w:val="left"/>
        <w:rPr>
          <w:rFonts w:ascii="Times New Roman;serif" w:hAnsi="Times New Roman;serif"/>
          <w:b/>
          <w:sz w:val="20"/>
        </w:rPr>
      </w:pPr>
      <w:r>
        <w:rPr>
          <w:rFonts w:ascii="Times New Roman;serif" w:hAnsi="Times New Roman;serif"/>
          <w:b/>
          <w:sz w:val="20"/>
        </w:rPr>
        <w:t>Income Tax Expense</w:t>
      </w:r>
    </w:p>
    <w:p>
      <w:pPr>
        <w:pStyle w:val="TextBody"/>
        <w:spacing w:before="120" w:after="0"/>
        <w:jc w:val="left"/>
        <w:rPr>
          <w:rFonts w:ascii="Times New Roman" w:hAnsi="Times New Roman"/>
          <w:sz w:val="20"/>
        </w:rPr>
      </w:pPr>
      <w:r>
        <w:rPr>
          <w:rFonts w:ascii="Times New Roman;serif" w:hAnsi="Times New Roman;serif"/>
          <w:b w:val="false"/>
          <w:sz w:val="20"/>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r>
        <w:rPr>
          <w:rFonts w:ascii="Times New Roman" w:hAnsi="Times New Roman"/>
          <w:sz w:val="20"/>
        </w:rPr>
        <w:t xml:space="preserve"> </w:t>
      </w:r>
    </w:p>
    <w:p>
      <w:pPr>
        <w:pStyle w:val="TextBody"/>
        <w:spacing w:before="0" w:after="0"/>
        <w:jc w:val="left"/>
        <w:rPr/>
      </w:pPr>
      <w:r>
        <w:rPr/>
        <w:t> </w:t>
      </w:r>
    </w:p>
    <w:tbl>
      <w:tblPr>
        <w:tblW w:w="5529" w:type="dxa"/>
        <w:jc w:val="left"/>
        <w:tblInd w:w="0" w:type="dxa"/>
        <w:tblCellMar>
          <w:top w:w="28" w:type="dxa"/>
          <w:left w:w="28" w:type="dxa"/>
          <w:bottom w:w="28" w:type="dxa"/>
          <w:right w:w="28" w:type="dxa"/>
        </w:tblCellMar>
      </w:tblPr>
      <w:tblGrid>
        <w:gridCol w:w="1516"/>
        <w:gridCol w:w="146"/>
        <w:gridCol w:w="337"/>
        <w:gridCol w:w="595"/>
        <w:gridCol w:w="285"/>
        <w:gridCol w:w="251"/>
        <w:gridCol w:w="337"/>
        <w:gridCol w:w="595"/>
        <w:gridCol w:w="166"/>
        <w:gridCol w:w="146"/>
        <w:gridCol w:w="196"/>
        <w:gridCol w:w="256"/>
        <w:gridCol w:w="166"/>
        <w:gridCol w:w="146"/>
        <w:gridCol w:w="3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7" w:type="dxa"/>
            <w:gridSpan w:val="1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percentage)</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1"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120"/>
        <w:jc w:val="left"/>
        <w:rPr>
          <w:rFonts w:ascii="Times New Roman" w:hAnsi="Times New Roman"/>
          <w:sz w:val="20"/>
        </w:rPr>
      </w:pPr>
      <w:r>
        <w:rPr>
          <w:rFonts w:ascii="Times New Roman;serif" w:hAnsi="Times New Roman;serif"/>
          <w:b w:val="false"/>
          <w:sz w:val="20"/>
        </w:rPr>
        <w:t>As of March 31, 2023 and December 31, 2022, we had cash and cash equivalents of $38.3 million and $34.6 million, respectively. As of March 31, 2023 we also held $537.8 million</w:t>
      </w:r>
      <w:r>
        <w:rPr>
          <w:rFonts w:ascii="Times New Roman" w:hAnsi="Times New Roman"/>
          <w:sz w:val="20"/>
        </w:rPr>
        <w:t xml:space="preserve"> </w:t>
      </w:r>
      <w:r>
        <w:rPr>
          <w:rFonts w:ascii="Times New Roman;serif" w:hAnsi="Times New Roman;serif"/>
          <w:b w:val="false"/>
          <w:sz w:val="20"/>
        </w:rPr>
        <w:t>of short-term investments in held-to-maturity securities which consisted of treasury bills. Our principal use of cash is to fund our operations to support growth.</w:t>
      </w:r>
      <w:r>
        <w:rPr>
          <w:rFonts w:ascii="Times New Roman" w:hAnsi="Times New Roman"/>
          <w:sz w:val="20"/>
        </w:rPr>
        <w:t xml:space="preserve">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three months ended March 31, 2023, we sold 100,000 shares of our common stock under the Sales Agreement at a weighted average price of $131.19 per share resulting in net proceeds to us of $12.7 million, after deducting underwriting discounts and commissions and deferred offering costs.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Our purchase obligations primarily include design and simulation licenses and non-cancelable purchase commitments from agreements with our contract manufacturers as well as a multi-year purchase agreement with commitment to purchase minimum quantities of MEMS wafers and research and development, tooling and sample cost under the agreement. For information about our contractual obligations refer to "Note 5 - Lease" and “Note 9 – Commitments and Contingencies” of the Notes to Condensed Consolidated Financial Statements.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We expect to continue our investing activities, primarily in the purchase of property and equipment and capitalized software, to support research and development, sales and marketing, product support, and administrative staff.</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table below summarizes our cash flows for the periods indicated:</w:t>
      </w:r>
    </w:p>
    <w:p>
      <w:pPr>
        <w:pStyle w:val="TextBody"/>
        <w:spacing w:before="0" w:after="0"/>
        <w:jc w:val="left"/>
        <w:rPr/>
      </w:pPr>
      <w:r>
        <w:rPr/>
        <w:t> </w:t>
      </w:r>
    </w:p>
    <w:tbl>
      <w:tblPr>
        <w:tblW w:w="6222" w:type="dxa"/>
        <w:jc w:val="left"/>
        <w:tblInd w:w="0" w:type="dxa"/>
        <w:tblCellMar>
          <w:top w:w="28" w:type="dxa"/>
          <w:left w:w="28" w:type="dxa"/>
          <w:bottom w:w="28" w:type="dxa"/>
          <w:right w:w="28" w:type="dxa"/>
        </w:tblCellMar>
      </w:tblPr>
      <w:tblGrid>
        <w:gridCol w:w="3466"/>
        <w:gridCol w:w="146"/>
        <w:gridCol w:w="248"/>
        <w:gridCol w:w="742"/>
        <w:gridCol w:w="195"/>
        <w:gridCol w:w="171"/>
        <w:gridCol w:w="248"/>
        <w:gridCol w:w="795"/>
        <w:gridCol w:w="2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7,502</w:t>
            </w:r>
          </w:p>
        </w:tc>
        <w:tc>
          <w:tcPr>
            <w:tcW w:w="195"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20,028</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(6,374</w:t>
            </w:r>
          </w:p>
        </w:tc>
        <w:tc>
          <w:tcPr>
            <w:tcW w:w="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2,534</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3,662</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three months ended March 31, 2023, net cash provided by operating activities of $7.5 million was primarily due to a net loss of $16.5 million offset by non-cash expenses of $18.1 million and a change in operating assets and liabilities of $5.9 million. Non-cash expenses were mainly related to depreciation and amortization, stock-based compensation expense and unrealized interest on held to maturity investments. The changes in operating assets and liabilities resulted in cash provided primarily due to lower accounts receivable due to timing of payments and lower revenue partially offset by an increase in inventories as we built our wafer inventory levels, an increase in prepaid expenses and other assets due to timing of payments, and lower accounts payable and accrued expenses primarily due to timing of accrued payroll and related benefit payments.</w:t>
      </w:r>
    </w:p>
    <w:p>
      <w:pPr>
        <w:pStyle w:val="TextBody"/>
        <w:spacing w:before="24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investing activities consist primarily of purchase and maturities of short-term investments and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spacing w:before="240" w:after="0"/>
        <w:jc w:val="left"/>
        <w:rPr>
          <w:rFonts w:ascii="Times New Roman" w:hAnsi="Times New Roman"/>
          <w:sz w:val="20"/>
        </w:rPr>
      </w:pPr>
      <w:r>
        <w:rPr>
          <w:rFonts w:ascii="Times New Roman;serif" w:hAnsi="Times New Roman;serif"/>
          <w:b w:val="false"/>
          <w:sz w:val="20"/>
        </w:rPr>
        <w:t>In the three months ended March 31, 2023, net cash used in investing activities was $6.4 million. We paid $379.5 million to purchase short-term investments in held-to-maturity securities. We paid $2.3 million largely to purchase test and other manufacturing</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equipment and intangibles to support the general business operations. All such payments were offset by $375.5 million proceeds from the maturity of held to maturity investments.</w:t>
      </w:r>
    </w:p>
    <w:p>
      <w:pPr>
        <w:pStyle w:val="TextBody"/>
        <w:spacing w:before="360" w:after="0"/>
        <w:jc w:val="left"/>
        <w:rPr>
          <w:rFonts w:ascii="Times New Roman;serif" w:hAnsi="Times New Roman;serif"/>
          <w:b/>
          <w:i/>
          <w:sz w:val="20"/>
        </w:rPr>
      </w:pPr>
      <w:r>
        <w:rPr>
          <w:rFonts w:ascii="Times New Roman;serif" w:hAnsi="Times New Roman;serif"/>
          <w:b/>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financing activities have primarily consisted of proceeds from issuance of shares and withholding of taxes on restricted stock units. During the three months ended March 31, 2023, we sold 100,000 shares of our common stock under the Sales Agreement resulting in net proceeds to us of $12.7 million, after deducting underwriting discounts and commissions of $0.3 million and deferred offering costs of $0.1 million. The net proceeds from the Sales Agreement were offset by tax withholdings paid on behalf of employees for net share settlement of $10.2 million.</w:t>
      </w:r>
    </w:p>
    <w:p>
      <w:pPr>
        <w:pStyle w:val="TextBody"/>
        <w:spacing w:before="36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2022 filed with the SEC on February 27, 2023.</w:t>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i/>
          <w:sz w:val="20"/>
        </w:rPr>
      </w:pPr>
      <w:r>
        <w:rPr>
          <w:rFonts w:ascii="Times New Roman;serif" w:hAnsi="Times New Roman;serif"/>
          <w:b/>
          <w:i/>
          <w:sz w:val="20"/>
        </w:rPr>
        <w:t>Foreign Currency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Substantially all of our revenue is denominated in U.S. dollars. Our expenses are generally denominated in the currencies in which our operations are located, which is primarily in the United States and, to a lesser extent, in Finland, France, Japan, Malaysia, the Netherlands, Taiwan, Korea, Germany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pStyle w:val="TextBody"/>
        <w:spacing w:before="240" w:after="0"/>
        <w:jc w:val="left"/>
        <w:rPr>
          <w:rFonts w:ascii="Times New Roman;serif" w:hAnsi="Times New Roman;serif"/>
          <w:b/>
          <w:i/>
          <w:sz w:val="20"/>
        </w:rPr>
      </w:pPr>
      <w:r>
        <w:rPr>
          <w:rFonts w:ascii="Times New Roman;serif" w:hAnsi="Times New Roman;serif"/>
          <w:b/>
          <w:i/>
          <w:sz w:val="20"/>
        </w:rPr>
        <w:t>Interest Rate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had cash and cash equivalents of $38.3 million and $34.6 million as of March 31, 2023 and December 31, 2022, respectively, consisting of bank deposits, money market funds and treasury bills. We also had short-term investments in held-to-maturity securities of $537.8 million consisting of treasury bills as of March 31, 2023. Such interest-earning instruments carry a degree of interest rate risk. During the three months ended March 31, 2023 we have generated $5.6 million in interest income due to higher cash balance and rising interest rates.</w:t>
      </w:r>
    </w:p>
    <w:p>
      <w:pPr>
        <w:pStyle w:val="TextBody"/>
        <w:spacing w:before="120" w:after="0"/>
        <w:jc w:val="left"/>
        <w:rPr>
          <w:rFonts w:ascii="Times New Roman" w:hAnsi="Times New Roman"/>
          <w:sz w:val="20"/>
        </w:rPr>
      </w:pPr>
      <w:r>
        <w:rPr>
          <w:rFonts w:ascii="Times New Roman;serif" w:hAnsi="Times New Roman;serif"/>
          <w:b w:val="false"/>
          <w:sz w:val="20"/>
        </w:rPr>
        <w:t>We do not enter into investments for trading or speculative purposes and have not used any derivative financial instruments to manage our interest rate risk exposure. As of March 31, 2023, a hypothetical 10% increase or decrease in market interest rates would change the fair value and related interest income on our interest-earning instruments of $537.8 million, by an increase or decrease of approximately $0.6 million for the three months ended March 31, 2023.</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3" w:name="item_4_controls_procedures"/>
      <w:bookmarkEnd w:id="13"/>
      <w:r>
        <w:rPr>
          <w:rFonts w:ascii="Times New Roman;serif" w:hAnsi="Times New Roman;serif"/>
          <w:b/>
          <w:sz w:val="20"/>
        </w:rPr>
        <w:t>Item 4. Controls and Procedures.</w:t>
      </w:r>
    </w:p>
    <w:p>
      <w:pPr>
        <w:pStyle w:val="TextBody"/>
        <w:spacing w:before="120" w:after="0"/>
        <w:jc w:val="left"/>
        <w:rPr>
          <w:rFonts w:ascii="Times New Roman" w:hAnsi="Times New Roman"/>
          <w:sz w:val="20"/>
        </w:rPr>
      </w:pPr>
      <w:r>
        <w:rPr>
          <w:rFonts w:ascii="Times New Roman;serif" w:hAnsi="Times New Roman;serif"/>
          <w:b w:val="false"/>
          <w:i/>
          <w:sz w:val="20"/>
        </w:rPr>
        <w:t>Evaluation of Disclosure Controls and Procedures</w:t>
      </w:r>
      <w:r>
        <w:rPr>
          <w:rFonts w:ascii="Times New Roman;serif" w:hAnsi="Times New Roman;serif"/>
          <w:b w:val="false"/>
          <w:sz w:val="20"/>
        </w:rPr>
        <w:t>.</w:t>
      </w:r>
    </w:p>
    <w:p>
      <w:pPr>
        <w:pStyle w:val="TextBody"/>
        <w:spacing w:before="120" w:after="0"/>
        <w:jc w:val="left"/>
        <w:rPr>
          <w:rFonts w:ascii="Times New Roman" w:hAnsi="Times New Roman"/>
          <w:sz w:val="20"/>
        </w:rPr>
      </w:pPr>
      <w:r>
        <w:rPr>
          <w:rFonts w:ascii="Times New Roman;serif" w:hAnsi="Times New Roman;serif"/>
          <w:b w:val="false"/>
          <w:sz w:val="20"/>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their evaluation as of the end of the period covered by this Quarterly Report on Form 10-Q, our Chief Executive Officer and Chief Financial Officer have concluded that, as of such date, our disclosure controls and procedures were effective.</w:t>
      </w:r>
    </w:p>
    <w:p>
      <w:pPr>
        <w:pStyle w:val="TextBody"/>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during the three months ended March 31, 2023 that have materially affected, or are reasonably likely to materially affect, our internal control over financial reporting.</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4" w:name="part_ii"/>
      <w:bookmarkEnd w:id="14"/>
      <w:r>
        <w:rPr>
          <w:rFonts w:ascii="Times New Roman;serif" w:hAnsi="Times New Roman;serif"/>
          <w:b/>
          <w:sz w:val="20"/>
        </w:rPr>
        <w:t>PART II—OTHER INFORMATION</w:t>
      </w:r>
    </w:p>
    <w:p>
      <w:pPr>
        <w:pStyle w:val="TextBody"/>
        <w:spacing w:before="240" w:after="0"/>
        <w:jc w:val="left"/>
        <w:rPr>
          <w:rFonts w:ascii="Times New Roman;serif" w:hAnsi="Times New Roman;serif"/>
          <w:b/>
          <w:sz w:val="20"/>
        </w:rPr>
      </w:pPr>
      <w:bookmarkStart w:id="15" w:name="ii_item1"/>
      <w:bookmarkEnd w:id="15"/>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is included in Note 9 of the Notes to Condensed Consolidated Financial Statements in Part I Item 1 of this Quarterly Report on Form 10-Q and is incorporated herein by reference.</w:t>
      </w:r>
    </w:p>
    <w:p>
      <w:pPr>
        <w:pStyle w:val="TextBody"/>
        <w:spacing w:before="120" w:after="0"/>
        <w:jc w:val="left"/>
        <w:rPr/>
      </w:pPr>
      <w:r>
        <w:rPr/>
        <w:t> </w:t>
      </w:r>
    </w:p>
    <w:p>
      <w:pPr>
        <w:pStyle w:val="TextBody"/>
        <w:spacing w:before="120" w:after="0"/>
        <w:jc w:val="left"/>
        <w:rPr>
          <w:rFonts w:ascii="Times New Roman;serif" w:hAnsi="Times New Roman;serif"/>
          <w:b/>
          <w:sz w:val="20"/>
        </w:rPr>
      </w:pPr>
      <w:bookmarkStart w:id="16" w:name="ii_item1a"/>
      <w:bookmarkEnd w:id="16"/>
      <w:r>
        <w:rPr>
          <w:rFonts w:ascii="Times New Roman;serif" w:hAnsi="Times New Roman;serif"/>
          <w:b/>
          <w:sz w:val="20"/>
        </w:rPr>
        <w:t>Item 1A. Risk Factors.</w:t>
      </w:r>
    </w:p>
    <w:p>
      <w:pPr>
        <w:pStyle w:val="TextBody"/>
        <w:spacing w:before="120" w:after="0"/>
        <w:jc w:val="left"/>
        <w:rPr>
          <w:rFonts w:ascii="Times New Roman;serif" w:hAnsi="Times New Roman;serif"/>
          <w:b/>
          <w:sz w:val="20"/>
        </w:rPr>
      </w:pPr>
      <w:r>
        <w:rPr>
          <w:rFonts w:ascii="Times New Roman;serif" w:hAnsi="Times New Roman;serif"/>
          <w:b/>
          <w:sz w:val="20"/>
        </w:rPr>
        <w:t>Risks Related to Our Business and Our Industry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Global macroeconomic conditions have harmed and may continue to harm our business.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are a global company and therefore our business, results of operations, and financial condition are impacted by global macroeconomic conditions. Macroeconomic events such as rising inflation, recession, equity market volatility, global banking concerns, geopolitical tensions, war, declines in income or asset values, decreased spending, changes to fuel and other energy costs, public health crises, supply chain disruptions, trade restrictions and sanctions, and the COVID-19 pandemic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 demand for our customers’ products has led to a buildup of inventory at many of our customers, including distributors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the cyclical nature of the semiconductor industry.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These downturns have been characterized by diminished product demand, production overcapacity, high inventory levels for us and our customers, and erosion of average selling prices. Any downturns in the semiconductor industry could harm our business, financial condition, and results of operations. In the last few years, the semiconductor industry experienced an upturn.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45% and 42% of our revenue for the three months ended March 31, 2023 and 2022, respectively. Based on our shipment information, we believe that revenue attributable to our ten largest end customers accounted for 43% and 40% of our revenue for the three months ended March 31, 2023 and 2022, respectively. Sales attributable to Apple Inc., our historically largest end customer accounted for approximately 3% and 18% of our revenue for the three months ended March 31, 2023 and 2022 respectively. We anticipate revenue attributable to this customer will fluctuate from period to period. Although we sell our products to this customer through distributors on a purchase order basis, including Pernas Electronics Co., Ltd. (“Pernas”), Arrow</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historically largest end customer, would have a significant and disproportionate impact on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customer or end customer forecasts or the timing of orders from our customers could make demand for our products difficult for us to predict and could expose us to the risks of inventory shortages or excess inventory. This in turn could cause our operating results to fluctuate and could materially harm our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revenue and operating results may fluctuate from period to period, which could cause our stock price to fluctuate.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2023 compared to 2022, we may not be able to sustain ASP increases in the future. Factors relating to our business that may contribute to fluctuations in our operating results include the following factors, as well as other factors described elsewhere in this report:</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macroeconomic conditions;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cyclical fluctuations in the semiconductor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customer demand and product life cycles;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receipt, reduction, or cancellation of, or changes in the forecasts or timing of, orders by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levels of inventories held by our distributors or end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gain or loss of significant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supply chain disruptions, delays, shortages, and capacity limitations;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acceptance of our products and our customers’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develop, introduce, and market new products and technologies on a timely basis;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extent of product development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new product announcements and introductions by us or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and development costs and related new product expenditures and our ability to achieve cost reductions in a timely or predictable manner;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seasonality and fluctuations in sales by product manufacturers that incorporate our precision timing solutions into their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end-market demand into which we have limited insight, including cyclicality, seasonality, and the competitive landscape;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impact of the COVID-19 pandemic on our business, suppliers, and customers;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our manufacturing yields;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warranty claims, including those not covered by our suppliers;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new accounting pronouncements or changes in existing accounting standards;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of one or more of our executive officers or other key employees;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our pricing, product cost, and product mix.</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depend on third parties for our wafer fabrication, assembly, packaging, and testing operations, which exposes us to certain risks that may harm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In 2021 and the first half of 2022 there were a number of industry-wide supply</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constraints affecting the supply of analog circuits manufactured by certain foundries, including TSMC, and affecting outsourced semiconductor assembly and test providers (“OSATs”), which in the past has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outsource the fabrication and assembly of all of our products to third parties that are primarily located in Germany and Asia. In addition, we conduct research and development activities in the United States, Japan, the Netherlands, Taiwan, Ukraine and Finland. We also conduct marketing and administrative functions in the United States, Japan, the Netherlands, China, Taiwan, Malaysia, and Ukraine. Certain of the critical functions for our business are performed in locations outside of the United States. Members of our sales force are located in various locations outside of the United States. In addition, approximately 80% and 90% of our revenue for the three months ended March 31, 2023 and 2022,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complexity and costs of managing international operations, including manufacturing, assembly, and testing of our products and associated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geopolitical and military conflicts, including the effects of Russia’s invasion of Ukraine;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economic instability, including the effects of rising inflation and increased interest rates;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limited protection for, and vulnerability to theft of, our intellectual property rights, including our trade secrets;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local laws and regulations and unanticipated changes in local laws and regulations, including tax laws and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trade and foreign exchange restrictions and higher tariffs, including the ongoing trade tensions between the U.S. and China that has resulted in higher tariffs on certain semiconductor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timing and availability of import and export licenses and other governmental approvals, permits, and licenses, including export classification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fluctuations and exchange losses relating to our international operating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transportation delays and other consequences of limited local infrastructure, and disruptions, such as large scale outages or interruptions of service from utilities or telecommunications providers;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in staffing international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immigration policies which may impact our ability to hire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local business and cultural factors that differ from our normal standards and practices;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differing employment practices and labor relations;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requirements in foreign countries which may impact availability of personnel, such as mandatory military service in countries such as Ukraine;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heightened risk of terrorist acts;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regional health issues and the impact of public health epidemics on employees and the global economy, such as the worldwide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power outages and natural disasters;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travel, work-from-home or other restrictions or stoppages, like those imposed by governments around the world as a result of the COVID-19 pandemic.</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 At this point, the extent to which the COVID-19 pandemic may further impact our business remains uncertain but it may materially adversely affect our business, financial condition, or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sell our precision timing solutions to customers who select our solutions for inclusion in their product offerings. This selection process is typically lengthy and may require us to incur significant design and development expenditures and dedicate scarce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erif" w:hAnsi="Times New Roman;serif"/>
          <w:b/>
          <w:i/>
          <w:sz w:val="20"/>
        </w:rPr>
        <w: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success of our products is dependent on our customers’ ability to develop products that achieve market acceptance, and our customers’ failure to do so could negatively affect our business.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target markets include the communications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Fluctuations in exchange rates between and among the currencies of the countries in which we do business could adversely affect our results of operations.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average selling prices of our individual products have fluctuated historically over time and may do so in the future, which could harm our revenue and gross margins.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seek to offset the anticipated reductions in our average selling prices of individual products by reducing the cost of our products through improvements in manufacturing yields and lower wafer, assembly, and testing costs, developing new products, enhancing</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not able to successfully introduce and ship in volume new products in a timely manner, our business and revenue will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COVID-19 pandemic could adversely affect our business, results of operations, and financial condition.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COVID-19 pandemic has impacted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global economic recession or depression that could significantly reduce demand and/or prices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reduced productivity in our product development, operations, marketing, sales, and other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disruptions to our supply chain;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higher rate of losses on our accounts receivable due to credit defaults.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COVID-19 pandemic has also caused significant uncertainty and volatility in global financial markets and the trading prices for the common stock of technology companies, including us. Further adverse economic events resulting from the COVID-19 pandemic, including a recession, depression, or other sustained economic downturn, could materially and adversely affect our business, access to capital markets, and the value of our common stock.</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Though we believe the production capabilities of our suppliers have been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Given the changing nature and continuing uncertainty surrounding COVID-19 due to public health challenges,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gross margins may fluctuate due to a variety of factors, which could negatively impact our results of operations and our financial condition.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revenue in recent periods may not be indicative of future performance and our revenue may fluctuate over time.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recent revenue should not be considered indicative of our future performance. Our revenue was $38.3 million and $70.3 million for the three months ended March 31, 2023 and 2022,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the impact of the COVID-19 pandemic, a decrease in the growth of our overall market or market saturation, or our failure to capitalize on growth opportunities.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manage our growth effectively, we may not be able to execute our business plan and our operating results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provide a lifetime warranty on our products and may be subject to warranty or product liability claims, which could result in unexpected expenses and loss of market share.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provide a lifetime warranty on our products and generally agree to indemnify our customers for defects in our products or failure of our products to meet our product specifications. Defects in our products could make our products unsafe and create a risk of</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Defects in our products or failures to meet product specifications could harm our relationships with our customers and damage our reputation.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products do not conform to, or are not compatible with, existing or emerging industry standards, demand for our existing solutions may decrease, which in turn would harm our business and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be unable to make the substantial investments that are required to remain competitive in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compete effectively, we may lose or fail to gain market share, which could negatively impact our operating results and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Corporation,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define, design, and regularly introduce new products that anticipate the functionality and integration needs of our customers’ next-generation products and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build strong and long-lasting relationships with our customers and other industry participants;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capitalize on, and prevent losses due to, vertical integration by significant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solutions’ performance and cost-effectiveness relative to those of competing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achieve design wins;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effectiveness and success of our customers’ products utilizing our solutions within their competitive end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and development capabilities to provide innovative solutions and maintain our product roadmap;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strength of our sales and marketing efforts, including those of our distributors, and our brand awareness and reputation;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secure capacity with our foundry and assembly partners to manufacture and assemble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deliver products in volume on a timely basis at competitive prices;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withstand or respond to significant price competition;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build and expand international operations in a cost-effective manner;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maintain, protect, and enforce our intellectual property rights, including obtaining intellectual property rights from third-parties that may be necessary to meet the evolving demands of the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defend potential patent infringement claims arising from third-parties;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promote and support our customers’ incorporation of our solutions into their products; and</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retain high-level talent, including our management team and engineers.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depend on our executive officers and other key employees, and the loss of one or more of these employees or an inability to attract or retain highly skilled employees could adversely affect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company culture has contributed to our success and if we cannot maintain this culture, our business could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failure to identify, attract, reward, and retain people in leadership positions in our organization who share and further our culture, values, and mission;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increasing size and geographic diversity of our workforce;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competitive pressures to move in directions that may divert us from our mission, vision, and values;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continued challenges of a rapidly-evolving industry;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increasing need to develop expertise in new areas of business that affect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are not able to maintain our culture, our business, financial condition, and results of operations could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make acquisitions in the future that could disrupt our business, cause dilution to our stockholders, reduce our financial resources, and harm our business.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dilutive issuances of equity securities, or the incurrence of debt, any of which could harm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the foundries with which we contract do not achieve satisfactory yields or quality, our reputation and customer relationships could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ability to receive timely payments from, or the deterioration of the financial conditions of, our distributors or our end customers could adversely affect our operating results.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annually and as of March 31, 2023,</w:t>
      </w:r>
      <w:r>
        <w:rPr>
          <w:rFonts w:ascii="Times New Roman" w:hAnsi="Times New Roman"/>
          <w:sz w:val="20"/>
        </w:rPr>
        <w:t xml:space="preserve"> </w:t>
      </w:r>
      <w:r>
        <w:rPr>
          <w:rFonts w:ascii="Times New Roman;serif" w:hAnsi="Times New Roman;serif"/>
          <w:b w:val="false"/>
          <w:sz w:val="20"/>
        </w:rPr>
        <w:t>substantially all of which are large distributors, OEMs, and system manufacturers, we had $0.1 million and $0.1 million in allowance for credit losses as of March 31, 2023 and December 31, 2022, respectively. If our credit losses, however, were to exceed our current or future allowance for credit losses, our business, financial condition, and results of operations would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not be able to accurately predict our future capital needs, and we may not be able to obtain additional financing to fund our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cash and cash equivalents could be adversely affected if the financial institutions in which we hold our cash and cash equivalents fail.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March 31, 2023, a majority of our cash and short-term investment balances were maintained with Wells Fargo &amp; Co., Morgan Stanley and U.S. Bancorp.</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seek, or be required to seek, debt financing.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significant tariffs or other trade restrictions are placed on our products or third-party suppliers, our revenue and results of operations may be materially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Failure to comply with the laws associated with our activities outside of the United States could subject us to penalties and other adverse consequences.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U.S. government contracting, which could have an adverse effect on our reputation,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government regulation, including import, export and economic sanctions laws and regulations that may expose us to liability and increase our costs.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in environmental laws or regulations, including conflict minerals rules, could impair our ability to compete in international markets.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New or future changes to U.S. and non-U.S. tax laws could materially adversely affect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comply with government contracting regulations, we could suffer a loss of revenue or other penalties.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Tax regulatory authorities may disagree with our positions and conclusions regarding certain tax positions resulting in unanticipated costs or non-realization of expected benefits.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Catastrophic events may disrupt our business.</w:t>
      </w:r>
    </w:p>
    <w:p>
      <w:pPr>
        <w:pStyle w:val="TextBody"/>
        <w:spacing w:before="0" w:after="0"/>
        <w:jc w:val="left"/>
        <w:rPr>
          <w:rFonts w:ascii="Times New Roman" w:hAnsi="Times New Roman"/>
          <w:sz w:val="20"/>
        </w:rPr>
      </w:pPr>
      <w:r>
        <w:rPr>
          <w:rFonts w:ascii="Times New Roman;serif" w:hAnsi="Times New Roman;serif"/>
          <w:b w:val="false"/>
          <w:sz w:val="20"/>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State, federal, and foreign laws and regulations related to privacy, data use, and security could adversely affect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which went into effect in January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Foreign governments are raising similar privacy and data security concerns. In particular, the European Union has enacted a General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Data Protection Regulation (“GDPR”), which became effective in May 2018. China,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Breaches or other disruptions of our security systems may damage our reputation and adversely affect our business.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also rely on third-party cloud-based service providers of corporate infrastructure services relating to, among other things, human resources, electronic communication services, and finance functions, and we are, of necessity, dependent on the security systems of</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business may be impacted by information technology system failures or network disruptions, and lack of redundancy.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might not be able to utilize a significant portion of our net operating loss carryforwards and research and development tax credit carryforwards.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December 31, 2022, we had U.S. federal, state and foreign net operating loss (“NOL”), carryforwards of approximately $213.3 million, $65.3 million and $1.7 million, respectively, and U.S. federal and state research and development tax credit carryforwards of approximately $3.9 million and $3.6 million, respectively. The U.S. federal NOL carryforwards begin to expire in 2025, the state NOL carryforwards begin to expire in 2028,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2022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2023, we had 103 issued U.S. patents, expiring generally between 2026 and 2040 and 39 pending U.S. patent applications (including 11 provisional applications). We also had four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cease the manufacture, use or sale of the applicable products, processes, or technology;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 substantial damages for infringement by us or our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expend significant resources to develop non-infringing products, processes, or technology, which may not be successful;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license technology from the third-party claiming infringement, which license may not be available on commercially reasonable terms,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cross-license our technology to a competitor to resolve an infringement claim, which could weaken our ability to compete with that competitor;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lose the opportunity to license our technology to others or to collect royalty payments based upon successful protection and assertion of our intellectual property rights against others;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pay substantial damages to our customers or end users to discontinue their use of or to replace infringing technology sold to them with non-infringing technology, if available.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of the foregoing results could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Any potential dispute involving patents or other intellectual property could affect our customers, which could trigger our indemnification obligations to them and result in substantial expense to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MegaChips Corporation’s Ownership Position in Our Common Stock</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As long as MegaChips holds a significant amount of our stock, our other shareholders’ ability to influence matters requiring stockholder approval will be limited.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MegaChips owns 4,700,000 shares of our common stock, representing approximately 21.4% of our outstanding common stock as of March 31, 2023.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determinations with respect to our business plans and policies, including the appointment and removal of our officers;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determinations with respect to mergers and other business combinations;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acquisition or disposition of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financing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allocation of business opportunities that may be suitable for us and MegaChips;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payment of dividends on our common stock;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number of shares available for issuance under our stock plans.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inability to resolve any disputes that arise between us and MegaChips with respect to our past and ongoing relationships may adversely affect our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Disputes may arise between MegaChips and us in a number of areas relating to our past and ongoing relationships,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or distributions by MegaChips of all or any portion of its ownership interest in us;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business opportunities that may be attractive to both MegaChips and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not be able to resolve any potential conflicts, and even if we do, the resolution may be less favorable than if we were dealing with an unaffiliated party.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There could be potential conflicts of interest between us and affiliates of MegaChips, which could impact our business and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Common Stock</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Substantial future sales of our common stock could cause the market price of our common stock to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require that any action to be taken by our stockholders be effected at a duly called annual or special meeting and not by written consent;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specify that special meetings of our stockholders can be called only by our board of directors, the Chairman of our board of directors, or our Chief Executive Officer;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an advance notice procedure for stockholder proposals to be brought before an annual meeting, including proposed nominations of persons for election to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that our board of directors is divided into three classes, with each class serving three-year staggered terms;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 cumulative voting in the election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that our directors may be removed only for cause;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that vacancies on our board of directors may be filled by a majority of directors then in office, even if less than a quorum;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require the approval of our board of directors or the holders of at least 66 2/3% of our outstanding shares of capital stock to amend our bylaws and certain provisions of our certificate of incorporation.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spacing w:before="0" w:after="0"/>
        <w:jc w:val="left"/>
        <w:rPr>
          <w:rFonts w:ascii="Times New Roman;serif" w:hAnsi="Times New Roman;serif"/>
          <w:b/>
          <w:i/>
          <w:sz w:val="20"/>
        </w:rPr>
      </w:pPr>
      <w:r>
        <w:rPr>
          <w:rFonts w:ascii="Times New Roman;serif" w:hAnsi="Times New Roman;serif"/>
          <w:b/>
          <w:i/>
          <w:sz w:val="20"/>
        </w:rPr>
        <w:t>Our stock price may be volatile and may decline, resulting in a loss of some or all of our stockholder investment.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trading price and volume of our common stock is likely to be volatile and could fluctuate significantly in response to numerous factors, many of which are beyond our control,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macroeconomic conditions,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fluctuations in our results of operations due to, among other things, changes in customer demand, product life cycles, pricing, ordering patterns, and unforeseen operating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financial projections we may provide to the public, any changes in these projections, or our failure to meet these projections;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with respect to developments, status, and impact on us, our competition, our constituents, and our suppliers of the COVID 19 global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our significant customers of changes to their product offerings, business plans, or strategies;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technical innovations, acquisitions, strategic partnerships, joint ventures, or capital commitments;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operating performance and stock market valuations of other technology companies generally, or those in the semiconductor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timing and seasonality of the end-market demand;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cyclical fluctuations in the semiconductor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price and volume fluctuations in the overall stock market from time to time, including as a result of trends in the economy as a whole;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actual or anticipated developments in our business or our competitors’ businesses or the competitive landscape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new laws or regulations or new interpretations of existing laws or regulations applicable to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major change in our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lawsuits threatened or filed against us;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events or factors, including those resulting from war, incidents of terrorism, the COVID-19 pandemic, or responses to these events.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pStyle w:val="TextBody"/>
        <w:spacing w:before="120" w:after="0"/>
        <w:jc w:val="left"/>
        <w:rPr>
          <w:rFonts w:ascii="Times New Roman;serif" w:hAnsi="Times New Roman;serif"/>
          <w:b/>
          <w:sz w:val="20"/>
        </w:rPr>
      </w:pPr>
      <w:bookmarkStart w:id="17" w:name="item_5_or_information"/>
      <w:bookmarkEnd w:id="17"/>
      <w:r>
        <w:rPr>
          <w:rFonts w:ascii="Times New Roman;serif" w:hAnsi="Times New Roman;serif"/>
          <w:b/>
          <w:sz w:val="20"/>
        </w:rPr>
        <w:t>Item 5. Other Information.</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8" w:name="ii_item6"/>
      <w:bookmarkEnd w:id="18"/>
      <w:r>
        <w:rPr>
          <w:rFonts w:ascii="Times New Roman;serif" w:hAnsi="Times New Roman;serif"/>
          <w:b/>
          <w:sz w:val="20"/>
        </w:rPr>
        <w:t>Item 6. Exhibits.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documents listed below are filed (or furnished, as noted) as exhibits to this Quarterly Report on Form 10-Q:</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33"/>
        <w:gridCol w:w="146"/>
        <w:gridCol w:w="9226"/>
      </w:tblGrid>
      <w:tr>
        <w:trPr/>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26" w:type="dxa"/>
            <w:tcBorders/>
            <w:shd w:fill="auto" w:val="clear"/>
            <w:vAlign w:val="center"/>
          </w:tcPr>
          <w:p>
            <w:pPr>
              <w:pStyle w:val="TableContents"/>
              <w:spacing w:before="0" w:after="283"/>
              <w:rPr>
                <w:sz w:val="4"/>
                <w:szCs w:val="4"/>
              </w:rPr>
            </w:pPr>
            <w:r>
              <w:rPr>
                <w:sz w:val="4"/>
                <w:szCs w:val="4"/>
              </w:rPr>
            </w:r>
          </w:p>
        </w:tc>
      </w:tr>
      <w:tr>
        <w:trPr/>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3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283"/>
              <w:ind w:left="0" w:right="0" w:hanging="0"/>
              <w:rPr>
                <w:sz w:val="4"/>
                <w:szCs w:val="4"/>
              </w:rPr>
            </w:pPr>
            <w:r>
              <w:rPr>
                <w:sz w:val="4"/>
                <w:szCs w:val="4"/>
              </w:rPr>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SiTime Corporation (the “Company”)</w:t>
              </w:r>
            </w:hyperlink>
            <w:r>
              <w:rPr>
                <w:rFonts w:ascii="Times New Roman" w:hAnsi="Times New Roman"/>
                <w:sz w:val="20"/>
                <w:u w:val="single"/>
              </w:rPr>
              <w:t> </w:t>
            </w:r>
            <w:r>
              <w:rPr>
                <w:rFonts w:ascii="Times New Roman;serif" w:hAnsi="Times New Roman;serif"/>
                <w:b w:val="false"/>
                <w:sz w:val="20"/>
                <w:u w:val="single"/>
              </w:rPr>
              <w:t>(incorporated by reference to Exhibit 3.1 to the Company’s Current Report on Form 8-K filed November 26, 2019)</w:t>
            </w:r>
            <w:r>
              <w:rPr>
                <w:rFonts w:ascii="Times New Roman;serif" w:hAnsi="Times New Roman;serif"/>
                <w:b w:val="false"/>
                <w:sz w:val="20"/>
              </w:rPr>
              <w:t>.</w:t>
            </w:r>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of the Company (incorporated by reference to Exhibit 3.2 to the Company’s Current Report on Form 8-K filed June 29, 2021).</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Form of Common Stock Certificate of the Company ((incorporated by reference to Exhibit 4.1 to the Company’s Registration Statement on Form S-1 (File No. 333-234305) (the “S-1”)).</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Description of Securities Registered Pursuant to Section 12 of the Securities Exchange Act of 1934 (incorporated by reference to the Company’s Annual Report on Form 10-K filed February 16, 2021).</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SiTime Corporation Amended and Restated 2022 Inducement Award Plan and Form of Restricted Stock Unit Agreement (incorporated by reference to the Company’s Annual Report on Form 10-K filed February 27, 2023).</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hyperlink w:anchor="sitm-ex10_2.htm">
              <w:r>
                <w:rPr>
                  <w:rStyle w:val="InternetLink"/>
                  <w:rFonts w:ascii="Times New Roman;serif" w:hAnsi="Times New Roman;serif"/>
                  <w:b w:val="false"/>
                  <w:sz w:val="20"/>
                  <w:u w:val="single"/>
                </w:rPr>
                <w:t>SiTime Corporation Independent Director Compensation Policy</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0"/>
              <w:ind w:left="0" w:right="0" w:hanging="0"/>
              <w:jc w:val="left"/>
              <w:rPr/>
            </w:pPr>
            <w:hyperlink w:anchor="sitm-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0"/>
              <w:ind w:left="0" w:right="0" w:hanging="0"/>
              <w:jc w:val="left"/>
              <w:rPr/>
            </w:pPr>
            <w:hyperlink w:anchor="sitm-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0"/>
              <w:ind w:left="0" w:right="0" w:hanging="0"/>
              <w:jc w:val="left"/>
              <w:rPr/>
            </w:pPr>
            <w:hyperlink w:anchor="sitm-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0"/>
              <w:ind w:left="0" w:right="0" w:hanging="0"/>
              <w:jc w:val="left"/>
              <w:rPr/>
            </w:pPr>
            <w:hyperlink w:anchor="sitm-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pPr>
            <w:r>
              <w:rPr/>
              <w:t> </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 the instance document does not appear in the Interactive Data File because its XBRL tags are embedded within the Inline XBRL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pBdr>
          <w:bottom w:val="single" w:sz="4" w:space="1" w:color="000000"/>
        </w:pBdr>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In accordance with Item 601(b)(32)(ii) of Regulation S</w:t>
        <w:noBreakHyphen/>
        <w:t>K and SEC Release No. 34</w:t>
        <w:noBreakHyphen/>
        <w:t>47986, the certifications furnished in Exhibits 32.1 and 32.2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9" w:name="signatures"/>
      <w:bookmarkEnd w:id="19"/>
      <w:r>
        <w:rPr>
          <w:rFonts w:ascii="Times New Roman;serif" w:hAnsi="Times New Roman;serif"/>
          <w:b/>
          <w:sz w:val="20"/>
        </w:rPr>
        <w:t>SIGNATURES</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442" w:type="dxa"/>
        <w:jc w:val="left"/>
        <w:tblInd w:w="0" w:type="dxa"/>
        <w:tblCellMar>
          <w:top w:w="28" w:type="dxa"/>
          <w:left w:w="28" w:type="dxa"/>
          <w:bottom w:w="28" w:type="dxa"/>
          <w:right w:w="28" w:type="dxa"/>
        </w:tblCellMar>
      </w:tblPr>
      <w:tblGrid>
        <w:gridCol w:w="1636"/>
        <w:gridCol w:w="109"/>
        <w:gridCol w:w="406"/>
        <w:gridCol w:w="429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69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SiTime Corporation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2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Arthur D. Chadwick</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Arthur D. Chadwick</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Executive Vice President, 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r>
        <w:br w:type="page"/>
      </w:r>
    </w:p>
    <w:p>
      <w:pPr>
        <w:pStyle w:val="TextBody"/>
        <w:spacing w:before="0" w:after="0"/>
        <w:jc w:val="left"/>
        <w:rPr/>
      </w:pPr>
      <w:bookmarkStart w:id="20" w:name="sitm-ex10_2.htm"/>
      <w:bookmarkStart w:id="21" w:name="kssitmex10_2"/>
      <w:bookmarkEnd w:id="20"/>
      <w:bookmarkEnd w:id="2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10.2</w:t>
      </w:r>
    </w:p>
    <w:p>
      <w:pPr>
        <w:pStyle w:val="TextBody"/>
        <w:spacing w:before="0" w:after="0"/>
        <w:jc w:val="righ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INDEPENDENT DIRECTOR COMPENSATION POLICY</w:t>
      </w:r>
    </w:p>
    <w:p>
      <w:pPr>
        <w:pStyle w:val="TextBody"/>
        <w:spacing w:before="0" w:after="240"/>
        <w:jc w:val="center"/>
        <w:rPr>
          <w:rFonts w:ascii="Times New Roman;serif" w:hAnsi="Times New Roman;serif"/>
          <w:b/>
          <w:i/>
          <w:sz w:val="20"/>
        </w:rPr>
      </w:pPr>
      <w:r>
        <w:rPr>
          <w:rFonts w:ascii="Times New Roman;serif" w:hAnsi="Times New Roman;serif"/>
          <w:b/>
          <w:i/>
          <w:sz w:val="20"/>
        </w:rPr>
        <w:t>(Approved April 12, 2023)</w:t>
      </w:r>
    </w:p>
    <w:p>
      <w:pPr>
        <w:pStyle w:val="TextBody"/>
        <w:spacing w:before="0" w:after="240"/>
        <w:jc w:val="left"/>
        <w:rPr>
          <w:rFonts w:ascii="Times New Roman" w:hAnsi="Times New Roman"/>
          <w:sz w:val="20"/>
        </w:rPr>
      </w:pPr>
      <w:r>
        <w:rPr>
          <w:rFonts w:ascii="Times New Roman;serif" w:hAnsi="Times New Roman;serif"/>
          <w:b w:val="false"/>
          <w:sz w:val="20"/>
        </w:rPr>
        <w:t>Non-employee members of the board of directors (the “</w:t>
      </w:r>
      <w:r>
        <w:rPr>
          <w:rFonts w:ascii="Times New Roman;serif" w:hAnsi="Times New Roman;serif"/>
          <w:b/>
          <w:i/>
          <w:sz w:val="20"/>
        </w:rPr>
        <w:t>Board</w:t>
      </w:r>
      <w:r>
        <w:rPr>
          <w:rFonts w:ascii="Times New Roman" w:hAnsi="Times New Roman"/>
          <w:sz w:val="20"/>
        </w:rPr>
        <w:t>”</w:t>
      </w:r>
      <w:r>
        <w:rPr>
          <w:rFonts w:ascii="Times New Roman;serif" w:hAnsi="Times New Roman;serif"/>
          <w:b w:val="false"/>
          <w:sz w:val="20"/>
        </w:rPr>
        <w:t>) of SiTime Corporation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shall be eligible to receive cash and equity compensation as set forth in this Independent Director Compensation Policy. The cash compensation and equity grants described in this Independent Director Compensation Policy shall be paid or be made, as applicable, automatically and without further action of the Board, to each member of the Board who is not an employee of the Company or any parent or subsidiary of the Company (each, an “</w:t>
      </w:r>
      <w:r>
        <w:rPr>
          <w:rFonts w:ascii="Times New Roman;serif" w:hAnsi="Times New Roman;serif"/>
          <w:b/>
          <w:i/>
          <w:sz w:val="20"/>
        </w:rPr>
        <w:t>Independent Director</w:t>
      </w:r>
      <w:r>
        <w:rPr>
          <w:rFonts w:ascii="Times New Roman" w:hAnsi="Times New Roman"/>
          <w:sz w:val="20"/>
        </w:rPr>
        <w:t>”</w:t>
      </w:r>
      <w:r>
        <w:rPr>
          <w:rFonts w:ascii="Times New Roman;serif" w:hAnsi="Times New Roman;serif"/>
          <w:b w:val="false"/>
          <w:sz w:val="20"/>
        </w:rPr>
        <w:t>) who may be eligible to receive such cash compensation or equity grants, unless such Independent Director declines the receipt of such cash compensation or equity grants by written notice to the Company. This Independent Director Compensation Policy shall remain in effect until it is revised or rescinded by further action of the Board. The terms and conditions of this Independent Director Compensation Policy shall supersede any prior cash or equity compensation arrangements between the Company and its directors.</w:t>
      </w:r>
    </w:p>
    <w:p>
      <w:pPr>
        <w:pStyle w:val="TextBody"/>
        <w:spacing w:before="0" w:after="240"/>
        <w:jc w:val="left"/>
        <w:rPr>
          <w:rFonts w:ascii="Times New Roman;serif" w:hAnsi="Times New Roman;serif"/>
          <w:b/>
          <w:sz w:val="20"/>
        </w:rPr>
      </w:pPr>
      <w:r>
        <w:rPr>
          <w:rFonts w:ascii="Times New Roman;serif" w:hAnsi="Times New Roman;serif"/>
          <w:b/>
          <w:sz w:val="20"/>
        </w:rPr>
        <w:t>Cash Compensation</w:t>
      </w:r>
    </w:p>
    <w:p>
      <w:pPr>
        <w:pStyle w:val="TextBody"/>
        <w:spacing w:before="0" w:after="240"/>
        <w:jc w:val="left"/>
        <w:rPr>
          <w:rFonts w:ascii="Times New Roman" w:hAnsi="Times New Roman"/>
          <w:sz w:val="20"/>
        </w:rPr>
      </w:pPr>
      <w:r>
        <w:rPr>
          <w:rFonts w:ascii="Times New Roman;serif" w:hAnsi="Times New Roman;serif"/>
          <w:b w:val="false"/>
          <w:sz w:val="20"/>
          <w:u w:val="single"/>
        </w:rPr>
        <w:t>Annual Cash Retainer for Board Service</w:t>
      </w:r>
      <w:r>
        <w:rPr>
          <w:rFonts w:ascii="Times New Roman;serif" w:hAnsi="Times New Roman;serif"/>
          <w:b w:val="false"/>
          <w:sz w:val="20"/>
        </w:rPr>
        <w:t>. Each Independent Director shall be eligible to receive an annual retainer of $40,000 for service on the Board.</w:t>
      </w:r>
    </w:p>
    <w:p>
      <w:pPr>
        <w:pStyle w:val="TextBody"/>
        <w:spacing w:before="0" w:after="240"/>
        <w:jc w:val="left"/>
        <w:rPr>
          <w:rFonts w:ascii="Times New Roman" w:hAnsi="Times New Roman"/>
          <w:sz w:val="20"/>
        </w:rPr>
      </w:pPr>
      <w:r>
        <w:rPr>
          <w:rFonts w:ascii="Times New Roman;serif" w:hAnsi="Times New Roman;serif"/>
          <w:b w:val="false"/>
          <w:sz w:val="20"/>
          <w:u w:val="single"/>
        </w:rPr>
        <w:t>Annual Cash Retainer for Committee Service</w:t>
      </w:r>
      <w:r>
        <w:rPr>
          <w:rFonts w:ascii="Times New Roman;serif" w:hAnsi="Times New Roman;serif"/>
          <w:b w:val="false"/>
          <w:sz w:val="20"/>
        </w:rPr>
        <w:t>. In addition, an Independent Director shall be eligible to receive the following additional annual cash retainers for service in the following roles: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Committee Chair:</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Audit: $20,000</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Compensation: $20,000</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Nominating/Governance: $20,000</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Committee Member:</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Audit: $8,000</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Compensation: $8,000</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Nominating/Governance: $8,000</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Lead Independent Director: $20,000</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annual retainers shall be paid by the Company in quarterly installments or more frequently as deemed advisable by the officers of the Company for administrative or other reasons.</w:t>
      </w:r>
    </w:p>
    <w:p>
      <w:pPr>
        <w:pStyle w:val="TextBody"/>
        <w:spacing w:before="0" w:after="240"/>
        <w:jc w:val="left"/>
        <w:rPr>
          <w:rFonts w:ascii="Times New Roman;serif" w:hAnsi="Times New Roman;serif"/>
          <w:b/>
          <w:sz w:val="20"/>
        </w:rPr>
      </w:pPr>
      <w:r>
        <w:rPr>
          <w:rFonts w:ascii="Times New Roman;serif" w:hAnsi="Times New Roman;serif"/>
          <w:b/>
          <w:sz w:val="20"/>
        </w:rPr>
        <w:t>Equity Compensation</w:t>
      </w:r>
    </w:p>
    <w:p>
      <w:pPr>
        <w:pStyle w:val="TextBody"/>
        <w:spacing w:before="0" w:after="240"/>
        <w:jc w:val="left"/>
        <w:rPr>
          <w:rFonts w:ascii="Times New Roman" w:hAnsi="Times New Roman"/>
          <w:sz w:val="20"/>
        </w:rPr>
      </w:pPr>
      <w:r>
        <w:rPr>
          <w:rFonts w:ascii="Times New Roman;serif" w:hAnsi="Times New Roman;serif"/>
          <w:b w:val="false"/>
          <w:sz w:val="20"/>
        </w:rPr>
        <w:t>The Independent Directors shall be granted the following restricted stock unit (“</w:t>
      </w:r>
      <w:r>
        <w:rPr>
          <w:rFonts w:ascii="Times New Roman;serif" w:hAnsi="Times New Roman;serif"/>
          <w:b w:val="false"/>
          <w:sz w:val="20"/>
          <w:u w:val="single"/>
        </w:rPr>
        <w:t>RSU</w:t>
      </w:r>
      <w:r>
        <w:rPr>
          <w:rFonts w:ascii="Times New Roman" w:hAnsi="Times New Roman"/>
          <w:sz w:val="20"/>
        </w:rPr>
        <w:t>”</w:t>
      </w:r>
      <w:r>
        <w:rPr>
          <w:rFonts w:ascii="Times New Roman;serif" w:hAnsi="Times New Roman;serif"/>
          <w:b w:val="false"/>
          <w:sz w:val="20"/>
        </w:rPr>
        <w:t>) awards. The RSUs shall be granted under and shall be subject to the terms and conditions of the Company’s 2019 Stock Incentive Plan or its successor (the “</w:t>
      </w:r>
      <w:r>
        <w:rPr>
          <w:rFonts w:ascii="Times New Roman;serif" w:hAnsi="Times New Roman;serif"/>
          <w:b w:val="false"/>
          <w:sz w:val="20"/>
          <w:u w:val="single"/>
        </w:rPr>
        <w:t>Plan</w:t>
      </w:r>
      <w:r>
        <w:rPr>
          <w:rFonts w:ascii="Times New Roman" w:hAnsi="Times New Roman"/>
          <w:sz w:val="20"/>
        </w:rPr>
        <w:t>”</w:t>
      </w:r>
      <w:r>
        <w:rPr>
          <w:rFonts w:ascii="Times New Roman;serif" w:hAnsi="Times New Roman;serif"/>
          <w:b w:val="false"/>
          <w:sz w:val="20"/>
        </w:rPr>
        <w:t>) and an RSU agreement, including attached exhibits, in substantially the same form approved by the Board for employee grants subject to the terms specified below.</w:t>
      </w:r>
    </w:p>
    <w:p>
      <w:pPr>
        <w:pStyle w:val="TextBody"/>
        <w:spacing w:before="0" w:after="0"/>
        <w:jc w:val="left"/>
        <w:rPr/>
      </w:pPr>
      <w:r>
        <w:rPr/>
        <w:t> </w:t>
      </w:r>
    </w:p>
    <w:p>
      <w:pPr>
        <w:pStyle w:val="TextBody"/>
        <w:spacing w:before="0" w:after="0"/>
        <w:jc w:val="right"/>
        <w:rPr>
          <w:rFonts w:ascii="Times New Roman" w:hAnsi="Times New Roman"/>
          <w:sz w:val="20"/>
        </w:rPr>
      </w:pPr>
      <w:r>
        <w:rPr>
          <w:rFonts w:ascii="Times New Roman;serif" w:hAnsi="Times New Roman;serif"/>
          <w:b w:val="false"/>
          <w:sz w:val="16"/>
        </w:rPr>
        <w:t>IF " DOCVARIABLE "SWDocIDLocation" 1" = "1" " DOCPROPERTY "SWDocID" 4829-4049-9140.v1" ""</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0"/>
          <w:u w:val="single"/>
        </w:rPr>
        <w:t>Annual Awards</w:t>
      </w:r>
      <w:r>
        <w:rPr>
          <w:rFonts w:ascii="Times New Roman;serif" w:hAnsi="Times New Roman;serif"/>
          <w:b w:val="false"/>
          <w:sz w:val="20"/>
        </w:rPr>
        <w:t>: On the first business day following the conclusion of each regular annual meeting of the Company’s stockholders, commencing with the 2021 annual meeting, each Independent Director who has served on the Board for at least six months and will continue serving as a member of the Board thereafter, shall receive a grant of RSUs (“</w:t>
      </w:r>
      <w:r>
        <w:rPr>
          <w:rFonts w:ascii="Times New Roman;serif" w:hAnsi="Times New Roman;serif"/>
          <w:b w:val="false"/>
          <w:sz w:val="20"/>
          <w:u w:val="single"/>
        </w:rPr>
        <w:t>Annual RSU Award</w:t>
      </w:r>
      <w:r>
        <w:rPr>
          <w:rFonts w:ascii="Times New Roman" w:hAnsi="Times New Roman"/>
          <w:sz w:val="20"/>
        </w:rPr>
        <w:t>”</w:t>
      </w:r>
      <w:r>
        <w:rPr>
          <w:rFonts w:ascii="Times New Roman;serif" w:hAnsi="Times New Roman;serif"/>
          <w:b w:val="false"/>
          <w:sz w:val="20"/>
        </w:rPr>
        <w:t>) under the Plan with respect to a number of shares of common stock equal to $250,000 divided by the average closing price of the Company’s common stock on The Nasdaq Global Market for the period of twenty (20) trading days ending on the day prior to the date of grant. Each Annual RSU Award shall become fully vested on the February 20, May 20, August 20, or November 20 falling in the one-year anniversary quarter of the annual meeting, provided that (i) if the next years’ annual meeting date occurs prior to such vesting date and (ii) such Independent Director’s service will not continue following the annual meeting, then the Annual RSU Award for such Independent Director will vest on the day prior to the date of the annual meeting. Notwithstanding the foregoing, each Annual RSU Award shall become 100% vested if a Change in Control as defined in the Plan occurs during such Independent Director’s service.</w:t>
      </w:r>
    </w:p>
    <w:p>
      <w:pPr>
        <w:pStyle w:val="TextBody"/>
        <w:spacing w:before="0" w:after="240"/>
        <w:jc w:val="left"/>
        <w:rPr>
          <w:rFonts w:ascii="Times New Roman" w:hAnsi="Times New Roman"/>
          <w:sz w:val="20"/>
        </w:rPr>
      </w:pPr>
      <w:r>
        <w:rPr>
          <w:rFonts w:ascii="Times New Roman;serif" w:hAnsi="Times New Roman;serif"/>
          <w:b w:val="false"/>
          <w:sz w:val="20"/>
          <w:u w:val="single"/>
        </w:rPr>
        <w:t>Initial Awards</w:t>
      </w:r>
      <w:r>
        <w:rPr>
          <w:rFonts w:ascii="Times New Roman;serif" w:hAnsi="Times New Roman;serif"/>
          <w:b w:val="false"/>
          <w:sz w:val="20"/>
        </w:rPr>
        <w:t>: Each Independent Director who first joins the Board after the date hereof and who was not previously an employee of the Company or a parent or subsidiary thereof shall receive a grant of RSUs (“</w:t>
      </w:r>
      <w:r>
        <w:rPr>
          <w:rFonts w:ascii="Times New Roman;serif" w:hAnsi="Times New Roman;serif"/>
          <w:b w:val="false"/>
          <w:sz w:val="20"/>
          <w:u w:val="single"/>
        </w:rPr>
        <w:t>Initial RSU Award</w:t>
      </w:r>
      <w:r>
        <w:rPr>
          <w:rFonts w:ascii="Times New Roman" w:hAnsi="Times New Roman"/>
          <w:sz w:val="20"/>
        </w:rPr>
        <w:t>”</w:t>
      </w:r>
      <w:r>
        <w:rPr>
          <w:rFonts w:ascii="Times New Roman;serif" w:hAnsi="Times New Roman;serif"/>
          <w:b w:val="false"/>
          <w:sz w:val="20"/>
        </w:rPr>
        <w:t>) under the Plan on the date of his or her election to the Board with respect to a number of shares of common stock equal to $250,000 divided by the average closing price of the Company’s common stock on The Nasdaq Global Market for the period of twenty (20) trading days ending on the day prior to the date of grant. The Initial RSU Award shall vest annually over a 3-year period on the February 20, May 20, August 20, or November 20 falling in the anniversary quarter of the date of grant at an annual rate of 1/3 of the total number of RSUs subject to such award. Notwithstanding the foregoing, each Initial RSU Award shall become 100% vested if a Change in Control as defined in the Plan occurs during such Independent Director’s service.</w:t>
      </w:r>
    </w:p>
    <w:p>
      <w:pPr>
        <w:pStyle w:val="TextBody"/>
        <w:spacing w:before="0" w:after="240"/>
        <w:jc w:val="left"/>
        <w:rPr>
          <w:rFonts w:ascii="Times New Roman;serif" w:hAnsi="Times New Roman;serif"/>
          <w:b/>
          <w:sz w:val="20"/>
        </w:rPr>
      </w:pPr>
      <w:r>
        <w:rPr>
          <w:rFonts w:ascii="Times New Roman;serif" w:hAnsi="Times New Roman;serif"/>
          <w:b/>
          <w:sz w:val="20"/>
        </w:rPr>
        <w:t>Annual Limitations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grant date fair value of all equity awards (as determined in accordance with Financial Accounting Standards Board Accounting Standards Codification Topic 718, or any successor thereto) granted under the Plan, plus the amount of cash compensation paid, to any Independent Director as compensation for services as an Independent Director during any calendar year may not exceed $600,000 (provided that such limit shall be increased to $850,000 for the first calendar year that the Independent Director serves on the Board).</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rPr/>
      </w:pPr>
      <w:r>
        <w:rPr/>
      </w:r>
      <w:r>
        <w:br w:type="page"/>
      </w:r>
    </w:p>
    <w:p>
      <w:pPr>
        <w:pStyle w:val="TextBody"/>
        <w:spacing w:before="0" w:after="0"/>
        <w:jc w:val="left"/>
        <w:rPr/>
      </w:pPr>
      <w:bookmarkStart w:id="22" w:name="sitm-ex31_1.htm"/>
      <w:bookmarkStart w:id="23" w:name="kssitmex31_1"/>
      <w:bookmarkEnd w:id="22"/>
      <w:bookmarkEnd w:id="2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 Rule 13a-14(a) and Rule 15d-14(a)</w:t>
      </w:r>
    </w:p>
    <w:p>
      <w:pPr>
        <w:pStyle w:val="TextBody"/>
        <w:spacing w:before="0" w:after="0"/>
        <w:jc w:val="center"/>
        <w:rPr>
          <w:rFonts w:ascii="Times New Roman;serif" w:hAnsi="Times New Roman;serif"/>
          <w:b/>
          <w:sz w:val="20"/>
        </w:rPr>
      </w:pPr>
      <w:r>
        <w:rPr>
          <w:rFonts w:ascii="Times New Roman;serif" w:hAnsi="Times New Roman;serif"/>
          <w:b/>
          <w:sz w:val="20"/>
        </w:rPr>
        <w:t>of the Securities Exchange Act of 1934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Rajesh Vashist, certify that:</w:t>
      </w:r>
    </w:p>
    <w:tbl>
      <w:tblPr>
        <w:tblW w:w="10205" w:type="dxa"/>
        <w:jc w:val="left"/>
        <w:tblInd w:w="0" w:type="dxa"/>
        <w:tblCellMar>
          <w:top w:w="28" w:type="dxa"/>
          <w:left w:w="28" w:type="dxa"/>
          <w:bottom w:w="28" w:type="dxa"/>
          <w:right w:w="28" w:type="dxa"/>
        </w:tblCellMar>
      </w:tblPr>
      <w:tblGrid>
        <w:gridCol w:w="255"/>
        <w:gridCol w:w="488"/>
        <w:gridCol w:w="9462"/>
      </w:tblGrid>
      <w:tr>
        <w:trPr/>
        <w:tc>
          <w:tcPr>
            <w:tcW w:w="2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9462"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 have reviewed this Quarterly Report on Form 10-Q of SiTime Corporation.;</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2.</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3.</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4.</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(d)</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5.</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tbl>
      <w:tblPr>
        <w:tblW w:w="2160" w:type="dxa"/>
        <w:jc w:val="left"/>
        <w:tblInd w:w="0" w:type="dxa"/>
        <w:tblCellMar>
          <w:top w:w="28" w:type="dxa"/>
          <w:left w:w="28" w:type="dxa"/>
          <w:bottom w:w="28" w:type="dxa"/>
          <w:right w:w="28" w:type="dxa"/>
        </w:tblCellMar>
      </w:tblPr>
      <w:tblGrid>
        <w:gridCol w:w="2160"/>
      </w:tblGrid>
      <w:tr>
        <w:trPr/>
        <w:tc>
          <w:tcPr>
            <w:tcW w:w="2160" w:type="dxa"/>
            <w:tcBorders/>
            <w:shd w:fill="auto" w:val="clear"/>
            <w:vAlign w:val="center"/>
          </w:tcPr>
          <w:p>
            <w:pPr>
              <w:pStyle w:val="TableContents"/>
              <w:spacing w:before="0" w:after="283"/>
              <w:rPr>
                <w:sz w:val="4"/>
                <w:szCs w:val="4"/>
              </w:rPr>
            </w:pPr>
            <w:r>
              <w:rPr>
                <w:sz w:val="4"/>
                <w:szCs w:val="4"/>
              </w:rPr>
            </w:r>
          </w:p>
        </w:tc>
      </w:tr>
      <w:tr>
        <w:trPr/>
        <w:tc>
          <w:tcPr>
            <w:tcW w:w="2160" w:type="dxa"/>
            <w:tcBorders>
              <w:bottom w:val="single" w:sz="4" w:space="0" w:color="000000"/>
            </w:tcBorders>
            <w:shd w:fill="auto" w:val="clear"/>
            <w:tcMar>
              <w:top w:w="0" w:type="dxa"/>
              <w:left w:w="0" w:type="dxa"/>
              <w:right w:w="0" w:type="dxa"/>
            </w:tcMar>
            <w:vAlign w:val="center"/>
          </w:tcPr>
          <w:p>
            <w:pPr>
              <w:pStyle w:val="TableContents"/>
              <w:spacing w:before="0" w:after="0"/>
              <w:ind w:left="0" w:right="14" w:hanging="0"/>
              <w:jc w:val="center"/>
              <w:rPr>
                <w:rFonts w:ascii="Times New Roman;serif" w:hAnsi="Times New Roman;serif"/>
                <w:b w:val="false"/>
                <w:sz w:val="20"/>
              </w:rPr>
            </w:pPr>
            <w:r>
              <w:rPr>
                <w:rFonts w:ascii="Times New Roman;serif" w:hAnsi="Times New Roman;serif"/>
                <w:b w:val="false"/>
                <w:sz w:val="20"/>
              </w:rPr>
              <w:t>/s/ Rajesh Vashist</w:t>
            </w:r>
          </w:p>
        </w:tc>
      </w:tr>
      <w:tr>
        <w:trPr/>
        <w:tc>
          <w:tcPr>
            <w:tcW w:w="216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Rajesh Vashist</w:t>
            </w:r>
          </w:p>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spacing w:before="18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4" w:name="sitm-ex31_2.htm"/>
      <w:bookmarkStart w:id="25" w:name="kssitmex31_2"/>
      <w:bookmarkEnd w:id="24"/>
      <w:bookmarkEnd w:id="25"/>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 Rule 13a-14(a) and Rule 15d-14(a)</w:t>
      </w:r>
    </w:p>
    <w:p>
      <w:pPr>
        <w:pStyle w:val="TextBody"/>
        <w:spacing w:before="0" w:after="0"/>
        <w:jc w:val="center"/>
        <w:rPr>
          <w:rFonts w:ascii="Times New Roman;serif" w:hAnsi="Times New Roman;serif"/>
          <w:b/>
          <w:sz w:val="20"/>
        </w:rPr>
      </w:pPr>
      <w:r>
        <w:rPr>
          <w:rFonts w:ascii="Times New Roman;serif" w:hAnsi="Times New Roman;serif"/>
          <w:b/>
          <w:sz w:val="20"/>
        </w:rPr>
        <w:t>of the Securities Exchange Act of 1934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Arthur D. Chadwick, certify that:</w:t>
      </w:r>
    </w:p>
    <w:tbl>
      <w:tblPr>
        <w:tblW w:w="10205" w:type="dxa"/>
        <w:jc w:val="left"/>
        <w:tblInd w:w="0" w:type="dxa"/>
        <w:tblCellMar>
          <w:top w:w="28" w:type="dxa"/>
          <w:left w:w="28" w:type="dxa"/>
          <w:bottom w:w="28" w:type="dxa"/>
          <w:right w:w="28" w:type="dxa"/>
        </w:tblCellMar>
      </w:tblPr>
      <w:tblGrid>
        <w:gridCol w:w="255"/>
        <w:gridCol w:w="488"/>
        <w:gridCol w:w="9462"/>
      </w:tblGrid>
      <w:tr>
        <w:trPr/>
        <w:tc>
          <w:tcPr>
            <w:tcW w:w="2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9462"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 have reviewed this Quarterly Report on Form 10-Q of SiTime Corporation.;</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2.</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3.</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4.</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(d)</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5.</w:t>
            </w:r>
          </w:p>
        </w:tc>
        <w:tc>
          <w:tcPr>
            <w:tcW w:w="9950" w:type="dxa"/>
            <w:gridSpan w:val="2"/>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55" w:type="dxa"/>
            <w:tcBorders/>
            <w:shd w:fill="auto" w:val="clear"/>
            <w:vAlign w:val="center"/>
          </w:tcPr>
          <w:p>
            <w:pPr>
              <w:pStyle w:val="TableContents"/>
              <w:spacing w:before="0" w:after="0"/>
              <w:ind w:left="0" w:right="14" w:hanging="0"/>
              <w:jc w:val="left"/>
              <w:rPr/>
            </w:pPr>
            <w:r>
              <w:rPr/>
              <w:t> </w:t>
            </w:r>
          </w:p>
        </w:tc>
        <w:tc>
          <w:tcPr>
            <w:tcW w:w="9950" w:type="dxa"/>
            <w:gridSpan w:val="2"/>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55" w:type="dxa"/>
            <w:tcBorders/>
            <w:shd w:fill="auto" w:val="clear"/>
            <w:vAlign w:val="center"/>
          </w:tcPr>
          <w:p>
            <w:pPr>
              <w:pStyle w:val="TableContents"/>
              <w:spacing w:before="0" w:after="0"/>
              <w:ind w:left="0" w:right="14" w:hanging="0"/>
              <w:jc w:val="left"/>
              <w:rPr/>
            </w:pPr>
            <w:r>
              <w:rPr/>
              <w:t> </w:t>
            </w:r>
          </w:p>
        </w:tc>
        <w:tc>
          <w:tcPr>
            <w:tcW w:w="488" w:type="dxa"/>
            <w:tcBorders/>
            <w:shd w:fill="auto" w:val="clear"/>
            <w:vAlign w:val="center"/>
          </w:tcPr>
          <w:p>
            <w:pPr>
              <w:pStyle w:val="TableContents"/>
              <w:spacing w:before="0" w:after="0"/>
              <w:ind w:left="0" w:right="14" w:hanging="0"/>
              <w:jc w:val="left"/>
              <w:rPr/>
            </w:pPr>
            <w:r>
              <w:rPr/>
              <w:t> </w:t>
            </w:r>
          </w:p>
        </w:tc>
        <w:tc>
          <w:tcPr>
            <w:tcW w:w="9462" w:type="dxa"/>
            <w:tcBorders/>
            <w:shd w:fill="auto" w:val="clear"/>
            <w:vAlign w:val="center"/>
          </w:tcPr>
          <w:p>
            <w:pPr>
              <w:pStyle w:val="TableContents"/>
              <w:spacing w:before="0" w:after="0"/>
              <w:ind w:left="0" w:right="14" w:hanging="0"/>
              <w:jc w:val="left"/>
              <w:rPr/>
            </w:pPr>
            <w:r>
              <w:rPr/>
              <w:t> </w:t>
            </w:r>
          </w:p>
        </w:tc>
      </w:tr>
      <w:tr>
        <w:trPr/>
        <w:tc>
          <w:tcPr>
            <w:tcW w:w="255" w:type="dxa"/>
            <w:tcBorders/>
            <w:shd w:fill="auto" w:val="clear"/>
            <w:vAlign w:val="center"/>
          </w:tcPr>
          <w:p>
            <w:pPr>
              <w:pStyle w:val="TableContents"/>
              <w:spacing w:before="0" w:after="283"/>
              <w:ind w:left="0" w:right="16" w:hanging="0"/>
              <w:rPr>
                <w:sz w:val="4"/>
                <w:szCs w:val="4"/>
              </w:rPr>
            </w:pPr>
            <w:r>
              <w:rPr>
                <w:sz w:val="4"/>
                <w:szCs w:val="4"/>
              </w:rPr>
            </w:r>
          </w:p>
        </w:tc>
        <w:tc>
          <w:tcPr>
            <w:tcW w:w="48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w:t>
            </w:r>
          </w:p>
        </w:tc>
        <w:tc>
          <w:tcPr>
            <w:tcW w:w="9462" w:type="dxa"/>
            <w:tcBorders/>
            <w:shd w:fill="auto" w:val="clear"/>
            <w:vAlign w:val="center"/>
          </w:tcPr>
          <w:p>
            <w:pPr>
              <w:pStyle w:val="TableContents"/>
              <w:spacing w:before="0" w:after="0"/>
              <w:ind w:left="200" w:right="16"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tbl>
      <w:tblPr>
        <w:tblW w:w="4320" w:type="dxa"/>
        <w:jc w:val="left"/>
        <w:tblInd w:w="0" w:type="dxa"/>
        <w:tblCellMar>
          <w:top w:w="28" w:type="dxa"/>
          <w:left w:w="28" w:type="dxa"/>
          <w:bottom w:w="28" w:type="dxa"/>
          <w:right w:w="28" w:type="dxa"/>
        </w:tblCellMar>
      </w:tblPr>
      <w:tblGrid>
        <w:gridCol w:w="4320"/>
      </w:tblGrid>
      <w:tr>
        <w:trPr/>
        <w:tc>
          <w:tcPr>
            <w:tcW w:w="4320" w:type="dxa"/>
            <w:tcBorders/>
            <w:shd w:fill="auto" w:val="clear"/>
            <w:vAlign w:val="center"/>
          </w:tcPr>
          <w:p>
            <w:pPr>
              <w:pStyle w:val="TableContents"/>
              <w:spacing w:before="0" w:after="283"/>
              <w:rPr>
                <w:sz w:val="4"/>
                <w:szCs w:val="4"/>
              </w:rPr>
            </w:pPr>
            <w:r>
              <w:rPr>
                <w:sz w:val="4"/>
                <w:szCs w:val="4"/>
              </w:rPr>
            </w:r>
          </w:p>
        </w:tc>
      </w:tr>
      <w:tr>
        <w:trPr/>
        <w:tc>
          <w:tcPr>
            <w:tcW w:w="4320" w:type="dxa"/>
            <w:tcBorders>
              <w:bottom w:val="single" w:sz="4" w:space="0" w:color="000000"/>
            </w:tcBorders>
            <w:shd w:fill="auto" w:val="clear"/>
            <w:tcMar>
              <w:top w:w="0" w:type="dxa"/>
              <w:left w:w="0" w:type="dxa"/>
              <w:right w:w="0" w:type="dxa"/>
            </w:tcMar>
            <w:vAlign w:val="center"/>
          </w:tcPr>
          <w:p>
            <w:pPr>
              <w:pStyle w:val="TableContents"/>
              <w:spacing w:before="0" w:after="0"/>
              <w:ind w:left="0" w:right="14" w:hanging="0"/>
              <w:jc w:val="center"/>
              <w:rPr>
                <w:rFonts w:ascii="Times New Roman;serif" w:hAnsi="Times New Roman;serif"/>
                <w:b w:val="false"/>
                <w:sz w:val="20"/>
              </w:rPr>
            </w:pPr>
            <w:r>
              <w:rPr>
                <w:rFonts w:ascii="Times New Roman;serif" w:hAnsi="Times New Roman;serif"/>
                <w:b w:val="false"/>
                <w:sz w:val="20"/>
              </w:rPr>
              <w:t>/s/ Arthur D. Chadwick</w:t>
            </w:r>
          </w:p>
        </w:tc>
      </w:tr>
      <w:tr>
        <w:trPr/>
        <w:tc>
          <w:tcPr>
            <w:tcW w:w="432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Arthur D. Chadwick</w:t>
            </w:r>
          </w:p>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Executive Vice President, Chief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20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6" w:name="sitm-ex32_1.htm"/>
      <w:bookmarkStart w:id="27" w:name="kssitmex32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12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SiTime Corporation. (the “Company”) on Form 10-Q for the period ended March 31, 2023 as filed with the Securities and Exchange Commission on the date hereof (the “Report”), I, certify, pursuant to 18 U.S.C. § 1350, as adopted pursuant to § 906 of the Sarbanes-Oxley Act of 2002, that to the best of my knowledge:</w:t>
      </w:r>
    </w:p>
    <w:tbl>
      <w:tblPr>
        <w:tblW w:w="10178" w:type="dxa"/>
        <w:jc w:val="left"/>
        <w:tblInd w:w="0" w:type="dxa"/>
        <w:tblCellMar>
          <w:top w:w="28" w:type="dxa"/>
          <w:left w:w="28" w:type="dxa"/>
          <w:bottom w:w="28" w:type="dxa"/>
          <w:right w:w="28" w:type="dxa"/>
        </w:tblCellMar>
      </w:tblPr>
      <w:tblGrid>
        <w:gridCol w:w="124"/>
        <w:gridCol w:w="347"/>
        <w:gridCol w:w="9707"/>
      </w:tblGrid>
      <w:tr>
        <w:trPr/>
        <w:tc>
          <w:tcPr>
            <w:tcW w:w="12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70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16" w:hanging="0"/>
              <w:rPr>
                <w:sz w:val="4"/>
                <w:szCs w:val="4"/>
              </w:rPr>
            </w:pPr>
            <w:r>
              <w:rPr>
                <w:sz w:val="4"/>
                <w:szCs w:val="4"/>
              </w:rPr>
            </w:r>
          </w:p>
        </w:tc>
        <w:tc>
          <w:tcPr>
            <w:tcW w:w="34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w:t>
            </w:r>
          </w:p>
        </w:tc>
        <w:tc>
          <w:tcPr>
            <w:tcW w:w="97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334"/>
        <w:gridCol w:w="9747"/>
      </w:tblGrid>
      <w:tr>
        <w:trPr/>
        <w:tc>
          <w:tcPr>
            <w:tcW w:w="12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4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16" w:hanging="0"/>
              <w:rPr>
                <w:sz w:val="4"/>
                <w:szCs w:val="4"/>
              </w:rPr>
            </w:pPr>
            <w:r>
              <w:rPr>
                <w:sz w:val="4"/>
                <w:szCs w:val="4"/>
              </w:rPr>
            </w:r>
          </w:p>
        </w:tc>
        <w:tc>
          <w:tcPr>
            <w:tcW w:w="33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(2)</w:t>
            </w:r>
          </w:p>
        </w:tc>
        <w:tc>
          <w:tcPr>
            <w:tcW w:w="9747" w:type="dxa"/>
            <w:tcBorders/>
            <w:shd w:fill="auto" w:val="clear"/>
            <w:vAlign w:val="center"/>
          </w:tcPr>
          <w:p>
            <w:pPr>
              <w:pStyle w:val="TableContents"/>
              <w:spacing w:before="0" w:after="0"/>
              <w:ind w:left="0" w:right="14"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p>
      <w:pPr>
        <w:pStyle w:val="TextBody"/>
        <w:spacing w:before="0" w:after="0"/>
        <w:jc w:val="left"/>
        <w:rPr/>
      </w:pPr>
      <w:r>
        <w:rPr/>
        <w:t> </w:t>
      </w:r>
    </w:p>
    <w:tbl>
      <w:tblPr>
        <w:tblW w:w="2160" w:type="dxa"/>
        <w:jc w:val="left"/>
        <w:tblInd w:w="0" w:type="dxa"/>
        <w:tblCellMar>
          <w:top w:w="28" w:type="dxa"/>
          <w:left w:w="28" w:type="dxa"/>
          <w:bottom w:w="28" w:type="dxa"/>
          <w:right w:w="28" w:type="dxa"/>
        </w:tblCellMar>
      </w:tblPr>
      <w:tblGrid>
        <w:gridCol w:w="2160"/>
      </w:tblGrid>
      <w:tr>
        <w:trPr/>
        <w:tc>
          <w:tcPr>
            <w:tcW w:w="2160" w:type="dxa"/>
            <w:tcBorders/>
            <w:shd w:fill="auto" w:val="clear"/>
            <w:vAlign w:val="center"/>
          </w:tcPr>
          <w:p>
            <w:pPr>
              <w:pStyle w:val="TableContents"/>
              <w:spacing w:before="0" w:after="283"/>
              <w:rPr>
                <w:sz w:val="4"/>
                <w:szCs w:val="4"/>
              </w:rPr>
            </w:pPr>
            <w:r>
              <w:rPr>
                <w:sz w:val="4"/>
                <w:szCs w:val="4"/>
              </w:rPr>
            </w:r>
          </w:p>
        </w:tc>
      </w:tr>
      <w:tr>
        <w:trPr/>
        <w:tc>
          <w:tcPr>
            <w:tcW w:w="2160" w:type="dxa"/>
            <w:tcBorders/>
            <w:shd w:fill="auto" w:val="clear"/>
            <w:vAlign w:val="center"/>
          </w:tcPr>
          <w:p>
            <w:pPr>
              <w:pStyle w:val="TableContents"/>
              <w:spacing w:before="0" w:after="0"/>
              <w:ind w:left="0" w:right="0" w:hanging="0"/>
              <w:jc w:val="left"/>
              <w:rPr/>
            </w:pPr>
            <w:r>
              <w:rPr/>
              <w:t> </w:t>
            </w:r>
          </w:p>
        </w:tc>
      </w:tr>
      <w:tr>
        <w:trPr/>
        <w:tc>
          <w:tcPr>
            <w:tcW w:w="2160" w:type="dxa"/>
            <w:tcBorders/>
            <w:shd w:fill="auto" w:val="clear"/>
            <w:vAlign w:val="center"/>
          </w:tcPr>
          <w:p>
            <w:pPr>
              <w:pStyle w:val="TableContents"/>
              <w:pBdr>
                <w:bottom w:val="single" w:sz="6" w:space="1" w:color="000000"/>
              </w:pBdr>
              <w:spacing w:before="0" w:after="0"/>
              <w:ind w:left="0" w:right="16" w:hanging="0"/>
              <w:jc w:val="center"/>
              <w:rPr>
                <w:rFonts w:ascii="Times New Roman;serif" w:hAnsi="Times New Roman;serif"/>
                <w:b w:val="false"/>
                <w:sz w:val="20"/>
              </w:rPr>
            </w:pPr>
            <w:r>
              <w:rPr>
                <w:rFonts w:ascii="Times New Roman;serif" w:hAnsi="Times New Roman;serif"/>
                <w:b w:val="false"/>
                <w:sz w:val="20"/>
              </w:rPr>
              <w:t>/s/ Rajesh Vashist</w:t>
            </w:r>
          </w:p>
        </w:tc>
      </w:tr>
      <w:tr>
        <w:trPr/>
        <w:tc>
          <w:tcPr>
            <w:tcW w:w="216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Rajesh Vashist</w:t>
            </w:r>
          </w:p>
        </w:tc>
      </w:tr>
      <w:tr>
        <w:trPr/>
        <w:tc>
          <w:tcPr>
            <w:tcW w:w="216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spacing w:before="0" w:after="0"/>
        <w:jc w:val="left"/>
        <w:rPr/>
      </w:pPr>
      <w:r>
        <w:rPr/>
        <w:t> </w:t>
      </w:r>
    </w:p>
    <w:p>
      <w:pPr>
        <w:pStyle w:val="TextBody"/>
        <w:spacing w:before="0" w:after="20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8" w:name="sitm-ex32_2.htm"/>
      <w:bookmarkStart w:id="29" w:name="kssitmex32_2"/>
      <w:bookmarkEnd w:id="28"/>
      <w:bookmarkEnd w:id="2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12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SiTime Corporation. (the “Company”) on Form 10-Q for the period ended March 31, 2023 as filed with the Securities and Exchange Commission on the date hereof (the “Report”), I, certify, pursuant to 18 U.S.C. § 1350, as adopted pursuant to § 906 of the Sarbanes-Oxley Act of 2002, that to the best of my knowledge:</w:t>
      </w:r>
    </w:p>
    <w:tbl>
      <w:tblPr>
        <w:tblW w:w="10178" w:type="dxa"/>
        <w:jc w:val="left"/>
        <w:tblInd w:w="0" w:type="dxa"/>
        <w:tblCellMar>
          <w:top w:w="28" w:type="dxa"/>
          <w:left w:w="28" w:type="dxa"/>
          <w:bottom w:w="28" w:type="dxa"/>
          <w:right w:w="28" w:type="dxa"/>
        </w:tblCellMar>
      </w:tblPr>
      <w:tblGrid>
        <w:gridCol w:w="124"/>
        <w:gridCol w:w="347"/>
        <w:gridCol w:w="9707"/>
      </w:tblGrid>
      <w:tr>
        <w:trPr/>
        <w:tc>
          <w:tcPr>
            <w:tcW w:w="12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70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16" w:hanging="0"/>
              <w:rPr>
                <w:sz w:val="4"/>
                <w:szCs w:val="4"/>
              </w:rPr>
            </w:pPr>
            <w:r>
              <w:rPr>
                <w:sz w:val="4"/>
                <w:szCs w:val="4"/>
              </w:rPr>
            </w:r>
          </w:p>
        </w:tc>
        <w:tc>
          <w:tcPr>
            <w:tcW w:w="34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w:t>
            </w:r>
          </w:p>
        </w:tc>
        <w:tc>
          <w:tcPr>
            <w:tcW w:w="97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334"/>
        <w:gridCol w:w="9747"/>
      </w:tblGrid>
      <w:tr>
        <w:trPr/>
        <w:tc>
          <w:tcPr>
            <w:tcW w:w="12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4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16" w:hanging="0"/>
              <w:rPr>
                <w:sz w:val="4"/>
                <w:szCs w:val="4"/>
              </w:rPr>
            </w:pPr>
            <w:r>
              <w:rPr>
                <w:sz w:val="4"/>
                <w:szCs w:val="4"/>
              </w:rPr>
            </w:r>
          </w:p>
        </w:tc>
        <w:tc>
          <w:tcPr>
            <w:tcW w:w="33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(2)</w:t>
            </w:r>
          </w:p>
        </w:tc>
        <w:tc>
          <w:tcPr>
            <w:tcW w:w="9747" w:type="dxa"/>
            <w:tcBorders/>
            <w:shd w:fill="auto" w:val="clear"/>
            <w:vAlign w:val="center"/>
          </w:tcPr>
          <w:p>
            <w:pPr>
              <w:pStyle w:val="TableContents"/>
              <w:spacing w:before="0" w:after="0"/>
              <w:ind w:left="0" w:right="14"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p>
      <w:pPr>
        <w:pStyle w:val="TextBody"/>
        <w:spacing w:before="0" w:after="0"/>
        <w:jc w:val="left"/>
        <w:rPr/>
      </w:pPr>
      <w:r>
        <w:rPr/>
        <w:t> </w:t>
      </w:r>
    </w:p>
    <w:tbl>
      <w:tblPr>
        <w:tblW w:w="4320" w:type="dxa"/>
        <w:jc w:val="left"/>
        <w:tblInd w:w="0" w:type="dxa"/>
        <w:tblCellMar>
          <w:top w:w="28" w:type="dxa"/>
          <w:left w:w="28" w:type="dxa"/>
          <w:bottom w:w="28" w:type="dxa"/>
          <w:right w:w="28" w:type="dxa"/>
        </w:tblCellMar>
      </w:tblPr>
      <w:tblGrid>
        <w:gridCol w:w="4320"/>
      </w:tblGrid>
      <w:tr>
        <w:trPr/>
        <w:tc>
          <w:tcPr>
            <w:tcW w:w="4320" w:type="dxa"/>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vAlign w:val="center"/>
          </w:tcPr>
          <w:p>
            <w:pPr>
              <w:pStyle w:val="TableContents"/>
              <w:spacing w:before="0" w:after="0"/>
              <w:ind w:left="0" w:right="0" w:hanging="0"/>
              <w:jc w:val="left"/>
              <w:rPr/>
            </w:pPr>
            <w:r>
              <w:rPr/>
              <w:t> </w:t>
            </w:r>
          </w:p>
        </w:tc>
      </w:tr>
      <w:tr>
        <w:trPr/>
        <w:tc>
          <w:tcPr>
            <w:tcW w:w="4320" w:type="dxa"/>
            <w:tcBorders/>
            <w:shd w:fill="auto" w:val="clear"/>
            <w:vAlign w:val="center"/>
          </w:tcPr>
          <w:p>
            <w:pPr>
              <w:pStyle w:val="TableContents"/>
              <w:pBdr>
                <w:bottom w:val="single" w:sz="6" w:space="1" w:color="000000"/>
              </w:pBdr>
              <w:spacing w:before="0" w:after="0"/>
              <w:ind w:left="0" w:right="16" w:hanging="0"/>
              <w:jc w:val="center"/>
              <w:rPr>
                <w:rFonts w:ascii="Times New Roman;serif" w:hAnsi="Times New Roman;serif"/>
                <w:b w:val="false"/>
                <w:sz w:val="20"/>
              </w:rPr>
            </w:pPr>
            <w:r>
              <w:rPr>
                <w:rFonts w:ascii="Times New Roman;serif" w:hAnsi="Times New Roman;serif"/>
                <w:b w:val="false"/>
                <w:sz w:val="20"/>
              </w:rPr>
              <w:t>/s/ Arthur D. Chadwick</w:t>
            </w:r>
          </w:p>
        </w:tc>
      </w:tr>
      <w:tr>
        <w:trPr/>
        <w:tc>
          <w:tcPr>
            <w:tcW w:w="432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Arthur D. Chadwick</w:t>
            </w:r>
          </w:p>
        </w:tc>
      </w:tr>
      <w:tr>
        <w:trPr/>
        <w:tc>
          <w:tcPr>
            <w:tcW w:w="4320" w:type="dxa"/>
            <w:tcBorders/>
            <w:shd w:fill="auto" w:val="clear"/>
            <w:vAlign w:val="center"/>
          </w:tcPr>
          <w:p>
            <w:pPr>
              <w:pStyle w:val="TableContents"/>
              <w:spacing w:before="0" w:after="0"/>
              <w:ind w:left="0" w:right="14" w:hanging="0"/>
              <w:jc w:val="center"/>
              <w:rPr>
                <w:rFonts w:ascii="Times New Roman;serif" w:hAnsi="Times New Roman;serif"/>
                <w:b/>
                <w:sz w:val="20"/>
              </w:rPr>
            </w:pPr>
            <w:r>
              <w:rPr>
                <w:rFonts w:ascii="Times New Roman;serif" w:hAnsi="Times New Roman;serif"/>
                <w:b/>
                <w:sz w:val="20"/>
              </w:rPr>
              <w:t>Executive Vice President, Chief Financial Officer</w:t>
            </w:r>
          </w:p>
        </w:tc>
      </w:tr>
    </w:tbl>
    <w:p>
      <w:pPr>
        <w:pStyle w:val="TextBody"/>
        <w:spacing w:before="0" w:after="0"/>
        <w:jc w:val="left"/>
        <w:rPr/>
      </w:pPr>
      <w:r>
        <w:rPr/>
        <w:t>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1809/000119312519301287/d630610dex31.htm" TargetMode="External"/><Relationship Id="rId3" Type="http://schemas.openxmlformats.org/officeDocument/2006/relationships/hyperlink" Target="https://www.sec.gov/Archives/edgar/data/1451809/000156459021035069/sitm-ex32_6.htm" TargetMode="External"/><Relationship Id="rId4" Type="http://schemas.openxmlformats.org/officeDocument/2006/relationships/hyperlink" Target="https://www.sec.gov/Archives/edgar/data/0001451809/000119312519272678/d701682dex41.htm" TargetMode="External"/><Relationship Id="rId5" Type="http://schemas.openxmlformats.org/officeDocument/2006/relationships/hyperlink" Target="https://www.sec.gov/Archives/edgar/data/1451809/000156459021005867/sitm-ex42_644.htm" TargetMode="External"/><Relationship Id="rId6" Type="http://schemas.openxmlformats.org/officeDocument/2006/relationships/hyperlink" Target="https://www.sec.gov/Archives/edgar/data/1451809/000095017023004647/sitm-ex10_30.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33036</Words>
  <CharactersWithSpaces>215486</CharactersWithSpaces>
  <Paragraphs>4186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