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91188.xml.htm"/>
      <w:bookmarkStart w:id="1" w:name="kswkform4_17883911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VASHIST RAJESH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616"/>
        <w:gridCol w:w="1193"/>
        <w:gridCol w:w="997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357,544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31, 2026, the Reporting Person made a bona fide gift for estate planning purposes of 650 shares each of the Issuer's common stock to Aldebran Rajesh Family Dynasty Trust DTD 9/23/2021 and Aldebran Rohini Family Dynasty Trust DTD 9/23/2021,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an aggregate of 234,434 shares of common stock issuable pursuant to previously reported restricted stock units and performance-based restricted stock units that have not vested. These unvested units include 76,217 restricted stock units that vest over time, and 158,217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reportable securities are owned directly by Aldebran Constellation LLC, of which the Reporting Person is one of the managers and has voting and investment power over the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reportable securities are owned directly by Aldebran Rajesh Family Dynasty Trust DTD 09/23/2021, of which the Reporting Person is one of the managers and has voting and investment power over the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reportable securities are owned directly by Aldebran Rohini Family Dynasty Trust DTD 09/23/2021, of which the Reporting Person is one of the managers and has voting and investment power over the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9076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798</Words>
  <Characters>4343</Characters>
  <CharactersWithSpaces>5046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