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3820" w:right="1620" w:hanging="3799"/>
        <w:spacing w:after="0" w:line="289"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80" w:hanging="459"/>
        <w:spacing w:after="0" w:line="190"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64" w:lineRule="exact"/>
        <w:rPr>
          <w:sz w:val="24"/>
          <w:szCs w:val="24"/>
          <w:color w:val="auto"/>
        </w:rPr>
      </w:pPr>
    </w:p>
    <w:p>
      <w:pPr>
        <w:ind w:left="4080"/>
        <w:spacing w:after="0"/>
        <w:tabs>
          <w:tab w:leader="none" w:pos="6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6"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SiTime Corporation</w:t>
      </w:r>
    </w:p>
    <w:p>
      <w:pPr>
        <w:sectPr>
          <w:pgSz w:w="11900" w:h="16838" w:orient="portrait"/>
          <w:cols w:equalWidth="0" w:num="1">
            <w:col w:w="11240"/>
          </w:cols>
          <w:pgMar w:left="320" w:top="401" w:right="339" w:bottom="1440" w:gutter="0" w:footer="0" w:header="0"/>
        </w:sectPr>
      </w:pPr>
    </w:p>
    <w:p>
      <w:pPr>
        <w:spacing w:after="0" w:line="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Delaware</w:t>
      </w:r>
    </w:p>
    <w:p>
      <w:pPr>
        <w:ind w:left="2020"/>
        <w:spacing w:after="0" w:line="204"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02-0713868</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620" w:space="320"/>
            <w:col w:w="3300"/>
          </w:cols>
          <w:pgMar w:left="320" w:top="401" w:right="339" w:bottom="1440" w:gutter="0" w:footer="0" w:header="0"/>
          <w:type w:val="continuous"/>
        </w:sectPr>
      </w:pPr>
    </w:p>
    <w:p>
      <w:pPr>
        <w:ind w:left="1820"/>
        <w:spacing w:after="0"/>
        <w:rPr>
          <w:sz w:val="20"/>
          <w:szCs w:val="20"/>
          <w:color w:val="auto"/>
        </w:rPr>
      </w:pPr>
      <w:r>
        <w:rPr>
          <w:rFonts w:ascii="Arial" w:cs="Arial" w:eastAsia="Arial" w:hAnsi="Arial"/>
          <w:sz w:val="18"/>
          <w:szCs w:val="18"/>
          <w:b w:val="1"/>
          <w:bCs w:val="1"/>
          <w:color w:val="auto"/>
        </w:rPr>
        <w:t>5451 Patrick Henry Drive</w:t>
      </w:r>
    </w:p>
    <w:p>
      <w:pPr>
        <w:ind w:left="2180"/>
        <w:spacing w:after="0"/>
        <w:tabs>
          <w:tab w:leader="none" w:pos="8180" w:val="left"/>
        </w:tabs>
        <w:rPr>
          <w:sz w:val="20"/>
          <w:szCs w:val="20"/>
          <w:color w:val="auto"/>
        </w:rPr>
      </w:pPr>
      <w:r>
        <w:rPr>
          <w:rFonts w:ascii="Arial" w:cs="Arial" w:eastAsia="Arial" w:hAnsi="Arial"/>
          <w:sz w:val="18"/>
          <w:szCs w:val="18"/>
          <w:b w:val="1"/>
          <w:bCs w:val="1"/>
          <w:color w:val="auto"/>
        </w:rPr>
        <w:t>Santa Clara, CA</w:t>
      </w:r>
      <w:r>
        <w:rPr>
          <w:sz w:val="20"/>
          <w:szCs w:val="20"/>
          <w:color w:val="auto"/>
        </w:rPr>
        <w:tab/>
      </w:r>
      <w:r>
        <w:rPr>
          <w:rFonts w:ascii="Arial" w:cs="Arial" w:eastAsia="Arial" w:hAnsi="Arial"/>
          <w:sz w:val="16"/>
          <w:szCs w:val="16"/>
          <w:b w:val="1"/>
          <w:bCs w:val="1"/>
          <w:color w:val="auto"/>
        </w:rPr>
        <w:t>95054</w:t>
      </w:r>
    </w:p>
    <w:p>
      <w:pPr>
        <w:spacing w:after="0" w:line="3"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(408)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3820" w:type="dxa"/>
            <w:vAlign w:val="bottom"/>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12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SITM</w:t>
            </w:r>
          </w:p>
        </w:tc>
        <w:tc>
          <w:tcPr>
            <w:tcW w:w="10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40" w:lineRule="exact"/>
        <w:rPr>
          <w:sz w:val="24"/>
          <w:szCs w:val="24"/>
          <w:color w:val="auto"/>
        </w:rPr>
      </w:pPr>
    </w:p>
    <w:p>
      <w:pPr>
        <w:jc w:val="both"/>
        <w:ind w:firstLine="599"/>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ind w:right="100" w:firstLine="599"/>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jc w:val="both"/>
        <w:ind w:right="260" w:firstLine="599"/>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32"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right="202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29, 2022, the registrant had 21,041,857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gridSpan w:val="6"/>
            <w:vMerge w:val="restart"/>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Risk Factor Summary</w:t>
              </w:r>
            </w:hyperlink>
          </w:p>
        </w:tc>
        <w:tc>
          <w:tcPr>
            <w:tcW w:w="7680" w:type="dxa"/>
            <w:vAlign w:val="bottom"/>
            <w:gridSpan w:val="16"/>
            <w:vMerge w:val="restart"/>
          </w:tcPr>
          <w:p>
            <w:pPr>
              <w:spacing w:after="0"/>
              <w:rPr>
                <w:sz w:val="24"/>
                <w:szCs w:val="2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620" w:type="dxa"/>
            <w:vAlign w:val="bottom"/>
            <w:tcBorders>
              <w:bottom w:val="single" w:sz="8" w:color="0000EE"/>
            </w:tcBorders>
            <w:gridSpan w:val="6"/>
            <w:vMerge w:val="continue"/>
          </w:tcPr>
          <w:p>
            <w:pPr>
              <w:spacing w:after="0"/>
              <w:rPr>
                <w:sz w:val="13"/>
                <w:szCs w:val="13"/>
                <w:color w:val="auto"/>
              </w:rPr>
            </w:pPr>
          </w:p>
        </w:tc>
        <w:tc>
          <w:tcPr>
            <w:tcW w:w="7680" w:type="dxa"/>
            <w:vAlign w:val="bottom"/>
            <w:gridSpan w:val="16"/>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2"/>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83"/>
              </w:rPr>
            </w:pPr>
            <w:hyperlink w:anchor="page5">
              <w:r>
                <w:rPr>
                  <w:rFonts w:ascii="Arial" w:cs="Arial" w:eastAsia="Arial" w:hAnsi="Arial"/>
                  <w:sz w:val="18"/>
                  <w:szCs w:val="18"/>
                  <w:color w:val="0000FF"/>
                  <w:w w:val="83"/>
                </w:rPr>
                <w:t>Financial Statements (Unaudited)</w:t>
              </w:r>
            </w:hyperlink>
          </w:p>
        </w:tc>
        <w:tc>
          <w:tcPr>
            <w:tcW w:w="20" w:type="dxa"/>
            <w:vAlign w:val="bottom"/>
            <w:tcBorders>
              <w:top w:val="single" w:sz="8" w:color="0000EE"/>
              <w:bottom w:val="single" w:sz="8" w:color="0000FF"/>
            </w:tcBorders>
          </w:tcPr>
          <w:p>
            <w:pPr>
              <w:spacing w:after="0"/>
              <w:rPr>
                <w:sz w:val="14"/>
                <w:szCs w:val="14"/>
                <w:color w:val="auto"/>
              </w:rPr>
            </w:pPr>
          </w:p>
        </w:tc>
        <w:tc>
          <w:tcPr>
            <w:tcW w:w="140" w:type="dxa"/>
            <w:vAlign w:val="bottom"/>
            <w:tcBorders>
              <w:bottom w:val="single" w:sz="8" w:color="0000FF"/>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13"/>
          </w:tcPr>
          <w:p>
            <w:pPr>
              <w:spacing w:after="0" w:line="169"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w:t>
              </w:r>
            </w:hyperlink>
          </w:p>
        </w:tc>
        <w:tc>
          <w:tcPr>
            <w:tcW w:w="6860" w:type="dxa"/>
            <w:vAlign w:val="bottom"/>
            <w:gridSpan w:val="9"/>
          </w:tcPr>
          <w:p>
            <w:pPr>
              <w:ind w:left="40"/>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Sheets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tcBorders>
              <w:top w:val="single" w:sz="8" w:color="0000FF"/>
            </w:tcBorders>
            <w:gridSpan w:val="14"/>
          </w:tcPr>
          <w:p>
            <w:pPr>
              <w:spacing w:after="0" w:line="169"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w:t>
              </w:r>
            </w:hyperlink>
          </w:p>
        </w:tc>
        <w:tc>
          <w:tcPr>
            <w:tcW w:w="6360" w:type="dxa"/>
            <w:vAlign w:val="bottom"/>
            <w:gridSpan w:val="8"/>
          </w:tcPr>
          <w:p>
            <w:pPr>
              <w:spacing w:after="0" w:line="169" w:lineRule="exact"/>
              <w:rPr>
                <w:rFonts w:ascii="Arial" w:cs="Arial" w:eastAsia="Arial" w:hAnsi="Arial"/>
                <w:sz w:val="18"/>
                <w:szCs w:val="18"/>
                <w:color w:val="0000FF"/>
              </w:rPr>
            </w:pPr>
            <w:hyperlink w:anchor="page6">
              <w:r>
                <w:rPr>
                  <w:rFonts w:ascii="Arial" w:cs="Arial" w:eastAsia="Arial" w:hAnsi="Arial"/>
                  <w:sz w:val="18"/>
                  <w:szCs w:val="18"/>
                  <w:color w:val="0000FF"/>
                </w:rPr>
                <w:t>Operations and Comprehensive Income (Loss)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4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Stockholders’ Equity</w:t>
              </w:r>
            </w:hyperlink>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6"/>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0" w:type="dxa"/>
            <w:vAlign w:val="bottom"/>
            <w:tcBorders>
              <w:bottom w:val="single" w:sz="8" w:color="0000FF"/>
            </w:tcBorders>
            <w:gridSpan w:val="18"/>
          </w:tcPr>
          <w:p>
            <w:pPr>
              <w:spacing w:after="0" w:line="169"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4"/>
                <w:szCs w:val="14"/>
                <w:color w:val="auto"/>
              </w:rPr>
            </w:pPr>
          </w:p>
        </w:tc>
        <w:tc>
          <w:tcPr>
            <w:tcW w:w="4480" w:type="dxa"/>
            <w:vAlign w:val="bottom"/>
            <w:gridSpan w:val="3"/>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9300" w:type="dxa"/>
            <w:vAlign w:val="bottom"/>
            <w:gridSpan w:val="22"/>
          </w:tcPr>
          <w:p>
            <w:pPr>
              <w:spacing w:after="0" w:line="169" w:lineRule="exact"/>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w:anchor="page24">
              <w:r>
                <w:rPr>
                  <w:rFonts w:ascii="Arial" w:cs="Arial" w:eastAsia="Arial" w:hAnsi="Arial"/>
                  <w:sz w:val="18"/>
                  <w:szCs w:val="18"/>
                  <w:color w:val="0000FF"/>
                </w:rPr>
                <w:t>Quantitative and Qualitative Disclosures About Market Risk</w:t>
              </w:r>
            </w:hyperlink>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88"/>
              </w:rPr>
            </w:pPr>
            <w:hyperlink w:anchor="page24">
              <w:r>
                <w:rPr>
                  <w:rFonts w:ascii="Arial" w:cs="Arial" w:eastAsia="Arial" w:hAnsi="Arial"/>
                  <w:sz w:val="18"/>
                  <w:szCs w:val="18"/>
                  <w:color w:val="0000FF"/>
                  <w:w w:val="88"/>
                </w:rPr>
                <w:t>Controls and Procedures</w:t>
              </w:r>
            </w:hyperlink>
          </w:p>
        </w:tc>
        <w:tc>
          <w:tcPr>
            <w:tcW w:w="20" w:type="dxa"/>
            <w:vAlign w:val="bottom"/>
            <w:tcBorders>
              <w:top w:val="single" w:sz="8" w:color="0000FF"/>
              <w:bottom w:val="single" w:sz="8" w:color="0000EE"/>
            </w:tcBorders>
          </w:tcPr>
          <w:p>
            <w:pPr>
              <w:spacing w:after="0"/>
              <w:rPr>
                <w:sz w:val="14"/>
                <w:szCs w:val="14"/>
                <w:color w:val="auto"/>
              </w:rPr>
            </w:pPr>
          </w:p>
        </w:tc>
        <w:tc>
          <w:tcPr>
            <w:tcW w:w="2560" w:type="dxa"/>
            <w:vAlign w:val="bottom"/>
            <w:tcBorders>
              <w:top w:val="single" w:sz="8" w:color="0000FF"/>
            </w:tcBorders>
            <w:gridSpan w:val="8"/>
          </w:tcPr>
          <w:p>
            <w:pPr>
              <w:spacing w:after="0"/>
              <w:rPr>
                <w:sz w:val="14"/>
                <w:szCs w:val="14"/>
                <w:color w:val="auto"/>
              </w:rPr>
            </w:pPr>
          </w:p>
        </w:tc>
        <w:tc>
          <w:tcPr>
            <w:tcW w:w="494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8"/>
          </w:tcPr>
          <w:p>
            <w:pPr>
              <w:spacing w:after="0" w:line="169" w:lineRule="exact"/>
              <w:rPr>
                <w:rFonts w:ascii="Arial" w:cs="Arial" w:eastAsia="Arial" w:hAnsi="Arial"/>
                <w:sz w:val="18"/>
                <w:szCs w:val="18"/>
                <w:color w:val="0000FF"/>
                <w:w w:val="91"/>
              </w:rPr>
            </w:pPr>
            <w:hyperlink w:anchor="page25">
              <w:r>
                <w:rPr>
                  <w:rFonts w:ascii="Arial" w:cs="Arial" w:eastAsia="Arial" w:hAnsi="Arial"/>
                  <w:sz w:val="18"/>
                  <w:szCs w:val="18"/>
                  <w:color w:val="0000FF"/>
                  <w:w w:val="91"/>
                </w:rPr>
                <w:t>OTHER INFORMATION</w:t>
              </w:r>
            </w:hyperlink>
          </w:p>
        </w:tc>
        <w:tc>
          <w:tcPr>
            <w:tcW w:w="100" w:type="dxa"/>
            <w:vAlign w:val="bottom"/>
            <w:tcBorders>
              <w:bottom w:val="single" w:sz="8" w:color="0000FF"/>
            </w:tcBorders>
          </w:tcPr>
          <w:p>
            <w:pPr>
              <w:spacing w:after="0"/>
              <w:rPr>
                <w:sz w:val="14"/>
                <w:szCs w:val="14"/>
                <w:color w:val="auto"/>
              </w:rPr>
            </w:pPr>
          </w:p>
        </w:tc>
        <w:tc>
          <w:tcPr>
            <w:tcW w:w="7400" w:type="dxa"/>
            <w:vAlign w:val="bottom"/>
            <w:gridSpan w:val="13"/>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1900" w:type="dxa"/>
            <w:vAlign w:val="bottom"/>
            <w:gridSpan w:val="9"/>
          </w:tcPr>
          <w:p>
            <w:pPr>
              <w:spacing w:after="0" w:line="169" w:lineRule="exact"/>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7400" w:type="dxa"/>
            <w:vAlign w:val="bottom"/>
            <w:gridSpan w:val="13"/>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4"/>
                <w:szCs w:val="14"/>
                <w:color w:val="auto"/>
              </w:rPr>
            </w:pPr>
          </w:p>
        </w:tc>
        <w:tc>
          <w:tcPr>
            <w:tcW w:w="400" w:type="dxa"/>
            <w:vAlign w:val="bottom"/>
            <w:tcBorders>
              <w:top w:val="single" w:sz="8" w:color="0000FF"/>
            </w:tcBorders>
            <w:gridSpan w:val="2"/>
          </w:tcPr>
          <w:p>
            <w:pPr>
              <w:spacing w:after="0"/>
              <w:rPr>
                <w:sz w:val="14"/>
                <w:szCs w:val="14"/>
                <w:color w:val="auto"/>
              </w:rPr>
            </w:pPr>
          </w:p>
        </w:tc>
        <w:tc>
          <w:tcPr>
            <w:tcW w:w="7960" w:type="dxa"/>
            <w:vAlign w:val="bottom"/>
            <w:gridSpan w:val="17"/>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5</w:t>
            </w:r>
          </w:p>
        </w:tc>
        <w:tc>
          <w:tcPr>
            <w:tcW w:w="9300" w:type="dxa"/>
            <w:vAlign w:val="bottom"/>
            <w:gridSpan w:val="22"/>
          </w:tcPr>
          <w:p>
            <w:pPr>
              <w:spacing w:after="0" w:line="169" w:lineRule="exact"/>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7980" w:type="dxa"/>
            <w:vAlign w:val="bottom"/>
            <w:gridSpan w:val="18"/>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rFonts w:ascii="Arial" w:cs="Arial" w:eastAsia="Arial" w:hAnsi="Arial"/>
                <w:sz w:val="18"/>
                <w:szCs w:val="18"/>
                <w:color w:val="0000FF"/>
              </w:rPr>
            </w:pPr>
            <w:hyperlink w:anchor="page47">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Our business is subject to numerous risks, as more fully described in Part II, Item 1A titled “Risk Factors.”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74" w:lineRule="exact"/>
        <w:rPr>
          <w:sz w:val="20"/>
          <w:szCs w:val="20"/>
          <w:color w:val="auto"/>
        </w:rPr>
      </w:pPr>
    </w:p>
    <w:p>
      <w:pPr>
        <w:ind w:left="1020" w:right="5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uncertainty related to the ongoing COVID-19 pandemic could adversely impact our business, results of operations and financial condition, as well as the businesses of our suppliers and customers;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downturn in the worldwide economy may harm our business;</w:t>
      </w:r>
    </w:p>
    <w:p>
      <w:pPr>
        <w:spacing w:after="0" w:line="103" w:lineRule="exact"/>
        <w:rPr>
          <w:rFonts w:ascii="Arial" w:cs="Arial" w:eastAsia="Arial" w:hAnsi="Arial"/>
          <w:sz w:val="18"/>
          <w:szCs w:val="18"/>
          <w:color w:val="auto"/>
        </w:rPr>
      </w:pPr>
    </w:p>
    <w:p>
      <w:pPr>
        <w:ind w:left="1020" w:right="240" w:hanging="503"/>
        <w:spacing w:after="0" w:line="26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64"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operations is located outside of the United States, which subjects us to additional risks, including increased complexity and costs of managing international operations and geopolitical instability;</w:t>
      </w:r>
    </w:p>
    <w:p>
      <w:pPr>
        <w:spacing w:after="0" w:line="62" w:lineRule="exact"/>
        <w:rPr>
          <w:rFonts w:ascii="Arial" w:cs="Arial" w:eastAsia="Arial" w:hAnsi="Arial"/>
          <w:sz w:val="18"/>
          <w:szCs w:val="18"/>
          <w:color w:val="auto"/>
        </w:rPr>
      </w:pPr>
    </w:p>
    <w:p>
      <w:pPr>
        <w:ind w:left="1020" w:right="640" w:hanging="503"/>
        <w:spacing w:after="0" w:line="32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unable to expand or further diversify our customer base, our business, financial condition, and results of operations could suffer;</w:t>
      </w:r>
    </w:p>
    <w:p>
      <w:pPr>
        <w:spacing w:after="0" w:line="126" w:lineRule="exact"/>
        <w:rPr>
          <w:rFonts w:ascii="Arial" w:cs="Arial" w:eastAsia="Arial" w:hAnsi="Arial"/>
          <w:sz w:val="16"/>
          <w:szCs w:val="16"/>
          <w:color w:val="auto"/>
        </w:rPr>
      </w:pPr>
    </w:p>
    <w:p>
      <w:pPr>
        <w:ind w:left="1020" w:right="1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generally do not have long-term purchase commitments with our customers, and orders may be cancelled, reduced, or rescheduled with little or no notice, which in turn exposes us to inventory risk and may harm our operating results;</w:t>
      </w:r>
    </w:p>
    <w:p>
      <w:pPr>
        <w:spacing w:after="0" w:line="62" w:lineRule="exact"/>
        <w:rPr>
          <w:rFonts w:ascii="Arial" w:cs="Arial" w:eastAsia="Arial" w:hAnsi="Arial"/>
          <w:sz w:val="18"/>
          <w:szCs w:val="18"/>
          <w:color w:val="auto"/>
        </w:rPr>
      </w:pPr>
    </w:p>
    <w:p>
      <w:pPr>
        <w:ind w:left="1020" w:hanging="503"/>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and operating results may fluctuate from period to period due to, among other factors, the impact of the COVID-19 pandemic on our business as well as our suppliers and customers, customer demand, product life cycles, fluctuations in inventories held by our distributors or end customers, the gain or loss of significant customers, the availability of capacity in our supply chain, research and development costs, and product warranty claims. This in turn could cause our stock price to decline;</w:t>
      </w:r>
    </w:p>
    <w:p>
      <w:pPr>
        <w:spacing w:after="0" w:line="79"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38"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not able to successfully introduce and ship in volume new products in a timely manner, our business and revenue will suffer;</w:t>
      </w:r>
    </w:p>
    <w:p>
      <w:pPr>
        <w:spacing w:after="0" w:line="115" w:lineRule="exact"/>
        <w:rPr>
          <w:rFonts w:ascii="Arial" w:cs="Arial" w:eastAsia="Arial" w:hAnsi="Arial"/>
          <w:sz w:val="17"/>
          <w:szCs w:val="17"/>
          <w:color w:val="auto"/>
        </w:rPr>
      </w:pPr>
    </w:p>
    <w:p>
      <w:pPr>
        <w:ind w:left="1020" w:right="6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gross margins may fluctuate due to a variety of factors, which could negatively impact our results of operations and our financial condition;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in recent periods may not be indicative of future performance and our revenue may fluctuate over time;</w:t>
      </w:r>
    </w:p>
    <w:p>
      <w:pPr>
        <w:spacing w:after="0" w:line="103" w:lineRule="exact"/>
        <w:rPr>
          <w:rFonts w:ascii="Arial" w:cs="Arial" w:eastAsia="Arial" w:hAnsi="Arial"/>
          <w:sz w:val="18"/>
          <w:szCs w:val="18"/>
          <w:color w:val="auto"/>
        </w:rPr>
      </w:pPr>
    </w:p>
    <w:p>
      <w:pPr>
        <w:jc w:val="both"/>
        <w:ind w:left="1020" w:right="8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7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 a lifetime warranty on our products and may be subject to warranty or product liability claims, which could harm our reputation, result in unexpected expenses, and cause us to lose market share;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Defects in our products could harm our relationships with our customers and damage our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w:t>
      </w:r>
    </w:p>
    <w:p>
      <w:pPr>
        <w:spacing w:after="0" w:line="103"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compete effectively, we may lose or fail to gain market share, which could negatively impact our operating results and our business;</w:t>
      </w:r>
    </w:p>
    <w:p>
      <w:pPr>
        <w:spacing w:after="0" w:line="62"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accurately predict our future capital needs, and we may not be able to obtain additional financing to fund our operations;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seek, or be required to seek debt financing in the immediate or near term;</w:t>
      </w:r>
    </w:p>
    <w:p>
      <w:pPr>
        <w:spacing w:after="0" w:line="103" w:lineRule="exact"/>
        <w:rPr>
          <w:rFonts w:ascii="Arial" w:cs="Arial" w:eastAsia="Arial" w:hAnsi="Arial"/>
          <w:sz w:val="18"/>
          <w:szCs w:val="18"/>
          <w:color w:val="auto"/>
        </w:rPr>
      </w:pPr>
    </w:p>
    <w:p>
      <w:pPr>
        <w:ind w:left="503" w:right="14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significant tariffs or other trade restrictions are placed on our products or third-party suppliers, our revenue and results of operations may be materially harmed;</w:t>
      </w:r>
    </w:p>
    <w:p>
      <w:pPr>
        <w:spacing w:after="0" w:line="62" w:lineRule="exact"/>
        <w:rPr>
          <w:rFonts w:ascii="Arial" w:cs="Arial" w:eastAsia="Arial" w:hAnsi="Arial"/>
          <w:sz w:val="18"/>
          <w:szCs w:val="18"/>
          <w:color w:val="auto"/>
        </w:rPr>
      </w:pPr>
    </w:p>
    <w:p>
      <w:pPr>
        <w:ind w:left="503" w:right="32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the laws associated with our activities outside of the United States could subject us to penalties and other adverse consequences;</w:t>
      </w:r>
    </w:p>
    <w:p>
      <w:pPr>
        <w:spacing w:after="0" w:line="62" w:lineRule="exact"/>
        <w:rPr>
          <w:rFonts w:ascii="Arial" w:cs="Arial" w:eastAsia="Arial" w:hAnsi="Arial"/>
          <w:sz w:val="18"/>
          <w:szCs w:val="18"/>
          <w:color w:val="auto"/>
        </w:rPr>
      </w:pPr>
    </w:p>
    <w:p>
      <w:pPr>
        <w:ind w:left="503" w:right="50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government regulation, including import, export and economic sanctions laws and regulations that may expose us to liability and increase our costs;</w:t>
      </w:r>
    </w:p>
    <w:p>
      <w:pPr>
        <w:spacing w:after="0" w:line="62" w:lineRule="exact"/>
        <w:rPr>
          <w:rFonts w:ascii="Arial" w:cs="Arial" w:eastAsia="Arial" w:hAnsi="Arial"/>
          <w:sz w:val="18"/>
          <w:szCs w:val="18"/>
          <w:color w:val="auto"/>
        </w:rPr>
      </w:pPr>
    </w:p>
    <w:p>
      <w:pPr>
        <w:ind w:left="503" w:right="8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or future changes to U.S. and non-U.S. tax laws, or tax regulatory authorities disagreeing with our positions and conclusions regarding certain tax positions, could materially adversely affect us;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or other disruptions of our security systems may damage our reputation and adversely affect our business;</w:t>
      </w:r>
    </w:p>
    <w:p>
      <w:pPr>
        <w:spacing w:after="0" w:line="103" w:lineRule="exact"/>
        <w:rPr>
          <w:rFonts w:ascii="Arial" w:cs="Arial" w:eastAsia="Arial" w:hAnsi="Arial"/>
          <w:sz w:val="18"/>
          <w:szCs w:val="18"/>
          <w:color w:val="auto"/>
        </w:rPr>
      </w:pPr>
    </w:p>
    <w:p>
      <w:pPr>
        <w:jc w:val="both"/>
        <w:ind w:left="503" w:right="120" w:hanging="503"/>
        <w:spacing w:after="0" w:line="248"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73" w:lineRule="exact"/>
        <w:rPr>
          <w:rFonts w:ascii="Arial" w:cs="Arial" w:eastAsia="Arial" w:hAnsi="Arial"/>
          <w:sz w:val="18"/>
          <w:szCs w:val="18"/>
          <w:color w:val="auto"/>
        </w:rPr>
      </w:pPr>
    </w:p>
    <w:p>
      <w:pPr>
        <w:ind w:left="503" w:hanging="503"/>
        <w:spacing w:after="0" w:line="243"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w:t>
      </w:r>
    </w:p>
    <w:p>
      <w:pPr>
        <w:spacing w:after="0" w:line="79"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future sales of our common stock could cause the market price of our common stock to decline; and</w:t>
      </w:r>
    </w:p>
    <w:p>
      <w:pPr>
        <w:spacing w:after="0" w:line="103" w:lineRule="exact"/>
        <w:rPr>
          <w:rFonts w:ascii="Arial" w:cs="Arial" w:eastAsia="Arial" w:hAnsi="Arial"/>
          <w:sz w:val="18"/>
          <w:szCs w:val="18"/>
          <w:color w:val="auto"/>
        </w:rPr>
      </w:pPr>
    </w:p>
    <w:p>
      <w:pPr>
        <w:ind w:left="503" w:right="4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49"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436"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jc w:val="center"/>
        <w:spacing w:after="0" w:line="234"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5"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4"/>
                <w:szCs w:val="14"/>
                <w:color w:val="auto"/>
              </w:rPr>
            </w:pPr>
          </w:p>
        </w:tc>
        <w:tc>
          <w:tcPr>
            <w:tcW w:w="1440" w:type="dxa"/>
            <w:vAlign w:val="bottom"/>
          </w:tcPr>
          <w:p>
            <w:pPr>
              <w:jc w:val="right"/>
              <w:ind w:right="131"/>
              <w:spacing w:after="0"/>
              <w:rPr>
                <w:sz w:val="20"/>
                <w:szCs w:val="20"/>
                <w:color w:val="auto"/>
              </w:rPr>
            </w:pPr>
            <w:r>
              <w:rPr>
                <w:rFonts w:ascii="Arial" w:cs="Arial" w:eastAsia="Arial" w:hAnsi="Arial"/>
                <w:sz w:val="14"/>
                <w:szCs w:val="14"/>
                <w:b w:val="1"/>
                <w:bCs w:val="1"/>
                <w:color w:val="auto"/>
                <w:w w:val="95"/>
              </w:rPr>
              <w:t>December 31, 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571,454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559,461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30,651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38,376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30,753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23,630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4,890</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637,748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625,943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44,211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37,902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4,393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assets, net</w:t>
            </w:r>
          </w:p>
        </w:tc>
        <w:tc>
          <w:tcPr>
            <w:tcW w:w="2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11,478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8,194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218</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380"/>
              <w:spacing w:after="0" w:line="182"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698,048</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678,209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12,508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21,565</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24,282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34,073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37,385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Lease liabilities</w:t>
            </w:r>
          </w:p>
        </w:tc>
        <w:tc>
          <w:tcPr>
            <w:tcW w:w="2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8,941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6,398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1,160</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1,929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44,174</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45,712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9)</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$0.0001 par value - 200,000 shares authorized;</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21,042 and 20,825 shares issued and outstanding at</w:t>
            </w:r>
          </w:p>
        </w:tc>
        <w:tc>
          <w:tcPr>
            <w:tcW w:w="22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March 31, 2022 and December 31, 2021</w:t>
            </w:r>
          </w:p>
        </w:tc>
        <w:tc>
          <w:tcPr>
            <w:tcW w:w="220" w:type="dxa"/>
            <w:vAlign w:val="bottom"/>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678,851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663,614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(24,979 )</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(31,119 )</w:t>
            </w: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653,874</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632,497</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698,048</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678,209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-2379345</wp:posOffset>
            </wp:positionV>
            <wp:extent cx="5143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-2379345</wp:posOffset>
            </wp:positionV>
            <wp:extent cx="514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-1308100</wp:posOffset>
            </wp:positionV>
            <wp:extent cx="514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-1308100</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-296545</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51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15240</wp:posOffset>
            </wp:positionV>
            <wp:extent cx="21945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8" w:lineRule="exact"/>
        <w:rPr>
          <w:sz w:val="20"/>
          <w:szCs w:val="20"/>
          <w:color w:val="auto"/>
        </w:rPr>
      </w:pPr>
    </w:p>
    <w:p>
      <w:pPr>
        <w:ind w:left="8360"/>
        <w:spacing w:after="0"/>
        <w:tabs>
          <w:tab w:leader="none" w:pos="102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620" w:type="dxa"/>
            <w:vAlign w:val="bottom"/>
            <w:tcBorders>
              <w:top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70,253</w:t>
            </w:r>
          </w:p>
        </w:tc>
        <w:tc>
          <w:tcPr>
            <w:tcW w:w="24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35,542</w:t>
            </w:r>
          </w:p>
        </w:tc>
        <w:tc>
          <w:tcPr>
            <w:tcW w:w="80" w:type="dxa"/>
            <w:vAlign w:val="bottom"/>
            <w:shd w:val="clear" w:color="auto" w:fill="CFF0FC"/>
          </w:tcPr>
          <w:p>
            <w:pPr>
              <w:spacing w:after="0"/>
              <w:rPr>
                <w:sz w:val="17"/>
                <w:szCs w:val="17"/>
                <w:color w:val="auto"/>
              </w:rPr>
            </w:pPr>
          </w:p>
        </w:tc>
      </w:tr>
      <w:tr>
        <w:trPr>
          <w:trHeight w:val="218"/>
        </w:trPr>
        <w:tc>
          <w:tcPr>
            <w:tcW w:w="77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25,020</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16,725</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p>
      <w:pPr>
        <w:ind w:left="20"/>
        <w:spacing w:after="0" w:line="234" w:lineRule="auto"/>
        <w:rPr>
          <w:sz w:val="20"/>
          <w:szCs w:val="20"/>
          <w:color w:val="auto"/>
        </w:rPr>
      </w:pPr>
      <w:r>
        <w:rPr>
          <w:rFonts w:ascii="Arial" w:cs="Arial" w:eastAsia="Arial" w:hAnsi="Arial"/>
          <w:sz w:val="18"/>
          <w:szCs w:val="18"/>
          <w:color w:val="auto"/>
        </w:rPr>
        <w:t>Gross profit</w:t>
      </w:r>
    </w:p>
    <w:p>
      <w:pPr>
        <w:ind w:left="20"/>
        <w:spacing w:after="0" w:line="235" w:lineRule="auto"/>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Research and development</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Total operating expenses</w:t>
      </w:r>
    </w:p>
    <w:p>
      <w:pPr>
        <w:ind w:left="20"/>
        <w:spacing w:after="0"/>
        <w:rPr>
          <w:sz w:val="20"/>
          <w:szCs w:val="20"/>
          <w:color w:val="auto"/>
        </w:rPr>
      </w:pPr>
      <w:r>
        <w:rPr>
          <w:rFonts w:ascii="Arial" w:cs="Arial" w:eastAsia="Arial" w:hAnsi="Arial"/>
          <w:sz w:val="18"/>
          <w:szCs w:val="18"/>
          <w:color w:val="auto"/>
        </w:rPr>
        <w:t>Income (loss)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Other income (expense), net</w:t>
      </w:r>
    </w:p>
    <w:p>
      <w:pPr>
        <w:ind w:left="2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Income tax expense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60" w:right="2700" w:hanging="134"/>
        <w:spacing w:after="0" w:line="219" w:lineRule="auto"/>
        <w:rPr>
          <w:sz w:val="20"/>
          <w:szCs w:val="20"/>
          <w:color w:val="auto"/>
        </w:rPr>
      </w:pPr>
      <w:r>
        <w:rPr>
          <w:rFonts w:ascii="Arial" w:cs="Arial" w:eastAsia="Arial" w:hAnsi="Arial"/>
          <w:sz w:val="18"/>
          <w:szCs w:val="18"/>
          <w:color w:val="auto"/>
        </w:rPr>
        <w:t>Net income (loss) attributable to common stockholders and comprehensive loss</w:t>
      </w:r>
    </w:p>
    <w:p>
      <w:pPr>
        <w:ind w:left="20"/>
        <w:spacing w:after="0" w:line="203" w:lineRule="auto"/>
        <w:rPr>
          <w:sz w:val="20"/>
          <w:szCs w:val="20"/>
          <w:color w:val="auto"/>
        </w:rPr>
      </w:pPr>
      <w:r>
        <w:rPr>
          <w:rFonts w:ascii="Arial" w:cs="Arial" w:eastAsia="Arial" w:hAnsi="Arial"/>
          <w:sz w:val="18"/>
          <w:szCs w:val="18"/>
          <w:color w:val="auto"/>
        </w:rPr>
        <w:t>Net income (loss) per share attributable to common</w:t>
      </w:r>
    </w:p>
    <w:p>
      <w:pPr>
        <w:ind w:left="160"/>
        <w:spacing w:after="0" w:line="235" w:lineRule="auto"/>
        <w:rPr>
          <w:sz w:val="20"/>
          <w:szCs w:val="20"/>
          <w:color w:val="auto"/>
        </w:rPr>
      </w:pPr>
      <w:r>
        <w:rPr>
          <w:rFonts w:ascii="Arial" w:cs="Arial" w:eastAsia="Arial" w:hAnsi="Arial"/>
          <w:sz w:val="18"/>
          <w:szCs w:val="18"/>
          <w:color w:val="auto"/>
        </w:rPr>
        <w:t>stockholders,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
        <w:spacing w:after="0" w:line="204" w:lineRule="auto"/>
        <w:rPr>
          <w:sz w:val="20"/>
          <w:szCs w:val="20"/>
          <w:color w:val="auto"/>
        </w:rPr>
      </w:pPr>
      <w:r>
        <w:rPr>
          <w:rFonts w:ascii="Arial" w:cs="Arial" w:eastAsia="Arial" w:hAnsi="Arial"/>
          <w:sz w:val="18"/>
          <w:szCs w:val="18"/>
          <w:color w:val="auto"/>
        </w:rPr>
        <w:t>Net income (loss) per share attributable to common</w:t>
      </w:r>
    </w:p>
    <w:p>
      <w:pPr>
        <w:ind w:left="160"/>
        <w:spacing w:after="0" w:line="234" w:lineRule="auto"/>
        <w:rPr>
          <w:sz w:val="20"/>
          <w:szCs w:val="20"/>
          <w:color w:val="auto"/>
        </w:rPr>
      </w:pPr>
      <w:r>
        <w:rPr>
          <w:rFonts w:ascii="Arial" w:cs="Arial" w:eastAsia="Arial" w:hAnsi="Arial"/>
          <w:sz w:val="18"/>
          <w:szCs w:val="18"/>
          <w:color w:val="auto"/>
        </w:rPr>
        <w:t>stockholders, diluted</w:t>
      </w:r>
    </w:p>
    <w:p>
      <w:pPr>
        <w:ind w:left="20"/>
        <w:spacing w:after="0" w:line="204" w:lineRule="auto"/>
        <w:rPr>
          <w:sz w:val="20"/>
          <w:szCs w:val="20"/>
          <w:color w:val="auto"/>
        </w:rPr>
      </w:pPr>
      <w:r>
        <w:rPr>
          <w:rFonts w:ascii="Arial" w:cs="Arial" w:eastAsia="Arial" w:hAnsi="Arial"/>
          <w:sz w:val="18"/>
          <w:szCs w:val="18"/>
          <w:color w:val="auto"/>
        </w:rPr>
        <w:t>Weighted-average shares used to compute basic</w:t>
      </w:r>
    </w:p>
    <w:p>
      <w:pPr>
        <w:ind w:left="160"/>
        <w:spacing w:after="0" w:line="235" w:lineRule="auto"/>
        <w:rPr>
          <w:sz w:val="20"/>
          <w:szCs w:val="20"/>
          <w:color w:val="auto"/>
        </w:rPr>
      </w:pPr>
      <w:r>
        <w:rPr>
          <w:rFonts w:ascii="Arial" w:cs="Arial" w:eastAsia="Arial" w:hAnsi="Arial"/>
          <w:sz w:val="18"/>
          <w:szCs w:val="18"/>
          <w:color w:val="auto"/>
        </w:rPr>
        <w:t>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
        <w:spacing w:after="0" w:line="203" w:lineRule="auto"/>
        <w:rPr>
          <w:sz w:val="20"/>
          <w:szCs w:val="20"/>
          <w:color w:val="auto"/>
        </w:rPr>
      </w:pPr>
      <w:r>
        <w:rPr>
          <w:rFonts w:ascii="Arial" w:cs="Arial" w:eastAsia="Arial" w:hAnsi="Arial"/>
          <w:sz w:val="18"/>
          <w:szCs w:val="18"/>
          <w:color w:val="auto"/>
        </w:rPr>
        <w:t>Weighted-average shares used to compute diluted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income (loss)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45,233</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6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20,595</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11,180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18,578</w:t>
            </w:r>
          </w:p>
        </w:tc>
        <w:tc>
          <w:tcPr>
            <w:tcW w:w="2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39,173</w:t>
            </w: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22,303</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6,060</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(3,486</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182"/>
        </w:trPr>
        <w:tc>
          <w:tcPr>
            <w:tcW w:w="6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6,208</w:t>
            </w:r>
          </w:p>
        </w:tc>
        <w:tc>
          <w:tcPr>
            <w:tcW w:w="2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(3,525</w:t>
            </w:r>
          </w:p>
        </w:tc>
        <w:tc>
          <w:tcPr>
            <w:tcW w:w="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(68 )</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196"/>
        </w:trPr>
        <w:tc>
          <w:tcPr>
            <w:tcW w:w="62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6,140</w:t>
            </w:r>
          </w:p>
        </w:tc>
        <w:tc>
          <w:tcPr>
            <w:tcW w:w="2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(3,565</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6,140</w:t>
            </w:r>
          </w:p>
        </w:tc>
        <w:tc>
          <w:tcPr>
            <w:tcW w:w="240" w:type="dxa"/>
            <w:vAlign w:val="bottom"/>
          </w:tcPr>
          <w:p>
            <w:pPr>
              <w:spacing w:after="0"/>
              <w:rPr>
                <w:sz w:val="24"/>
                <w:szCs w:val="24"/>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(3,565 )</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Pr>
          <w:p>
            <w:pPr>
              <w:spacing w:after="0"/>
              <w:rPr>
                <w:sz w:val="24"/>
                <w:szCs w:val="24"/>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(0.20 )</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0.27</w:t>
            </w:r>
          </w:p>
        </w:tc>
        <w:tc>
          <w:tcPr>
            <w:tcW w:w="240" w:type="dxa"/>
            <w:vAlign w:val="bottom"/>
          </w:tcPr>
          <w:p>
            <w:pPr>
              <w:spacing w:after="0"/>
              <w:rPr>
                <w:sz w:val="24"/>
                <w:szCs w:val="24"/>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(0.20 )</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20,921</w:t>
            </w:r>
          </w:p>
        </w:tc>
        <w:tc>
          <w:tcPr>
            <w:tcW w:w="2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22,703</w:t>
            </w:r>
          </w:p>
        </w:tc>
        <w:tc>
          <w:tcPr>
            <w:tcW w:w="2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ectPr>
          <w:pgSz w:w="11900" w:h="16838" w:orient="portrait"/>
          <w:cols w:equalWidth="0" w:num="2">
            <w:col w:w="6980" w:space="720"/>
            <w:col w:w="3540"/>
          </w:cols>
          <w:pgMar w:left="320" w:top="324" w:right="339" w:bottom="1440" w:gutter="0" w:footer="0" w:header="0"/>
          <w:type w:val="continuous"/>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100" w:type="dxa"/>
            <w:vAlign w:val="bottom"/>
            <w:gridSpan w:val="3"/>
            <w:vMerge w:val="restart"/>
          </w:tcPr>
          <w:p>
            <w:pPr>
              <w:jc w:val="right"/>
              <w:ind w:right="37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14"/>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5120" w:type="dxa"/>
            <w:vAlign w:val="bottom"/>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Balances at December 31, 2021</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20,825</w:t>
            </w:r>
          </w:p>
        </w:tc>
        <w:tc>
          <w:tcPr>
            <w:tcW w:w="1020" w:type="dxa"/>
            <w:vAlign w:val="bottom"/>
            <w:gridSpan w:val="2"/>
            <w:shd w:val="clear" w:color="auto" w:fill="CFF0FC"/>
          </w:tcPr>
          <w:p>
            <w:pPr>
              <w:jc w:val="right"/>
              <w:ind w:right="65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663,614</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(31,119 )</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632,497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15,237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15,237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6,140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Issuance of shares upon vesting of restricted stock units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Balances at March 31, 2022</w:t>
            </w: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21,042</w:t>
            </w:r>
          </w:p>
        </w:tc>
        <w:tc>
          <w:tcPr>
            <w:tcW w:w="1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56"/>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678,851</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(24,979</w:t>
            </w:r>
          </w:p>
        </w:tc>
        <w:tc>
          <w:tcPr>
            <w:tcW w:w="18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653,874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080" w:type="dxa"/>
            <w:vAlign w:val="bottom"/>
          </w:tcPr>
          <w:p>
            <w:pPr>
              <w:jc w:val="right"/>
              <w:spacing w:after="0"/>
              <w:rPr>
                <w:sz w:val="20"/>
                <w:szCs w:val="20"/>
                <w:color w:val="auto"/>
              </w:rPr>
            </w:pPr>
            <w:r>
              <w:rPr>
                <w:rFonts w:ascii="Arial" w:cs="Arial" w:eastAsia="Arial" w:hAnsi="Arial"/>
                <w:sz w:val="18"/>
                <w:szCs w:val="18"/>
                <w:color w:val="auto"/>
              </w:rPr>
              <w:t>17,150</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173,274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(63,396 )</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109,880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7,366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7,366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(3,565 )</w:t>
            </w:r>
          </w:p>
        </w:tc>
        <w:tc>
          <w:tcPr>
            <w:tcW w:w="1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(3,565 )</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Issuance of common stock upon follow-on public offering net of</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181,588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181,588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underwriting discounts and commissions and other offering costs</w:t>
            </w:r>
          </w:p>
        </w:tc>
        <w:tc>
          <w:tcPr>
            <w:tcW w:w="10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20"/>
              <w:spacing w:after="0" w:line="162" w:lineRule="exact"/>
              <w:rPr>
                <w:sz w:val="20"/>
                <w:szCs w:val="20"/>
                <w:color w:val="auto"/>
              </w:rPr>
            </w:pPr>
            <w:r>
              <w:rPr>
                <w:rFonts w:ascii="Arial" w:cs="Arial" w:eastAsia="Arial" w:hAnsi="Arial"/>
                <w:sz w:val="18"/>
                <w:szCs w:val="18"/>
                <w:color w:val="auto"/>
                <w:w w:val="95"/>
              </w:rPr>
              <w:t>Issuance of shares upon vesting of restricted stock units, net of tax</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withholdings</w:t>
            </w:r>
          </w:p>
        </w:tc>
        <w:tc>
          <w:tcPr>
            <w:tcW w:w="10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Balances at March 31, 2021</w:t>
            </w: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18,840</w:t>
            </w:r>
          </w:p>
        </w:tc>
        <w:tc>
          <w:tcPr>
            <w:tcW w:w="1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56"/>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362,228</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(66,961</w:t>
            </w:r>
          </w:p>
        </w:tc>
        <w:tc>
          <w:tcPr>
            <w:tcW w:w="18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295,269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-1173480</wp:posOffset>
            </wp:positionV>
            <wp:extent cx="43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-1156970</wp:posOffset>
            </wp:positionV>
            <wp:extent cx="43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-1173480</wp:posOffset>
            </wp:positionV>
            <wp:extent cx="4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-1156970</wp:posOffset>
            </wp:positionV>
            <wp:extent cx="431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-1173480</wp:posOffset>
            </wp:positionV>
            <wp:extent cx="342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-1156970</wp:posOffset>
            </wp:positionV>
            <wp:extent cx="34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-1173480</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-1156970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-1173480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-1156970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43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431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-25400</wp:posOffset>
            </wp:positionV>
            <wp:extent cx="431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431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342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Arial" w:cs="Arial" w:eastAsia="Arial" w:hAnsi="Arial"/>
                <w:sz w:val="17"/>
                <w:szCs w:val="17"/>
                <w:color w:val="auto"/>
              </w:rPr>
              <w:t>Net income (loss)</w:t>
            </w:r>
          </w:p>
        </w:tc>
        <w:tc>
          <w:tcPr>
            <w:tcW w:w="980" w:type="dxa"/>
            <w:vAlign w:val="bottom"/>
          </w:tcPr>
          <w:p>
            <w:pPr>
              <w:jc w:val="right"/>
              <w:ind w:right="801"/>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6,140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799"/>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(3,565 )</w:t>
            </w:r>
          </w:p>
        </w:tc>
      </w:tr>
      <w:tr>
        <w:trPr>
          <w:trHeight w:val="158"/>
        </w:trPr>
        <w:tc>
          <w:tcPr>
            <w:tcW w:w="772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Adjustments to reconcile net loss to net cash provided by</w:t>
            </w:r>
          </w:p>
        </w:tc>
        <w:tc>
          <w:tcPr>
            <w:tcW w:w="9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20"/>
        </w:trPr>
        <w:tc>
          <w:tcPr>
            <w:tcW w:w="7720" w:type="dxa"/>
            <w:vAlign w:val="bottom"/>
            <w:shd w:val="clear" w:color="auto" w:fill="CFF0FC"/>
          </w:tcPr>
          <w:p>
            <w:pPr>
              <w:ind w:left="320"/>
              <w:spacing w:after="0"/>
              <w:rPr>
                <w:sz w:val="20"/>
                <w:szCs w:val="20"/>
                <w:color w:val="auto"/>
              </w:rPr>
            </w:pPr>
            <w:r>
              <w:rPr>
                <w:rFonts w:ascii="Arial" w:cs="Arial" w:eastAsia="Arial" w:hAnsi="Arial"/>
                <w:sz w:val="17"/>
                <w:szCs w:val="17"/>
                <w:color w:val="auto"/>
              </w:rPr>
              <w:t>operating activities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02"/>
        </w:trPr>
        <w:tc>
          <w:tcPr>
            <w:tcW w:w="7720" w:type="dxa"/>
            <w:vAlign w:val="bottom"/>
          </w:tcPr>
          <w:p>
            <w:pPr>
              <w:ind w:left="380"/>
              <w:spacing w:after="0"/>
              <w:rPr>
                <w:sz w:val="20"/>
                <w:szCs w:val="20"/>
                <w:color w:val="auto"/>
              </w:rPr>
            </w:pPr>
            <w:r>
              <w:rPr>
                <w:rFonts w:ascii="Arial" w:cs="Arial" w:eastAsia="Arial" w:hAnsi="Arial"/>
                <w:sz w:val="17"/>
                <w:szCs w:val="17"/>
                <w:color w:val="auto"/>
              </w:rPr>
              <w:t>Depreciation and amortization expense</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1,617</w:t>
            </w:r>
          </w:p>
        </w:tc>
        <w:tc>
          <w:tcPr>
            <w:tcW w:w="80" w:type="dxa"/>
            <w:vAlign w:val="bottom"/>
          </w:tcPr>
          <w:p>
            <w:pPr>
              <w:spacing w:after="0"/>
              <w:rPr>
                <w:sz w:val="17"/>
                <w:szCs w:val="17"/>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Stock-based compensation expense</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14,280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6,660</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7"/>
                <w:szCs w:val="17"/>
                <w:color w:val="auto"/>
              </w:rPr>
              <w:t>Changes in assets and liabilities: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72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receivable, net</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7,725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1,706</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560"/>
              <w:spacing w:after="0"/>
              <w:rPr>
                <w:sz w:val="20"/>
                <w:szCs w:val="20"/>
                <w:color w:val="auto"/>
              </w:rPr>
            </w:pPr>
            <w:r>
              <w:rPr>
                <w:rFonts w:ascii="Arial" w:cs="Arial" w:eastAsia="Arial" w:hAnsi="Arial"/>
                <w:sz w:val="17"/>
                <w:szCs w:val="17"/>
                <w:color w:val="auto"/>
              </w:rPr>
              <w:t>Related party accounts receivable</w:t>
            </w:r>
          </w:p>
        </w:tc>
        <w:tc>
          <w:tcPr>
            <w:tcW w:w="980" w:type="dxa"/>
            <w:vAlign w:val="bottom"/>
          </w:tcPr>
          <w:p>
            <w:pPr>
              <w:spacing w:after="0"/>
              <w:rPr>
                <w:sz w:val="17"/>
                <w:szCs w:val="17"/>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(240 )</w:t>
            </w:r>
          </w:p>
        </w:tc>
      </w:tr>
      <w:tr>
        <w:trPr>
          <w:trHeight w:val="203"/>
        </w:trPr>
        <w:tc>
          <w:tcPr>
            <w:tcW w:w="7720" w:type="dxa"/>
            <w:vAlign w:val="bottom"/>
            <w:shd w:val="clear" w:color="auto" w:fill="CFF0FC"/>
          </w:tcPr>
          <w:p>
            <w:pPr>
              <w:ind w:left="560"/>
              <w:spacing w:after="0"/>
              <w:rPr>
                <w:sz w:val="20"/>
                <w:szCs w:val="20"/>
                <w:color w:val="auto"/>
              </w:rPr>
            </w:pPr>
            <w:r>
              <w:rPr>
                <w:rFonts w:ascii="Arial" w:cs="Arial" w:eastAsia="Arial" w:hAnsi="Arial"/>
                <w:sz w:val="17"/>
                <w:szCs w:val="17"/>
                <w:color w:val="auto"/>
              </w:rPr>
              <w:t>Inventories</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(7,123 )</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(2,630 )</w:t>
            </w:r>
          </w:p>
        </w:tc>
      </w:tr>
      <w:tr>
        <w:trPr>
          <w:trHeight w:val="203"/>
        </w:trPr>
        <w:tc>
          <w:tcPr>
            <w:tcW w:w="7720" w:type="dxa"/>
            <w:vAlign w:val="bottom"/>
          </w:tcPr>
          <w:p>
            <w:pPr>
              <w:ind w:left="560"/>
              <w:spacing w:after="0"/>
              <w:rPr>
                <w:sz w:val="20"/>
                <w:szCs w:val="20"/>
                <w:color w:val="auto"/>
              </w:rPr>
            </w:pPr>
            <w:r>
              <w:rPr>
                <w:rFonts w:ascii="Arial" w:cs="Arial" w:eastAsia="Arial" w:hAnsi="Arial"/>
                <w:sz w:val="17"/>
                <w:szCs w:val="17"/>
                <w:color w:val="auto"/>
              </w:rPr>
              <w:t>Prepaid expenses and other assets</w:t>
            </w:r>
          </w:p>
        </w:tc>
        <w:tc>
          <w:tcPr>
            <w:tcW w:w="9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(330 )</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72</w:t>
            </w:r>
          </w:p>
        </w:tc>
        <w:tc>
          <w:tcPr>
            <w:tcW w:w="80" w:type="dxa"/>
            <w:vAlign w:val="bottom"/>
          </w:tcPr>
          <w:p>
            <w:pPr>
              <w:spacing w:after="0"/>
              <w:rPr>
                <w:sz w:val="17"/>
                <w:szCs w:val="17"/>
                <w:color w:val="auto"/>
              </w:rPr>
            </w:pPr>
          </w:p>
        </w:tc>
      </w:tr>
      <w:tr>
        <w:trPr>
          <w:trHeight w:val="203"/>
        </w:trPr>
        <w:tc>
          <w:tcPr>
            <w:tcW w:w="772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payable</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(1,515 )</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1,748</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560"/>
              <w:spacing w:after="0"/>
              <w:rPr>
                <w:sz w:val="20"/>
                <w:szCs w:val="20"/>
                <w:color w:val="auto"/>
              </w:rPr>
            </w:pPr>
            <w:r>
              <w:rPr>
                <w:rFonts w:ascii="Arial" w:cs="Arial" w:eastAsia="Arial" w:hAnsi="Arial"/>
                <w:sz w:val="17"/>
                <w:szCs w:val="17"/>
                <w:color w:val="auto"/>
              </w:rPr>
              <w:t>Accrued expenses and other liabilities</w:t>
            </w:r>
          </w:p>
        </w:tc>
        <w:tc>
          <w:tcPr>
            <w:tcW w:w="9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(1,693 )</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707</w:t>
            </w:r>
          </w:p>
        </w:tc>
        <w:tc>
          <w:tcPr>
            <w:tcW w:w="80" w:type="dxa"/>
            <w:vAlign w:val="bottom"/>
          </w:tcPr>
          <w:p>
            <w:pPr>
              <w:spacing w:after="0"/>
              <w:rPr>
                <w:sz w:val="17"/>
                <w:szCs w:val="17"/>
                <w:color w:val="auto"/>
              </w:rPr>
            </w:pPr>
          </w:p>
        </w:tc>
      </w:tr>
      <w:tr>
        <w:trPr>
          <w:trHeight w:val="183"/>
        </w:trPr>
        <w:tc>
          <w:tcPr>
            <w:tcW w:w="7720" w:type="dxa"/>
            <w:vAlign w:val="bottom"/>
            <w:tcBorders>
              <w:top w:val="single" w:sz="8" w:color="CFF0FC"/>
              <w:bottom w:val="single" w:sz="8" w:color="CFF0FC"/>
            </w:tcBorders>
            <w:shd w:val="clear" w:color="auto" w:fill="CFF0FC"/>
          </w:tcPr>
          <w:p>
            <w:pPr>
              <w:ind w:left="740"/>
              <w:spacing w:after="0" w:line="183" w:lineRule="exact"/>
              <w:rPr>
                <w:sz w:val="20"/>
                <w:szCs w:val="20"/>
                <w:color w:val="auto"/>
              </w:rPr>
            </w:pPr>
            <w:r>
              <w:rPr>
                <w:rFonts w:ascii="Arial" w:cs="Arial" w:eastAsia="Arial" w:hAnsi="Arial"/>
                <w:sz w:val="17"/>
                <w:szCs w:val="17"/>
                <w:color w:val="auto"/>
              </w:rPr>
              <w:t>Net cash provided by operating activities</w:t>
            </w:r>
          </w:p>
        </w:tc>
        <w:tc>
          <w:tcPr>
            <w:tcW w:w="98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20,028</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6,075</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96"/>
        </w:trPr>
        <w:tc>
          <w:tcPr>
            <w:tcW w:w="772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 of property and equipment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(7,452 )</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(3,866 )</w:t>
            </w:r>
          </w:p>
        </w:tc>
      </w:tr>
      <w:tr>
        <w:trPr>
          <w:trHeight w:val="203"/>
        </w:trPr>
        <w:tc>
          <w:tcPr>
            <w:tcW w:w="7720" w:type="dxa"/>
            <w:vAlign w:val="bottom"/>
          </w:tcPr>
          <w:p>
            <w:pPr>
              <w:ind w:left="200"/>
              <w:spacing w:after="0"/>
              <w:rPr>
                <w:sz w:val="20"/>
                <w:szCs w:val="20"/>
                <w:color w:val="auto"/>
              </w:rPr>
            </w:pPr>
            <w:r>
              <w:rPr>
                <w:rFonts w:ascii="Arial" w:cs="Arial" w:eastAsia="Arial" w:hAnsi="Arial"/>
                <w:sz w:val="17"/>
                <w:szCs w:val="17"/>
                <w:color w:val="auto"/>
              </w:rPr>
              <w:t>Cash paid for intangibles</w:t>
            </w:r>
          </w:p>
        </w:tc>
        <w:tc>
          <w:tcPr>
            <w:tcW w:w="9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(583 )</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(370 )</w:t>
            </w:r>
          </w:p>
        </w:tc>
      </w:tr>
      <w:tr>
        <w:trPr>
          <w:trHeight w:val="196"/>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investing activities</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(8,035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(4,236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72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8"/>
        </w:trPr>
        <w:tc>
          <w:tcPr>
            <w:tcW w:w="772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Proceeds from public offering, net of underwriting</w:t>
            </w:r>
          </w:p>
        </w:tc>
        <w:tc>
          <w:tcPr>
            <w:tcW w:w="9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20"/>
        </w:trPr>
        <w:tc>
          <w:tcPr>
            <w:tcW w:w="77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discounts and commissions</w:t>
            </w:r>
          </w:p>
        </w:tc>
        <w:tc>
          <w:tcPr>
            <w:tcW w:w="9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181,928</w:t>
            </w:r>
          </w:p>
        </w:tc>
        <w:tc>
          <w:tcPr>
            <w:tcW w:w="80" w:type="dxa"/>
            <w:vAlign w:val="bottom"/>
            <w:shd w:val="clear" w:color="auto" w:fill="CFF0FC"/>
          </w:tcPr>
          <w:p>
            <w:pPr>
              <w:spacing w:after="0"/>
              <w:rPr>
                <w:sz w:val="19"/>
                <w:szCs w:val="19"/>
                <w:color w:val="auto"/>
              </w:rPr>
            </w:pPr>
          </w:p>
        </w:tc>
      </w:tr>
      <w:tr>
        <w:trPr>
          <w:trHeight w:val="203"/>
        </w:trPr>
        <w:tc>
          <w:tcPr>
            <w:tcW w:w="7720" w:type="dxa"/>
            <w:vAlign w:val="bottom"/>
          </w:tcPr>
          <w:p>
            <w:pPr>
              <w:ind w:left="200"/>
              <w:spacing w:after="0"/>
              <w:rPr>
                <w:sz w:val="20"/>
                <w:szCs w:val="20"/>
                <w:color w:val="auto"/>
              </w:rPr>
            </w:pPr>
            <w:r>
              <w:rPr>
                <w:rFonts w:ascii="Arial" w:cs="Arial" w:eastAsia="Arial" w:hAnsi="Arial"/>
                <w:sz w:val="17"/>
                <w:szCs w:val="17"/>
                <w:color w:val="auto"/>
              </w:rPr>
              <w:t>Payments for offering costs</w:t>
            </w:r>
          </w:p>
        </w:tc>
        <w:tc>
          <w:tcPr>
            <w:tcW w:w="980" w:type="dxa"/>
            <w:vAlign w:val="bottom"/>
          </w:tcPr>
          <w:p>
            <w:pPr>
              <w:spacing w:after="0"/>
              <w:rPr>
                <w:sz w:val="17"/>
                <w:szCs w:val="17"/>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(340 )</w:t>
            </w:r>
          </w:p>
        </w:tc>
      </w:tr>
      <w:tr>
        <w:trPr>
          <w:trHeight w:val="183"/>
        </w:trPr>
        <w:tc>
          <w:tcPr>
            <w:tcW w:w="7720" w:type="dxa"/>
            <w:vAlign w:val="bottom"/>
            <w:tcBorders>
              <w:top w:val="single" w:sz="8" w:color="CFF0FC"/>
              <w:bottom w:val="single" w:sz="8" w:color="CFF0FC"/>
            </w:tcBorders>
            <w:shd w:val="clear" w:color="auto" w:fill="CFF0FC"/>
          </w:tcPr>
          <w:p>
            <w:pPr>
              <w:ind w:left="740"/>
              <w:spacing w:after="0" w:line="183" w:lineRule="exact"/>
              <w:rPr>
                <w:sz w:val="20"/>
                <w:szCs w:val="20"/>
                <w:color w:val="auto"/>
              </w:rPr>
            </w:pPr>
            <w:r>
              <w:rPr>
                <w:rFonts w:ascii="Arial" w:cs="Arial" w:eastAsia="Arial" w:hAnsi="Arial"/>
                <w:sz w:val="17"/>
                <w:szCs w:val="17"/>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w w:val="94"/>
              </w:rPr>
              <w:t>181,588</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96"/>
        </w:trPr>
        <w:tc>
          <w:tcPr>
            <w:tcW w:w="7720" w:type="dxa"/>
            <w:vAlign w:val="bottom"/>
          </w:tcPr>
          <w:p>
            <w:pPr>
              <w:ind w:left="740"/>
              <w:spacing w:after="0"/>
              <w:rPr>
                <w:sz w:val="20"/>
                <w:szCs w:val="20"/>
                <w:color w:val="auto"/>
              </w:rPr>
            </w:pPr>
            <w:r>
              <w:rPr>
                <w:rFonts w:ascii="Arial" w:cs="Arial" w:eastAsia="Arial" w:hAnsi="Arial"/>
                <w:sz w:val="17"/>
                <w:szCs w:val="17"/>
                <w:color w:val="auto"/>
              </w:rPr>
              <w:t>Net increase in cash and cash equivalents</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11,993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4"/>
              </w:rPr>
              <w:t>183,427</w:t>
            </w:r>
          </w:p>
        </w:tc>
        <w:tc>
          <w:tcPr>
            <w:tcW w:w="80" w:type="dxa"/>
            <w:vAlign w:val="bottom"/>
          </w:tcPr>
          <w:p>
            <w:pPr>
              <w:spacing w:after="0"/>
              <w:rPr>
                <w:sz w:val="17"/>
                <w:szCs w:val="17"/>
                <w:color w:val="auto"/>
              </w:rPr>
            </w:pPr>
          </w:p>
        </w:tc>
      </w:tr>
      <w:tr>
        <w:trPr>
          <w:trHeight w:val="202"/>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and cash equivalents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Arial" w:cs="Arial" w:eastAsia="Arial" w:hAnsi="Arial"/>
                <w:sz w:val="17"/>
                <w:szCs w:val="17"/>
                <w:color w:val="auto"/>
              </w:rPr>
              <w:t>Beginning of period</w:t>
            </w: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559,461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73,525</w:t>
            </w:r>
          </w:p>
        </w:tc>
        <w:tc>
          <w:tcPr>
            <w:tcW w:w="80" w:type="dxa"/>
            <w:vAlign w:val="bottom"/>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End of period</w:t>
            </w:r>
          </w:p>
        </w:tc>
        <w:tc>
          <w:tcPr>
            <w:tcW w:w="98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4"/>
              </w:rPr>
              <w:t>571,454</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4"/>
              </w:rPr>
              <w:t>256,952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72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Income taxes paid</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 of noncash flow information</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Unpaid property and equipment</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1,436</w:t>
            </w:r>
          </w:p>
        </w:tc>
        <w:tc>
          <w:tcPr>
            <w:tcW w:w="80" w:type="dxa"/>
            <w:vAlign w:val="bottom"/>
            <w:shd w:val="clear" w:color="auto" w:fill="CFF0FC"/>
          </w:tcPr>
          <w:p>
            <w:pPr>
              <w:spacing w:after="0"/>
              <w:rPr>
                <w:sz w:val="17"/>
                <w:szCs w:val="17"/>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7"/>
                <w:szCs w:val="17"/>
                <w:color w:val="auto"/>
              </w:rPr>
              <w:t>Right-of-use assets acquired under operating leases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322</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-2515235</wp:posOffset>
            </wp:positionV>
            <wp:extent cx="76835"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-2515235</wp:posOffset>
            </wp:positionV>
            <wp:extent cx="76835"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-1839595</wp:posOffset>
            </wp:positionV>
            <wp:extent cx="5143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-1839595</wp:posOffset>
            </wp:positionV>
            <wp:extent cx="5143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-1349375</wp:posOffset>
            </wp:positionV>
            <wp:extent cx="76835"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-1349375</wp:posOffset>
            </wp:positionV>
            <wp:extent cx="7683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-676910</wp:posOffset>
            </wp:positionV>
            <wp:extent cx="51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-659765</wp:posOffset>
            </wp:positionV>
            <wp:extent cx="51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-676910</wp:posOffset>
            </wp:positionV>
            <wp:extent cx="51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-659765</wp:posOffset>
            </wp:positionV>
            <wp:extent cx="51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SITIME CORPORATION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08"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SiTime Corporation (the “Company”) was incorporated in the State of Delaware in December 2003. The Company is a provider of silicon timing systems. The Company primarily supplies oscillator products that comprise a MEMS resonator and clock IC that is integrated into a package, as well as standalone resonators. The Company has also started to sample clock ICs. The Company’s products are designed to address a wide range of applications across a broad array of end markets. The Company operates a fabless business model and leverages its global network of distributors and resellers to address the broad set of end markets that it serves.</w:t>
      </w:r>
    </w:p>
    <w:p>
      <w:pPr>
        <w:spacing w:after="0" w:line="8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of a normal, recurring nature, which are necessary to state fairly the financial information included therein. These financial statements should be read in conjunction with the audited consolidated financial statements and related notes thereto included in SiTime Corporation's Annual Report on Form 10-K for the fiscal year ended December 31, 2021. The year-end condensed balance sheet data was derived from audited financial statements, but does not include all disclosures required by GAAP.</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Outbreak of Coronavirus Disease 2019 (“the COVID-19 pandemic”)</w:t>
      </w:r>
    </w:p>
    <w:p>
      <w:pPr>
        <w:spacing w:after="0" w:line="108"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On March 11, 2020, the World Health Organization characterized the outbreak of the coronavirus disease known as COVID-19 as a global pandemic and recommended containment and mitigation measures. On March 13, 2020, the United States declared a national emergency concerning the outbreak, and several states and municipalities have declared public health emergencies. To combat the spread of the COVID-19 pandemic, the United States and other foreign countries in which the Company operates have imposed measures such as quarantines and “shelter-in-place” orders that are restricting business operations and travel and requiring individuals to work from home (“WFH”), which has impacted all aspects of the Company’s business as well as those of the third-parties the Company relies upon for manufacturing, assembly, testing, shipping and other operations.</w:t>
      </w:r>
    </w:p>
    <w:p>
      <w:pPr>
        <w:spacing w:after="0" w:line="5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Since 2021, the Company experienced a growth in demand for some of its products, however, there are a number of industry-wide supply constraints affecting the supply of analog circuits manufactured by certain foundries, and affecting outsourced semiconductor assembly and test providers, which has limited and may continue to limit the Company's ability to fully satisfy the increase in demand. If the Company cannot ship its products to its customers on time and in the quantity required as a result of this supply constraint the Company's sales could decline and the Company could lose customers. As a result of the COVID-19 pandemic the Company has also experienced some delay and disruption in the manufacture, shipment, and sales of its products. In addition, the production capabilities of the Company's suppliers have been, and will likely continue to be, impacted as a result of quarantines, closures of production facilities, lack of supplies, or delays caused by restrictions on travel or WFH orders.</w:t>
      </w:r>
    </w:p>
    <w:p>
      <w:pPr>
        <w:spacing w:after="0" w:line="5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COVID-19 pandemic has negatively impacted business activity across the globe and has impacted the Company's employees and operations. The inputs into the Company’s judgments and estimates consider the economic implications of the COVID-19 pandemic, as the Company knows them, on the Company’s critical and significant accounting estimates. The extent to which the COVID-19 pandemic may impact the Company’s business will depend on future developments, which are highly uncertain, including the future effects of the COVID-19 pandemic on its employees, customers, suppliers, results of operations, financial condition, or liquidity for 2022 and beyond. To date, the Company has experienced minimal impact from any supplier disruption resulting from COVID-19.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08"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 Company’s significant accounting policies are disclosed in the Company’s audited consolidated financial statements and related notes thereto included in the Annual Report on Form 10-K for the year ended December 31, 2021. There had been no changes to these accounting policies.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are no new accounting pronouncements that are pending to be adopted by the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Net Income (Loss)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computation of basic and diluted net loss (income) per share attributable to common stockholders of the Company: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7640" w:type="dxa"/>
            <w:vAlign w:val="bottom"/>
          </w:tcPr>
          <w:p>
            <w:pPr>
              <w:spacing w:after="0"/>
              <w:rPr>
                <w:sz w:val="14"/>
                <w:szCs w:val="14"/>
                <w:color w:val="auto"/>
              </w:rPr>
            </w:pPr>
          </w:p>
        </w:tc>
        <w:tc>
          <w:tcPr>
            <w:tcW w:w="29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 attributable to common stockholders</w:t>
            </w:r>
          </w:p>
        </w:tc>
        <w:tc>
          <w:tcPr>
            <w:tcW w:w="1080" w:type="dxa"/>
            <w:vAlign w:val="bottom"/>
            <w:shd w:val="clear" w:color="auto" w:fill="CFF0FC"/>
          </w:tcPr>
          <w:p>
            <w:pPr>
              <w:jc w:val="right"/>
              <w:ind w:right="879"/>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6,140</w:t>
            </w:r>
          </w:p>
        </w:tc>
        <w:tc>
          <w:tcPr>
            <w:tcW w:w="1300" w:type="dxa"/>
            <w:vAlign w:val="bottom"/>
            <w:gridSpan w:val="2"/>
            <w:shd w:val="clear" w:color="auto" w:fill="CFF0FC"/>
          </w:tcPr>
          <w:p>
            <w:pPr>
              <w:jc w:val="right"/>
              <w:ind w:right="879"/>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(3,565 )</w:t>
            </w:r>
          </w:p>
        </w:tc>
      </w:tr>
      <w:tr>
        <w:trPr>
          <w:trHeight w:val="183"/>
        </w:trPr>
        <w:tc>
          <w:tcPr>
            <w:tcW w:w="76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Weighted-average shares outstanding</w:t>
            </w:r>
          </w:p>
        </w:tc>
        <w:tc>
          <w:tcPr>
            <w:tcW w:w="10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Weighted average shares used to compute basic net income (loss) per share</w:t>
            </w:r>
          </w:p>
        </w:tc>
        <w:tc>
          <w:tcPr>
            <w:tcW w:w="10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20,921</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17,868</w:t>
            </w:r>
          </w:p>
        </w:tc>
        <w:tc>
          <w:tcPr>
            <w:tcW w:w="80" w:type="dxa"/>
            <w:vAlign w:val="bottom"/>
            <w:shd w:val="clear" w:color="auto" w:fill="CFF0FC"/>
          </w:tcPr>
          <w:p>
            <w:pPr>
              <w:spacing w:after="0"/>
              <w:rPr>
                <w:sz w:val="17"/>
                <w:szCs w:val="17"/>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Dilutive effect of employee equity incentive plans</w:t>
            </w:r>
          </w:p>
        </w:tc>
        <w:tc>
          <w:tcPr>
            <w:tcW w:w="10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1,782</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6"/>
        </w:trPr>
        <w:tc>
          <w:tcPr>
            <w:tcW w:w="76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Weighted average shares used to compute diluted net income (loss) per share</w:t>
            </w:r>
          </w:p>
        </w:tc>
        <w:tc>
          <w:tcPr>
            <w:tcW w:w="10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22,703</w:t>
            </w:r>
          </w:p>
        </w:tc>
        <w:tc>
          <w:tcPr>
            <w:tcW w:w="24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17,868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40" w:type="dxa"/>
            <w:vAlign w:val="bottom"/>
          </w:tcPr>
          <w:p>
            <w:pPr>
              <w:ind w:left="200"/>
              <w:spacing w:after="0" w:line="183" w:lineRule="exact"/>
              <w:rPr>
                <w:sz w:val="20"/>
                <w:szCs w:val="20"/>
                <w:color w:val="auto"/>
              </w:rPr>
            </w:pPr>
            <w:r>
              <w:rPr>
                <w:rFonts w:ascii="Arial" w:cs="Arial" w:eastAsia="Arial" w:hAnsi="Arial"/>
                <w:sz w:val="18"/>
                <w:szCs w:val="18"/>
                <w:color w:val="auto"/>
              </w:rPr>
              <w:t>Net income (loss) attributable to common stockholders per share, basic</w:t>
            </w:r>
          </w:p>
        </w:tc>
        <w:tc>
          <w:tcPr>
            <w:tcW w:w="1080" w:type="dxa"/>
            <w:vAlign w:val="bottom"/>
          </w:tcPr>
          <w:p>
            <w:pPr>
              <w:jc w:val="right"/>
              <w:ind w:right="879"/>
              <w:spacing w:after="0" w:line="183"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83" w:lineRule="exact"/>
              <w:rPr>
                <w:sz w:val="20"/>
                <w:szCs w:val="20"/>
                <w:color w:val="auto"/>
              </w:rPr>
            </w:pPr>
            <w:r>
              <w:rPr>
                <w:rFonts w:ascii="Arial" w:cs="Arial" w:eastAsia="Arial" w:hAnsi="Arial"/>
                <w:sz w:val="18"/>
                <w:szCs w:val="18"/>
                <w:color w:val="auto"/>
              </w:rPr>
              <w:t>0.29</w:t>
            </w:r>
          </w:p>
        </w:tc>
        <w:tc>
          <w:tcPr>
            <w:tcW w:w="1300" w:type="dxa"/>
            <w:vAlign w:val="bottom"/>
            <w:gridSpan w:val="2"/>
          </w:tcPr>
          <w:p>
            <w:pPr>
              <w:jc w:val="right"/>
              <w:ind w:right="879"/>
              <w:spacing w:after="0" w:line="183"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(0.20 )</w:t>
            </w:r>
          </w:p>
        </w:tc>
      </w:tr>
      <w:tr>
        <w:trPr>
          <w:trHeight w:val="20"/>
        </w:trPr>
        <w:tc>
          <w:tcPr>
            <w:tcW w:w="7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64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8"/>
                <w:szCs w:val="18"/>
                <w:color w:val="auto"/>
              </w:rPr>
              <w:t>Net income (loss) attributable to common stockholders per share, diluted</w:t>
            </w:r>
          </w:p>
        </w:tc>
        <w:tc>
          <w:tcPr>
            <w:tcW w:w="1080" w:type="dxa"/>
            <w:vAlign w:val="bottom"/>
            <w:tcBorders>
              <w:bottom w:val="single" w:sz="8" w:color="auto"/>
            </w:tcBorders>
            <w:shd w:val="clear" w:color="auto" w:fill="CFF0FC"/>
          </w:tcPr>
          <w:p>
            <w:pPr>
              <w:jc w:val="right"/>
              <w:ind w:right="879"/>
              <w:spacing w:after="0" w:line="183"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0.27</w:t>
            </w:r>
          </w:p>
        </w:tc>
        <w:tc>
          <w:tcPr>
            <w:tcW w:w="2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9"/>
              <w:spacing w:after="0" w:line="183"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(0.20</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-882015</wp:posOffset>
            </wp:positionV>
            <wp:extent cx="43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-864870</wp:posOffset>
            </wp:positionV>
            <wp:extent cx="43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-882015</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-864870</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-333375</wp:posOffset>
            </wp:positionV>
            <wp:extent cx="4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-316230</wp:posOffset>
            </wp:positionV>
            <wp:extent cx="43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-333375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-316230</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Potential dilutive securities include dilutive common shares from share-based awards attributable to the assumed exercise of restricted stock unit awards using the treasury stock method. Under the treasury stock method, potential common shares outstanding are not included in the computation of diluted net income per share if their effect is anti-dilutive.</w:t>
      </w:r>
    </w:p>
    <w:p>
      <w:pPr>
        <w:spacing w:after="0" w:line="27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months ended March 31, 2022 and 2021, the Company had 3,211 potential shares and 2,201,903 potential shares from share-based awards that are anti-dilutive, respectively. Anti-dilutive potential shares from share-based awards are excluded from the calculation of diluted loss per share for the three months ended March 31, 2021 due to the net loss reported in this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carrying amounts of the Company’s financial instruments, which include cash equivalents, accounts receivable, accounts payable, accrued liabilities, and other current liabilities, approximate their fair values due to their short maturities.</w:t>
      </w:r>
    </w:p>
    <w:p>
      <w:pPr>
        <w:spacing w:after="0" w:line="6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March 31, 2022 and December 31, 2021, cash balances in bank checking and savings accounts of $201.2 million and $339.3 million, respectively, were valued using Level 1 of the fair value hierarchy. On March 31, 2022 and December 31, 2021, highly liquid money market funds and treasury bills of $370.3 million and $220.2 million, respectively, were valued using Level 1 of the fair value hierarchy, quoted prices in active markets for identical assets, and are included in cash equivalents.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1"/>
              </w:rPr>
              <w:t>As of</w:t>
            </w: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December 31, 2021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gridSpan w:val="4"/>
          </w:tcPr>
          <w:p>
            <w:pPr>
              <w:jc w:val="center"/>
              <w:ind w:left="57"/>
              <w:spacing w:after="0"/>
              <w:rPr>
                <w:sz w:val="20"/>
                <w:szCs w:val="20"/>
                <w:color w:val="auto"/>
              </w:rPr>
            </w:pPr>
            <w:r>
              <w:rPr>
                <w:rFonts w:ascii="Arial" w:cs="Arial" w:eastAsia="Arial" w:hAnsi="Arial"/>
                <w:sz w:val="14"/>
                <w:szCs w:val="14"/>
                <w:b w:val="1"/>
                <w:bCs w:val="1"/>
                <w:color w:val="auto"/>
                <w:w w:val="91"/>
              </w:rPr>
              <w:t>(in thousands)</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receivable, gross</w:t>
            </w:r>
          </w:p>
        </w:tc>
        <w:tc>
          <w:tcPr>
            <w:tcW w:w="4100" w:type="dxa"/>
            <w:vAlign w:val="bottom"/>
            <w:gridSpan w:val="3"/>
            <w:shd w:val="clear" w:color="auto" w:fill="CFF0FC"/>
          </w:tcPr>
          <w:p>
            <w:pPr>
              <w:jc w:val="right"/>
              <w:ind w:right="1388"/>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30,701</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38,426</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Allowance for credit losses</w:t>
            </w: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(50 )</w:t>
            </w:r>
          </w:p>
        </w:tc>
        <w:tc>
          <w:tcPr>
            <w:tcW w:w="360" w:type="dxa"/>
            <w:vAlign w:val="bottom"/>
          </w:tcPr>
          <w:p>
            <w:pPr>
              <w:spacing w:after="0"/>
              <w:rPr>
                <w:sz w:val="17"/>
                <w:szCs w:val="17"/>
                <w:color w:val="auto"/>
              </w:rPr>
            </w:pPr>
          </w:p>
        </w:tc>
        <w:tc>
          <w:tcPr>
            <w:tcW w:w="1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6"/>
        </w:trPr>
        <w:tc>
          <w:tcPr>
            <w:tcW w:w="4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Accounts receivable, net</w:t>
            </w:r>
          </w:p>
        </w:tc>
        <w:tc>
          <w:tcPr>
            <w:tcW w:w="25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gridSpan w:val="2"/>
            <w:shd w:val="clear" w:color="auto" w:fill="CFF0FC"/>
          </w:tcPr>
          <w:p>
            <w:pPr>
              <w:jc w:val="right"/>
              <w:ind w:right="1388"/>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30,651</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38,376</w:t>
            </w:r>
          </w:p>
        </w:tc>
        <w:tc>
          <w:tcPr>
            <w:tcW w:w="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18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1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left="77"/>
              <w:spacing w:after="0"/>
              <w:rPr>
                <w:sz w:val="20"/>
                <w:szCs w:val="20"/>
                <w:color w:val="auto"/>
              </w:rPr>
            </w:pPr>
            <w:r>
              <w:rPr>
                <w:rFonts w:ascii="Arial" w:cs="Arial" w:eastAsia="Arial" w:hAnsi="Arial"/>
                <w:sz w:val="14"/>
                <w:szCs w:val="14"/>
                <w:b w:val="1"/>
                <w:bCs w:val="1"/>
                <w:color w:val="auto"/>
                <w:w w:val="85"/>
              </w:rPr>
              <w:t>As of</w:t>
            </w:r>
          </w:p>
        </w:tc>
        <w:tc>
          <w:tcPr>
            <w:tcW w:w="1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8"/>
              </w:rPr>
              <w:t>December 31, 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gridSpan w:val="4"/>
          </w:tcPr>
          <w:p>
            <w:pPr>
              <w:jc w:val="center"/>
              <w:ind w:left="77"/>
              <w:spacing w:after="0"/>
              <w:rPr>
                <w:sz w:val="20"/>
                <w:szCs w:val="20"/>
                <w:color w:val="auto"/>
              </w:rPr>
            </w:pPr>
            <w:r>
              <w:rPr>
                <w:rFonts w:ascii="Arial" w:cs="Arial" w:eastAsia="Arial" w:hAnsi="Arial"/>
                <w:sz w:val="14"/>
                <w:szCs w:val="14"/>
                <w:b w:val="1"/>
                <w:bCs w:val="1"/>
                <w:color w:val="auto"/>
                <w:w w:val="89"/>
              </w:rPr>
              <w:t>(in thousands)</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Raw materials</w:t>
            </w:r>
          </w:p>
        </w:tc>
        <w:tc>
          <w:tcPr>
            <w:tcW w:w="4100" w:type="dxa"/>
            <w:vAlign w:val="bottom"/>
            <w:gridSpan w:val="3"/>
            <w:shd w:val="clear" w:color="auto" w:fill="CFF0FC"/>
          </w:tcPr>
          <w:p>
            <w:pPr>
              <w:jc w:val="right"/>
              <w:ind w:right="1368"/>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3,848</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1,841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Work in progress</w:t>
            </w: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4"/>
              </w:rPr>
              <w:t>19,945</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16,963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Finished goods</w:t>
            </w:r>
          </w:p>
        </w:tc>
        <w:tc>
          <w:tcPr>
            <w:tcW w:w="25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6,960</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4,826</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line="196" w:lineRule="exact"/>
              <w:rPr>
                <w:sz w:val="20"/>
                <w:szCs w:val="20"/>
                <w:color w:val="auto"/>
              </w:rPr>
            </w:pPr>
            <w:r>
              <w:rPr>
                <w:rFonts w:ascii="Arial" w:cs="Arial" w:eastAsia="Arial" w:hAnsi="Arial"/>
                <w:sz w:val="18"/>
                <w:szCs w:val="18"/>
                <w:color w:val="auto"/>
              </w:rPr>
              <w:t>Total inventories</w:t>
            </w:r>
          </w:p>
        </w:tc>
        <w:tc>
          <w:tcPr>
            <w:tcW w:w="4100" w:type="dxa"/>
            <w:vAlign w:val="bottom"/>
            <w:gridSpan w:val="3"/>
          </w:tcPr>
          <w:p>
            <w:pPr>
              <w:jc w:val="right"/>
              <w:ind w:right="1368"/>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30,753</w:t>
            </w:r>
          </w:p>
        </w:tc>
        <w:tc>
          <w:tcPr>
            <w:tcW w:w="26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23,630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40" w:type="dxa"/>
            <w:vAlign w:val="bottom"/>
            <w:vMerge w:val="restart"/>
          </w:tcPr>
          <w:p>
            <w:pPr>
              <w:jc w:val="right"/>
              <w:ind w:right="970"/>
              <w:spacing w:after="0"/>
              <w:rPr>
                <w:sz w:val="20"/>
                <w:szCs w:val="20"/>
                <w:color w:val="auto"/>
              </w:rPr>
            </w:pPr>
            <w:r>
              <w:rPr>
                <w:rFonts w:ascii="Arial" w:cs="Arial" w:eastAsia="Arial" w:hAnsi="Arial"/>
                <w:sz w:val="18"/>
                <w:szCs w:val="18"/>
                <w:color w:val="auto"/>
              </w:rPr>
              <w:t>8</w:t>
            </w:r>
          </w:p>
        </w:tc>
        <w:tc>
          <w:tcPr>
            <w:tcW w:w="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1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18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-1919605</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-1902460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-1919605</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-1902460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-553720</wp:posOffset>
            </wp:positionV>
            <wp:extent cx="431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-553720</wp:posOffset>
            </wp:positionV>
            <wp:extent cx="431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left="1296"/>
              <w:spacing w:after="0"/>
              <w:rPr>
                <w:sz w:val="20"/>
                <w:szCs w:val="20"/>
                <w:color w:val="auto"/>
              </w:rPr>
            </w:pPr>
            <w:r>
              <w:rPr>
                <w:rFonts w:ascii="Arial" w:cs="Arial" w:eastAsia="Arial" w:hAnsi="Arial"/>
                <w:sz w:val="14"/>
                <w:szCs w:val="14"/>
                <w:b w:val="1"/>
                <w:bCs w:val="1"/>
                <w:color w:val="auto"/>
                <w:w w:val="85"/>
              </w:rPr>
              <w:t>As of</w:t>
            </w:r>
          </w:p>
        </w:tc>
        <w:tc>
          <w:tcPr>
            <w:tcW w:w="1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Pr>
          <w:p>
            <w:pPr>
              <w:spacing w:after="0"/>
              <w:rPr>
                <w:sz w:val="14"/>
                <w:szCs w:val="14"/>
                <w:color w:val="auto"/>
              </w:rPr>
            </w:pPr>
          </w:p>
        </w:tc>
      </w:tr>
      <w:tr>
        <w:trPr>
          <w:trHeight w:val="196"/>
        </w:trPr>
        <w:tc>
          <w:tcPr>
            <w:tcW w:w="6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gridSpan w:val="4"/>
          </w:tcPr>
          <w:p>
            <w:pPr>
              <w:jc w:val="center"/>
              <w:ind w:left="1296"/>
              <w:spacing w:after="0"/>
              <w:rPr>
                <w:sz w:val="20"/>
                <w:szCs w:val="20"/>
                <w:color w:val="auto"/>
              </w:rPr>
            </w:pPr>
            <w:r>
              <w:rPr>
                <w:rFonts w:ascii="Arial" w:cs="Arial" w:eastAsia="Arial" w:hAnsi="Arial"/>
                <w:sz w:val="14"/>
                <w:szCs w:val="14"/>
                <w:b w:val="1"/>
                <w:bCs w:val="1"/>
                <w:color w:val="auto"/>
                <w:w w:val="89"/>
              </w:rPr>
              <w:t>(in thousands)</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w:t>
            </w:r>
          </w:p>
        </w:tc>
        <w:tc>
          <w:tcPr>
            <w:tcW w:w="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3,078</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2,398</w:t>
            </w:r>
          </w:p>
        </w:tc>
        <w:tc>
          <w:tcPr>
            <w:tcW w:w="60" w:type="dxa"/>
            <w:vAlign w:val="bottom"/>
            <w:shd w:val="clear" w:color="auto" w:fill="CFF0FC"/>
          </w:tcPr>
          <w:p>
            <w:pPr>
              <w:spacing w:after="0"/>
              <w:rPr>
                <w:sz w:val="17"/>
                <w:szCs w:val="17"/>
                <w:color w:val="auto"/>
              </w:rPr>
            </w:pP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1,812</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2,078</w:t>
            </w:r>
          </w:p>
        </w:tc>
        <w:tc>
          <w:tcPr>
            <w:tcW w:w="60" w:type="dxa"/>
            <w:vAlign w:val="bottom"/>
          </w:tcPr>
          <w:p>
            <w:pPr>
              <w:spacing w:after="0"/>
              <w:rPr>
                <w:sz w:val="17"/>
                <w:szCs w:val="17"/>
                <w:color w:val="auto"/>
              </w:rPr>
            </w:pPr>
          </w:p>
        </w:tc>
      </w:tr>
      <w:tr>
        <w:trPr>
          <w:trHeight w:val="236"/>
        </w:trPr>
        <w:tc>
          <w:tcPr>
            <w:tcW w:w="67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3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4,890</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4,476</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99"/>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674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6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ind w:left="1636"/>
              <w:spacing w:after="0"/>
              <w:rPr>
                <w:sz w:val="20"/>
                <w:szCs w:val="20"/>
                <w:color w:val="auto"/>
              </w:rPr>
            </w:pPr>
            <w:r>
              <w:rPr>
                <w:rFonts w:ascii="Arial" w:cs="Arial" w:eastAsia="Arial" w:hAnsi="Arial"/>
                <w:sz w:val="14"/>
                <w:szCs w:val="14"/>
                <w:b w:val="1"/>
                <w:bCs w:val="1"/>
                <w:color w:val="auto"/>
                <w:w w:val="91"/>
              </w:rPr>
              <w:t>As of</w:t>
            </w: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67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gridSpan w:val="2"/>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gridSpan w:val="2"/>
          </w:tcPr>
          <w:p>
            <w:pPr>
              <w:spacing w:after="0"/>
              <w:rPr>
                <w:sz w:val="14"/>
                <w:szCs w:val="14"/>
                <w:color w:val="auto"/>
              </w:rPr>
            </w:pPr>
          </w:p>
        </w:tc>
      </w:tr>
      <w:tr>
        <w:trPr>
          <w:trHeight w:val="196"/>
        </w:trPr>
        <w:tc>
          <w:tcPr>
            <w:tcW w:w="6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gridSpan w:val="4"/>
          </w:tcPr>
          <w:p>
            <w:pPr>
              <w:jc w:val="center"/>
              <w:ind w:left="1276"/>
              <w:spacing w:after="0"/>
              <w:rPr>
                <w:sz w:val="20"/>
                <w:szCs w:val="20"/>
                <w:color w:val="auto"/>
              </w:rPr>
            </w:pPr>
            <w:r>
              <w:rPr>
                <w:rFonts w:ascii="Arial" w:cs="Arial" w:eastAsia="Arial" w:hAnsi="Arial"/>
                <w:sz w:val="14"/>
                <w:szCs w:val="14"/>
                <w:b w:val="1"/>
                <w:bCs w:val="1"/>
                <w:color w:val="auto"/>
                <w:w w:val="91"/>
              </w:rPr>
              <w:t>(in thousands)</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Lab and manufacturing equipment</w:t>
            </w:r>
          </w:p>
        </w:tc>
        <w:tc>
          <w:tcPr>
            <w:tcW w:w="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51,527</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44,283</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32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2,095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1,977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433</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433</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7,883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7,100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5,438</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5,211</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6"/>
        </w:trPr>
        <w:tc>
          <w:tcPr>
            <w:tcW w:w="6720" w:type="dxa"/>
            <w:vAlign w:val="bottom"/>
            <w:tcBorders>
              <w:top w:val="single" w:sz="8" w:color="CFF0FC"/>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67,376</w:t>
            </w:r>
          </w:p>
        </w:tc>
        <w:tc>
          <w:tcPr>
            <w:tcW w:w="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59,004</w:t>
            </w:r>
          </w:p>
        </w:tc>
        <w:tc>
          <w:tcPr>
            <w:tcW w:w="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r>
      <w:tr>
        <w:trPr>
          <w:trHeight w:val="203"/>
        </w:trPr>
        <w:tc>
          <w:tcPr>
            <w:tcW w:w="6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4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(23,165 )</w:t>
            </w:r>
          </w:p>
        </w:tc>
        <w:tc>
          <w:tcPr>
            <w:tcW w:w="360" w:type="dxa"/>
            <w:vAlign w:val="bottom"/>
            <w:shd w:val="clear" w:color="auto" w:fill="CFF0FC"/>
          </w:tcPr>
          <w:p>
            <w:pPr>
              <w:spacing w:after="0"/>
              <w:rPr>
                <w:sz w:val="17"/>
                <w:szCs w:val="17"/>
                <w:color w:val="auto"/>
              </w:rPr>
            </w:pPr>
          </w:p>
        </w:tc>
        <w:tc>
          <w:tcPr>
            <w:tcW w:w="17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(21,102 )</w:t>
            </w:r>
          </w:p>
        </w:tc>
      </w:tr>
      <w:tr>
        <w:trPr>
          <w:trHeight w:val="196"/>
        </w:trPr>
        <w:tc>
          <w:tcPr>
            <w:tcW w:w="67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property and equipment, net</w:t>
            </w:r>
          </w:p>
        </w:tc>
        <w:tc>
          <w:tcPr>
            <w:tcW w:w="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44,211</w:t>
            </w:r>
          </w:p>
        </w:tc>
        <w:tc>
          <w:tcPr>
            <w:tcW w:w="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37,902</w:t>
            </w:r>
          </w:p>
        </w:tc>
        <w:tc>
          <w:tcPr>
            <w:tcW w:w="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-2047875</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-2030730</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-2047875</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-2030730</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-424815</wp:posOffset>
            </wp:positionV>
            <wp:extent cx="5143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-424815</wp:posOffset>
            </wp:positionV>
            <wp:extent cx="5143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-159385</wp:posOffset>
            </wp:positionV>
            <wp:extent cx="5143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Depreciation expense related to property and equipment was $2.1 million and $1.1 million for the three months ended March 31, 2022 and 2021,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6"/>
              </w:rPr>
              <w:t>March 31, 2022</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7"/>
                <w:szCs w:val="17"/>
                <w:color w:val="auto"/>
              </w:rPr>
            </w:pPr>
          </w:p>
        </w:tc>
        <w:tc>
          <w:tcPr>
            <w:tcW w:w="2220" w:type="dxa"/>
            <w:vAlign w:val="bottom"/>
            <w:gridSpan w:val="5"/>
          </w:tcPr>
          <w:p>
            <w:pPr>
              <w:jc w:val="right"/>
              <w:ind w:right="79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2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88"/>
              </w:rPr>
              <w:t>Gross Assets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Assets</w:t>
            </w:r>
          </w:p>
        </w:tc>
        <w:tc>
          <w:tcPr>
            <w:tcW w:w="120" w:type="dxa"/>
            <w:vAlign w:val="bottom"/>
          </w:tcPr>
          <w:p>
            <w:pPr>
              <w:spacing w:after="0"/>
              <w:rPr>
                <w:sz w:val="11"/>
                <w:szCs w:val="11"/>
                <w:color w:val="auto"/>
              </w:rPr>
            </w:pPr>
          </w:p>
        </w:tc>
        <w:tc>
          <w:tcPr>
            <w:tcW w:w="9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86"/>
              </w:rPr>
              <w:t>Gross Assets</w:t>
            </w:r>
          </w:p>
        </w:tc>
        <w:tc>
          <w:tcPr>
            <w:tcW w:w="120" w:type="dxa"/>
            <w:vAlign w:val="bottom"/>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3"/>
              </w:rPr>
              <w:t>Net Assets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Internal use software</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9,434</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(8,633 )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801</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9,434</w:t>
            </w: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(8,633 )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Purchased intangibles</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10,438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(6,846 )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11,703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(6,527 )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5,176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Intangible assets</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19,872</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(15,479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4,393</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21,137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(15,160</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5,977</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-24765</wp:posOffset>
            </wp:positionV>
            <wp:extent cx="43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431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431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342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342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$0.3 million and $0.5 million for the three months ended March 31, 2022 and 2021, respectively.</w:t>
      </w:r>
    </w:p>
    <w:p>
      <w:pPr>
        <w:spacing w:after="0" w:line="115" w:lineRule="exact"/>
        <w:rPr>
          <w:sz w:val="20"/>
          <w:szCs w:val="20"/>
          <w:color w:val="auto"/>
        </w:rPr>
      </w:pPr>
    </w:p>
    <w:p>
      <w:pPr>
        <w:ind w:right="580"/>
        <w:spacing w:after="0" w:line="248" w:lineRule="auto"/>
        <w:rPr>
          <w:sz w:val="20"/>
          <w:szCs w:val="20"/>
          <w:color w:val="auto"/>
        </w:rPr>
      </w:pPr>
      <w:r>
        <w:rPr>
          <w:rFonts w:ascii="Arial" w:cs="Arial" w:eastAsia="Arial" w:hAnsi="Arial"/>
          <w:sz w:val="18"/>
          <w:szCs w:val="18"/>
          <w:color w:val="auto"/>
        </w:rPr>
        <w:t>As of March 31, 2022, the Company had $0.8 million of intangibles that were still in development stage and were not being amortized, with the amortization beginning in May 2022. The estimated aggregate future amortization expense for intangible assets in development stage and subject to amortization as of March 31, 2022 is summarized as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160" w:type="dxa"/>
            <w:vAlign w:val="bottom"/>
            <w:gridSpan w:val="2"/>
          </w:tcPr>
          <w:p>
            <w:pPr>
              <w:ind w:left="10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2022 (remainder)</w:t>
            </w:r>
          </w:p>
        </w:tc>
        <w:tc>
          <w:tcPr>
            <w:tcW w:w="3660" w:type="dxa"/>
            <w:vAlign w:val="bottom"/>
            <w:gridSpan w:val="2"/>
            <w:shd w:val="clear" w:color="auto" w:fill="CFF0FC"/>
          </w:tcPr>
          <w:p>
            <w:pPr>
              <w:jc w:val="right"/>
              <w:ind w:right="1040"/>
              <w:spacing w:after="0" w:line="202" w:lineRule="exact"/>
              <w:rPr>
                <w:sz w:val="20"/>
                <w:szCs w:val="20"/>
                <w:color w:val="auto"/>
              </w:rPr>
            </w:pPr>
            <w:r>
              <w:rPr>
                <w:rFonts w:ascii="Arial" w:cs="Arial" w:eastAsia="Arial" w:hAnsi="Arial"/>
                <w:sz w:val="18"/>
                <w:szCs w:val="18"/>
                <w:color w:val="auto"/>
              </w:rPr>
              <w:t>$</w:t>
            </w:r>
          </w:p>
        </w:tc>
        <w:tc>
          <w:tcPr>
            <w:tcW w:w="4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10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5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10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2026 and beyond</w:t>
            </w:r>
          </w:p>
        </w:tc>
        <w:tc>
          <w:tcPr>
            <w:tcW w:w="25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4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3660" w:type="dxa"/>
            <w:vAlign w:val="bottom"/>
            <w:gridSpan w:val="2"/>
          </w:tcPr>
          <w:p>
            <w:pPr>
              <w:jc w:val="right"/>
              <w:ind w:right="1040"/>
              <w:spacing w:after="0" w:line="196" w:lineRule="exact"/>
              <w:rPr>
                <w:sz w:val="20"/>
                <w:szCs w:val="20"/>
                <w:color w:val="auto"/>
              </w:rPr>
            </w:pPr>
            <w:r>
              <w:rPr>
                <w:rFonts w:ascii="Arial" w:cs="Arial" w:eastAsia="Arial" w:hAnsi="Arial"/>
                <w:sz w:val="18"/>
                <w:szCs w:val="18"/>
                <w:color w:val="auto"/>
              </w:rPr>
              <w:t>$</w:t>
            </w: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4,393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520" w:type="dxa"/>
            <w:vAlign w:val="bottom"/>
            <w:vMerge w:val="restart"/>
          </w:tcPr>
          <w:p>
            <w:pPr>
              <w:jc w:val="right"/>
              <w:ind w:right="190"/>
              <w:spacing w:after="0"/>
              <w:rPr>
                <w:sz w:val="20"/>
                <w:szCs w:val="20"/>
                <w:color w:val="auto"/>
              </w:rPr>
            </w:pPr>
            <w:r>
              <w:rPr>
                <w:rFonts w:ascii="Arial" w:cs="Arial" w:eastAsia="Arial" w:hAnsi="Arial"/>
                <w:sz w:val="18"/>
                <w:szCs w:val="18"/>
                <w:color w:val="auto"/>
              </w:rPr>
              <w:t>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4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420" w:type="dxa"/>
            <w:vAlign w:val="bottom"/>
            <w:tcBorders>
              <w:bottom w:val="single" w:sz="8" w:color="9A9A9A"/>
            </w:tcBorders>
          </w:tcPr>
          <w:p>
            <w:pPr>
              <w:spacing w:after="0"/>
              <w:rPr>
                <w:sz w:val="6"/>
                <w:szCs w:val="6"/>
                <w:color w:val="auto"/>
              </w:rPr>
            </w:pPr>
          </w:p>
        </w:tc>
        <w:tc>
          <w:tcPr>
            <w:tcW w:w="25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4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-544830</wp:posOffset>
            </wp:positionV>
            <wp:extent cx="431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As of</w:t>
            </w:r>
          </w:p>
        </w:tc>
        <w:tc>
          <w:tcPr>
            <w:tcW w:w="17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740" w:type="dxa"/>
            <w:vAlign w:val="bottom"/>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December 31, 2021</w:t>
            </w:r>
          </w:p>
        </w:tc>
        <w:tc>
          <w:tcPr>
            <w:tcW w:w="60" w:type="dxa"/>
            <w:vAlign w:val="bottom"/>
          </w:tcPr>
          <w:p>
            <w:pPr>
              <w:spacing w:after="0"/>
              <w:rPr>
                <w:sz w:val="15"/>
                <w:szCs w:val="15"/>
                <w:color w:val="auto"/>
              </w:rPr>
            </w:pPr>
          </w:p>
        </w:tc>
      </w:tr>
      <w:tr>
        <w:trPr>
          <w:trHeight w:val="196"/>
        </w:trPr>
        <w:tc>
          <w:tcPr>
            <w:tcW w:w="6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payroll and related benefits</w:t>
            </w:r>
          </w:p>
        </w:tc>
        <w:tc>
          <w:tcPr>
            <w:tcW w:w="1560" w:type="dxa"/>
            <w:vAlign w:val="bottom"/>
            <w:shd w:val="clear" w:color="auto" w:fill="CFF0FC"/>
          </w:tcPr>
          <w:p>
            <w:pPr>
              <w:jc w:val="right"/>
              <w:ind w:right="1376"/>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3,711</w:t>
            </w:r>
          </w:p>
        </w:tc>
        <w:tc>
          <w:tcPr>
            <w:tcW w:w="64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7,237</w:t>
            </w:r>
          </w:p>
        </w:tc>
        <w:tc>
          <w:tcPr>
            <w:tcW w:w="60" w:type="dxa"/>
            <w:vAlign w:val="bottom"/>
            <w:shd w:val="clear" w:color="auto" w:fill="CFF0FC"/>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Revenue reserves</w:t>
            </w:r>
          </w:p>
        </w:tc>
        <w:tc>
          <w:tcPr>
            <w:tcW w:w="15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5,424</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4,517</w:t>
            </w:r>
          </w:p>
        </w:tc>
        <w:tc>
          <w:tcPr>
            <w:tcW w:w="60" w:type="dxa"/>
            <w:vAlign w:val="bottom"/>
          </w:tcPr>
          <w:p>
            <w:pPr>
              <w:spacing w:after="0"/>
              <w:rPr>
                <w:sz w:val="17"/>
                <w:szCs w:val="17"/>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non-recurring engineering services</w:t>
            </w:r>
          </w:p>
        </w:tc>
        <w:tc>
          <w:tcPr>
            <w:tcW w:w="15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4,739</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5,666</w:t>
            </w:r>
          </w:p>
        </w:tc>
        <w:tc>
          <w:tcPr>
            <w:tcW w:w="60" w:type="dxa"/>
            <w:vAlign w:val="bottom"/>
            <w:shd w:val="clear" w:color="auto" w:fill="CFF0FC"/>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Short term lease liability</w:t>
            </w:r>
          </w:p>
        </w:tc>
        <w:tc>
          <w:tcPr>
            <w:tcW w:w="15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2,109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1,336</w:t>
            </w:r>
          </w:p>
        </w:tc>
        <w:tc>
          <w:tcPr>
            <w:tcW w:w="60" w:type="dxa"/>
            <w:vAlign w:val="bottom"/>
          </w:tcPr>
          <w:p>
            <w:pPr>
              <w:spacing w:after="0"/>
              <w:rPr>
                <w:sz w:val="17"/>
                <w:szCs w:val="17"/>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customer rebates</w:t>
            </w:r>
          </w:p>
        </w:tc>
        <w:tc>
          <w:tcPr>
            <w:tcW w:w="15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784</w:t>
            </w:r>
          </w:p>
        </w:tc>
        <w:tc>
          <w:tcPr>
            <w:tcW w:w="60" w:type="dxa"/>
            <w:vAlign w:val="bottom"/>
            <w:shd w:val="clear" w:color="auto" w:fill="CFF0FC"/>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Other accrued expenses</w:t>
            </w:r>
          </w:p>
        </w:tc>
        <w:tc>
          <w:tcPr>
            <w:tcW w:w="15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5,582</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4,742</w:t>
            </w:r>
          </w:p>
        </w:tc>
        <w:tc>
          <w:tcPr>
            <w:tcW w:w="60" w:type="dxa"/>
            <w:vAlign w:val="bottom"/>
          </w:tcPr>
          <w:p>
            <w:pPr>
              <w:spacing w:after="0"/>
              <w:rPr>
                <w:sz w:val="17"/>
                <w:szCs w:val="17"/>
                <w:color w:val="auto"/>
              </w:rPr>
            </w:pPr>
          </w:p>
        </w:tc>
      </w:tr>
      <w:tr>
        <w:trPr>
          <w:trHeight w:val="236"/>
        </w:trPr>
        <w:tc>
          <w:tcPr>
            <w:tcW w:w="67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1560" w:type="dxa"/>
            <w:vAlign w:val="bottom"/>
            <w:tcBorders>
              <w:bottom w:val="single" w:sz="8" w:color="auto"/>
            </w:tcBorders>
            <w:shd w:val="clear" w:color="auto" w:fill="CFF0FC"/>
          </w:tcPr>
          <w:p>
            <w:pPr>
              <w:jc w:val="right"/>
              <w:ind w:right="137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21,565</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24,282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76"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For the three months ended March 31, 2022, the Company recorded $2.0 million as a reduction of research and development expenses related to non-recurring engineering service arrangements in the condensed consolidated statement of operations. There was no reduction of research and development expenses recorded during the three months ended March 31,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Company leases real estate property under operating leases. The Company leases office space in California, Michigan, Malaysia, Japan, Taiwan, the Netherlands, and Ukraine all under non-cancellable operating leases with various expiration dates through April 2027. In January 2021, the Company signed an amendment to its Santa Clara, California office space lease where the lessor provided the Company lease incentives of $0.4 million and extended the term of the lease by three months. The amendment was accounted as a single modified lease and the remaining payments were remeasured using an updated discount rate. During the three months ended March 31, 2022, the Company commenced three operating leases with 2 to 5.3 year lease terms, and recorded right-of-use assets of $3.7 million, current lease liabilities of $0.7 million, and long-term lease liabilities of $2.9 million upon the commencement of these leases.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remaining lease terms vary from a few months to 5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recorded on the consolidated balance sheet as of March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1"/>
              </w:rPr>
              <w:t>As of</w:t>
            </w:r>
          </w:p>
        </w:tc>
        <w:tc>
          <w:tcPr>
            <w:tcW w:w="1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March 31, 2022</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3"/>
              </w:rPr>
              <w:t>December 31, 2021</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202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11,478</w:t>
            </w:r>
          </w:p>
        </w:tc>
        <w:tc>
          <w:tcPr>
            <w:tcW w:w="520" w:type="dxa"/>
            <w:vAlign w:val="bottom"/>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8,194</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w w:val="92"/>
              </w:rPr>
              <w:t>Lease liabilities included in accrued expenses and other current liabilities</w:t>
            </w:r>
          </w:p>
        </w:tc>
        <w:tc>
          <w:tcPr>
            <w:tcW w:w="148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2,109</w:t>
            </w:r>
          </w:p>
        </w:tc>
        <w:tc>
          <w:tcPr>
            <w:tcW w:w="4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1,336</w:t>
            </w:r>
          </w:p>
        </w:tc>
        <w:tc>
          <w:tcPr>
            <w:tcW w:w="16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Lease liabilities - non-current</w:t>
            </w:r>
          </w:p>
        </w:tc>
        <w:tc>
          <w:tcPr>
            <w:tcW w:w="14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8,941</w:t>
            </w:r>
          </w:p>
        </w:tc>
        <w:tc>
          <w:tcPr>
            <w:tcW w:w="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6,398</w:t>
            </w:r>
          </w:p>
        </w:tc>
        <w:tc>
          <w:tcPr>
            <w:tcW w:w="1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line="182" w:lineRule="exact"/>
              <w:rPr>
                <w:sz w:val="20"/>
                <w:szCs w:val="20"/>
                <w:color w:val="auto"/>
              </w:rPr>
            </w:pPr>
            <w:r>
              <w:rPr>
                <w:rFonts w:ascii="Arial" w:cs="Arial" w:eastAsia="Arial" w:hAnsi="Arial"/>
                <w:sz w:val="18"/>
                <w:szCs w:val="18"/>
                <w:color w:val="auto"/>
              </w:rPr>
              <w:t>Total operating lease liabilities</w:t>
            </w:r>
          </w:p>
        </w:tc>
        <w:tc>
          <w:tcPr>
            <w:tcW w:w="2020" w:type="dxa"/>
            <w:vAlign w:val="bottom"/>
            <w:gridSpan w:val="3"/>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11,050</w:t>
            </w:r>
          </w:p>
        </w:tc>
        <w:tc>
          <w:tcPr>
            <w:tcW w:w="52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7,734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Weighted-average remaining lease term (years)</w:t>
            </w: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4.7</w:t>
            </w:r>
          </w:p>
        </w:tc>
        <w:tc>
          <w:tcPr>
            <w:tcW w:w="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4"/>
          </w:tcPr>
          <w:p>
            <w:pPr>
              <w:jc w:val="right"/>
              <w:ind w:right="200"/>
              <w:spacing w:after="0"/>
              <w:rPr>
                <w:sz w:val="20"/>
                <w:szCs w:val="20"/>
                <w:color w:val="auto"/>
              </w:rPr>
            </w:pPr>
            <w:r>
              <w:rPr>
                <w:rFonts w:ascii="Arial" w:cs="Arial" w:eastAsia="Arial" w:hAnsi="Arial"/>
                <w:sz w:val="18"/>
                <w:szCs w:val="18"/>
                <w:color w:val="auto"/>
              </w:rPr>
              <w:t>4.4 %</w:t>
            </w:r>
          </w:p>
        </w:tc>
        <w:tc>
          <w:tcPr>
            <w:tcW w:w="140" w:type="dxa"/>
            <w:vAlign w:val="bottom"/>
          </w:tcPr>
          <w:p>
            <w:pPr>
              <w:spacing w:after="0"/>
              <w:rPr>
                <w:sz w:val="20"/>
                <w:szCs w:val="20"/>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431"/>
        </w:trPr>
        <w:tc>
          <w:tcPr>
            <w:tcW w:w="11240" w:type="dxa"/>
            <w:vAlign w:val="bottom"/>
            <w:gridSpan w:val="12"/>
          </w:tcPr>
          <w:p>
            <w:pPr>
              <w:spacing w:after="0"/>
              <w:rPr>
                <w:sz w:val="20"/>
                <w:szCs w:val="20"/>
                <w:color w:val="auto"/>
              </w:rPr>
            </w:pPr>
            <w:r>
              <w:rPr>
                <w:rFonts w:ascii="Arial" w:cs="Arial" w:eastAsia="Arial" w:hAnsi="Arial"/>
                <w:sz w:val="18"/>
                <w:szCs w:val="18"/>
                <w:color w:val="auto"/>
                <w:w w:val="96"/>
              </w:rPr>
              <w:t>The table below presents certain information related to the lease costs for operating leases for the three months ended March 31, 2022 and 2021:</w:t>
            </w:r>
          </w:p>
        </w:tc>
        <w:tc>
          <w:tcPr>
            <w:tcW w:w="0" w:type="dxa"/>
            <w:vAlign w:val="bottom"/>
          </w:tcPr>
          <w:p>
            <w:pPr>
              <w:spacing w:after="0"/>
              <w:rPr>
                <w:sz w:val="1"/>
                <w:szCs w:val="1"/>
                <w:color w:val="auto"/>
              </w:rPr>
            </w:pPr>
          </w:p>
        </w:tc>
      </w:tr>
      <w:tr>
        <w:trPr>
          <w:trHeight w:val="378"/>
        </w:trPr>
        <w:tc>
          <w:tcPr>
            <w:tcW w:w="5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gridSpan w:val="8"/>
          </w:tcPr>
          <w:p>
            <w:pPr>
              <w:jc w:val="right"/>
              <w:ind w:right="12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cost</w:t>
            </w:r>
          </w:p>
        </w:tc>
        <w:tc>
          <w:tcPr>
            <w:tcW w:w="17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558</w:t>
            </w:r>
          </w:p>
        </w:tc>
        <w:tc>
          <w:tcPr>
            <w:tcW w:w="24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315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534</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Variable lease cost</w:t>
            </w:r>
          </w:p>
        </w:tc>
        <w:tc>
          <w:tcPr>
            <w:tcW w:w="14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w:t>
            </w:r>
          </w:p>
        </w:tc>
        <w:tc>
          <w:tcPr>
            <w:tcW w:w="2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83</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line="182" w:lineRule="exact"/>
              <w:rPr>
                <w:sz w:val="20"/>
                <w:szCs w:val="20"/>
                <w:color w:val="auto"/>
              </w:rPr>
            </w:pPr>
            <w:r>
              <w:rPr>
                <w:rFonts w:ascii="Arial" w:cs="Arial" w:eastAsia="Arial" w:hAnsi="Arial"/>
                <w:sz w:val="18"/>
                <w:szCs w:val="18"/>
                <w:color w:val="auto"/>
              </w:rPr>
              <w:t>Total lease cost</w:t>
            </w:r>
          </w:p>
        </w:tc>
        <w:tc>
          <w:tcPr>
            <w:tcW w:w="17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1,186</w:t>
            </w:r>
          </w:p>
        </w:tc>
        <w:tc>
          <w:tcPr>
            <w:tcW w:w="240" w:type="dxa"/>
            <w:vAlign w:val="bottom"/>
          </w:tcPr>
          <w:p>
            <w:pPr>
              <w:spacing w:after="0"/>
              <w:rPr>
                <w:sz w:val="17"/>
                <w:szCs w:val="17"/>
                <w:color w:val="auto"/>
              </w:rPr>
            </w:pPr>
          </w:p>
        </w:tc>
        <w:tc>
          <w:tcPr>
            <w:tcW w:w="3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5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80" w:type="dxa"/>
            <w:vAlign w:val="bottom"/>
            <w:vMerge w:val="restart"/>
          </w:tcPr>
          <w:p>
            <w:pPr>
              <w:jc w:val="right"/>
              <w:ind w:right="109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4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542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-2413635</wp:posOffset>
            </wp:positionV>
            <wp:extent cx="14605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-2413635</wp:posOffset>
            </wp:positionV>
            <wp:extent cx="13716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-2148205</wp:posOffset>
            </wp:positionV>
            <wp:extent cx="14605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-2148205</wp:posOffset>
            </wp:positionV>
            <wp:extent cx="13716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-544830</wp:posOffset>
            </wp:positionV>
            <wp:extent cx="431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-544830</wp:posOffset>
            </wp:positionV>
            <wp:extent cx="431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 w:name="page13"/>
    <w:bookmarkEnd w:id="12"/>
    <w:p>
      <w:pPr>
        <w:ind w:right="1080"/>
        <w:spacing w:after="0" w:line="360" w:lineRule="auto"/>
        <w:rPr>
          <w:sz w:val="20"/>
          <w:szCs w:val="20"/>
          <w:color w:val="auto"/>
        </w:rPr>
      </w:pPr>
      <w:r>
        <w:rPr>
          <w:rFonts w:ascii="Arial" w:cs="Arial" w:eastAsia="Arial" w:hAnsi="Arial"/>
          <w:sz w:val="18"/>
          <w:szCs w:val="18"/>
          <w:color w:val="auto"/>
        </w:rPr>
        <w:t xml:space="preserve">Cash paid for operating lease liabilities was $0.5 million and $0.4 million for the three months ended March 31, 2022 and 2021, respectively. </w:t>
      </w:r>
      <w:r>
        <w:rPr>
          <w:rFonts w:ascii="Arial" w:cs="Arial" w:eastAsia="Arial" w:hAnsi="Arial"/>
          <w:sz w:val="18"/>
          <w:szCs w:val="18"/>
          <w:b w:val="1"/>
          <w:bCs w:val="1"/>
          <w:color w:val="auto"/>
        </w:rPr>
        <w:t>Operating Lease Cash Flows</w:t>
      </w:r>
    </w:p>
    <w:p>
      <w:pPr>
        <w:ind w:right="420"/>
        <w:spacing w:after="0" w:line="261"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March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8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Remainder of 2022</w:t>
            </w:r>
          </w:p>
        </w:tc>
        <w:tc>
          <w:tcPr>
            <w:tcW w:w="46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2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1,879</w:t>
            </w:r>
          </w:p>
        </w:tc>
        <w:tc>
          <w:tcPr>
            <w:tcW w:w="80" w:type="dxa"/>
            <w:vAlign w:val="bottom"/>
            <w:shd w:val="clear" w:color="auto" w:fill="CFF0FC"/>
          </w:tcPr>
          <w:p>
            <w:pPr>
              <w:spacing w:after="0"/>
              <w:rPr>
                <w:sz w:val="17"/>
                <w:szCs w:val="17"/>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46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2,655</w:t>
            </w:r>
          </w:p>
        </w:tc>
        <w:tc>
          <w:tcPr>
            <w:tcW w:w="80" w:type="dxa"/>
            <w:vAlign w:val="bottom"/>
          </w:tcPr>
          <w:p>
            <w:pPr>
              <w:spacing w:after="0"/>
              <w:rPr>
                <w:sz w:val="17"/>
                <w:szCs w:val="17"/>
                <w:color w:val="auto"/>
              </w:rPr>
            </w:pPr>
          </w:p>
        </w:tc>
      </w:tr>
      <w:tr>
        <w:trPr>
          <w:trHeight w:val="203"/>
        </w:trPr>
        <w:tc>
          <w:tcPr>
            <w:tcW w:w="8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460" w:type="dxa"/>
            <w:vAlign w:val="bottom"/>
            <w:shd w:val="clear" w:color="auto" w:fill="CFF0FC"/>
          </w:tcPr>
          <w:p>
            <w:pPr>
              <w:spacing w:after="0"/>
              <w:rPr>
                <w:sz w:val="17"/>
                <w:szCs w:val="17"/>
                <w:color w:val="auto"/>
              </w:rPr>
            </w:pPr>
          </w:p>
        </w:tc>
        <w:tc>
          <w:tcPr>
            <w:tcW w:w="2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2,595</w:t>
            </w:r>
          </w:p>
        </w:tc>
        <w:tc>
          <w:tcPr>
            <w:tcW w:w="80" w:type="dxa"/>
            <w:vAlign w:val="bottom"/>
            <w:shd w:val="clear" w:color="auto" w:fill="CFF0FC"/>
          </w:tcPr>
          <w:p>
            <w:pPr>
              <w:spacing w:after="0"/>
              <w:rPr>
                <w:sz w:val="17"/>
                <w:szCs w:val="17"/>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6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2,479</w:t>
            </w:r>
          </w:p>
        </w:tc>
        <w:tc>
          <w:tcPr>
            <w:tcW w:w="80" w:type="dxa"/>
            <w:vAlign w:val="bottom"/>
          </w:tcPr>
          <w:p>
            <w:pPr>
              <w:spacing w:after="0"/>
              <w:rPr>
                <w:sz w:val="17"/>
                <w:szCs w:val="17"/>
                <w:color w:val="auto"/>
              </w:rPr>
            </w:pPr>
          </w:p>
        </w:tc>
      </w:tr>
      <w:tr>
        <w:trPr>
          <w:trHeight w:val="203"/>
        </w:trPr>
        <w:tc>
          <w:tcPr>
            <w:tcW w:w="8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460" w:type="dxa"/>
            <w:vAlign w:val="bottom"/>
            <w:shd w:val="clear" w:color="auto" w:fill="CFF0FC"/>
          </w:tcPr>
          <w:p>
            <w:pPr>
              <w:spacing w:after="0"/>
              <w:rPr>
                <w:sz w:val="17"/>
                <w:szCs w:val="17"/>
                <w:color w:val="auto"/>
              </w:rPr>
            </w:pPr>
          </w:p>
        </w:tc>
        <w:tc>
          <w:tcPr>
            <w:tcW w:w="2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2,062</w:t>
            </w:r>
          </w:p>
        </w:tc>
        <w:tc>
          <w:tcPr>
            <w:tcW w:w="80" w:type="dxa"/>
            <w:vAlign w:val="bottom"/>
            <w:shd w:val="clear" w:color="auto" w:fill="CFF0FC"/>
          </w:tcPr>
          <w:p>
            <w:pPr>
              <w:spacing w:after="0"/>
              <w:rPr>
                <w:sz w:val="17"/>
                <w:szCs w:val="17"/>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2027 and beyond</w:t>
            </w:r>
          </w:p>
        </w:tc>
        <w:tc>
          <w:tcPr>
            <w:tcW w:w="4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584</w:t>
            </w:r>
          </w:p>
        </w:tc>
        <w:tc>
          <w:tcPr>
            <w:tcW w:w="80" w:type="dxa"/>
            <w:vAlign w:val="bottom"/>
          </w:tcPr>
          <w:p>
            <w:pPr>
              <w:spacing w:after="0"/>
              <w:rPr>
                <w:sz w:val="17"/>
                <w:szCs w:val="17"/>
                <w:color w:val="auto"/>
              </w:rPr>
            </w:pPr>
          </w:p>
        </w:tc>
      </w:tr>
      <w:tr>
        <w:trPr>
          <w:trHeight w:val="196"/>
        </w:trPr>
        <w:tc>
          <w:tcPr>
            <w:tcW w:w="8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minimum lease payments</w:t>
            </w:r>
          </w:p>
        </w:tc>
        <w:tc>
          <w:tcPr>
            <w:tcW w:w="460" w:type="dxa"/>
            <w:vAlign w:val="bottom"/>
            <w:shd w:val="clear" w:color="auto" w:fill="CFF0FC"/>
          </w:tcPr>
          <w:p>
            <w:pPr>
              <w:spacing w:after="0"/>
              <w:rPr>
                <w:sz w:val="17"/>
                <w:szCs w:val="17"/>
                <w:color w:val="auto"/>
              </w:rPr>
            </w:pP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12,254</w:t>
            </w:r>
          </w:p>
        </w:tc>
        <w:tc>
          <w:tcPr>
            <w:tcW w:w="80" w:type="dxa"/>
            <w:vAlign w:val="bottom"/>
            <w:shd w:val="clear" w:color="auto" w:fill="CFF0FC"/>
          </w:tcPr>
          <w:p>
            <w:pPr>
              <w:spacing w:after="0"/>
              <w:rPr>
                <w:sz w:val="17"/>
                <w:szCs w:val="17"/>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Less: amount of lease payments representing interest</w:t>
            </w:r>
          </w:p>
        </w:tc>
        <w:tc>
          <w:tcPr>
            <w:tcW w:w="460" w:type="dxa"/>
            <w:vAlign w:val="bottom"/>
          </w:tcPr>
          <w:p>
            <w:pPr>
              <w:spacing w:after="0"/>
              <w:rPr>
                <w:sz w:val="17"/>
                <w:szCs w:val="17"/>
                <w:color w:val="auto"/>
              </w:rPr>
            </w:pP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(1,204 )</w:t>
            </w:r>
          </w:p>
        </w:tc>
      </w:tr>
      <w:tr>
        <w:trPr>
          <w:trHeight w:val="196"/>
        </w:trPr>
        <w:tc>
          <w:tcPr>
            <w:tcW w:w="8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Present value of future minimum lease payments</w:t>
            </w:r>
          </w:p>
        </w:tc>
        <w:tc>
          <w:tcPr>
            <w:tcW w:w="460" w:type="dxa"/>
            <w:vAlign w:val="bottom"/>
            <w:tcBorders>
              <w:top w:val="single" w:sz="8" w:color="auto"/>
            </w:tcBorders>
            <w:shd w:val="clear" w:color="auto" w:fill="CFF0FC"/>
          </w:tcPr>
          <w:p>
            <w:pPr>
              <w:spacing w:after="0"/>
              <w:rPr>
                <w:sz w:val="17"/>
                <w:szCs w:val="17"/>
                <w:color w:val="auto"/>
              </w:rPr>
            </w:pPr>
          </w:p>
        </w:tc>
        <w:tc>
          <w:tcPr>
            <w:tcW w:w="2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11,050</w:t>
            </w:r>
          </w:p>
        </w:tc>
        <w:tc>
          <w:tcPr>
            <w:tcW w:w="80" w:type="dxa"/>
            <w:vAlign w:val="bottom"/>
            <w:shd w:val="clear" w:color="auto" w:fill="CFF0FC"/>
          </w:tcPr>
          <w:p>
            <w:pPr>
              <w:spacing w:after="0"/>
              <w:rPr>
                <w:sz w:val="17"/>
                <w:szCs w:val="17"/>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Less: current obligations under leases</w:t>
            </w:r>
          </w:p>
        </w:tc>
        <w:tc>
          <w:tcPr>
            <w:tcW w:w="460" w:type="dxa"/>
            <w:vAlign w:val="bottom"/>
          </w:tcPr>
          <w:p>
            <w:pPr>
              <w:spacing w:after="0"/>
              <w:rPr>
                <w:sz w:val="17"/>
                <w:szCs w:val="17"/>
                <w:color w:val="auto"/>
              </w:rPr>
            </w:pP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(2,109 )</w:t>
            </w:r>
          </w:p>
        </w:tc>
      </w:tr>
      <w:tr>
        <w:trPr>
          <w:trHeight w:val="236"/>
        </w:trPr>
        <w:tc>
          <w:tcPr>
            <w:tcW w:w="86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Long-term lease liabilities</w:t>
            </w:r>
          </w:p>
        </w:tc>
        <w:tc>
          <w:tcPr>
            <w:tcW w:w="460" w:type="dxa"/>
            <w:vAlign w:val="bottom"/>
            <w:tcBorders>
              <w:top w:val="single" w:sz="8" w:color="auto"/>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8,941</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During the three months ended March 31, 2022, the Company entered into an operating lease that commences in May 2022 with a 7 year term, for which the Company expects to record right-of use asset of approximately $0.6 million and a lease liability of approximately $0.7 million at the commencement of this lease.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104"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On February 22, 2021, the Company completed a follow-on public offering, in which it issued and sold 1,500,000 shares of its common stock and MegaChips Corporation ("MegaChips"), the Company's largest stockholder, sold 1,500,000 of the Company’s common stock held by it, resulting in net proceeds to the Company of $181.6 million after deducting underwriting discounts and commissions of $8.6 million and deferred offering costs of $0.3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0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summarizes the restricted stock unit award (“RSU”), performance based restricted stock unit awards ("PRSU"), and multi-year performance restricted stock units ("MYPSU") activity for the three months ended March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RSU</w:t>
            </w:r>
          </w:p>
        </w:tc>
        <w:tc>
          <w:tcPr>
            <w:tcW w:w="140" w:type="dxa"/>
            <w:vAlign w:val="bottom"/>
          </w:tcPr>
          <w:p>
            <w:pPr>
              <w:spacing w:after="0"/>
              <w:rPr>
                <w:sz w:val="15"/>
                <w:szCs w:val="15"/>
                <w:color w:val="auto"/>
              </w:rPr>
            </w:pPr>
          </w:p>
        </w:tc>
        <w:tc>
          <w:tcPr>
            <w:tcW w:w="940" w:type="dxa"/>
            <w:vAlign w:val="bottom"/>
          </w:tcPr>
          <w:p>
            <w:pPr>
              <w:jc w:val="center"/>
              <w:ind w:right="42"/>
              <w:spacing w:after="0"/>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PRSU</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42"/>
              <w:spacing w:after="0"/>
              <w:rPr>
                <w:sz w:val="20"/>
                <w:szCs w:val="20"/>
                <w:color w:val="auto"/>
              </w:rPr>
            </w:pPr>
            <w:r>
              <w:rPr>
                <w:rFonts w:ascii="Arial" w:cs="Arial" w:eastAsia="Arial" w:hAnsi="Arial"/>
                <w:sz w:val="14"/>
                <w:szCs w:val="14"/>
                <w:b w:val="1"/>
                <w:bCs w:val="1"/>
                <w:color w:val="auto"/>
                <w:w w:val="97"/>
              </w:rPr>
              <w:t>Grant Date</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MYPSU</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5"/>
                <w:szCs w:val="15"/>
                <w:color w:val="auto"/>
              </w:rPr>
            </w:pPr>
          </w:p>
        </w:tc>
      </w:tr>
      <w:tr>
        <w:trPr>
          <w:trHeight w:val="175"/>
        </w:trPr>
        <w:tc>
          <w:tcPr>
            <w:tcW w:w="366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5"/>
                <w:szCs w:val="15"/>
                <w:color w:val="auto"/>
              </w:rPr>
            </w:pPr>
          </w:p>
        </w:tc>
        <w:tc>
          <w:tcPr>
            <w:tcW w:w="94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5"/>
                <w:szCs w:val="15"/>
                <w:color w:val="auto"/>
              </w:rPr>
            </w:pPr>
          </w:p>
        </w:tc>
      </w:tr>
      <w:tr>
        <w:trPr>
          <w:trHeight w:val="185"/>
        </w:trPr>
        <w:tc>
          <w:tcPr>
            <w:tcW w:w="366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8"/>
              </w:rPr>
              <w:t>per share</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per share</w:t>
            </w:r>
          </w:p>
        </w:tc>
        <w:tc>
          <w:tcPr>
            <w:tcW w:w="60" w:type="dxa"/>
            <w:vAlign w:val="bottom"/>
          </w:tcPr>
          <w:p>
            <w:pPr>
              <w:spacing w:after="0"/>
              <w:rPr>
                <w:sz w:val="16"/>
                <w:szCs w:val="16"/>
                <w:color w:val="auto"/>
              </w:rPr>
            </w:pPr>
          </w:p>
        </w:tc>
      </w:tr>
      <w:tr>
        <w:trPr>
          <w:trHeight w:val="223"/>
        </w:trPr>
        <w:tc>
          <w:tcPr>
            <w:tcW w:w="3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36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9"/>
        </w:trPr>
        <w:tc>
          <w:tcPr>
            <w:tcW w:w="3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Unvested at December 31, 2021</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2,227,197</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58,954</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261.4</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173,291</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11,202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311,872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88.6</w:t>
            </w:r>
          </w:p>
        </w:tc>
        <w:tc>
          <w:tcPr>
            <w:tcW w:w="60" w:type="dxa"/>
            <w:vAlign w:val="bottom"/>
          </w:tcPr>
          <w:p>
            <w:pPr>
              <w:spacing w:after="0"/>
              <w:rPr>
                <w:sz w:val="16"/>
                <w:szCs w:val="16"/>
                <w:color w:val="auto"/>
              </w:rPr>
            </w:pPr>
          </w:p>
        </w:tc>
      </w:tr>
      <w:tr>
        <w:trPr>
          <w:trHeight w:val="189"/>
        </w:trPr>
        <w:tc>
          <w:tcPr>
            <w:tcW w:w="3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(217,358 )</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w:t>
            </w: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(5,352 )</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117.3</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223"/>
        </w:trPr>
        <w:tc>
          <w:tcPr>
            <w:tcW w:w="36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Unvested at March 31, 2022</w:t>
            </w:r>
          </w:p>
        </w:tc>
        <w:tc>
          <w:tcPr>
            <w:tcW w:w="10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2,177,778</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55.1</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70,156</w:t>
            </w:r>
          </w:p>
        </w:tc>
        <w:tc>
          <w:tcPr>
            <w:tcW w:w="360" w:type="dxa"/>
            <w:vAlign w:val="bottom"/>
            <w:tcBorders>
              <w:bottom w:val="single" w:sz="8" w:color="CFF0FC"/>
            </w:tcBorders>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256.9</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311,872</w:t>
            </w:r>
          </w:p>
        </w:tc>
        <w:tc>
          <w:tcPr>
            <w:tcW w:w="380" w:type="dxa"/>
            <w:vAlign w:val="bottom"/>
            <w:tcBorders>
              <w:bottom w:val="single" w:sz="8" w:color="CFF0FC"/>
            </w:tcBorders>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88.6</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-25400</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-8255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342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342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342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342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9"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On August 4, 2020, the Compensation Committee of the Company adopted and approved the Executive Bonus and Retention Plan (the “Bonus and Retention Plan”). In each of January and July 2021, the Compensation Committee approved target bonus amounts and performance goals for the first half and second half, respectively, of the fiscal year 2021 (the “2021 Goals”). In January 2022, the Compensation Committee approved target bonus amounts and performance goals for the first half of the fiscal year 2022 (the “1H2022 Goals”). The 2021 Goals and 1H2022 Goals are based on the achievement of revenue and Non-GAAP operating profit, as well as individual performance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condensed consolidated cash flow statements. The liability of $0.5 million for 1H2022 Goals was recorded as accrued expenses and other current liabilities in the condensed consolidated balance sheet as of March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In December 2021, the Compensation Committee of the Company approved PRSUs with performance goals for the year 2022 (the “PRSU 2022 Goals”).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PRSU 2022 Goals are based on the achievement of revenue. These grants are included in the RSU awards granted in the table above.</w:t>
      </w:r>
    </w:p>
    <w:p>
      <w:pPr>
        <w:spacing w:after="0" w:line="8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February 2022, the Compensation Committee of the Company approved and granted to certain of the Company’s executive officers MYPSUs with vesting based on achievement of stock price targets, which are measured based on the 60-trading day average per share closing price of the Company’s common stock on the Nasdaq Global Market during the performance periods of up to six years from the date of grant, subject to the continued service of the grantee through the vest date. The grant-date fair value of each MYPSU was determined using Monte Carlo simulation model. The assumptions used in the Monte Carlo simulation included expected volatility of 44.4%, risk free rate of 1.83%, no expected dividend yield, expected term of six years and possible future stock prices over the performance period based on historical stock and market prices. The Company recognizes the expense related to the MYPSUs on a graded-vesting method over the requisite service period.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presents the detail of stock-based compensation expense amounts included in the condensed consolidated statement of operations for each of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Equity based awards</w:t>
            </w:r>
          </w:p>
        </w:tc>
        <w:tc>
          <w:tcPr>
            <w:tcW w:w="1020" w:type="dxa"/>
            <w:vAlign w:val="bottom"/>
          </w:tcPr>
          <w:p>
            <w:pPr>
              <w:spacing w:after="0"/>
              <w:rPr>
                <w:sz w:val="15"/>
                <w:szCs w:val="15"/>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2"/>
          </w:tcPr>
          <w:p>
            <w:pPr>
              <w:jc w:val="center"/>
              <w:ind w:right="675"/>
              <w:spacing w:after="0"/>
              <w:rPr>
                <w:sz w:val="20"/>
                <w:szCs w:val="20"/>
                <w:color w:val="auto"/>
              </w:rPr>
            </w:pPr>
            <w:r>
              <w:rPr>
                <w:rFonts w:ascii="Arial" w:cs="Arial" w:eastAsia="Arial" w:hAnsi="Arial"/>
                <w:sz w:val="14"/>
                <w:szCs w:val="14"/>
                <w:b w:val="1"/>
                <w:bCs w:val="1"/>
                <w:color w:val="auto"/>
                <w:w w:val="71"/>
              </w:rPr>
              <w:t>thousands)</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72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20" w:type="dxa"/>
            <w:vAlign w:val="bottom"/>
            <w:shd w:val="clear" w:color="auto" w:fill="CFF0FC"/>
          </w:tcPr>
          <w:p>
            <w:pPr>
              <w:jc w:val="right"/>
              <w:ind w:right="833"/>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638</w:t>
            </w:r>
          </w:p>
        </w:tc>
        <w:tc>
          <w:tcPr>
            <w:tcW w:w="1300" w:type="dxa"/>
            <w:vAlign w:val="bottom"/>
            <w:gridSpan w:val="2"/>
            <w:shd w:val="clear" w:color="auto" w:fill="CFF0FC"/>
          </w:tcPr>
          <w:p>
            <w:pPr>
              <w:jc w:val="center"/>
              <w:ind w:right="655"/>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5,374</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2,456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10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7,736</w:t>
            </w: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3,335</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1020" w:type="dxa"/>
            <w:vAlign w:val="bottom"/>
          </w:tcPr>
          <w:p>
            <w:pPr>
              <w:jc w:val="right"/>
              <w:ind w:right="833"/>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13,748</w:t>
            </w:r>
          </w:p>
        </w:tc>
        <w:tc>
          <w:tcPr>
            <w:tcW w:w="1300" w:type="dxa"/>
            <w:vAlign w:val="bottom"/>
            <w:gridSpan w:val="2"/>
          </w:tcPr>
          <w:p>
            <w:pPr>
              <w:jc w:val="center"/>
              <w:ind w:right="655"/>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Liability based awards - to be settled in equity</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20" w:type="dxa"/>
            <w:vAlign w:val="bottom"/>
          </w:tcPr>
          <w:p>
            <w:pPr>
              <w:jc w:val="right"/>
              <w:ind w:right="833"/>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300" w:type="dxa"/>
            <w:vAlign w:val="bottom"/>
            <w:gridSpan w:val="2"/>
          </w:tcPr>
          <w:p>
            <w:pPr>
              <w:jc w:val="center"/>
              <w:ind w:right="655"/>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w:t>
            </w:r>
          </w:p>
        </w:tc>
        <w:tc>
          <w:tcPr>
            <w:tcW w:w="2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1020" w:type="dxa"/>
            <w:vAlign w:val="bottom"/>
            <w:tcBorders>
              <w:bottom w:val="single" w:sz="8" w:color="auto"/>
            </w:tcBorders>
          </w:tcPr>
          <w:p>
            <w:pPr>
              <w:jc w:val="right"/>
              <w:ind w:right="833"/>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532</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center"/>
              <w:ind w:right="875"/>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stock-based compensation - equity and liability based</w:t>
            </w:r>
          </w:p>
        </w:tc>
        <w:tc>
          <w:tcPr>
            <w:tcW w:w="1020" w:type="dxa"/>
            <w:vAlign w:val="bottom"/>
            <w:tcBorders>
              <w:bottom w:val="single" w:sz="8" w:color="auto"/>
            </w:tcBorders>
            <w:shd w:val="clear" w:color="auto" w:fill="CFF0FC"/>
          </w:tcPr>
          <w:p>
            <w:pPr>
              <w:jc w:val="right"/>
              <w:ind w:right="833"/>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14,280</w:t>
            </w: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center"/>
              <w:ind w:right="875"/>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6,660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Liability-based awards - cash settled</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020" w:type="dxa"/>
            <w:vAlign w:val="bottom"/>
            <w:shd w:val="clear" w:color="auto" w:fill="CFF0FC"/>
          </w:tcPr>
          <w:p>
            <w:pPr>
              <w:jc w:val="right"/>
              <w:ind w:right="8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center"/>
              <w:ind w:right="65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10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1020" w:type="dxa"/>
            <w:vAlign w:val="bottom"/>
          </w:tcPr>
          <w:p>
            <w:pPr>
              <w:jc w:val="right"/>
              <w:ind w:right="833"/>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655"/>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vMerge w:val="continue"/>
          </w:tcPr>
          <w:p>
            <w:pPr>
              <w:spacing w:after="0"/>
              <w:rPr>
                <w:sz w:val="15"/>
                <w:szCs w:val="15"/>
                <w:color w:val="auto"/>
              </w:rPr>
            </w:pPr>
          </w:p>
        </w:tc>
        <w:tc>
          <w:tcPr>
            <w:tcW w:w="1020" w:type="dxa"/>
            <w:vAlign w:val="bottom"/>
            <w:tcBorders>
              <w:bottom w:val="single" w:sz="8" w:color="auto"/>
            </w:tcBorders>
          </w:tcPr>
          <w:p>
            <w:pPr>
              <w:jc w:val="right"/>
              <w:ind w:right="833"/>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14,280</w:t>
            </w:r>
          </w:p>
        </w:tc>
        <w:tc>
          <w:tcPr>
            <w:tcW w:w="220" w:type="dxa"/>
            <w:vAlign w:val="bottom"/>
            <w:vMerge w:val="continue"/>
          </w:tcPr>
          <w:p>
            <w:pPr>
              <w:spacing w:after="0"/>
              <w:rPr>
                <w:sz w:val="15"/>
                <w:szCs w:val="15"/>
                <w:color w:val="auto"/>
              </w:rPr>
            </w:pPr>
          </w:p>
        </w:tc>
        <w:tc>
          <w:tcPr>
            <w:tcW w:w="1080" w:type="dxa"/>
            <w:vAlign w:val="bottom"/>
            <w:tcBorders>
              <w:bottom w:val="single" w:sz="8" w:color="auto"/>
            </w:tcBorders>
          </w:tcPr>
          <w:p>
            <w:pPr>
              <w:jc w:val="center"/>
              <w:ind w:right="875"/>
              <w:spacing w:after="0" w:line="183"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6,976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 recorded to additional paid-in capital</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Equity based awards</w:t>
            </w:r>
          </w:p>
        </w:tc>
        <w:tc>
          <w:tcPr>
            <w:tcW w:w="1020" w:type="dxa"/>
            <w:vAlign w:val="bottom"/>
          </w:tcPr>
          <w:p>
            <w:pPr>
              <w:jc w:val="right"/>
              <w:ind w:right="833"/>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13,748</w:t>
            </w:r>
          </w:p>
        </w:tc>
        <w:tc>
          <w:tcPr>
            <w:tcW w:w="1300" w:type="dxa"/>
            <w:vAlign w:val="bottom"/>
            <w:gridSpan w:val="2"/>
          </w:tcPr>
          <w:p>
            <w:pPr>
              <w:jc w:val="center"/>
              <w:ind w:right="655"/>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Liability based awards - settled in equity</w:t>
            </w:r>
          </w:p>
        </w:tc>
        <w:tc>
          <w:tcPr>
            <w:tcW w:w="10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1,489</w:t>
            </w: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1,191</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120"/>
              <w:spacing w:after="0" w:line="196" w:lineRule="exact"/>
              <w:rPr>
                <w:sz w:val="20"/>
                <w:szCs w:val="20"/>
                <w:color w:val="auto"/>
              </w:rPr>
            </w:pPr>
            <w:r>
              <w:rPr>
                <w:rFonts w:ascii="Arial" w:cs="Arial" w:eastAsia="Arial" w:hAnsi="Arial"/>
                <w:sz w:val="18"/>
                <w:szCs w:val="18"/>
                <w:color w:val="auto"/>
              </w:rPr>
              <w:t>Total stock-based compensation expense recorded to additional paid-in capital</w:t>
            </w:r>
          </w:p>
        </w:tc>
        <w:tc>
          <w:tcPr>
            <w:tcW w:w="1020" w:type="dxa"/>
            <w:vAlign w:val="bottom"/>
          </w:tcPr>
          <w:p>
            <w:pPr>
              <w:jc w:val="right"/>
              <w:ind w:right="833"/>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15,237</w:t>
            </w:r>
          </w:p>
        </w:tc>
        <w:tc>
          <w:tcPr>
            <w:tcW w:w="1300" w:type="dxa"/>
            <w:vAlign w:val="bottom"/>
            <w:gridSpan w:val="2"/>
          </w:tcPr>
          <w:p>
            <w:pPr>
              <w:jc w:val="center"/>
              <w:ind w:right="655"/>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7,366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-2825115</wp:posOffset>
            </wp:positionV>
            <wp:extent cx="431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-2825115</wp:posOffset>
            </wp:positionV>
            <wp:extent cx="431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-1713865</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-1696720</wp:posOffset>
            </wp:positionV>
            <wp:extent cx="431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-1713865</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-1696720</wp:posOffset>
            </wp:positionV>
            <wp:extent cx="431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-1024890</wp:posOffset>
            </wp:positionV>
            <wp:extent cx="431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-1024890</wp:posOffset>
            </wp:positionV>
            <wp:extent cx="431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-159385</wp:posOffset>
            </wp:positionV>
            <wp:extent cx="431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As of March 31, 2022, there was $111.3 million, $15.5 million, $26.3 million and $1.0 million of unrecognized compensation costs related to RSUs granted, PRSUs granted, MYPSUs granted, and liability-based awards granted, respectively. The unrecognized compensation cost is expected to be recognized over a weighted average period of 3.2 years for RSUs, 4.0 years for PRSUs, 1.6 years for MYPSUs and 0.4 years for liability-based awards.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quarterly provision for income taxes is based on applying the estimated annual effective tax rate to the year to date pre-tax income (loss), plus any discrete items. The Company updates its estimate of its annual effective tax rate at the end of each quarterly period. The estimate takes into account annual forecasted income (loss) before income taxes, the geographic mix of income (loss) before income taxes and any significant permanent tax items.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presents the provision for income taxes and the effective tax rates for the three months ended March 31,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7680" w:type="dxa"/>
            <w:vAlign w:val="bottom"/>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76"/>
        </w:trPr>
        <w:tc>
          <w:tcPr>
            <w:tcW w:w="7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ind w:right="15"/>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2"/>
          </w:tcPr>
          <w:p>
            <w:pPr>
              <w:jc w:val="right"/>
              <w:ind w:right="599"/>
              <w:spacing w:after="0"/>
              <w:rPr>
                <w:sz w:val="20"/>
                <w:szCs w:val="20"/>
                <w:color w:val="auto"/>
              </w:rPr>
            </w:pPr>
            <w:r>
              <w:rPr>
                <w:rFonts w:ascii="Arial" w:cs="Arial" w:eastAsia="Arial" w:hAnsi="Arial"/>
                <w:sz w:val="14"/>
                <w:szCs w:val="14"/>
                <w:b w:val="1"/>
                <w:bCs w:val="1"/>
                <w:color w:val="auto"/>
                <w:w w:val="79"/>
              </w:rPr>
              <w:t>thousands)</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before income taxes</w:t>
            </w:r>
          </w:p>
        </w:tc>
        <w:tc>
          <w:tcPr>
            <w:tcW w:w="980" w:type="dxa"/>
            <w:vAlign w:val="bottom"/>
            <w:shd w:val="clear" w:color="auto" w:fill="CCEEFF"/>
          </w:tcPr>
          <w:p>
            <w:pPr>
              <w:jc w:val="right"/>
              <w:ind w:right="782"/>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6,208</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39"/>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6"/>
              </w:rPr>
              <w:t>(3,525 )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17"/>
                <w:szCs w:val="17"/>
                <w:color w:val="auto"/>
              </w:rPr>
            </w:pPr>
          </w:p>
        </w:tc>
        <w:tc>
          <w:tcPr>
            <w:tcW w:w="90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(68 )</w:t>
            </w:r>
          </w:p>
        </w:tc>
        <w:tc>
          <w:tcPr>
            <w:tcW w:w="92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(40 )</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Effective tax rate</w:t>
            </w:r>
          </w:p>
        </w:tc>
        <w:tc>
          <w:tcPr>
            <w:tcW w:w="9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1 %</w:t>
            </w:r>
          </w:p>
        </w:tc>
        <w:tc>
          <w:tcPr>
            <w:tcW w:w="9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1 %</w:t>
            </w:r>
          </w:p>
        </w:tc>
      </w:tr>
    </w:tbl>
    <w:p>
      <w:pPr>
        <w:spacing w:after="0" w:line="22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(loss) before income taxes and taxable income (loss).</w:t>
      </w:r>
    </w:p>
    <w:p>
      <w:pPr>
        <w:spacing w:after="0" w:line="5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March 31, 2022.</w:t>
      </w:r>
    </w:p>
    <w:p>
      <w:pPr>
        <w:spacing w:after="0" w:line="6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of March 31, 2022 and December 31, 2021, the Company had $2.4 million and $2.4 million, respectively, of total unrecognized tax benefits. If the Company is able to eventually recognize these uncertain tax positions, none of the unrecognized benefit would reduce the Company’s effective tax rate due to the full valuation allowance on the Company’s deferred tax assets.</w:t>
      </w:r>
    </w:p>
    <w:p>
      <w:pPr>
        <w:spacing w:after="0" w:line="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Company’s policy is to record interest and penalties related to unrecognized tax benefits as income tax expense. For the three months ended March 31, 2022 and 2021, the Company had immaterial amounts related to the accrual of interest and penalties.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Geographic and Customer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one reportable segment related to the design, development, and sale of silicon timing systems solutions.</w:t>
      </w:r>
    </w:p>
    <w:p>
      <w:pPr>
        <w:spacing w:after="0" w:line="10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Revenue by geographic area are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(in</w:t>
            </w:r>
          </w:p>
        </w:tc>
        <w:tc>
          <w:tcPr>
            <w:tcW w:w="1260" w:type="dxa"/>
            <w:vAlign w:val="bottom"/>
            <w:gridSpan w:val="2"/>
          </w:tcPr>
          <w:p>
            <w:pPr>
              <w:jc w:val="center"/>
              <w:ind w:right="619"/>
              <w:spacing w:after="0"/>
              <w:rPr>
                <w:sz w:val="20"/>
                <w:szCs w:val="20"/>
                <w:color w:val="auto"/>
              </w:rPr>
            </w:pPr>
            <w:r>
              <w:rPr>
                <w:rFonts w:ascii="Arial" w:cs="Arial" w:eastAsia="Arial" w:hAnsi="Arial"/>
                <w:sz w:val="14"/>
                <w:szCs w:val="14"/>
                <w:b w:val="1"/>
                <w:bCs w:val="1"/>
                <w:color w:val="auto"/>
                <w:w w:val="74"/>
              </w:rPr>
              <w:t>thousands)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Taiwan</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23,072</w:t>
            </w:r>
          </w:p>
        </w:tc>
        <w:tc>
          <w:tcPr>
            <w:tcW w:w="1260" w:type="dxa"/>
            <w:vAlign w:val="bottom"/>
            <w:gridSpan w:val="2"/>
            <w:shd w:val="clear" w:color="auto" w:fill="CFF0FC"/>
          </w:tcPr>
          <w:p>
            <w:pPr>
              <w:jc w:val="center"/>
              <w:ind w:right="59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16,492</w:t>
            </w:r>
          </w:p>
        </w:tc>
        <w:tc>
          <w:tcPr>
            <w:tcW w:w="6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Hong Kong</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14,533</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11,434</w:t>
            </w:r>
          </w:p>
        </w:tc>
        <w:tc>
          <w:tcPr>
            <w:tcW w:w="60" w:type="dxa"/>
            <w:vAlign w:val="bottom"/>
          </w:tcPr>
          <w:p>
            <w:pPr>
              <w:spacing w:after="0"/>
              <w:rPr>
                <w:sz w:val="19"/>
                <w:szCs w:val="19"/>
                <w:color w:val="auto"/>
              </w:rPr>
            </w:pPr>
          </w:p>
        </w:tc>
      </w:tr>
      <w:tr>
        <w:trPr>
          <w:trHeight w:val="23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7,194</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60" w:type="dxa"/>
            <w:vAlign w:val="bottom"/>
            <w:shd w:val="clear" w:color="auto" w:fill="CFF0FC"/>
          </w:tcPr>
          <w:p>
            <w:pPr>
              <w:spacing w:after="0"/>
              <w:rPr>
                <w:sz w:val="19"/>
                <w:szCs w:val="19"/>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25,454</w:t>
            </w:r>
          </w:p>
        </w:tc>
        <w:tc>
          <w:tcPr>
            <w:tcW w:w="2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6,382</w:t>
            </w:r>
          </w:p>
        </w:tc>
        <w:tc>
          <w:tcPr>
            <w:tcW w:w="6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7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FF0FC"/>
          </w:tcPr>
          <w:p>
            <w:pPr>
              <w:jc w:val="right"/>
              <w:ind w:right="859"/>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8"/>
              </w:rPr>
              <w:t>70,253</w:t>
            </w:r>
          </w:p>
        </w:tc>
        <w:tc>
          <w:tcPr>
            <w:tcW w:w="2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center"/>
              <w:ind w:right="839"/>
              <w:spacing w:after="0" w:line="18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35,542</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63" w:lineRule="exact"/>
        <w:rPr>
          <w:sz w:val="20"/>
          <w:szCs w:val="20"/>
          <w:color w:val="auto"/>
        </w:rPr>
      </w:pPr>
    </w:p>
    <w:p>
      <w:pPr>
        <w:ind w:right="320"/>
        <w:spacing w:after="0" w:line="231" w:lineRule="auto"/>
        <w:rPr>
          <w:sz w:val="20"/>
          <w:szCs w:val="20"/>
          <w:color w:val="auto"/>
        </w:rPr>
      </w:pPr>
      <w:r>
        <w:rPr>
          <w:rFonts w:ascii="Arial" w:cs="Arial" w:eastAsia="Arial" w:hAnsi="Arial"/>
          <w:sz w:val="18"/>
          <w:szCs w:val="18"/>
          <w:color w:val="auto"/>
        </w:rPr>
        <w:t>Revenue from sales to three of the Company's distributors accounted for 18%, 13%, and 10% of its consolidated revenues for the three months ended March 31, 2022. Revenue from sales to one end customer through a distributor accounted for 18% for the three months ended March 31, 2022. Our end customers predominantly purchase our products from distributors. No other distributors or customers accounted for 10% or more of the Company's consolidated revenues for the three months ended March 31, 2022.</w:t>
      </w:r>
    </w:p>
    <w:p>
      <w:pPr>
        <w:spacing w:after="0" w:line="67"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auto"/>
        </w:rPr>
        <w:t>Revenue from sales to three of the Company's distributors accounted for 34%, 14%, and 14% of its consolidated revenues for the three months ended March 31, 2021. Revenue from sales to one end customer through a distributor accounted for 37% for the three months ended March 31, 2021. No other distributors or customers accounted for 10% or more of the Company's consolidated revenues for the three months ended March 31, 2021.</w:t>
      </w:r>
    </w:p>
    <w:p>
      <w:pPr>
        <w:spacing w:after="0" w:line="13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following table sets forth the Company’s total property and equipment and intangible assets attributable to operations by country as of the periods presented: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1"/>
              </w:rPr>
              <w:t>As of</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6"/>
        </w:trPr>
        <w:tc>
          <w:tcPr>
            <w:tcW w:w="7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9"/>
        </w:trPr>
        <w:tc>
          <w:tcPr>
            <w:tcW w:w="7700" w:type="dxa"/>
            <w:vAlign w:val="bottom"/>
          </w:tcPr>
          <w:p>
            <w:pPr>
              <w:spacing w:after="0"/>
              <w:rPr>
                <w:sz w:val="18"/>
                <w:szCs w:val="18"/>
                <w:color w:val="auto"/>
              </w:rPr>
            </w:pPr>
          </w:p>
        </w:tc>
        <w:tc>
          <w:tcPr>
            <w:tcW w:w="1260" w:type="dxa"/>
            <w:vAlign w:val="bottom"/>
          </w:tcPr>
          <w:p>
            <w:pPr>
              <w:ind w:left="260"/>
              <w:spacing w:after="0"/>
              <w:rPr>
                <w:sz w:val="20"/>
                <w:szCs w:val="20"/>
                <w:color w:val="auto"/>
              </w:rPr>
            </w:pPr>
            <w:r>
              <w:rPr>
                <w:rFonts w:ascii="Arial" w:cs="Arial" w:eastAsia="Arial" w:hAnsi="Arial"/>
                <w:sz w:val="14"/>
                <w:szCs w:val="14"/>
                <w:b w:val="1"/>
                <w:bCs w:val="1"/>
                <w:color w:val="auto"/>
                <w:w w:val="98"/>
              </w:rPr>
              <w:t>March 31, 2022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12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52</w:t>
            </w:r>
          </w:p>
        </w:tc>
        <w:tc>
          <w:tcPr>
            <w:tcW w:w="380" w:type="dxa"/>
            <w:vAlign w:val="bottom"/>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89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Malaysia</w:t>
            </w:r>
          </w:p>
        </w:tc>
        <w:tc>
          <w:tcPr>
            <w:tcW w:w="60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w w:val="92"/>
              </w:rPr>
              <w:t>36 %</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31 %</w:t>
            </w:r>
          </w:p>
        </w:tc>
      </w:tr>
      <w:tr>
        <w:trPr>
          <w:trHeight w:val="203"/>
        </w:trPr>
        <w:tc>
          <w:tcPr>
            <w:tcW w:w="89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Taiwan</w:t>
            </w:r>
          </w:p>
        </w:tc>
        <w:tc>
          <w:tcPr>
            <w:tcW w:w="600" w:type="dxa"/>
            <w:vAlign w:val="bottom"/>
            <w:gridSpan w:val="2"/>
            <w:shd w:val="clear" w:color="auto" w:fill="CFF0FC"/>
          </w:tcPr>
          <w:p>
            <w:pPr>
              <w:jc w:val="right"/>
              <w:ind w:right="119"/>
              <w:spacing w:after="0" w:line="202" w:lineRule="exact"/>
              <w:rPr>
                <w:sz w:val="20"/>
                <w:szCs w:val="20"/>
                <w:color w:val="auto"/>
              </w:rPr>
            </w:pPr>
            <w:r>
              <w:rPr>
                <w:rFonts w:ascii="Arial" w:cs="Arial" w:eastAsia="Arial" w:hAnsi="Arial"/>
                <w:sz w:val="18"/>
                <w:szCs w:val="18"/>
                <w:color w:val="auto"/>
              </w:rPr>
              <w:t>6 %</w:t>
            </w:r>
          </w:p>
        </w:tc>
        <w:tc>
          <w:tcPr>
            <w:tcW w:w="1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5 %</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00" w:type="dxa"/>
            <w:vAlign w:val="bottom"/>
            <w:gridSpan w:val="2"/>
          </w:tcPr>
          <w:p>
            <w:pPr>
              <w:jc w:val="right"/>
              <w:ind w:right="119"/>
              <w:spacing w:after="0"/>
              <w:rPr>
                <w:sz w:val="20"/>
                <w:szCs w:val="20"/>
                <w:color w:val="auto"/>
              </w:rPr>
            </w:pPr>
            <w:r>
              <w:rPr>
                <w:rFonts w:ascii="Arial" w:cs="Arial" w:eastAsia="Arial" w:hAnsi="Arial"/>
                <w:sz w:val="18"/>
                <w:szCs w:val="18"/>
                <w:color w:val="auto"/>
              </w:rPr>
              <w:t>6 %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7 %</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08"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The Company entered into an agreement with MegaChips Corporation ("MegaChips"), whereby the Company appointed MegaChips as a non-exclusive sales representative of its products in Japan. The Company sold products through MegaChips to distributors, resellers, or direct customers in Japan. The Company paid MegaChips a fixed percentage of the revenue as sales commission, which was recorded as commission expense and included in sales and marketing in the consolidated statements of operations and comprehensive loss. In connection with the Company's efforts to contract directly with distributors in Japan, the Company entered into a termination agreement with MegaChips pursuant to which the Company and MegaChips mutually terminated the Distribution Agreement effective November 3, 2021.</w:t>
      </w:r>
    </w:p>
    <w:p>
      <w:pPr>
        <w:spacing w:after="0" w:line="6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Company also entered into a service and secondment agreement with MegaChips LSI USA Corporation, a wholly owned subsidiary of MegaChips, in 2020 that terminated on August 31, 2021.</w:t>
      </w:r>
    </w:p>
    <w:p>
      <w:pPr>
        <w:spacing w:after="0" w:line="6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MegaChips is the largest stockholder of the Company and held approximately 23.8% and 24.0% of the Company’s outstanding common stock as of March 31, 2022 and December 31, 2021, respectively.</w:t>
      </w:r>
    </w:p>
    <w:p>
      <w:pPr>
        <w:spacing w:after="0" w:line="63"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In May 2021, the Company signed a consulting agreement with Akira Takata, a member of the Board of Directors of the Company, to provide sales consulting services through December 31, 2021, for which he received monthly cash fees of $5,000, reimbursement of expenses, and an equity award of 500 RSUs that fully vested on November 20, 2021. In December 2021, the Company signed an amendment to extend the consulting agreement with Mr. Takata through December 31, 2022, for which he continues to receive monthly cash fees, reimbursement of expenses, and an equity award of 300 RSUs that fully vest on November 20, 2022.</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balances, transactions and payments with the related parties and affiliates.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vMerge w:val="restart"/>
          </w:tcPr>
          <w:p>
            <w:pPr>
              <w:spacing w:after="0"/>
              <w:rPr>
                <w:sz w:val="16"/>
                <w:szCs w:val="16"/>
                <w:color w:val="auto"/>
              </w:rPr>
            </w:pPr>
          </w:p>
        </w:tc>
        <w:tc>
          <w:tcPr>
            <w:tcW w:w="4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Transactions</w:t>
            </w:r>
          </w:p>
        </w:tc>
        <w:tc>
          <w:tcPr>
            <w:tcW w:w="3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80" w:type="dxa"/>
            <w:vAlign w:val="bottom"/>
            <w:gridSpan w:val="2"/>
            <w:vMerge w:val="continue"/>
          </w:tcPr>
          <w:p>
            <w:pPr>
              <w:spacing w:after="0"/>
              <w:rPr>
                <w:sz w:val="14"/>
                <w:szCs w:val="14"/>
                <w:color w:val="auto"/>
              </w:rPr>
            </w:pPr>
          </w:p>
        </w:tc>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ind w:left="30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ind w:left="980"/>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5"/>
              </w:rPr>
              <w:t>thousands)</w:t>
            </w: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MegaChips</w:t>
            </w:r>
          </w:p>
        </w:tc>
        <w:tc>
          <w:tcPr>
            <w:tcW w:w="34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Sales through distribution agreement</w:t>
            </w:r>
          </w:p>
        </w:tc>
        <w:tc>
          <w:tcPr>
            <w:tcW w:w="3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3"/>
          </w:tcPr>
          <w:p>
            <w:pPr>
              <w:ind w:left="1100"/>
              <w:spacing w:after="0" w:line="202" w:lineRule="exact"/>
              <w:rPr>
                <w:sz w:val="20"/>
                <w:szCs w:val="20"/>
                <w:color w:val="auto"/>
              </w:rPr>
            </w:pPr>
            <w:r>
              <w:rPr>
                <w:rFonts w:ascii="Arial" w:cs="Arial" w:eastAsia="Arial" w:hAnsi="Arial"/>
                <w:sz w:val="18"/>
                <w:szCs w:val="18"/>
                <w:color w:val="auto"/>
              </w:rPr>
              <w:t>—   $</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Commission expense</w:t>
            </w:r>
          </w:p>
        </w:tc>
        <w:tc>
          <w:tcPr>
            <w:tcW w:w="34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40" w:type="dxa"/>
            <w:vAlign w:val="bottom"/>
            <w:gridSpan w:val="3"/>
            <w:shd w:val="clear" w:color="auto" w:fill="CFF0FC"/>
          </w:tcPr>
          <w:p>
            <w:pPr>
              <w:ind w:left="110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Affiliates</w:t>
            </w:r>
          </w:p>
        </w:tc>
        <w:tc>
          <w:tcPr>
            <w:tcW w:w="3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Consulting fees</w:t>
            </w:r>
          </w:p>
        </w:tc>
        <w:tc>
          <w:tcPr>
            <w:tcW w:w="34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ind w:left="1100"/>
              <w:spacing w:after="0" w:line="202" w:lineRule="exact"/>
              <w:rPr>
                <w:sz w:val="20"/>
                <w:szCs w:val="20"/>
                <w:color w:val="auto"/>
              </w:rPr>
            </w:pPr>
            <w:r>
              <w:rPr>
                <w:rFonts w:ascii="Arial" w:cs="Arial" w:eastAsia="Arial" w:hAnsi="Arial"/>
                <w:sz w:val="18"/>
                <w:szCs w:val="18"/>
                <w:color w:val="auto"/>
                <w:w w:val="89"/>
              </w:rPr>
              <w:t>63</w:t>
            </w: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60" w:type="dxa"/>
            <w:vAlign w:val="bottom"/>
          </w:tcPr>
          <w:p>
            <w:pPr>
              <w:jc w:val="right"/>
              <w:ind w:right="175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34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5"/>
        </w:trPr>
        <w:tc>
          <w:tcPr>
            <w:tcW w:w="20" w:type="dxa"/>
            <w:vAlign w:val="bottom"/>
            <w:vMerge w:val="restart"/>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8"/>
                <w:szCs w:val="18"/>
                <w:b w:val="1"/>
                <w:bCs w:val="1"/>
                <w:color w:val="auto"/>
                <w:w w:val="86"/>
              </w:rPr>
              <w:t>Payments</w:t>
            </w:r>
          </w:p>
        </w:tc>
        <w:tc>
          <w:tcPr>
            <w:tcW w:w="3040" w:type="dxa"/>
            <w:vAlign w:val="bottom"/>
            <w:vMerge w:val="restart"/>
          </w:tcPr>
          <w:p>
            <w:pPr>
              <w:spacing w:after="0"/>
              <w:rPr>
                <w:sz w:val="16"/>
                <w:szCs w:val="16"/>
                <w:color w:val="auto"/>
              </w:rPr>
            </w:pPr>
          </w:p>
        </w:tc>
        <w:tc>
          <w:tcPr>
            <w:tcW w:w="3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right="316"/>
              <w:spacing w:after="0"/>
              <w:rPr>
                <w:sz w:val="20"/>
                <w:szCs w:val="20"/>
                <w:color w:val="auto"/>
              </w:rPr>
            </w:pPr>
            <w:r>
              <w:rPr>
                <w:rFonts w:ascii="Arial" w:cs="Arial" w:eastAsia="Arial" w:hAnsi="Arial"/>
                <w:sz w:val="14"/>
                <w:szCs w:val="14"/>
                <w:b w:val="1"/>
                <w:bCs w:val="1"/>
                <w:color w:val="auto"/>
                <w:w w:val="95"/>
              </w:rPr>
              <w:t>Three Months Ended March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37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1"/>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5"/>
              </w:rPr>
              <w:t>thousands)</w:t>
            </w: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MegaChips</w:t>
            </w:r>
          </w:p>
        </w:tc>
        <w:tc>
          <w:tcPr>
            <w:tcW w:w="3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Cash paid for commissions</w:t>
            </w:r>
          </w:p>
        </w:tc>
        <w:tc>
          <w:tcPr>
            <w:tcW w:w="4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   $</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Affiliates</w:t>
            </w:r>
          </w:p>
        </w:tc>
        <w:tc>
          <w:tcPr>
            <w:tcW w:w="3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3"/>
          </w:tcPr>
          <w:p>
            <w:pPr>
              <w:ind w:left="20"/>
              <w:spacing w:after="0"/>
              <w:rPr>
                <w:sz w:val="20"/>
                <w:szCs w:val="20"/>
                <w:color w:val="auto"/>
              </w:rPr>
            </w:pPr>
            <w:r>
              <w:rPr>
                <w:rFonts w:ascii="Arial" w:cs="Arial" w:eastAsia="Arial" w:hAnsi="Arial"/>
                <w:sz w:val="18"/>
                <w:szCs w:val="18"/>
                <w:color w:val="auto"/>
              </w:rPr>
              <w:t>Cash paid for consulting fees</w:t>
            </w:r>
          </w:p>
        </w:tc>
        <w:tc>
          <w:tcPr>
            <w:tcW w:w="3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40" w:type="dxa"/>
            <w:vAlign w:val="bottom"/>
          </w:tcPr>
          <w:p>
            <w:pPr>
              <w:jc w:val="right"/>
              <w:ind w:right="175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the related notes that appear elsewhere in this document.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information in this Quarterly Report on Form 10-Q contains forward-looking statements within the meaning of Section 27A of the Securities Act of 1933, as amended (“Securities Act”), and Section 21E of the Securities Exchange Act of 1934, as amended (“Exchange Act”), which are subject to the “safe harbor” created by those sections. These forward-looking statements reflect our management’s beliefs and views with respect to future events and are based on estimates and assumptions as of the date of this report and are subject to risks and uncertainties. We may, in some cases, use words such as “anticipate,” “believe,” “could,” “continue,” “estimate,” “expect,” “intend,” “may,” “objective,” “plan,” “potential,” “predict,” “project,” “should,” “will,” “would,” or the negative of those terms, and similar expressions that convey uncertainty of future events or outcomes to identify these forward-looking statements. Forward-looking statements in this report include, but are not limited to, statements regarding:</w:t>
      </w:r>
    </w:p>
    <w:p>
      <w:pPr>
        <w:spacing w:after="0" w:line="58" w:lineRule="exact"/>
        <w:rPr>
          <w:sz w:val="20"/>
          <w:szCs w:val="20"/>
          <w:color w:val="auto"/>
        </w:rPr>
      </w:pPr>
    </w:p>
    <w:p>
      <w:pPr>
        <w:ind w:left="760" w:right="260" w:hanging="378"/>
        <w:spacing w:after="0" w:line="24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focus on oscillators, clock ICs, resonators and timing synchronization solutions and to aggressively expand our presence in these markets;</w:t>
      </w:r>
    </w:p>
    <w:p>
      <w:pPr>
        <w:spacing w:after="0" w:line="61" w:lineRule="exact"/>
        <w:rPr>
          <w:rFonts w:ascii="Arial" w:cs="Arial" w:eastAsia="Arial" w:hAnsi="Arial"/>
          <w:sz w:val="18"/>
          <w:szCs w:val="18"/>
          <w:color w:val="auto"/>
        </w:rPr>
      </w:pPr>
    </w:p>
    <w:p>
      <w:pPr>
        <w:ind w:left="760" w:right="20" w:hanging="378"/>
        <w:spacing w:after="0" w:line="24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employees, revenue and other operating results, liquidity, and cash flows, and its impact on the businesses of our suppliers and customers, and our anticipated responses thereto;</w:t>
      </w:r>
    </w:p>
    <w:p>
      <w:pPr>
        <w:spacing w:after="0" w:line="61" w:lineRule="exact"/>
        <w:rPr>
          <w:rFonts w:ascii="Arial" w:cs="Arial" w:eastAsia="Arial" w:hAnsi="Arial"/>
          <w:sz w:val="18"/>
          <w:szCs w:val="18"/>
          <w:color w:val="auto"/>
        </w:rPr>
      </w:pPr>
    </w:p>
    <w:p>
      <w:pPr>
        <w:ind w:left="760" w:right="140" w:hanging="378"/>
        <w:spacing w:after="0" w:line="24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ability to address market and customer demands and to timely develop new or enhanced solutions to meet those demands;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trends, challenges and growth in our business and the markets in which we operate, including pricing expectations;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revenue, gross margin, and expenses;</w:t>
      </w:r>
    </w:p>
    <w:p>
      <w:pPr>
        <w:spacing w:after="0" w:line="90" w:lineRule="exact"/>
        <w:rPr>
          <w:rFonts w:ascii="Arial" w:cs="Arial" w:eastAsia="Arial" w:hAnsi="Arial"/>
          <w:sz w:val="18"/>
          <w:szCs w:val="18"/>
          <w:color w:val="auto"/>
        </w:rPr>
      </w:pPr>
    </w:p>
    <w:p>
      <w:pPr>
        <w:ind w:left="760" w:right="280" w:hanging="378"/>
        <w:spacing w:after="0" w:line="24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as to the sufficiency of our existing cash and cash equivalents to meet our cash needs for at least the next 12 months and our future capital requirements over the longer term, including the potential impact of the COVID-19 pandemic thereon;</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our largest customer;</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 relationships and our ability to retain and expand our customer relationships and to achieve design wins;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success, cost, and timing of new products;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solutions, and our ability to serve and expand our presence in those markets;</w:t>
      </w:r>
    </w:p>
    <w:p>
      <w:pPr>
        <w:spacing w:after="0" w:line="90" w:lineRule="exact"/>
        <w:rPr>
          <w:rFonts w:ascii="Arial" w:cs="Arial" w:eastAsia="Arial" w:hAnsi="Arial"/>
          <w:sz w:val="18"/>
          <w:szCs w:val="18"/>
          <w:color w:val="auto"/>
        </w:rPr>
      </w:pPr>
    </w:p>
    <w:p>
      <w:pPr>
        <w:ind w:left="760" w:right="280" w:hanging="378"/>
        <w:spacing w:after="0" w:line="307"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plans to expand sales and marketing efforts through increased collaboration with our distributors, resellers, and contracted sales representatives, and our plans to introduce a self-service web portal as well as digital marketing campaigns for branding and lead generation;</w:t>
      </w:r>
    </w:p>
    <w:p>
      <w:pPr>
        <w:spacing w:after="0" w:line="15"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goal to become the leading timing solution provider for advanced and challenging applications;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positioning of being designed into current systems as well as future products;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that our advanced packaging designs can enable the smallest footprints in the industry;</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our existing and future markets;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regulatory developments in the United States and foreign countries;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performance of, and our relationships with, our third-party suppliers and manufacturers;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and our customers’ ability to respond successfully to technological or industry developments;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intellectual property and related litigation;</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and availability of our leased facilities;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accuracy of our estimates regarding capital requirements, expectations regarding renewal of loans, and needs for additional financing.</w:t>
      </w:r>
    </w:p>
    <w:p>
      <w:pPr>
        <w:spacing w:after="0" w:line="223" w:lineRule="exact"/>
        <w:rPr>
          <w:sz w:val="20"/>
          <w:szCs w:val="20"/>
          <w:color w:val="auto"/>
        </w:rPr>
      </w:pPr>
    </w:p>
    <w:p>
      <w:pPr>
        <w:ind w:right="80"/>
        <w:spacing w:after="0" w:line="209" w:lineRule="exact"/>
        <w:rPr>
          <w:sz w:val="20"/>
          <w:szCs w:val="20"/>
          <w:color w:val="auto"/>
        </w:rPr>
      </w:pPr>
      <w:r>
        <w:rPr>
          <w:rFonts w:ascii="Arial" w:cs="Arial" w:eastAsia="Arial" w:hAnsi="Arial"/>
          <w:sz w:val="18"/>
          <w:szCs w:val="18"/>
          <w:color w:val="auto"/>
        </w:rPr>
        <w:t>In addition, any statements contained herein that are not statements of historical facts may be deemed to be forward-looking statements.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subject to a number of risks and uncertainties that could cause actual results to differ materially from those expected or referenced in these forward-looking statements. These risks and uncertainties include, but are not limited to, those risks discussed in Part II, Item 1A Risk Factors of this report. Moreover, we operate in a very competitive and rapidly</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18" w:name="page19"/>
    <w:bookmarkEnd w:id="18"/>
    <w:p>
      <w:pPr>
        <w:spacing w:after="0" w:line="243" w:lineRule="auto"/>
        <w:rPr>
          <w:sz w:val="20"/>
          <w:szCs w:val="20"/>
          <w:color w:val="auto"/>
        </w:rPr>
      </w:pPr>
      <w:r>
        <w:rPr>
          <w:rFonts w:ascii="Arial" w:cs="Arial" w:eastAsia="Arial" w:hAnsi="Arial"/>
          <w:sz w:val="18"/>
          <w:szCs w:val="18"/>
          <w:color w:val="auto"/>
        </w:rPr>
        <w:t>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 looking statements for any reason after the date of this report to conform these statements to actual results or to changes in our expectations, except as required by law.</w:t>
      </w:r>
    </w:p>
    <w:p>
      <w:pPr>
        <w:spacing w:after="0" w:line="17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right="260"/>
        <w:spacing w:after="0" w:line="243" w:lineRule="auto"/>
        <w:rPr>
          <w:sz w:val="20"/>
          <w:szCs w:val="20"/>
          <w:color w:val="auto"/>
        </w:rPr>
      </w:pPr>
      <w:r>
        <w:rPr>
          <w:rFonts w:ascii="Arial" w:cs="Arial" w:eastAsia="Arial" w:hAnsi="Arial"/>
          <w:sz w:val="18"/>
          <w:szCs w:val="18"/>
          <w:color w:val="auto"/>
        </w:rPr>
        <w:t>We are a leading provider of silicon timing solutions. Our timing solutions are the heartbeat of our customers’ electronic systems, solve complex timing problems and enable industry-leading products. We provide solutions that are differentiated by high performance and reliability, programmability, small size, and low power consumption. Our products have been designed into over 250 applications across our target markets, including communications and enterprise, automotive, industrial, aerospace, and mobile, IoT and consumer.</w:t>
      </w:r>
    </w:p>
    <w:p>
      <w:pPr>
        <w:spacing w:after="0" w:line="188"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We commenced commercial shipments of our first oscillator products in 2006. Substantially all of our revenue to date has been derived from sales of oscillator systems across our target end markets. We intend to focus on clock IC and timing sync solutions in the future. We seek to aggressively expand our presence in these two markets.</w:t>
      </w:r>
    </w:p>
    <w:p>
      <w:pPr>
        <w:spacing w:after="0" w:line="18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sell our products primarily through distributors and resellers, who in turn sell to our end customers. We also sell products directly to end customers who integrate our products into their applications. Based on sell-through information provided by these distributors, we believe the majority of our end customers are based in the U.S.</w:t>
      </w:r>
    </w:p>
    <w:p>
      <w:pPr>
        <w:spacing w:after="0" w:line="182"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We operate a fabless business model, allowing us to focus on the design, sales, and marketing of our products, quickly scale production, and significantly reduce our capital expenditures. We leverage our global network of distributors and resellers to address the broad set of end markets we serve. For our largest accounts, dedicated sales personnel work with the end customer to ensure that our solutions fully address the end customer’s timing needs. Our smaller customers work directly with our distributors to select the optimum timing solution for their needs.</w:t>
      </w:r>
    </w:p>
    <w:p>
      <w:pPr>
        <w:spacing w:after="0" w:line="17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are currently experiencing a growth in demand for some of our products, however, there are a number of industry-wide supply constraints affecting the supply of analog circuits manufactured by certain foundries, including Taiwan Semiconductor Manufacturing Company, and affecting outsourced semiconductor assembly and test providers, which may limit our ability to fully satisfy the increase in demand. If we cannot ship our products to our customers on time and in the quantity required as a result of this supply constraint our sales could decline and we could lose customers. We believe that the effects of the industry-wide supply constraints on other timing device suppliers has contributed in part to our revenue and gross margin growth in 2021, however we may not be able to sustain these revenue and gross margin increases. It is not clear how long the industry-wide supply constraints will continue, or what the resulting impact will be on our gross margin and revenue when the industry-wide supply constraints resolve. For additional discussion please see Part II, Item 1A Risk Factors of this report, especially the risk factor titled “Our revenue and operating results may fluctuate from period to period, which could cause our stock price to fluctuate.”</w:t>
      </w:r>
    </w:p>
    <w:p>
      <w:pPr>
        <w:spacing w:after="0" w:line="18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maintain an office in Lviv, Ukraine. In connection with Russia’s invasion of Ukraine in February 2022, we have prioritized the safety and welfare of our employees and their families in Ukraine, and we have made alternative work locations and housing outside of Ukraine available to them. We have also worked with our employees worldwide to minimize any disruption to our operations and business as a result of Russia’s invasion of Ukraine. We no longer engage contractors in Russia. Russia’s invasion of Ukraine in February 2022 did not have a material adverse effect on our financial condition or results of operations in the first quarter of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spacing w:after="0" w:line="272" w:lineRule="auto"/>
        <w:rPr>
          <w:sz w:val="20"/>
          <w:szCs w:val="20"/>
          <w:color w:val="auto"/>
        </w:rPr>
      </w:pPr>
      <w:r>
        <w:rPr>
          <w:rFonts w:ascii="Arial" w:cs="Arial" w:eastAsia="Arial" w:hAnsi="Arial"/>
          <w:sz w:val="16"/>
          <w:szCs w:val="16"/>
          <w:color w:val="auto"/>
        </w:rPr>
        <w:t>The future impact of the ongoing COVID-19 pandemic on our business remains unknown. In an effort to protect the health and safety of our employees, we implemented safety measures at our locations around the world, including requiring employees to work from home (“WFH”) in certain locations at times, reducing the number of people in certain of our sites at any one time, and limiting employee travel. In an effort to contain the COVID-19 pandemic or slow its spread, governments around the world have also enacted various measures, including orders to close all businesses not deemed “essential,” isolate residents in their homes or places of residence, and practice social distancing. In addition, the United States and other countries in which we operate have from time to time imposed measures such as quarantines and “shelter-in-place” orders that restrict business operations and travel and require individuals to WFH, which has impacted all aspects of our business, as well as those of the third-parties we rely upon for our manufacturing, assembly, testing, shipping and other operations. The current and future spread of COVID-19 variants may cause the reinstatement of one or more of these measures.</w:t>
      </w:r>
    </w:p>
    <w:p>
      <w:pPr>
        <w:spacing w:after="0" w:line="168"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We anticipate the COVID-19 pandemic will continue to impact business activity across the globe and will continue to impact our business, employees and operations for the foreseeable future. We believe that as a result of the COVID-19 pandemic we have experienced some delay and disruption in the manufacture, shipment, and sales of our products. In addition, we believe the production capabilities of our suppliers has been, and will likely continue to be, impacted as a result of quarantines, closures of production facilities, lack of supplies, or delays caused by restrictions on travel or WFH orders. These restrictions could limit our suppliers’ ability to operate their manufacturing facilities in that country. Any delay or disruption in the manufacture, shipment and sales of, or overall demand for, our products in turn may negatively and materially impact our operating and financial results, including revenue, gross margins, operating margins, cash flows and other operating results. Further, the resumption of normal business operations after such disruptions may be delayed and a resurgence of COVID-19 could result in continued disruption to us, our suppliers, and/or our customers. To date, we have experienced minimal impact from any supplier disruption resulting from COVID-19.</w:t>
      </w:r>
    </w:p>
    <w:p>
      <w:pPr>
        <w:spacing w:after="0" w:line="18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duration and full magnitude of the COVID-19 pandemic’s impact on credit and financial markets is also unknown, which creates uncertainty as to the financial condition of our distributors or customers. In addition, the deterioration in credit markets could limit our ability to obtain external financing to fund our operations and capital expenditures. We may also experience losses on our holdings of cash and investments due to failures of financial institutions and other parties.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currently have employees, third-party contractors, distributors, and customers in numerous countries throughout the world that have been impacted by the COVID-19 pandemic. The COVID-19 pandemic has restricted and is expected to continue to restrict travel and use of our facilities and the facilities of our suppliers, customers, or other vendors in our supply chain, which could impact our business, interactions and relationships with our customers, third-party suppliers and contractors, and results of operations. We cannot predict with certainty what other impacts the COVID-19 pandemic may have on our business, employees, service providers, customers and results of operations.</w:t>
      </w:r>
    </w:p>
    <w:p>
      <w:pPr>
        <w:spacing w:after="0" w:line="17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There remains a high degree of uncertainty in the global business environment given the impact of the COVID-19 pandemic which creates challenges with visibility beyond the near term. Further, as WFH orders terminate and individuals return to work in offices, we may experience a reduction in demand for certain of our products that are incorporated in our customers’ products that experienced higher demand as a result of the increase in WFH during the COVID-19 pandemic. We will continue to actively monitor the situation and may take further actions altering our business operations that we determine are in the best interests of our employees, customers, partners, suppliers, and stakeholders, or as required by federal, state, or local authorities. It is not clear what the potential effects any such alterations or modifications may have on our business, including the effects on our customers, employees, operations, and prospects, or on our financial results for 2022 and beyond. For additional discussion, please see Part II, Item 1A Risk Factors of this report.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derive revenue primarily from sales of silicon timing products to distributors and resellers who in turn sell to our end customers. We also sell products directly to end customers who integrate our products into their applications.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45"/>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8"/>
              </w:rPr>
              <w:t>(in thousands except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percentage)</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70,253</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35,542</w:t>
            </w:r>
          </w:p>
        </w:tc>
        <w:tc>
          <w:tcPr>
            <w:tcW w:w="900" w:type="dxa"/>
            <w:vAlign w:val="bottom"/>
            <w:gridSpan w:val="2"/>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ind w:left="560"/>
              <w:spacing w:after="0"/>
              <w:rPr>
                <w:sz w:val="20"/>
                <w:szCs w:val="20"/>
                <w:color w:val="auto"/>
              </w:rPr>
            </w:pPr>
            <w:r>
              <w:rPr>
                <w:rFonts w:ascii="Arial" w:cs="Arial" w:eastAsia="Arial" w:hAnsi="Arial"/>
                <w:sz w:val="16"/>
                <w:szCs w:val="16"/>
                <w:color w:val="auto"/>
                <w:w w:val="85"/>
              </w:rPr>
              <w:t>34,711</w:t>
            </w:r>
          </w:p>
        </w:tc>
        <w:tc>
          <w:tcPr>
            <w:tcW w:w="2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98 %</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ind w:right="20"/>
        <w:spacing w:after="0" w:line="241" w:lineRule="auto"/>
        <w:rPr>
          <w:sz w:val="20"/>
          <w:szCs w:val="20"/>
          <w:color w:val="auto"/>
        </w:rPr>
      </w:pPr>
      <w:r>
        <w:rPr>
          <w:rFonts w:ascii="Arial" w:cs="Arial" w:eastAsia="Arial" w:hAnsi="Arial"/>
          <w:sz w:val="18"/>
          <w:szCs w:val="18"/>
          <w:color w:val="auto"/>
        </w:rPr>
        <w:t>Revenue increased by $34.7 million, or 98%, for the three months ended March 31, 2022 compared to the same period in the prior year. The increase was primarily related to 39% higher volume of shipments year over year and an increase in average selling prices (“ASPs”) of our products. The increase in sales volume was driven by higher demand for our products from new and existing customers, including new design wins at new and existing customers. The ASP increase was related to change in mix of the products we shipped and increase in selling prices for certain products. We may not be able to sustain our ASP increases in the future at this current rate.</w:t>
      </w:r>
    </w:p>
    <w:p>
      <w:pPr>
        <w:spacing w:after="0" w:line="189"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color w:val="auto"/>
        </w:rPr>
        <w:t>For the three months ended March 31, 2022 and 2021, sales attributable to our largest end customer accounted for 18% and 37%, respectively, of our revenue. Our end customers predominantly purchase our products from distributors. For the three months ended March 31, 2022 and 2021, our top three distributors by revenue together accounted for approximately 42% and 62%, respectively, of our revenue. Revenue attributable to our largest ten end customers accounted for 40% and 60%, respectively, of our revenue for the three months ended March 31, 2022 and 2021, respectively.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w:t>
      </w:r>
    </w:p>
    <w:p>
      <w:pPr>
        <w:spacing w:after="0" w:line="108" w:lineRule="exact"/>
        <w:rPr>
          <w:sz w:val="20"/>
          <w:szCs w:val="20"/>
          <w:color w:val="auto"/>
        </w:rPr>
      </w:pPr>
    </w:p>
    <w:p>
      <w:pPr>
        <w:jc w:val="both"/>
        <w:ind w:right="420"/>
        <w:spacing w:after="0" w:line="262" w:lineRule="auto"/>
        <w:rPr>
          <w:sz w:val="20"/>
          <w:szCs w:val="20"/>
          <w:color w:val="auto"/>
        </w:rPr>
      </w:pPr>
      <w:r>
        <w:rPr>
          <w:rFonts w:ascii="Arial" w:cs="Arial" w:eastAsia="Arial" w:hAnsi="Arial"/>
          <w:sz w:val="17"/>
          <w:szCs w:val="17"/>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167"/>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260" w:type="dxa"/>
            <w:vAlign w:val="bottom"/>
          </w:tcPr>
          <w:p>
            <w:pPr>
              <w:spacing w:after="0"/>
              <w:rPr>
                <w:sz w:val="14"/>
                <w:szCs w:val="14"/>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 except</w:t>
            </w:r>
          </w:p>
        </w:tc>
        <w:tc>
          <w:tcPr>
            <w:tcW w:w="10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percentage)</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89"/>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1000" w:type="dxa"/>
            <w:vAlign w:val="bottom"/>
            <w:shd w:val="clear" w:color="auto" w:fill="CFF0FC"/>
          </w:tcPr>
          <w:p>
            <w:pPr>
              <w:jc w:val="right"/>
              <w:ind w:right="82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25,020</w:t>
            </w:r>
          </w:p>
        </w:tc>
        <w:tc>
          <w:tcPr>
            <w:tcW w:w="4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16,725</w:t>
            </w: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8,295</w:t>
            </w:r>
          </w:p>
        </w:tc>
        <w:tc>
          <w:tcPr>
            <w:tcW w:w="2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50 %</w:t>
            </w:r>
          </w:p>
        </w:tc>
      </w:tr>
      <w:tr>
        <w:trPr>
          <w:trHeight w:val="189"/>
        </w:trPr>
        <w:tc>
          <w:tcPr>
            <w:tcW w:w="42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45,233</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18,817</w:t>
            </w: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26,416</w:t>
            </w:r>
          </w:p>
        </w:tc>
        <w:tc>
          <w:tcPr>
            <w:tcW w:w="2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140 %</w:t>
            </w:r>
          </w:p>
        </w:tc>
      </w:tr>
      <w:tr>
        <w:trPr>
          <w:trHeight w:val="189"/>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Margin</w:t>
            </w:r>
          </w:p>
        </w:tc>
        <w:tc>
          <w:tcPr>
            <w:tcW w:w="10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64 %</w:t>
            </w:r>
          </w:p>
        </w:tc>
        <w:tc>
          <w:tcPr>
            <w:tcW w:w="10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53 %</w:t>
            </w:r>
          </w:p>
        </w:tc>
        <w:tc>
          <w:tcPr>
            <w:tcW w:w="6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bl>
    <w:p>
      <w:pPr>
        <w:spacing w:after="0" w:line="21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Gross profit increased by $26.4 million in the three months ended March 31, 2022 compared to the same period in the prior year. Gross profit increased $29.3 million mainly from higher sales volume and an increase in ASPs of our products. This increase was partially offset by higher other manufacturing and overhead costs of $2.4 million.</w:t>
      </w:r>
    </w:p>
    <w:p>
      <w:pPr>
        <w:spacing w:after="0" w:line="20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Gross margin was higher by 11% in the three months ended March 31, 2022 compared to the same period in the prior year. The gross margin increased by 10% from higher sales volume and an increase in ASPs. There was additional 1% improvement in our other manufacturing costs as it decreased as a percentage of revenue.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see increases in our manufacturing costs in fiscal year 2022 due to an industry wide increase in costs.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08"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3620" w:type="dxa"/>
            <w:vAlign w:val="bottom"/>
            <w:tcBorders>
              <w:bottom w:val="single" w:sz="8" w:color="auto"/>
            </w:tcBorders>
            <w:gridSpan w:val="5"/>
          </w:tcPr>
          <w:p>
            <w:pPr>
              <w:jc w:val="right"/>
              <w:ind w:right="743"/>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280" w:type="dxa"/>
            <w:vAlign w:val="bottom"/>
          </w:tcPr>
          <w:p>
            <w:pPr>
              <w:spacing w:after="0"/>
              <w:rPr>
                <w:sz w:val="14"/>
                <w:szCs w:val="14"/>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9"/>
              </w:rPr>
              <w:t>(in thousands except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percentage)</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189"/>
        </w:trPr>
        <w:tc>
          <w:tcPr>
            <w:tcW w:w="42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120" w:type="dxa"/>
            <w:vAlign w:val="bottom"/>
          </w:tcPr>
          <w:p>
            <w:pPr>
              <w:jc w:val="right"/>
              <w:ind w:right="94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20,595</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11,180</w:t>
            </w:r>
          </w:p>
        </w:tc>
        <w:tc>
          <w:tcPr>
            <w:tcW w:w="9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9,415</w:t>
            </w:r>
          </w:p>
        </w:tc>
        <w:tc>
          <w:tcPr>
            <w:tcW w:w="2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84 %</w:t>
            </w:r>
          </w:p>
        </w:tc>
      </w:tr>
      <w:tr>
        <w:trPr>
          <w:trHeight w:val="189"/>
        </w:trPr>
        <w:tc>
          <w:tcPr>
            <w:tcW w:w="4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12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18,578</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11,123</w:t>
            </w:r>
          </w:p>
        </w:tc>
        <w:tc>
          <w:tcPr>
            <w:tcW w:w="26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7,455</w:t>
            </w:r>
          </w:p>
        </w:tc>
        <w:tc>
          <w:tcPr>
            <w:tcW w:w="28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67 %</w:t>
            </w:r>
          </w:p>
        </w:tc>
      </w:tr>
      <w:tr>
        <w:trPr>
          <w:trHeight w:val="183"/>
        </w:trPr>
        <w:tc>
          <w:tcPr>
            <w:tcW w:w="4280" w:type="dxa"/>
            <w:vAlign w:val="bottom"/>
          </w:tcPr>
          <w:p>
            <w:pPr>
              <w:ind w:left="20"/>
              <w:spacing w:after="0" w:line="169" w:lineRule="exact"/>
              <w:rPr>
                <w:sz w:val="20"/>
                <w:szCs w:val="20"/>
                <w:color w:val="auto"/>
              </w:rPr>
            </w:pPr>
            <w:r>
              <w:rPr>
                <w:rFonts w:ascii="Arial" w:cs="Arial" w:eastAsia="Arial" w:hAnsi="Arial"/>
                <w:sz w:val="16"/>
                <w:szCs w:val="16"/>
                <w:color w:val="auto"/>
              </w:rPr>
              <w:t>Total operating expenses</w:t>
            </w:r>
          </w:p>
        </w:tc>
        <w:tc>
          <w:tcPr>
            <w:tcW w:w="1120" w:type="dxa"/>
            <w:vAlign w:val="bottom"/>
          </w:tcPr>
          <w:p>
            <w:pPr>
              <w:jc w:val="right"/>
              <w:ind w:right="944"/>
              <w:spacing w:after="0" w:line="169" w:lineRule="exact"/>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line="169" w:lineRule="exact"/>
              <w:rPr>
                <w:sz w:val="20"/>
                <w:szCs w:val="20"/>
                <w:color w:val="auto"/>
              </w:rPr>
            </w:pPr>
            <w:r>
              <w:rPr>
                <w:rFonts w:ascii="Arial" w:cs="Arial" w:eastAsia="Arial" w:hAnsi="Arial"/>
                <w:sz w:val="16"/>
                <w:szCs w:val="16"/>
                <w:color w:val="auto"/>
              </w:rPr>
              <w:t>39,173</w:t>
            </w:r>
          </w:p>
        </w:tc>
        <w:tc>
          <w:tcPr>
            <w:tcW w:w="50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69" w:lineRule="exact"/>
              <w:rPr>
                <w:sz w:val="20"/>
                <w:szCs w:val="20"/>
                <w:color w:val="auto"/>
              </w:rPr>
            </w:pPr>
            <w:r>
              <w:rPr>
                <w:rFonts w:ascii="Arial" w:cs="Arial" w:eastAsia="Arial" w:hAnsi="Arial"/>
                <w:sz w:val="16"/>
                <w:szCs w:val="16"/>
                <w:color w:val="auto"/>
              </w:rPr>
              <w:t>22,303</w:t>
            </w:r>
          </w:p>
        </w:tc>
        <w:tc>
          <w:tcPr>
            <w:tcW w:w="900" w:type="dxa"/>
            <w:vAlign w:val="bottom"/>
            <w:gridSpan w:val="2"/>
          </w:tcPr>
          <w:p>
            <w:pPr>
              <w:jc w:val="right"/>
              <w:ind w:right="540"/>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16,870</w:t>
            </w:r>
          </w:p>
        </w:tc>
        <w:tc>
          <w:tcPr>
            <w:tcW w:w="280" w:type="dxa"/>
            <w:vAlign w:val="bottom"/>
          </w:tcPr>
          <w:p>
            <w:pPr>
              <w:spacing w:after="0"/>
              <w:rPr>
                <w:sz w:val="15"/>
                <w:szCs w:val="15"/>
                <w:color w:val="auto"/>
              </w:rPr>
            </w:pPr>
          </w:p>
        </w:tc>
        <w:tc>
          <w:tcPr>
            <w:tcW w:w="116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76 %</w:t>
            </w:r>
          </w:p>
        </w:tc>
      </w:tr>
      <w:tr>
        <w:trPr>
          <w:trHeight w:val="20"/>
        </w:trPr>
        <w:tc>
          <w:tcPr>
            <w:tcW w:w="4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-150495</wp:posOffset>
            </wp:positionV>
            <wp:extent cx="431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-150495</wp:posOffset>
            </wp:positionV>
            <wp:extent cx="3429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-150495</wp:posOffset>
            </wp:positionV>
            <wp:extent cx="431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research and development efforts are focused on the design and development of next-generation silicon timing systems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which are offset by non-recurring engineering contra-expenses recorded. We expense research and development costs as incurred. We believe that continued investment in our products and services is important for our future growth and acquisition of new customers and, as a result, we expect our research and development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ind w:right="340"/>
        <w:spacing w:after="0" w:line="261" w:lineRule="auto"/>
        <w:rPr>
          <w:sz w:val="20"/>
          <w:szCs w:val="20"/>
          <w:color w:val="auto"/>
        </w:rPr>
      </w:pPr>
      <w:r>
        <w:rPr>
          <w:rFonts w:ascii="Arial" w:cs="Arial" w:eastAsia="Arial" w:hAnsi="Arial"/>
          <w:sz w:val="18"/>
          <w:szCs w:val="18"/>
          <w:color w:val="auto"/>
        </w:rPr>
        <w:t>expenses to continue to increase in absolute dollars. However, we expect our research and development expense to fluctuate as a percentage of revenue from period to period depending on the timing of these expenses.</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Research and development expense increased by $9.4 million, or 84%, for the three months ended March 31, 2022 compared to the same period in the prior year, primarily due to higher personnel costs of $4.2 million due to increased headcount, higher ongoing new product related expenses of $3.6 million, and an increase in stock-based compensation expense of $2.8 million, offset by non-recurring engineering contra-expense recognized of $2.0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04" w:lineRule="exact"/>
        <w:rPr>
          <w:sz w:val="20"/>
          <w:szCs w:val="20"/>
          <w:color w:val="auto"/>
        </w:rPr>
      </w:pPr>
    </w:p>
    <w:p>
      <w:pPr>
        <w:jc w:val="both"/>
        <w:ind w:right="120"/>
        <w:spacing w:after="0" w:line="262" w:lineRule="auto"/>
        <w:rPr>
          <w:sz w:val="20"/>
          <w:szCs w:val="20"/>
          <w:color w:val="auto"/>
        </w:rPr>
      </w:pPr>
      <w:r>
        <w:rPr>
          <w:rFonts w:ascii="Arial" w:cs="Arial" w:eastAsia="Arial" w:hAnsi="Arial"/>
          <w:sz w:val="17"/>
          <w:szCs w:val="17"/>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17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Selling, general and administrative expense increased by $7.5 million, or 67%, for the three months ended March 31, 2022 compared to the same period in the prior year, primarily due to higher stock-based compensation expense of $4.3 million, higher personnel costs of $1.5 million related to increased headcount and commissions, and higher consulting fees of $1.5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consists primarily of interest income on our cash balances and foreign exchange gains and losses.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450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 March 31,</w:t>
            </w:r>
          </w:p>
        </w:tc>
        <w:tc>
          <w:tcPr>
            <w:tcW w:w="1280" w:type="dxa"/>
            <w:vAlign w:val="bottom"/>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428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r>
      <w:tr>
        <w:trPr>
          <w:trHeight w:val="169"/>
        </w:trPr>
        <w:tc>
          <w:tcPr>
            <w:tcW w:w="4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(in thousands except</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9"/>
        </w:trPr>
        <w:tc>
          <w:tcPr>
            <w:tcW w:w="5480" w:type="dxa"/>
            <w:vAlign w:val="bottom"/>
            <w:gridSpan w:val="2"/>
            <w:shd w:val="clear" w:color="auto" w:fill="CFF0FC"/>
          </w:tcPr>
          <w:p>
            <w:pPr>
              <w:jc w:val="right"/>
              <w:ind w:right="3548"/>
              <w:spacing w:after="0"/>
              <w:rPr>
                <w:sz w:val="20"/>
                <w:szCs w:val="20"/>
                <w:color w:val="auto"/>
              </w:rPr>
            </w:pPr>
            <w:r>
              <w:rPr>
                <w:rFonts w:ascii="Arial" w:cs="Arial" w:eastAsia="Arial" w:hAnsi="Arial"/>
                <w:sz w:val="16"/>
                <w:szCs w:val="16"/>
                <w:color w:val="auto"/>
                <w:w w:val="90"/>
              </w:rPr>
              <w:t>Other income (expense), net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2220" w:type="dxa"/>
            <w:vAlign w:val="bottom"/>
            <w:gridSpan w:val="3"/>
            <w:shd w:val="clear" w:color="auto" w:fill="CFF0FC"/>
          </w:tcPr>
          <w:p>
            <w:pPr>
              <w:jc w:val="right"/>
              <w:ind w:right="148"/>
              <w:spacing w:after="0"/>
              <w:rPr>
                <w:sz w:val="20"/>
                <w:szCs w:val="20"/>
                <w:color w:val="auto"/>
              </w:rPr>
            </w:pPr>
            <w:r>
              <w:rPr>
                <w:rFonts w:ascii="Arial" w:cs="Arial" w:eastAsia="Arial" w:hAnsi="Arial"/>
                <w:sz w:val="16"/>
                <w:szCs w:val="16"/>
                <w:color w:val="auto"/>
              </w:rPr>
              <w:t>(39 )</w:t>
            </w:r>
          </w:p>
        </w:tc>
        <w:tc>
          <w:tcPr>
            <w:tcW w:w="6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2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(479 %)</w:t>
            </w:r>
          </w:p>
        </w:tc>
      </w:tr>
    </w:tbl>
    <w:p>
      <w:pPr>
        <w:spacing w:after="0" w:line="229"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Other income increased by $0.2 million for the three months ended March 31, 2022 compared to the same period in the prior year, primarily related to interest income earned on short term cash investments and net unrealized gain on foreign exchange rates due to increased activities in our foreign subsidiaries.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40" w:type="dxa"/>
            <w:vAlign w:val="bottom"/>
            <w:gridSpan w:val="6"/>
          </w:tcPr>
          <w:p>
            <w:pPr>
              <w:jc w:val="right"/>
              <w:ind w:right="1760"/>
              <w:spacing w:after="0"/>
              <w:rPr>
                <w:sz w:val="20"/>
                <w:szCs w:val="20"/>
                <w:color w:val="auto"/>
              </w:rPr>
            </w:pPr>
            <w:r>
              <w:rPr>
                <w:rFonts w:ascii="Arial" w:cs="Arial" w:eastAsia="Arial" w:hAnsi="Arial"/>
                <w:sz w:val="14"/>
                <w:szCs w:val="14"/>
                <w:b w:val="1"/>
                <w:bCs w:val="1"/>
                <w:color w:val="auto"/>
              </w:rPr>
              <w:t>Three Months Ended March 31,</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7"/>
              </w:rPr>
              <w:t>(in thousands except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percentage)</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(68 )</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2320" w:type="dxa"/>
            <w:vAlign w:val="bottom"/>
            <w:gridSpan w:val="3"/>
            <w:shd w:val="clear" w:color="auto" w:fill="CFF0FC"/>
          </w:tcPr>
          <w:p>
            <w:pPr>
              <w:jc w:val="right"/>
              <w:ind w:right="560"/>
              <w:spacing w:after="0"/>
              <w:rPr>
                <w:sz w:val="20"/>
                <w:szCs w:val="20"/>
                <w:color w:val="auto"/>
              </w:rPr>
            </w:pPr>
            <w:r>
              <w:rPr>
                <w:rFonts w:ascii="Arial" w:cs="Arial" w:eastAsia="Arial" w:hAnsi="Arial"/>
                <w:sz w:val="16"/>
                <w:szCs w:val="16"/>
                <w:color w:val="auto"/>
              </w:rPr>
              <w:t>(40 )   $</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(28 )</w:t>
            </w: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March 31, 2022 and December 31, 2021, we had cash and cash equivalents of $571.5 million and $559.5 million, respectively. Our principal use of cash is to fund our operations to support growth.</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February 2021, we completed a follow-on public offering, in which we issued and sold 1,500,000 shares of our common stock, resulting in net proceeds to us of $181.6 million after deducting underwriting discounts and commissions and deferred offering costs.</w:t>
      </w:r>
    </w:p>
    <w:p>
      <w:pPr>
        <w:spacing w:after="0" w:line="265" w:lineRule="exact"/>
        <w:rPr>
          <w:sz w:val="20"/>
          <w:szCs w:val="20"/>
          <w:color w:val="auto"/>
        </w:rPr>
      </w:pPr>
    </w:p>
    <w:p>
      <w:pPr>
        <w:ind w:right="520"/>
        <w:spacing w:after="0" w:line="248" w:lineRule="auto"/>
        <w:rPr>
          <w:sz w:val="20"/>
          <w:szCs w:val="20"/>
          <w:color w:val="auto"/>
        </w:rPr>
      </w:pPr>
      <w:r>
        <w:rPr>
          <w:rFonts w:ascii="Arial" w:cs="Arial" w:eastAsia="Arial" w:hAnsi="Arial"/>
          <w:sz w:val="18"/>
          <w:szCs w:val="18"/>
          <w:color w:val="auto"/>
        </w:rPr>
        <w:t>Our principal use of cash is to fund our operations to support growth. Our purchase obligations primarily include design and simulation licenses. For information about our contractual obligations refer to "Note 5 - Lease" and “Note 9 – Commitments and Contingencies” of the Notes to Condensed Consolidated Financial Statements.</w:t>
      </w:r>
    </w:p>
    <w:p>
      <w:pPr>
        <w:spacing w:after="0" w:line="16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We expect to continue our investing activities, primarily in the purchase of property and equipment and capitalized software, to support research and development, sales and marketing, product support, and administrative staff.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ind w:right="120"/>
        <w:spacing w:after="0" w:line="259" w:lineRule="auto"/>
        <w:rPr>
          <w:sz w:val="20"/>
          <w:szCs w:val="20"/>
          <w:color w:val="auto"/>
        </w:rPr>
      </w:pPr>
      <w:r>
        <w:rPr>
          <w:rFonts w:ascii="Arial" w:cs="Arial" w:eastAsia="Arial" w:hAnsi="Arial"/>
          <w:sz w:val="17"/>
          <w:szCs w:val="17"/>
          <w:color w:val="auto"/>
        </w:rPr>
        <w:t>We believe that our existing cash and cash equivalents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2"/>
          </w:tcPr>
          <w:p>
            <w:pPr>
              <w:jc w:val="right"/>
              <w:ind w:right="596"/>
              <w:spacing w:after="0"/>
              <w:rPr>
                <w:sz w:val="20"/>
                <w:szCs w:val="20"/>
                <w:color w:val="auto"/>
              </w:rPr>
            </w:pPr>
            <w:r>
              <w:rPr>
                <w:rFonts w:ascii="Arial" w:cs="Arial" w:eastAsia="Arial" w:hAnsi="Arial"/>
                <w:sz w:val="13"/>
                <w:szCs w:val="13"/>
                <w:b w:val="1"/>
                <w:bCs w:val="1"/>
                <w:color w:val="auto"/>
                <w:w w:val="74"/>
              </w:rPr>
              <w:t>thousands)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040" w:type="dxa"/>
            <w:vAlign w:val="bottom"/>
            <w:shd w:val="clear" w:color="auto" w:fill="CFF0FC"/>
          </w:tcPr>
          <w:p>
            <w:pPr>
              <w:jc w:val="right"/>
              <w:ind w:right="859"/>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20,028</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6"/>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6,075</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7"/>
                <w:szCs w:val="17"/>
                <w:color w:val="auto"/>
              </w:rPr>
            </w:pPr>
          </w:p>
        </w:tc>
        <w:tc>
          <w:tcPr>
            <w:tcW w:w="820" w:type="dxa"/>
            <w:vAlign w:val="bottom"/>
            <w:gridSpan w:val="2"/>
          </w:tcPr>
          <w:p>
            <w:pPr>
              <w:jc w:val="right"/>
              <w:ind w:right="93"/>
              <w:spacing w:after="0" w:line="202" w:lineRule="exact"/>
              <w:rPr>
                <w:sz w:val="20"/>
                <w:szCs w:val="20"/>
                <w:color w:val="auto"/>
              </w:rPr>
            </w:pPr>
            <w:r>
              <w:rPr>
                <w:rFonts w:ascii="Arial" w:cs="Arial" w:eastAsia="Arial" w:hAnsi="Arial"/>
                <w:sz w:val="18"/>
                <w:szCs w:val="18"/>
                <w:color w:val="auto"/>
              </w:rPr>
              <w:t>(8,035 )</w:t>
            </w:r>
          </w:p>
        </w:tc>
        <w:tc>
          <w:tcPr>
            <w:tcW w:w="9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(4,236 )</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0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181,588</w:t>
            </w:r>
          </w:p>
        </w:tc>
        <w:tc>
          <w:tcPr>
            <w:tcW w:w="80" w:type="dxa"/>
            <w:vAlign w:val="bottom"/>
            <w:shd w:val="clear" w:color="auto" w:fill="CFF0FC"/>
          </w:tcPr>
          <w:p>
            <w:pPr>
              <w:spacing w:after="0"/>
              <w:rPr>
                <w:sz w:val="17"/>
                <w:szCs w:val="17"/>
                <w:color w:val="auto"/>
              </w:rPr>
            </w:pPr>
          </w:p>
        </w:tc>
      </w:tr>
      <w:tr>
        <w:trPr>
          <w:trHeight w:val="196"/>
        </w:trPr>
        <w:tc>
          <w:tcPr>
            <w:tcW w:w="770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Net increase in cash and cash equivalents</w:t>
            </w:r>
          </w:p>
        </w:tc>
        <w:tc>
          <w:tcPr>
            <w:tcW w:w="1040" w:type="dxa"/>
            <w:vAlign w:val="bottom"/>
            <w:tcBorders>
              <w:top w:val="single" w:sz="8" w:color="auto"/>
              <w:bottom w:val="single" w:sz="8" w:color="auto"/>
            </w:tcBorders>
          </w:tcPr>
          <w:p>
            <w:pPr>
              <w:jc w:val="right"/>
              <w:ind w:right="859"/>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11,993</w:t>
            </w: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796"/>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9"/>
              </w:rPr>
              <w:t>183,427</w:t>
            </w:r>
          </w:p>
        </w:tc>
        <w:tc>
          <w:tcPr>
            <w:tcW w:w="80" w:type="dxa"/>
            <w:vAlign w:val="bottom"/>
            <w:tcBorders>
              <w:top w:val="single" w:sz="8" w:color="CFF0FC"/>
            </w:tcBorders>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-159385</wp:posOffset>
            </wp:positionV>
            <wp:extent cx="514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In the three months ended March 31, 2022, net cash provided by operating activities of $20.0 million was primarily due to a net profit of $6.1 million and non-cash expenses of $16.8 million, partially offset by a net outflow in operating assets and liabilities of $2.9 million. Non-cash expenses were mainly related to depreciation and amortization and stock-based compensation expense. Operating assets and liabilities decreased primarily due to lower accounts payable due to timing of payments, lower accounts receivables due to timing of shipments partially offset by an increase in inventories as we managed our inventory levels for increased demand, and lower accrued expenses decreased primarily due to timing of accrued payroll and related benefit payments.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Our investing activities consist primarily of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18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the three months ended March 31, 2022, net cash used in investing activities was $8.0 million. We paid $7.5 million largely to purchase test and other manufacturing equipment to support the increase in demand of our products and other property and equipment for general business purposes. We paid $0.6 million to purchase intangible assets.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Our financing activities have historically consisted of proceeds from borrowings under our previous credit facilities and proceeds from issuance of shares.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financing activities during the three months ended March 31, 2022.</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Our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or SEC, has defined a company’s critical accounting policies as policies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policies and estimates to be as follows: (1) revenue recognition; (2) inventory; (3) stock-based compensation; and (4) accounting for income taxes.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ind w:right="20"/>
        <w:spacing w:after="0" w:line="261" w:lineRule="auto"/>
        <w:rPr>
          <w:sz w:val="20"/>
          <w:szCs w:val="20"/>
          <w:color w:val="auto"/>
        </w:rPr>
      </w:pPr>
      <w:r>
        <w:rPr>
          <w:rFonts w:ascii="Arial" w:cs="Arial" w:eastAsia="Arial" w:hAnsi="Arial"/>
          <w:sz w:val="18"/>
          <w:szCs w:val="18"/>
          <w:color w:val="auto"/>
        </w:rPr>
        <w:t>policies and estimates in Management’s Discussion and Analysis of Financial Condition and Results of Operations, in our Annual Report on Form 10-K for the year ended December 31, 2021 filed with the SEC on February 25, 2022.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0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Substantially all of our revenue is denominated in U.S. dollars. Our expenses are generally denominated in the currencies in which our operations are located, which is primarily in the United States and, to a lesser extent, in Malaysia, the Netherlands, France, Taiwan, Japan,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We had cash and cash equivalents of $571.5 million and $559.5 million as of March 31, 2022 and December 31, 2021, respectively, consisting of bank deposits, money market funds and treasury bills. Such interest-earning instruments carry a degree of interest rate risk. To date, fluctuations in interest income have not been significant.</w:t>
      </w:r>
    </w:p>
    <w:p>
      <w:pPr>
        <w:spacing w:after="0" w:line="18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The effect of a hypothetical 10% change in interest rates applicable to our business would not have a material impact on our historical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81"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spacing w:after="0" w:line="51"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required by this item is included in Note 9 of the Notes to Condensed Consolidated Financial Statements in Part I Item 1 of this Quarterly Report on Form 10-Q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b w:val="1"/>
          <w:bCs w:val="1"/>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10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effects of the ongoing COVID-19 pandemic on our business are evolving and difficult to predict. To date, the COVID-19 pandemic has significantly and negatively impacted the global economy and it is unclear how long the pandemic will continue to do so. To combat the spread of COVID-19, the United States and other foreign countries in which we operate have from time to time imposed measures such as quarantines and “shelter-in-place” orders that restrict business operations and travel and require individuals to work from home (“WFH”), which has impacted all aspects of our business as well as those of the third-parties we rely upon for our manufacturing, assembly, testing, shipping, and other operations. Among other things, the continued COVID-19 pandemic may result in:</w:t>
      </w:r>
    </w:p>
    <w:p>
      <w:pPr>
        <w:spacing w:after="0" w:line="81"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reduce demand and/or prices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productivity in our product development, operations, marketing, sales, and other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to our supply chain;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rate of losses on our accounts receivables due to credit defaults.</w:t>
      </w:r>
    </w:p>
    <w:p>
      <w:pPr>
        <w:spacing w:after="0" w:line="10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COVID-19 pandemic has also caused significant uncertainty and volatility in global financial markets and the trading prices for the common stock of technology companies, including us. Due to such volatility, we may not be able to raise additional capital, if needed, on favorable terms, or at all. Further adverse economic events resulting from the COVID-19 pandemic, including a recession, depression, or other sustained economic downturn, could materially and adversely affect our business, access to capital markets, and the value of our common stock.</w:t>
      </w:r>
    </w:p>
    <w:p>
      <w:pPr>
        <w:spacing w:after="0" w:line="6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addition, given the inherent uncertainty surrounding COVID-19 due to rapidly changing governmental directives, public health challenges, and economic disruption and the duration of the foregoing, the potential impact that the COVID-19 pandemic could have on the other risk factors described in this “Risk Factors” section remain unclear.</w:t>
      </w:r>
    </w:p>
    <w:p>
      <w:pPr>
        <w:spacing w:after="0" w:line="7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a result of the COVID-19 pandemic, we believe we have experienced some delay and disruption in the manufacture, shipment, and sales of our products. In addition, we believe the production capabilities of our suppliers has been, and will likely continue to be, impacted as a result of quarantines, closures of production facilities, lack of supplies, or delays caused by restrictions on travel or WFH orders. Further, as WFH orders terminate and individuals return to work in offices, we may experience a reduction in demand for certain of our products that are incorporated in our customers’ products that experienced higher demand as a result of the increase in WFH during the COVID-19 pandemic. The continued disruption in the manufacture, shipment and sales of our products may negatively and materially impact our operating results. The resumption of normal business operations after such disruptions may be delayed and resurgences of COVID-19 could result in continued disruption to us, our suppliers, and/or our customers. As a result, the effects of the COVID-19 pandemic could have a material adverse impact on our business, results of operations, and financial condition in the future.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the worldwide economy may harm our business.</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COVID-19 pandemic could cause an extended downturn in the worldwide economy, which would likely result in reduced demand for our products and our customers’ products. Reduced demand for our products could result in significant decreases in sales and margins. In addition, the deterioration in credit markets could limit our ability to obtain external financing to fund our operations and capital expenditures. We may experience losses on our holdings of cash and investments due to failures of financial institutions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5" w:name="page26"/>
    <w:bookmarkEnd w:id="25"/>
    <w:p>
      <w:pPr>
        <w:ind w:right="220"/>
        <w:spacing w:after="0" w:line="291" w:lineRule="auto"/>
        <w:rPr>
          <w:sz w:val="20"/>
          <w:szCs w:val="20"/>
          <w:color w:val="auto"/>
        </w:rPr>
      </w:pPr>
      <w:r>
        <w:rPr>
          <w:rFonts w:ascii="Arial" w:cs="Arial" w:eastAsia="Arial" w:hAnsi="Arial"/>
          <w:sz w:val="17"/>
          <w:szCs w:val="17"/>
          <w:color w:val="auto"/>
        </w:rPr>
        <w:t>and other parties. Adverse economic conditions may also result in a higher rate of losses on our accounts receivables due to credit defaults. As a result, a downturn in the worldwide economy could have a material adverse effect on our business, results of operations, and financial condition.</w:t>
      </w:r>
    </w:p>
    <w:p>
      <w:pPr>
        <w:spacing w:after="0" w:line="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depend on third parties for our wafer fabrication, assembly, packaging, and testing operations, which exposes us to certain risks that may harm our business.</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6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 any increases in their wafer or materials prices could adversely affect our gross margins and our ability to meet customer demands in a timely manner, or at all, and lead to reduced revenue. There are currently a number of industry-wide supply constraints affecting the supply of analog circuits manufactured by certain foundries, including TSMC, and affecting outsourced semiconductor assembly and test providers (“OSATs”), which has limited and may continue to limit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5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7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currently primarily rely on Advanced Semiconductor Engineering, Inc. (“ASE”), Carsem (M) Sdn. Bhd. (“Carsem”), and United Test and Assembly Center Ltd. (“UTAC”) for assembly and testing, as well as Daishinku Corp. (“Daishinku”) and UTAC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8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spacing w:after="0" w:line="81"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6" w:name="page27"/>
    <w:bookmarkEnd w:id="26"/>
    <w:p>
      <w:pPr>
        <w:ind w:right="360"/>
        <w:spacing w:after="0" w:line="261" w:lineRule="auto"/>
        <w:rPr>
          <w:sz w:val="20"/>
          <w:szCs w:val="20"/>
          <w:color w:val="auto"/>
        </w:rPr>
      </w:pPr>
      <w:r>
        <w:rPr>
          <w:rFonts w:ascii="Arial" w:cs="Arial" w:eastAsia="Arial" w:hAnsi="Arial"/>
          <w:sz w:val="18"/>
          <w:szCs w:val="18"/>
          <w:color w:val="auto"/>
        </w:rPr>
        <w:t>which could damage our customer relationships. Although we maintain business disruption insurance, this insurance may not be adequate to cover any losses we may experience as a result of such difficulties.</w:t>
      </w:r>
    </w:p>
    <w:p>
      <w:pPr>
        <w:spacing w:after="0" w:line="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spacing w:after="0" w:line="5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outsource the fabrication and assembly of all of our products to third parties that are primarily located in Germany and Asia. In addition, we conduct research and development activities in the United States, Japan, the Netherlands, Taiwan, and Ukraine. We also conduct marketing and administrative functions in the United States, Japan, the Netherlands, China, Taiwan, Malaysia, and Ukraine. Certain of the critical functions for our business are performed in locations outside of the United States. In addition, members of our sales force are located in various locations outside of the United States. In addition, approximately 90% and 97% of our revenue for three months ended March 31, 2022 and 2021,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72" w:lineRule="exact"/>
        <w:rPr>
          <w:sz w:val="20"/>
          <w:szCs w:val="20"/>
          <w:color w:val="auto"/>
        </w:rPr>
      </w:pPr>
    </w:p>
    <w:p>
      <w:pPr>
        <w:ind w:left="1020" w:right="26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complexity and costs of managing international operations, including manufacturing, assembly, and testing of our products and associated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geopolitical and economic instability and military conflicts, including the effects of Russia’s invasion of Ukraine;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limited protection for, and vulnerability to theft of, our intellectual property rights, including our trade secrets;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local laws and regulations and unanticipated changes in local laws and regulations, including tax laws and regulations;</w:t>
      </w:r>
    </w:p>
    <w:p>
      <w:pPr>
        <w:spacing w:after="0" w:line="115" w:lineRule="exact"/>
        <w:rPr>
          <w:rFonts w:ascii="Arial" w:cs="Arial" w:eastAsia="Arial" w:hAnsi="Arial"/>
          <w:sz w:val="17"/>
          <w:szCs w:val="17"/>
          <w:color w:val="auto"/>
        </w:rPr>
      </w:pPr>
    </w:p>
    <w:p>
      <w:pPr>
        <w:ind w:left="1020" w:right="14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 including the ongoing trade tensions between the U.S. and China that has resulted in higher tariffs on certain semiconductor products;</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fluctuations and exchange losses relating to our international operating activities;</w:t>
      </w:r>
    </w:p>
    <w:p>
      <w:pPr>
        <w:spacing w:after="0" w:line="103" w:lineRule="exact"/>
        <w:rPr>
          <w:rFonts w:ascii="Arial" w:cs="Arial" w:eastAsia="Arial" w:hAnsi="Arial"/>
          <w:sz w:val="18"/>
          <w:szCs w:val="18"/>
          <w:color w:val="auto"/>
        </w:rPr>
      </w:pPr>
    </w:p>
    <w:p>
      <w:pPr>
        <w:ind w:left="1020" w:right="140" w:hanging="503"/>
        <w:spacing w:after="0" w:line="324"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spacing w:after="0" w:line="16" w:lineRule="exact"/>
        <w:rPr>
          <w:rFonts w:ascii="Arial" w:cs="Arial" w:eastAsia="Arial" w:hAnsi="Arial"/>
          <w:sz w:val="16"/>
          <w:szCs w:val="16"/>
          <w:color w:val="auto"/>
        </w:rPr>
      </w:pPr>
    </w:p>
    <w:p>
      <w:pPr>
        <w:ind w:left="1020" w:right="22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immigration policies which may impact our ability to hire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03"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requirements in foreign countries which may impact availability of personnel, such as mandatory military service in countries such as Ukraine;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regional health issues and the impact of public health epidemics on employees and the global economy, such as the worldwide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outages and natural disasters; and</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travel, work-from-home or other restrictions or stoppages, like those currently imposed by governments around the world as a result of the COVID-19 pandemic.</w:t>
      </w:r>
    </w:p>
    <w:p>
      <w:pPr>
        <w:spacing w:after="0" w:line="63"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and China. If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7" w:name="page28"/>
    <w:bookmarkEnd w:id="27"/>
    <w:p>
      <w:pPr>
        <w:spacing w:after="0" w:line="238" w:lineRule="auto"/>
        <w:rPr>
          <w:sz w:val="20"/>
          <w:szCs w:val="20"/>
          <w:color w:val="auto"/>
        </w:rPr>
      </w:pPr>
      <w:r>
        <w:rPr>
          <w:rFonts w:ascii="Arial" w:cs="Arial" w:eastAsia="Arial" w:hAnsi="Arial"/>
          <w:sz w:val="18"/>
          <w:szCs w:val="18"/>
          <w:color w:val="auto"/>
        </w:rPr>
        <w:t>political tensions between China and Taiwan were to increase further, it could disrupt our business and adversely affect our financial condition and results of operations given that we rely primarily on TSMC in Taiwan for our analog circuits. In addition, given the current political and military situation in Russia and Ukraine, or if the relationship between Russia and the United States worsens further, or if either Russia or the United States imposes significant new economic sanctions or restrictions on doing business, and we are restricted or precluded from continuing our operations in Ukraine, it could disrupt our business, our costs could increase, and our product development efforts, business, financial condition, and results of operations could be significantly harmed. Further, the ongoing COVID-19 pandemic has led to travel, work-from-home, and other restrictions, which has significantly impacted our domestic and international operations and the operations of our suppliers, distributors, partners, and customers. At this point, the extent to which the COVID-19 pandemic may impact our business remains uncertain but it may materially adversely affect our business, financial condition or results of operations.</w:t>
      </w:r>
    </w:p>
    <w:p>
      <w:pPr>
        <w:spacing w:after="0" w:line="83"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b w:val="1"/>
          <w:bCs w:val="1"/>
          <w:i w:val="1"/>
          <w:iCs w:val="1"/>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39"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We believe that our operating results for the foreseeable future will continue to depend to a significant extent on revenue attributable to Apple, our largest end customer. Sales attributable to this end customer have historically accounted for a large portion of our revenue and accounted for approximately 18% and 37% of our revenue for the three months ended March 31, 2022 and 2021, respectively. Revenue attributable to this end customer decreased from three months ended March 31, 2021 to 2022. We anticipate revenue attributable to this customer will fluctuate from period to period, although we expect to remain dependent on this end customer for a substantial portion of our revenue for the foreseeable future.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81"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Because most of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expose us to the risks of inventory shortages or excess inventory. This in turn could cause our operating results to fluctuate.</w:t>
      </w:r>
    </w:p>
    <w:p>
      <w:pPr>
        <w:spacing w:after="0" w:line="8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In addition,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expand or further diversify our customer base, our business, financial condition, and results of operations could suffer.</w:t>
      </w:r>
    </w:p>
    <w:p>
      <w:pPr>
        <w:spacing w:after="0" w:line="11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sell our products primarily through distributors and resellers, who in turn sell to our end customers. We also sell directly to our end customers. For the three months ended March 31, 2022 and 2021, our top three distributors by revenue together accounted for approximately 42% and 62% of our revenue, respectively. Based on our shipment information, we believe that revenue attributable to our ten largest end customers accounted for 40% and 60% of our revenue in the three months ended March 31, 2022 and 2021, respectively. Sales attributable to our largest end customer accounted for approximately 18% and 37%, respectively of our revenue for the three months ended March 31, 2022 and 2021, respectively.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silicon timing systems solutions. If we are unable to expand or further diversify our customer base, it could harm our business, financial condition, and results of operations.</w:t>
      </w:r>
    </w:p>
    <w:p>
      <w:pPr>
        <w:spacing w:after="0" w:line="6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Because we do not have long-term purchase commitments with our customers, orders may be cancelled, reduced, or rescheduled with little or no notice, which in turn exposes us to inventory risk, and may cause our business and results of operations to suffer.</w:t>
      </w:r>
    </w:p>
    <w:p>
      <w:pPr>
        <w:spacing w:after="0" w:line="6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right="40"/>
        <w:spacing w:after="0" w:line="272" w:lineRule="auto"/>
        <w:rPr>
          <w:sz w:val="20"/>
          <w:szCs w:val="20"/>
          <w:color w:val="auto"/>
        </w:rPr>
      </w:pPr>
      <w:r>
        <w:rPr>
          <w:rFonts w:ascii="Arial" w:cs="Arial" w:eastAsia="Arial" w:hAnsi="Arial"/>
          <w:sz w:val="16"/>
          <w:szCs w:val="16"/>
          <w:color w:val="auto"/>
        </w:rPr>
        <w:t>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silicon timing systems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us to the risks of inventory shortages or excess inventory.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operating results may fluctuate from period to period, which could cause our stock price to fluctuate.</w:t>
      </w:r>
    </w:p>
    <w:p>
      <w:pPr>
        <w:spacing w:after="0" w:line="104"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Though our ASP increased in 2021 compared to 2020, we may not be able to sustain ASP increases in the future. Factors relating to our business that may contribute to fluctuations in our operating results include the following factors, as well as other factors described elsewhere in this report:</w:t>
      </w:r>
    </w:p>
    <w:p>
      <w:pPr>
        <w:spacing w:after="0" w:line="81"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suppliers, and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demand and product life cycles;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reduction, or cancellation of, or changes in the forecasts or timing of, orders by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levels of inventories held by our distributors or end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chain disruptions, delays, shortages, and capacity limitations as a result of the COVID-19 pandemic or other reasons;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extent of product development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research and development costs and related new product expenditures and our ability to achieve cost reductions in a timely or predictable manner;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seasonality and fluctuations in sales by product manufacturers that incorporate our silicon timing systems solutions into their products;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end-market demand into which we have limited insight, including cyclicality, seasonality, and the competitive landscape;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warranty claims, including those not covered by our suppliers;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pricing, product cost, and product mix.</w:t>
      </w:r>
    </w:p>
    <w:p>
      <w:pPr>
        <w:spacing w:after="0" w:line="10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7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74"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We sell our silicon timing systems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9" w:name="page30"/>
    <w:bookmarkEnd w:id="29"/>
    <w:p>
      <w:pPr>
        <w:ind w:right="60"/>
        <w:spacing w:after="0" w:line="261" w:lineRule="auto"/>
        <w:rPr>
          <w:sz w:val="20"/>
          <w:szCs w:val="20"/>
          <w:color w:val="auto"/>
        </w:rPr>
      </w:pPr>
      <w:r>
        <w:rPr>
          <w:rFonts w:ascii="Arial" w:cs="Arial" w:eastAsia="Arial" w:hAnsi="Arial"/>
          <w:sz w:val="18"/>
          <w:szCs w:val="18"/>
          <w:color w:val="auto"/>
        </w:rPr>
        <w:t>current or prospective customers to include our products in their product offerings or to achieve a consistent number of design wins, our business, financial condition, and results of operations will be harmed.</w:t>
      </w:r>
    </w:p>
    <w:p>
      <w:pPr>
        <w:spacing w:after="0" w:line="6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will deteriorate.</w:t>
      </w:r>
    </w:p>
    <w:p>
      <w:pPr>
        <w:spacing w:after="0" w:line="7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8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fashion, and our designs do not gain acceptance, we will lose market share and our competitive position.</w:t>
      </w:r>
    </w:p>
    <w:p>
      <w:pPr>
        <w:spacing w:after="0" w:line="51"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Arial" w:cs="Arial" w:eastAsia="Arial" w:hAnsi="Arial"/>
          <w:sz w:val="18"/>
          <w:szCs w:val="18"/>
          <w:b w:val="1"/>
          <w:bCs w:val="1"/>
          <w:i w:val="1"/>
          <w:iCs w:val="1"/>
          <w:color w:val="auto"/>
        </w:rPr>
        <w:t>.</w:t>
      </w:r>
    </w:p>
    <w:p>
      <w:pPr>
        <w:spacing w:after="0" w:line="74"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16"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66"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7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timely develop commercially successful products under such arrangements as a result of any of these and other challenges could have a material adverse effect on our business, results of operations, and financial condition.</w:t>
      </w:r>
    </w:p>
    <w:p>
      <w:pPr>
        <w:spacing w:after="0" w:line="5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success of our silicon timing systems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72"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ind w:right="100"/>
        <w:spacing w:after="0" w:line="254" w:lineRule="auto"/>
        <w:rPr>
          <w:sz w:val="20"/>
          <w:szCs w:val="20"/>
          <w:color w:val="auto"/>
        </w:rPr>
      </w:pPr>
      <w:r>
        <w:rPr>
          <w:rFonts w:ascii="Arial" w:cs="Arial" w:eastAsia="Arial" w:hAnsi="Arial"/>
          <w:sz w:val="17"/>
          <w:szCs w:val="17"/>
          <w:color w:val="auto"/>
        </w:rPr>
        <w:t>Our target markets include the communications and enterprise, automotive, industrial, aerospace, and mobile, IoT, and consumer markets. Substantially all of our revenue for the three months ended March 31, 2022 and 2021 was derived from sales in the IoT and mobile, industrial, and consumer markets. In 2017, we began introducing products for the automotive market. In addition, within the timing market, substantially all of our revenue to date has been attributable to sales of MEMS oscillators. We intend to focus on clock IC and timing sync solutions in the future.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73"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74"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Our future revenue growth, if any, will depend in part on our ability to expand within our existing markets, our ability to continue to penetrate emerging markets, such as the 5G communications market, which we entered in 2019, and our ability to enter into new markets, such as the industrial, medical, and military markets. Each of these markets presents distinct and substantial challenges and risks and, in many cases, requires us to develop new customized solutions to address the particular requirements of that market. Meeting the technical requirements and securing design wins in any of these new markets will require a substantial investment of our time and resources. We cannot assure you that we will secure design wins from these or other new markets, or that we will achieve meaningful revenue from sales in these markets. If any of these markets do not develop as we currently anticipate or if we are unable to penetrate them and scale in them successfully, our revenue could decline.</w:t>
      </w:r>
    </w:p>
    <w:p>
      <w:pPr>
        <w:spacing w:after="0" w:line="7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8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successfully introduce and ship in volume new products in a timely manner, our business and revenue will suffer.</w:t>
      </w:r>
    </w:p>
    <w:p>
      <w:pPr>
        <w:spacing w:after="0" w:line="11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gross margins may fluctuate due to a variety of factors, which could negatively impact our results of operations and our financial condition.</w:t>
      </w:r>
    </w:p>
    <w:p>
      <w:pPr>
        <w:spacing w:after="0" w:line="127"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spacing w:after="0" w:line="7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4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For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spacing w:after="0" w:line="241" w:lineRule="auto"/>
        <w:rPr>
          <w:sz w:val="20"/>
          <w:szCs w:val="20"/>
          <w:color w:val="auto"/>
        </w:rPr>
      </w:pPr>
      <w:r>
        <w:rPr>
          <w:rFonts w:ascii="Arial" w:cs="Arial" w:eastAsia="Arial" w:hAnsi="Arial"/>
          <w:sz w:val="18"/>
          <w:szCs w:val="18"/>
          <w:color w:val="auto"/>
        </w:rPr>
        <w:t>instance, we expect to see increases in our manufacturing costs in fiscal year 2022 due to an industry wide increase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1"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in recent periods may not be indicative of future performance and our revenue may fluctuate over time.</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recent revenue should not be considered indicative of our future performance. For the three months ended March 31, 2022 and 2021, our revenue was $70.3 million and $35.5 million, respectively. You should not rely on our revenue for any previous quarterly or annual periods as any indication of our revenue for future fiscal periods. As we grow our business, our revenue may fluctuate in future periods due to a number of reasons, which may include slowing demand for our products, increasing competition, the impact of the COVID-19 pandemic, a decrease in the growth of our overall market or market saturation, and our failure to capitalize on growth opportunities.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growth effectively, we may not be able to execute our business plan and our operating results could suffer.</w:t>
      </w:r>
    </w:p>
    <w:p>
      <w:pPr>
        <w:spacing w:after="0" w:line="11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7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silicon timing systems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55" w:lineRule="exact"/>
        <w:rPr>
          <w:sz w:val="20"/>
          <w:szCs w:val="20"/>
          <w:color w:val="auto"/>
        </w:rPr>
      </w:pPr>
    </w:p>
    <w:p>
      <w:pPr>
        <w:ind w:right="180"/>
        <w:spacing w:after="0" w:line="356" w:lineRule="auto"/>
        <w:rPr>
          <w:sz w:val="20"/>
          <w:szCs w:val="20"/>
          <w:color w:val="auto"/>
        </w:rPr>
      </w:pPr>
      <w:r>
        <w:rPr>
          <w:rFonts w:ascii="Arial" w:cs="Arial" w:eastAsia="Arial" w:hAnsi="Arial"/>
          <w:sz w:val="15"/>
          <w:szCs w:val="15"/>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Prior to purchasing our silicon timing systems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7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63"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2" w:name="page33"/>
    <w:bookmarkEnd w:id="32"/>
    <w:p>
      <w:pPr>
        <w:ind w:right="20"/>
        <w:spacing w:after="0" w:line="253" w:lineRule="auto"/>
        <w:rPr>
          <w:sz w:val="20"/>
          <w:szCs w:val="20"/>
          <w:color w:val="auto"/>
        </w:rPr>
      </w:pPr>
      <w:r>
        <w:rPr>
          <w:rFonts w:ascii="Arial" w:cs="Arial" w:eastAsia="Arial" w:hAnsi="Arial"/>
          <w:sz w:val="17"/>
          <w:szCs w:val="17"/>
          <w:color w:val="auto"/>
        </w:rPr>
        <w:t>Our silicon timing systems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in our products or failures to meet product specifications could harm our relationships with our customers and damage our reputation.</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67"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color w:val="auto"/>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spacing w:after="0" w:line="4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operate in industries characterized by rapidly changing technologies as well as technological obsolescence. The introduction of new products by our competitors, the delay or cancellation of any of our customers’ product offerings for which our silicon timing systems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6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make the substantial investments that are required to remain competitive in our business.</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If we fail to compete effectively, we may lose or fail to gain market share, which could negatively impact our operating results and our business.</w:t>
      </w:r>
    </w:p>
    <w:p>
      <w:pPr>
        <w:spacing w:after="0" w:line="12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global semiconductor market in general, and the timing IC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semiconductor and quartz products to smaller companies, including start-ups, specializing in narrow market verticals. In the MEMS-based oscillator market, we primarily compete against Microchip Technology Inc. (“MCHP”) through their acquisition of Micrel, Incorporated. In the MEMS-based resonator market, we primarily compete against Murata Manufacturing Co., Ltd. In the analog mixed-signal IC and clocking market, we primarily compete against Renesas Electronics Corporation (through their acquisition of Integrated Device Technology, Inc.), Skyworks Solutions Inc., Texas Instruments Incorporated, Micrel (which is owned by MCHP), and Analog Devices, Inc. In the oscillator market, we primarily compete against quartz crystal suppliers such as Rakon Limited, Daishinku Corporation, Nihon Dempa Kogyo Co., Ltd., TXC Corporation, Seiko Epson Corporation, Kyocera Corporation, and Vectron International (which is owned by MCHP), as well as semiconductor suppliers such as Skyworks Solutions Inc. In the Aerospace-defense market for oscillators, we also typically complete against, small, specialized companies that offer quartz-based solutions for various applications.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in turn may enable them to better withstand adverse economic or market conditions, such as those caused by the COVID-19 pandemic, in the future and significantly reduce their pricing so as to compete against us. Our ability to compete successfully will depend on a number of factors, including:</w:t>
      </w:r>
    </w:p>
    <w:p>
      <w:pPr>
        <w:spacing w:after="0" w:line="66" w:lineRule="exact"/>
        <w:rPr>
          <w:sz w:val="20"/>
          <w:szCs w:val="20"/>
          <w:color w:val="auto"/>
        </w:rPr>
      </w:pPr>
    </w:p>
    <w:p>
      <w:pPr>
        <w:ind w:left="1020" w:right="26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define, design, and regularly introduce new products that anticipate the functionality and integration needs of our customers’ next-generation products and applications;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build strong and long-lasting relationships with our customers and other industry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capitalize on, and prevent losses due to, vertical integration by significant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those of competing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design wins;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and success of our customers’ products utilizing our solutions within their competitive end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research and development capabilities to provide innovative solutions and maintain our product roadmap;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our sales and marketing efforts, including those of our distributors, and our brand awareness and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secure capacity with our foundry and assembly partners to manufacture and assemble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withstand or respond to significant price competition;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build and expand international operations in a cost-effective manner;</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defend potential patent infringement claims arising from third-parties;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promote and support our customers’ incorporation of our solutions into their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w:t>
      </w:r>
    </w:p>
    <w:p>
      <w:pPr>
        <w:spacing w:after="0" w:line="10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460"/>
        <w:spacing w:after="0" w:line="261" w:lineRule="auto"/>
        <w:rPr>
          <w:sz w:val="20"/>
          <w:szCs w:val="20"/>
          <w:color w:val="auto"/>
        </w:rPr>
      </w:pPr>
      <w:r>
        <w:rPr>
          <w:rFonts w:ascii="Arial" w:cs="Arial" w:eastAsia="Arial" w:hAnsi="Arial"/>
          <w:sz w:val="18"/>
          <w:szCs w:val="18"/>
          <w:color w:val="auto"/>
        </w:rPr>
        <w:t>combination with others, could harm our business, financial condition, and results of operations and result in a loss of market share and an increase in pricing pressure.</w:t>
      </w:r>
    </w:p>
    <w:p>
      <w:pPr>
        <w:spacing w:after="0" w:line="6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63"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including our engineering and sales and marketing personnel.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could have an adverse effect on our business.</w:t>
      </w:r>
    </w:p>
    <w:p>
      <w:pPr>
        <w:spacing w:after="0" w:line="8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in the San Francisco Bay Area, where our headquarters is located, and in other locations where we maintain offices,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company culture has contributed to our success and if we cannot maintain this culture as we grow, our business could be harmed.</w:t>
      </w:r>
    </w:p>
    <w:p>
      <w:pPr>
        <w:spacing w:after="0" w:line="1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63" w:lineRule="exact"/>
        <w:rPr>
          <w:sz w:val="20"/>
          <w:szCs w:val="20"/>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failure to identify, attract, reward, and retain people in leadership positions in our organization who share and further our culture, values, and mission;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If we are not able to maintain our culture, our business, financial condition, and results of operations could be adversely affected.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foundries with which we contract do not achieve satisfactory yields or quality, our reputation and customer relationships could be harmed.</w:t>
      </w:r>
    </w:p>
    <w:p>
      <w:pPr>
        <w:spacing w:after="0" w:line="12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63"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right="460"/>
        <w:spacing w:after="0" w:line="261" w:lineRule="auto"/>
        <w:rPr>
          <w:sz w:val="20"/>
          <w:szCs w:val="20"/>
          <w:color w:val="auto"/>
        </w:rPr>
      </w:pPr>
      <w:r>
        <w:rPr>
          <w:rFonts w:ascii="Arial" w:cs="Arial" w:eastAsia="Arial" w:hAnsi="Arial"/>
          <w:sz w:val="18"/>
          <w:szCs w:val="18"/>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shortages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7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4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We develop many of our silicon timing systems products for applications in systems that are driven by industry and technology leaders in the communications and computing markets. We work with distributors, resellers,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silicon timing systems solutions could become less desirable to our customers, our sales could suffer and our competitive position could be harmed.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0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past global recessions. These downturns have been characterized by diminished product demand, production overcapacity, high inventory levels, and accelerated erosion of average selling prices. Any downturns in the semiconductor industry could harm our business, financial condition, and results of operations. Furthermore,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w:t>
      </w:r>
    </w:p>
    <w:p>
      <w:pPr>
        <w:spacing w:after="0" w:line="8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However, the extent of the COVID-19 pandemic’s impact on credit and financial markets is unknown, which creates uncertainty as to the financial condition of our distributors and customers. Based on our review of our customers annually and as of March 31, 2022, substantially all of which are large distributors, resellers, OEMs, and system manufacturers, we had $0.1 million and $0.1 million in allowance for credit losses as of March 31, 2022 and December 31, 2021, respectively. If our credit losses, however, were to exceed our current or future allowance for credit losses, our business, financial condition, and results of operations would be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accurately predict our future capital needs, and we may not be able to obtain additional financing to fund our operations.</w:t>
      </w:r>
    </w:p>
    <w:p>
      <w:pPr>
        <w:spacing w:after="0" w:line="127"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or be required to seek, debt financing in the immediate or near term.</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6" w:name="page37"/>
    <w:bookmarkEnd w:id="36"/>
    <w:p>
      <w:pPr>
        <w:spacing w:after="0" w:line="241" w:lineRule="auto"/>
        <w:rPr>
          <w:sz w:val="20"/>
          <w:szCs w:val="20"/>
          <w:color w:val="auto"/>
        </w:rPr>
      </w:pPr>
      <w:r>
        <w:rPr>
          <w:rFonts w:ascii="Arial" w:cs="Arial" w:eastAsia="Arial" w:hAnsi="Arial"/>
          <w:sz w:val="18"/>
          <w:szCs w:val="18"/>
          <w:color w:val="auto"/>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39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If significant tariffs or other trade restrictions are placed on our products or third-party suppliers, our revenue and results of operations may be materially harmed.</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Most of our revenue has been from sales of products to distributors with ship-to locations outside of the United States. Many of our third-party suppliers are located outside of the United States. If significant tariffs or other restrictions are placed on certain goods, existing tariffs are increased, or any related counter-measures are taken by other countries, our revenue and results of operations may be materially and adversely affected. For example, beginning in July 2018, the U.S. Trade Representative imposed tariffs on products from China. Then the prior U.S. administration imposed new or additional tariffs on Chinese products with short notice and China then imposed certain retaliatory tariffs. It is uncertain if the current U.S. administration may further alter trade agreements and terms between China and the United States, including limiting trade with China and imposing additional tariffs on imports from China. In the event that these or future tariffs are imposed on imports of our products or on our third-party suppliers, or that China or other countries take retaliatory trade measures in response to existing or future tariffs, our business may be impacted and we may be required to raise prices or make changes to our operations, any of which could materially harm our revenue or operating results.</w:t>
      </w:r>
    </w:p>
    <w:p>
      <w:pPr>
        <w:spacing w:after="0" w:line="7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6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Our sales have been historically denominated in U.S. dollars. An increase in the value of the U.S. dollar relative to the currencies of the countries in which our customers operate could impair the ability of our customers to cost-effectively purchase or integrate our solutions into their product offerings, which may materially affect the demand for our solutions and cause these customers to reduce their orders, which in turn would adversely affect our revenue and business. If we increase operations in other currencies in the future, we may experience foreign exchange gains or losses due to the volatility of other currencies compared to the U.S. dollar. Certain of our employees are located in Malaysia, the Netherlands, Taiwan, Japan, France,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the laws associated with our activities outside of the United States could subject us to penalties and other adverse consequences.</w:t>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8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6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7" w:name="page38"/>
    <w:bookmarkEnd w:id="37"/>
    <w:p>
      <w:pPr>
        <w:ind w:right="160"/>
        <w:spacing w:after="0" w:line="284" w:lineRule="auto"/>
        <w:rPr>
          <w:sz w:val="20"/>
          <w:szCs w:val="20"/>
          <w:color w:val="auto"/>
        </w:rPr>
      </w:pPr>
      <w:r>
        <w:rPr>
          <w:rFonts w:ascii="Arial" w:cs="Arial" w:eastAsia="Arial" w:hAnsi="Arial"/>
          <w:sz w:val="16"/>
          <w:szCs w:val="16"/>
          <w:color w:val="auto"/>
        </w:rPr>
        <w:t>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environmental laws or regulations, including conflict minerals rules, could impair our ability to compete in international markets.</w:t>
      </w:r>
    </w:p>
    <w:p>
      <w:pPr>
        <w:spacing w:after="0" w:line="12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U.S. and non-U.S. tax laws could materially adversely affect us.</w:t>
      </w:r>
    </w:p>
    <w:p>
      <w:pPr>
        <w:spacing w:after="0" w:line="104"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government contracting regulations, we could suffer a loss of revenue or other penalties.</w:t>
      </w:r>
    </w:p>
    <w:p>
      <w:pPr>
        <w:spacing w:after="0" w:line="1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spacing w:after="0" w:line="7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such as the current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8" w:name="page39"/>
    <w:bookmarkEnd w:id="38"/>
    <w:p>
      <w:pPr>
        <w:ind w:right="40"/>
        <w:spacing w:after="0" w:line="269" w:lineRule="auto"/>
        <w:rPr>
          <w:sz w:val="20"/>
          <w:szCs w:val="20"/>
          <w:color w:val="auto"/>
        </w:rPr>
      </w:pPr>
      <w:r>
        <w:rPr>
          <w:rFonts w:ascii="Arial" w:cs="Arial" w:eastAsia="Arial" w:hAnsi="Arial"/>
          <w:sz w:val="16"/>
          <w:szCs w:val="16"/>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and went into effect in January 2020. The CCPA includes a statutory damages framework and private rights of action against businesses that fail to comply with certain CCPA terms or implement reasonable security procedures and practices to prevent data breaches. Additionally, in November 2020, California voters passed the California Privacy Rights Act of 2020 (“CPRA”). Effective in most material respects starting on January 1, 2023, the CPRA imposes additional obligations on companies covered by the legislation and will significantly modify the CCPA, including by expanding the CCPA with additional data privacy compliance requirements that may impact our business. Several other states are considering similar legislation.</w:t>
      </w:r>
    </w:p>
    <w:p>
      <w:pPr>
        <w:spacing w:after="0" w:line="63"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Foreign governments are raising similar privacy and data security concerns. In particular, the European Union has enacted a General Data Protection Regulation (“GDPR”), which became effective in May 2018.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or other disruptions of our security systems may damage our reputation and adversely affect our business.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security systems are designed to protect our and our customers’, suppliers’, and employees’ confidential information, as well as maintain the physical security of our facilities. We continue to assess and improve the quality of our networks, endpoints, security systems, and policies and procedures related to cybersecurity risks and incidents. We are not aware of any past cybersecurity incidents that have materially impacted our business. We may not have current capability to detect new or unknown security vulnerabilities. Cybersecurity threats, which include computer viruses, spyware, malware, ransomware, attempts to access information, denial of service attacks, and other electronic security breaches, are persistent and evolve quickly. Such threats have recently increased in frequency, scope, magnitude, and cost. Since the techniques used to obtain unauthorized access or to sabotage systems change frequently and are often not recognized until after they are launched against a target, we may be unable to anticipate these techniques or to implement adequate preventative measures.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w:t>
      </w:r>
    </w:p>
    <w:p>
      <w:pPr>
        <w:spacing w:after="0" w:line="72"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We also rely on third-party cloud-based service providers of corporate infrastructure services relating to, among other things, human resources, electronic communication services, and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Any loss,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impacted by information technology system failures or network disruptions, and lack of redundancy.</w:t>
      </w:r>
    </w:p>
    <w:p>
      <w:pPr>
        <w:spacing w:after="0" w:line="12"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w:t>
      </w:r>
    </w:p>
    <w:p>
      <w:pPr>
        <w:spacing w:after="0" w:line="2"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result in increased costs or loss of sales.</w:t>
      </w:r>
    </w:p>
    <w:p>
      <w:pPr>
        <w:spacing w:after="0" w:line="83"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i w:val="1"/>
          <w:iCs w:val="1"/>
          <w:color w:val="auto"/>
        </w:rPr>
        <w:t>We might not be able to utilize a significant portion of our net operating loss carryforwards and research and development tax credit carryforwards.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9" w:name="page40"/>
    <w:bookmarkEnd w:id="39"/>
    <w:p>
      <w:pPr>
        <w:ind w:right="20"/>
        <w:spacing w:after="0" w:line="250" w:lineRule="auto"/>
        <w:rPr>
          <w:sz w:val="20"/>
          <w:szCs w:val="20"/>
          <w:color w:val="auto"/>
        </w:rPr>
      </w:pPr>
      <w:r>
        <w:rPr>
          <w:rFonts w:ascii="Arial" w:cs="Arial" w:eastAsia="Arial" w:hAnsi="Arial"/>
          <w:sz w:val="17"/>
          <w:szCs w:val="17"/>
          <w:color w:val="auto"/>
        </w:rPr>
        <w:t>As of December 31, 2021, we had U.S. federal and state net operating loss (“NOL”), carryforwards of approximately $259.6 million and $64.5 million, respectively, and U.S. federal and state research and development tax credit carryforwards of approximately $3.9 million and $3.6 million, respectively. The U.S. federal NOL carryforwards begin to expire in 2025 and the state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CARES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March 31, 2022, we had 90 issued U.S. patents, expiring generally between 2026 and 2039 and 31 pending U.S. patent applications (including two provisional applications). We also had two foreign issued patents expiring in 2035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8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7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ind w:right="420"/>
        <w:spacing w:after="0" w:line="324" w:lineRule="auto"/>
        <w:rPr>
          <w:sz w:val="20"/>
          <w:szCs w:val="20"/>
          <w:color w:val="auto"/>
        </w:rPr>
      </w:pPr>
      <w:r>
        <w:rPr>
          <w:rFonts w:ascii="Arial" w:cs="Arial" w:eastAsia="Arial" w:hAnsi="Arial"/>
          <w:sz w:val="16"/>
          <w:szCs w:val="16"/>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1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81"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4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83"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3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For example, in March 2019, VTT Technical Research Centre of Finland, Ltd. filed suit in the United States District Court for the Northern District of California alleging infringement by us of a patent. The District Court ruled in our favor, VTT filed an appeal with the U.S. Court of Appeals for the Federal Circuit (“CAFC”), on June 9, 2021, a hearing was held at the CAFC, and on June 10, 2021 the CAFC affirmed the District Court’s judgment.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61"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6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74"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the manufacture, use or sale of the applicable products, processes, or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damages for infringement by us or our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ind w:left="1020" w:right="20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62"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or</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to our customers or end users to discontinue their use of or to replace infringing technology sold to them with non-infringing technology, if available.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results could adversely affect our business, financial condition, and results of operations.</w:t>
      </w:r>
    </w:p>
    <w:p>
      <w:pPr>
        <w:spacing w:after="0" w:line="10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6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6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MegaChips Corporation’s Ownership Position in Our Common Stock</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As long as MegaChips holds a significant amount of our stock, our other shareholders’ ability to influence matters requiring stockholder approval will be limited.</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MegaChips owns 5,000,000 shares of our common stock, representing approximately 23.8% of our outstanding common stock as of March 31, 2022. For so long as MegaChips or its successors in interest continue to hold the largest ownership position in our outstanding common stock, we expect MegaChips to continue to hold at least one out of eight seats on our board of directors, and to be influential in electing members of our board of directors. As long as MegaChips continues to be our largest stockholder, it will continue to have significant influence over us.</w:t>
      </w:r>
    </w:p>
    <w:p>
      <w:pPr>
        <w:spacing w:after="0" w:line="6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For example, as long as MegaChips continues to hold a significant or the largest ownership position in our outstanding common stock, MegaChips may have the ability to affect the outcome of any stockholder vote during this period. As a result, MegaChips will have the ability to exert significant influence over many matters affecting us, either through its board representative or as a stockholder, including:</w:t>
      </w:r>
    </w:p>
    <w:p>
      <w:pPr>
        <w:spacing w:after="0" w:line="74"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determinations with respect to our business plans and policies, including the appointment and removal of our officers;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determinations with respect to mergers and other business combinations;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acquisition or disposition of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financing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allocation of business opportunities that may be suitable for us and MegaChips;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stock plans.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ind w:right="140"/>
        <w:spacing w:after="0" w:line="270" w:lineRule="auto"/>
        <w:rPr>
          <w:sz w:val="20"/>
          <w:szCs w:val="20"/>
          <w:color w:val="auto"/>
        </w:rPr>
      </w:pPr>
      <w:r>
        <w:rPr>
          <w:rFonts w:ascii="Arial" w:cs="Arial" w:eastAsia="Arial" w:hAnsi="Arial"/>
          <w:sz w:val="17"/>
          <w:szCs w:val="17"/>
          <w:color w:val="auto"/>
        </w:rPr>
        <w:t>MegaChips’ voting control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representations on our board of directors, persons who we would like to invite to join our board of directors may decline to do so.</w:t>
      </w:r>
    </w:p>
    <w:p>
      <w:pPr>
        <w:spacing w:after="0" w:line="5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between MegaChips and us in a number of areas relating to our past and ongoing relationships, including:</w:t>
      </w:r>
    </w:p>
    <w:p>
      <w:pPr>
        <w:spacing w:after="0" w:line="10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our separation from MegaChips;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or distributions by MegaChips of all or any portion of its ownership interest in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quality, and pricing of services MegaChips has agreed to provide us;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MegaChips and us.</w:t>
      </w:r>
    </w:p>
    <w:p>
      <w:pPr>
        <w:spacing w:after="0" w:line="10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may not be able to resolve any potential conflicts, and even if we do, the resolution may be less favorable than if we were dealing with an unaffiliated party.</w:t>
      </w:r>
    </w:p>
    <w:p>
      <w:pPr>
        <w:spacing w:after="0" w:line="6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have entered into an integration and purchase agreement with MegaChips for the sale of resonators by us to MegaChips. The agreements we entered into with MegaChips may be amended upon agreement between the parties. Because MegaChips is a major stockholder with representatives on our board of directors, we may not have the leverage to negotiate amendments to these agreements on terms as favorable to us compared to those we would negotiate with an unaffiliated third party.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could be potential conflicts of interest between us and affiliates of MegaChips, which could impact our business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Some of our directors have or had affiliations with MegaChips.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common stock could cause the market price of our common stock to decline.</w:t>
      </w:r>
    </w:p>
    <w:p>
      <w:pPr>
        <w:spacing w:after="0" w:line="104"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spacing w:after="0" w:line="74"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bylaws include provisions that:</w:t>
      </w:r>
    </w:p>
    <w:p>
      <w:pPr>
        <w:spacing w:after="0" w:line="88" w:lineRule="exact"/>
        <w:rPr>
          <w:sz w:val="20"/>
          <w:szCs w:val="20"/>
          <w:color w:val="auto"/>
        </w:rPr>
      </w:pPr>
    </w:p>
    <w:p>
      <w:pPr>
        <w:ind w:left="1020" w:right="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26" w:lineRule="exact"/>
        <w:rPr>
          <w:rFonts w:ascii="Arial" w:cs="Arial" w:eastAsia="Arial" w:hAnsi="Arial"/>
          <w:sz w:val="16"/>
          <w:szCs w:val="16"/>
          <w:color w:val="auto"/>
        </w:rPr>
      </w:pPr>
    </w:p>
    <w:p>
      <w:pPr>
        <w:ind w:left="1020" w:right="1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 and</w:t>
      </w:r>
    </w:p>
    <w:p>
      <w:pPr>
        <w:spacing w:after="0" w:line="115" w:lineRule="exact"/>
        <w:rPr>
          <w:rFonts w:ascii="Arial" w:cs="Arial" w:eastAsia="Arial" w:hAnsi="Arial"/>
          <w:sz w:val="17"/>
          <w:szCs w:val="17"/>
          <w:color w:val="auto"/>
        </w:rPr>
      </w:pPr>
    </w:p>
    <w:p>
      <w:pPr>
        <w:ind w:left="1020" w:right="54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81" w:lineRule="exact"/>
        <w:rPr>
          <w:sz w:val="20"/>
          <w:szCs w:val="20"/>
          <w:color w:val="auto"/>
        </w:rPr>
      </w:pPr>
    </w:p>
    <w:p>
      <w:pPr>
        <w:ind w:right="120"/>
        <w:spacing w:after="0" w:line="322" w:lineRule="auto"/>
        <w:rPr>
          <w:sz w:val="20"/>
          <w:szCs w:val="20"/>
          <w:color w:val="auto"/>
        </w:rPr>
      </w:pPr>
      <w:r>
        <w:rPr>
          <w:rFonts w:ascii="Arial" w:cs="Arial" w:eastAsia="Arial" w:hAnsi="Arial"/>
          <w:sz w:val="15"/>
          <w:szCs w:val="15"/>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21"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61"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5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may decline, resulting in a loss of some or all of our stockholder investment.</w:t>
      </w:r>
    </w:p>
    <w:p>
      <w:pPr>
        <w:spacing w:after="0" w:line="10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trading price and volume of our common stock is likely to be volatile and could fluctuate significantly in response to numerous factors, many of which are beyond our control, including:</w:t>
      </w:r>
    </w:p>
    <w:p>
      <w:pPr>
        <w:spacing w:after="0" w:line="63" w:lineRule="exact"/>
        <w:rPr>
          <w:sz w:val="20"/>
          <w:szCs w:val="20"/>
          <w:color w:val="auto"/>
        </w:rPr>
      </w:pPr>
    </w:p>
    <w:p>
      <w:pPr>
        <w:ind w:left="1020" w:right="28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ind w:left="10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with respect to developments, status, and impact on us, our competition, our constituents, and our suppliers of the COVID 19 global pandemic;</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our significant customers of changes to their product offerings, business plans, or strategies;</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the semiconductor industry;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seasonality of the end-market demand;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 including as a result of trends in the economy as a whole;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the COVID-19 pandemic, or responses to these events.</w:t>
      </w:r>
    </w:p>
    <w:p>
      <w:pPr>
        <w:spacing w:after="0" w:line="12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documents listed below are filed (or furnished, as noted) as exhibits to this Quarterly Report on Form 10-Q:</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100" w:type="dxa"/>
            <w:vAlign w:val="bottom"/>
            <w:gridSpan w:val="13"/>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10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80" w:type="dxa"/>
            <w:vAlign w:val="bottom"/>
            <w:gridSpan w:val="19"/>
          </w:tcPr>
          <w:p>
            <w:pPr>
              <w:spacing w:after="0"/>
              <w:rPr>
                <w:rFonts w:ascii="Arial" w:cs="Arial" w:eastAsia="Arial" w:hAnsi="Arial"/>
                <w:sz w:val="18"/>
                <w:szCs w:val="18"/>
                <w:color w:val="0000FF"/>
                <w:w w:val="93"/>
              </w:rPr>
            </w:pPr>
            <w:hyperlink r:id="rId192">
              <w:r>
                <w:rPr>
                  <w:rFonts w:ascii="Arial" w:cs="Arial" w:eastAsia="Arial" w:hAnsi="Arial"/>
                  <w:sz w:val="18"/>
                  <w:szCs w:val="18"/>
                  <w:color w:val="0000FF"/>
                  <w:w w:val="93"/>
                </w:rPr>
                <w:t xml:space="preserve">Restated Certificate of Incorporation of SiTime Corporation (the “Company”) </w:t>
              </w:r>
            </w:hyperlink>
            <w:r>
              <w:rPr>
                <w:rFonts w:ascii="Arial" w:cs="Arial" w:eastAsia="Arial" w:hAnsi="Arial"/>
                <w:sz w:val="18"/>
                <w:szCs w:val="18"/>
                <w:color w:val="0000FF"/>
                <w:w w:val="93"/>
              </w:rPr>
              <w:t>(incorporated by reference to Exhibit 3.1 to the Company’s</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70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Current Report on Form 8-K filed November 26, 2019).</w:t>
            </w:r>
          </w:p>
        </w:tc>
        <w:tc>
          <w:tcPr>
            <w:tcW w:w="20" w:type="dxa"/>
            <w:vAlign w:val="bottom"/>
            <w:tcBorders>
              <w:top w:val="single" w:sz="8" w:color="0000FF"/>
            </w:tcBorders>
          </w:tcPr>
          <w:p>
            <w:pPr>
              <w:spacing w:after="0"/>
              <w:rPr>
                <w:sz w:val="13"/>
                <w:szCs w:val="13"/>
                <w:color w:val="auto"/>
              </w:rPr>
            </w:pPr>
          </w:p>
        </w:tc>
        <w:tc>
          <w:tcPr>
            <w:tcW w:w="38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080" w:type="dxa"/>
            <w:vAlign w:val="bottom"/>
            <w:gridSpan w:val="19"/>
          </w:tcPr>
          <w:p>
            <w:pPr>
              <w:spacing w:after="0"/>
              <w:rPr>
                <w:rFonts w:ascii="Arial" w:cs="Arial" w:eastAsia="Arial" w:hAnsi="Arial"/>
                <w:sz w:val="18"/>
                <w:szCs w:val="18"/>
                <w:color w:val="0000FF"/>
                <w:w w:val="92"/>
              </w:rPr>
            </w:pPr>
            <w:hyperlink r:id="rId193">
              <w:r>
                <w:rPr>
                  <w:rFonts w:ascii="Arial" w:cs="Arial" w:eastAsia="Arial" w:hAnsi="Arial"/>
                  <w:sz w:val="18"/>
                  <w:szCs w:val="18"/>
                  <w:color w:val="0000FF"/>
                  <w:w w:val="92"/>
                </w:rPr>
                <w:t>Amended and Restated Bylaws of the Company (incorporated by reference to Exhibit 3.2 to the Company’s Current Report on Form 8-K</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Borders>
              <w:bottom w:val="single" w:sz="8" w:color="0000FF"/>
            </w:tcBorders>
            <w:gridSpan w:val="3"/>
          </w:tcPr>
          <w:p>
            <w:pPr>
              <w:spacing w:after="0" w:line="156" w:lineRule="exact"/>
              <w:rPr>
                <w:rFonts w:ascii="Arial" w:cs="Arial" w:eastAsia="Arial" w:hAnsi="Arial"/>
                <w:sz w:val="18"/>
                <w:szCs w:val="18"/>
                <w:color w:val="0000FF"/>
                <w:highlight w:val="white"/>
                <w:w w:val="89"/>
              </w:rPr>
            </w:pPr>
            <w:hyperlink r:id="rId193">
              <w:r>
                <w:rPr>
                  <w:rFonts w:ascii="Arial" w:cs="Arial" w:eastAsia="Arial" w:hAnsi="Arial"/>
                  <w:sz w:val="18"/>
                  <w:szCs w:val="18"/>
                  <w:color w:val="0000FF"/>
                  <w:highlight w:val="white"/>
                  <w:w w:val="89"/>
                </w:rPr>
                <w:t>filed June 29, 2021).</w:t>
              </w:r>
            </w:hyperlink>
          </w:p>
        </w:tc>
        <w:tc>
          <w:tcPr>
            <w:tcW w:w="20" w:type="dxa"/>
            <w:vAlign w:val="bottom"/>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gridSpan w:val="2"/>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080" w:type="dxa"/>
            <w:vAlign w:val="bottom"/>
            <w:gridSpan w:val="19"/>
          </w:tcPr>
          <w:p>
            <w:pPr>
              <w:spacing w:after="0"/>
              <w:rPr>
                <w:rFonts w:ascii="Arial" w:cs="Arial" w:eastAsia="Arial" w:hAnsi="Arial"/>
                <w:sz w:val="18"/>
                <w:szCs w:val="18"/>
                <w:color w:val="0000FF"/>
                <w:w w:val="91"/>
              </w:rPr>
            </w:pPr>
            <w:hyperlink r:id="rId194">
              <w:r>
                <w:rPr>
                  <w:rFonts w:ascii="Arial" w:cs="Arial" w:eastAsia="Arial" w:hAnsi="Arial"/>
                  <w:sz w:val="18"/>
                  <w:szCs w:val="18"/>
                  <w:color w:val="0000FF"/>
                  <w:w w:val="91"/>
                </w:rPr>
                <w:t>Form of Common Stock Certificate of the Company ((incorporated by reference to Exhibit 4.1 to the Company’s Registration Statement on</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194">
              <w:r>
                <w:rPr>
                  <w:rFonts w:ascii="Arial" w:cs="Arial" w:eastAsia="Arial" w:hAnsi="Arial"/>
                  <w:sz w:val="18"/>
                  <w:szCs w:val="18"/>
                  <w:color w:val="0000FF"/>
                  <w:w w:val="92"/>
                </w:rPr>
                <w:t>Form S-1 (File No. 333-234305) (the “S-1”)).</w:t>
              </w:r>
            </w:hyperlink>
          </w:p>
        </w:tc>
        <w:tc>
          <w:tcPr>
            <w:tcW w:w="67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080" w:type="dxa"/>
            <w:vAlign w:val="bottom"/>
            <w:gridSpan w:val="19"/>
          </w:tcPr>
          <w:p>
            <w:pPr>
              <w:spacing w:after="0"/>
              <w:rPr>
                <w:rFonts w:ascii="Arial" w:cs="Arial" w:eastAsia="Arial" w:hAnsi="Arial"/>
                <w:sz w:val="18"/>
                <w:szCs w:val="18"/>
                <w:color w:val="0000FF"/>
                <w:w w:val="95"/>
              </w:rPr>
            </w:pPr>
            <w:hyperlink r:id="rId195">
              <w:r>
                <w:rPr>
                  <w:rFonts w:ascii="Arial" w:cs="Arial" w:eastAsia="Arial" w:hAnsi="Arial"/>
                  <w:sz w:val="18"/>
                  <w:szCs w:val="18"/>
                  <w:color w:val="0000FF"/>
                  <w:w w:val="95"/>
                </w:rPr>
                <w:t>Description of Securities Registered Pursuant to Section 12 of the Securities Exchange Act of 1934 (incorporated by reference to the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5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Company’s Annual Report on Form 10-K filed February 16, 2021).</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40" w:type="dxa"/>
            <w:vAlign w:val="bottom"/>
            <w:tcBorders>
              <w:right w:val="single" w:sz="8" w:color="0000EE"/>
            </w:tcBorders>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jc w:val="right"/>
              <w:ind w:right="41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080" w:type="dxa"/>
            <w:vAlign w:val="bottom"/>
            <w:gridSpan w:val="19"/>
          </w:tcPr>
          <w:p>
            <w:pPr>
              <w:spacing w:after="0"/>
              <w:rPr>
                <w:rFonts w:ascii="Arial" w:cs="Arial" w:eastAsia="Arial" w:hAnsi="Arial"/>
                <w:sz w:val="18"/>
                <w:szCs w:val="18"/>
                <w:color w:val="0000FF"/>
                <w:w w:val="94"/>
              </w:rPr>
            </w:pPr>
            <w:hyperlink r:id="rId196">
              <w:r>
                <w:rPr>
                  <w:rFonts w:ascii="Arial" w:cs="Arial" w:eastAsia="Arial" w:hAnsi="Arial"/>
                  <w:sz w:val="18"/>
                  <w:szCs w:val="18"/>
                  <w:color w:val="0000FF"/>
                  <w:w w:val="94"/>
                </w:rPr>
                <w:t>SiTime Corporation 2022 Inducement Award Plan and Form of Restricted Stock Unit Agreement (incorporated by reference to Exhibit</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700" w:type="dxa"/>
            <w:vAlign w:val="bottom"/>
            <w:tcBorders>
              <w:bottom w:val="single" w:sz="8" w:color="0000FF"/>
            </w:tcBorders>
            <w:gridSpan w:val="9"/>
          </w:tcPr>
          <w:p>
            <w:pPr>
              <w:spacing w:after="0" w:line="156" w:lineRule="exact"/>
              <w:rPr>
                <w:rFonts w:ascii="Arial" w:cs="Arial" w:eastAsia="Arial" w:hAnsi="Arial"/>
                <w:sz w:val="18"/>
                <w:szCs w:val="18"/>
                <w:color w:val="0000FF"/>
                <w:highlight w:val="white"/>
                <w:w w:val="91"/>
              </w:rPr>
            </w:pPr>
            <w:hyperlink r:id="rId196">
              <w:r>
                <w:rPr>
                  <w:rFonts w:ascii="Arial" w:cs="Arial" w:eastAsia="Arial" w:hAnsi="Arial"/>
                  <w:sz w:val="18"/>
                  <w:szCs w:val="18"/>
                  <w:color w:val="0000FF"/>
                  <w:highlight w:val="white"/>
                  <w:w w:val="91"/>
                </w:rPr>
                <w:t>10.</w:t>
              </w:r>
              <w:r>
                <w:rPr>
                  <w:rFonts w:ascii="Arial" w:cs="Arial" w:eastAsia="Arial" w:hAnsi="Arial"/>
                  <w:sz w:val="18"/>
                  <w:szCs w:val="18"/>
                  <w:u w:val="single" w:color="auto"/>
                  <w:color w:val="0000FF"/>
                  <w:highlight w:val="white"/>
                  <w:w w:val="91"/>
                </w:rPr>
                <w:t>29</w:t>
              </w:r>
              <w:r>
                <w:rPr>
                  <w:rFonts w:ascii="Arial" w:cs="Arial" w:eastAsia="Arial" w:hAnsi="Arial"/>
                  <w:sz w:val="18"/>
                  <w:szCs w:val="18"/>
                  <w:color w:val="0000FF"/>
                  <w:highlight w:val="white"/>
                  <w:w w:val="91"/>
                </w:rPr>
                <w:t xml:space="preserve"> to the Company’s Annual Report on Form 10-K filed February 25, 2022)</w:t>
              </w:r>
            </w:hyperlink>
          </w:p>
        </w:tc>
        <w:tc>
          <w:tcPr>
            <w:tcW w:w="20" w:type="dxa"/>
            <w:vAlign w:val="bottom"/>
          </w:tcPr>
          <w:p>
            <w:pPr>
              <w:spacing w:after="0"/>
              <w:rPr>
                <w:sz w:val="13"/>
                <w:szCs w:val="13"/>
                <w:color w:val="auto"/>
              </w:rPr>
            </w:pPr>
          </w:p>
        </w:tc>
        <w:tc>
          <w:tcPr>
            <w:tcW w:w="388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020" w:type="dxa"/>
            <w:vAlign w:val="bottom"/>
          </w:tcPr>
          <w:p>
            <w:pPr>
              <w:jc w:val="right"/>
              <w:ind w:right="412"/>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80" w:type="dxa"/>
            <w:vAlign w:val="bottom"/>
            <w:gridSpan w:val="19"/>
          </w:tcPr>
          <w:p>
            <w:pPr>
              <w:spacing w:after="0"/>
              <w:rPr>
                <w:rFonts w:ascii="Arial" w:cs="Arial" w:eastAsia="Arial" w:hAnsi="Arial"/>
                <w:sz w:val="18"/>
                <w:szCs w:val="18"/>
                <w:color w:val="0000FF"/>
                <w:w w:val="95"/>
              </w:rPr>
            </w:pPr>
            <w:hyperlink w:anchor="page48">
              <w:r>
                <w:rPr>
                  <w:rFonts w:ascii="Arial" w:cs="Arial" w:eastAsia="Arial" w:hAnsi="Arial"/>
                  <w:sz w:val="18"/>
                  <w:szCs w:val="18"/>
                  <w:color w:val="0000FF"/>
                  <w:w w:val="95"/>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Adopted Pursuant to Section 302 of the Sarbanes-Oxley Act of 2002.</w:t>
              </w:r>
            </w:hyperlink>
          </w:p>
        </w:tc>
        <w:tc>
          <w:tcPr>
            <w:tcW w:w="4680" w:type="dxa"/>
            <w:vAlign w:val="bottom"/>
            <w:tcBorders>
              <w:top w:val="single" w:sz="8" w:color="0000FF"/>
            </w:tcBorders>
            <w:gridSpan w:val="5"/>
          </w:tcPr>
          <w:p>
            <w:pPr>
              <w:spacing w:after="0"/>
              <w:rPr>
                <w:sz w:val="13"/>
                <w:szCs w:val="13"/>
                <w:color w:val="auto"/>
              </w:rPr>
            </w:pPr>
          </w:p>
        </w:tc>
        <w:tc>
          <w:tcPr>
            <w:tcW w:w="3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020" w:type="dxa"/>
            <w:vAlign w:val="bottom"/>
          </w:tcPr>
          <w:p>
            <w:pPr>
              <w:jc w:val="right"/>
              <w:ind w:right="412"/>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80" w:type="dxa"/>
            <w:vAlign w:val="bottom"/>
            <w:gridSpan w:val="19"/>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Adopted Pursuant to Section 302 of the Sarbanes-Oxley Act of 2002.</w:t>
              </w:r>
            </w:hyperlink>
          </w:p>
        </w:tc>
        <w:tc>
          <w:tcPr>
            <w:tcW w:w="4620" w:type="dxa"/>
            <w:vAlign w:val="bottom"/>
            <w:tcBorders>
              <w:top w:val="single" w:sz="8" w:color="0000FF"/>
            </w:tcBorders>
            <w:gridSpan w:val="4"/>
          </w:tcPr>
          <w:p>
            <w:pPr>
              <w:spacing w:after="0"/>
              <w:rPr>
                <w:sz w:val="13"/>
                <w:szCs w:val="13"/>
                <w:color w:val="auto"/>
              </w:rPr>
            </w:pPr>
          </w:p>
        </w:tc>
        <w:tc>
          <w:tcPr>
            <w:tcW w:w="4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020" w:type="dxa"/>
            <w:vAlign w:val="bottom"/>
          </w:tcPr>
          <w:p>
            <w:pPr>
              <w:jc w:val="right"/>
              <w:ind w:right="332"/>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80" w:type="dxa"/>
            <w:vAlign w:val="bottom"/>
            <w:gridSpan w:val="19"/>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51">
              <w:r>
                <w:rPr>
                  <w:rFonts w:ascii="Arial" w:cs="Arial" w:eastAsia="Arial" w:hAnsi="Arial"/>
                  <w:sz w:val="18"/>
                  <w:szCs w:val="18"/>
                  <w:color w:val="0000FF"/>
                  <w:w w:val="91"/>
                </w:rPr>
                <w:t>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91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020" w:type="dxa"/>
            <w:vAlign w:val="bottom"/>
          </w:tcPr>
          <w:p>
            <w:pPr>
              <w:jc w:val="right"/>
              <w:ind w:right="332"/>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080" w:type="dxa"/>
            <w:vAlign w:val="bottom"/>
            <w:gridSpan w:val="19"/>
          </w:tcPr>
          <w:p>
            <w:pP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52">
              <w:r>
                <w:rPr>
                  <w:rFonts w:ascii="Arial" w:cs="Arial" w:eastAsia="Arial" w:hAnsi="Arial"/>
                  <w:sz w:val="18"/>
                  <w:szCs w:val="18"/>
                  <w:color w:val="0000FF"/>
                  <w:w w:val="91"/>
                </w:rPr>
                <w:t>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912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Arial" w:cs="Arial" w:eastAsia="Arial" w:hAnsi="Arial"/>
                <w:sz w:val="18"/>
                <w:szCs w:val="18"/>
                <w:color w:val="auto"/>
                <w:w w:val="91"/>
              </w:rPr>
              <w:t>Inline XBRL Instance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9"/>
          </w:tcPr>
          <w:p>
            <w:pPr>
              <w:spacing w:after="0" w:line="189" w:lineRule="exact"/>
              <w:rPr>
                <w:sz w:val="20"/>
                <w:szCs w:val="20"/>
                <w:color w:val="auto"/>
              </w:rPr>
            </w:pPr>
            <w:r>
              <w:rPr>
                <w:rFonts w:ascii="Arial" w:cs="Arial" w:eastAsia="Arial" w:hAnsi="Arial"/>
                <w:sz w:val="18"/>
                <w:szCs w:val="18"/>
                <w:color w:val="auto"/>
              </w:rPr>
              <w:t>Inline XBRL document.</w:t>
            </w: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6"/>
                <w:szCs w:val="16"/>
                <w:color w:val="auto"/>
              </w:rPr>
            </w:pPr>
          </w:p>
        </w:tc>
        <w:tc>
          <w:tcPr>
            <w:tcW w:w="10080" w:type="dxa"/>
            <w:vAlign w:val="bottom"/>
            <w:gridSpan w:val="19"/>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6"/>
                <w:szCs w:val="16"/>
                <w:color w:val="auto"/>
              </w:rPr>
            </w:pPr>
          </w:p>
        </w:tc>
        <w:tc>
          <w:tcPr>
            <w:tcW w:w="10080" w:type="dxa"/>
            <w:vAlign w:val="bottom"/>
            <w:gridSpan w:val="19"/>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6"/>
                <w:szCs w:val="16"/>
                <w:color w:val="auto"/>
              </w:rPr>
            </w:pPr>
          </w:p>
        </w:tc>
        <w:tc>
          <w:tcPr>
            <w:tcW w:w="10080" w:type="dxa"/>
            <w:vAlign w:val="bottom"/>
            <w:gridSpan w:val="19"/>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6"/>
                <w:szCs w:val="16"/>
                <w:color w:val="auto"/>
              </w:rPr>
            </w:pPr>
          </w:p>
        </w:tc>
        <w:tc>
          <w:tcPr>
            <w:tcW w:w="10080" w:type="dxa"/>
            <w:vAlign w:val="bottom"/>
            <w:gridSpan w:val="19"/>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5"/>
        </w:trPr>
        <w:tc>
          <w:tcPr>
            <w:tcW w:w="1020" w:type="dxa"/>
            <w:vAlign w:val="bottom"/>
          </w:tcPr>
          <w:p>
            <w:pPr>
              <w:ind w:left="20"/>
              <w:spacing w:after="0" w:line="205" w:lineRule="exact"/>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7"/>
                <w:szCs w:val="17"/>
                <w:color w:val="auto"/>
              </w:rPr>
            </w:pPr>
          </w:p>
        </w:tc>
        <w:tc>
          <w:tcPr>
            <w:tcW w:w="10080" w:type="dxa"/>
            <w:vAlign w:val="bottom"/>
            <w:gridSpan w:val="19"/>
          </w:tcPr>
          <w:p>
            <w:pPr>
              <w:spacing w:after="0" w:line="205"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160" w:hanging="1139"/>
        <w:spacing w:after="0"/>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6"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9512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84"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04" w:lineRule="exact"/>
        <w:rPr>
          <w:sz w:val="20"/>
          <w:szCs w:val="20"/>
          <w:color w:val="auto"/>
        </w:rPr>
      </w:pPr>
    </w:p>
    <w:p>
      <w:pPr>
        <w:ind w:left="520" w:right="20" w:hanging="512"/>
        <w:spacing w:after="0" w:line="209" w:lineRule="exact"/>
        <w:tabs>
          <w:tab w:leader="none" w:pos="3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SiTime Corporation</w:t>
      </w:r>
    </w:p>
    <w:p>
      <w:pPr>
        <w:sectPr>
          <w:pgSz w:w="11900" w:h="16838" w:orient="portrait"/>
          <w:cols w:equalWidth="0" w:num="1">
            <w:col w:w="11200"/>
          </w:cols>
          <w:pgMar w:left="320" w:top="324" w:right="37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May 5, 2022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720"/>
        <w:spacing w:after="0"/>
        <w:rPr>
          <w:sz w:val="20"/>
          <w:szCs w:val="20"/>
          <w:color w:val="auto"/>
        </w:rPr>
      </w:pPr>
      <w:r>
        <w:rPr>
          <w:rFonts w:ascii="Arial" w:cs="Arial" w:eastAsia="Arial" w:hAnsi="Arial"/>
          <w:sz w:val="16"/>
          <w:szCs w:val="16"/>
          <w:color w:val="auto"/>
          <w:highlight w:val="white"/>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12065</wp:posOffset>
            </wp:positionV>
            <wp:extent cx="11144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12065</wp:posOffset>
            </wp:positionV>
            <wp:extent cx="11144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3">
            <w:col w:w="4980" w:space="720"/>
            <w:col w:w="1380" w:space="720"/>
            <w:col w:w="3400"/>
          </w:cols>
          <w:pgMar w:left="320" w:top="324" w:right="379" w:bottom="1440" w:gutter="0" w:footer="0" w:header="0"/>
          <w:type w:val="continuous"/>
        </w:sectPr>
      </w:pPr>
    </w:p>
    <w:p>
      <w:pPr>
        <w:jc w:val="center"/>
        <w:ind w:left="6020"/>
        <w:spacing w:after="0" w:line="230" w:lineRule="auto"/>
        <w:rPr>
          <w:sz w:val="20"/>
          <w:szCs w:val="20"/>
          <w:color w:val="auto"/>
        </w:rPr>
      </w:pPr>
      <w:r>
        <w:rPr>
          <w:rFonts w:ascii="Arial" w:cs="Arial" w:eastAsia="Arial" w:hAnsi="Arial"/>
          <w:sz w:val="18"/>
          <w:szCs w:val="18"/>
          <w:b w:val="1"/>
          <w:bCs w:val="1"/>
          <w:color w:val="auto"/>
          <w:highlight w:val="white"/>
        </w:rPr>
        <w:t>Arthur D. Chadwick</w:t>
      </w:r>
    </w:p>
    <w:p>
      <w:pPr>
        <w:jc w:val="center"/>
        <w:ind w:left="6020"/>
        <w:spacing w:after="0"/>
        <w:rPr>
          <w:sz w:val="20"/>
          <w:szCs w:val="20"/>
          <w:color w:val="auto"/>
        </w:rPr>
      </w:pPr>
      <w:r>
        <w:rPr>
          <w:rFonts w:ascii="Arial" w:cs="Arial" w:eastAsia="Arial" w:hAnsi="Arial"/>
          <w:sz w:val="16"/>
          <w:szCs w:val="16"/>
          <w:b w:val="1"/>
          <w:bCs w:val="1"/>
          <w:color w:val="auto"/>
        </w:rPr>
        <w:t>Executive Vice President, Chief Financial Officer</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Rajesh Vashist, certify that:</w:t>
      </w:r>
    </w:p>
    <w:p>
      <w:pPr>
        <w:spacing w:after="0" w:line="212" w:lineRule="exact"/>
        <w:rPr>
          <w:sz w:val="20"/>
          <w:szCs w:val="20"/>
          <w:color w:val="auto"/>
        </w:rPr>
      </w:pPr>
    </w:p>
    <w:p>
      <w:pPr>
        <w:ind w:left="260" w:hanging="239"/>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38" w:lineRule="exact"/>
        <w:rPr>
          <w:rFonts w:ascii="Arial" w:cs="Arial" w:eastAsia="Arial" w:hAnsi="Arial"/>
          <w:sz w:val="18"/>
          <w:szCs w:val="18"/>
          <w:color w:val="auto"/>
        </w:rPr>
      </w:pPr>
    </w:p>
    <w:p>
      <w:pPr>
        <w:jc w:val="both"/>
        <w:ind w:left="260" w:right="520" w:hanging="239"/>
        <w:spacing w:after="0" w:line="263"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260" w:right="480" w:hanging="239"/>
        <w:spacing w:after="0" w:line="308" w:lineRule="auto"/>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260" w:right="100" w:hanging="239"/>
        <w:spacing w:after="0" w:line="263"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760" w:right="300" w:hanging="509"/>
        <w:spacing w:after="0" w:line="263" w:lineRule="auto"/>
        <w:tabs>
          <w:tab w:leader="none" w:pos="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760" w:right="580" w:hanging="509"/>
        <w:spacing w:after="0" w:line="263" w:lineRule="auto"/>
        <w:tabs>
          <w:tab w:leader="none" w:pos="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760" w:right="740" w:hanging="509"/>
        <w:spacing w:after="0" w:line="342" w:lineRule="auto"/>
        <w:tabs>
          <w:tab w:leader="none" w:pos="7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760" w:right="300" w:hanging="509"/>
        <w:spacing w:after="0" w:line="263" w:lineRule="auto"/>
        <w:tabs>
          <w:tab w:leader="none" w:pos="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260" w:right="400" w:hanging="239"/>
        <w:spacing w:after="0" w:line="308" w:lineRule="auto"/>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760" w:right="220" w:hanging="509"/>
        <w:spacing w:after="0" w:line="308" w:lineRule="auto"/>
        <w:tabs>
          <w:tab w:leader="none" w:pos="7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760" w:right="180" w:hanging="509"/>
        <w:spacing w:after="0" w:line="277" w:lineRule="auto"/>
        <w:tabs>
          <w:tab w:leader="none" w:pos="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3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6350</wp:posOffset>
            </wp:positionV>
            <wp:extent cx="30600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8260"/>
        <w:spacing w:after="0" w:line="232" w:lineRule="auto"/>
        <w:rPr>
          <w:sz w:val="20"/>
          <w:szCs w:val="20"/>
          <w:color w:val="auto"/>
        </w:rPr>
      </w:pPr>
      <w:r>
        <w:rPr>
          <w:rFonts w:ascii="Arial" w:cs="Arial" w:eastAsia="Arial" w:hAnsi="Arial"/>
          <w:sz w:val="18"/>
          <w:szCs w:val="18"/>
          <w:b w:val="1"/>
          <w:bCs w:val="1"/>
          <w:color w:val="auto"/>
        </w:rPr>
        <w:t>Rajesh Vashist</w:t>
      </w:r>
    </w:p>
    <w:p>
      <w:pPr>
        <w:ind w:left="79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685165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Arthur D. Chadwick, certify that:</w:t>
      </w:r>
    </w:p>
    <w:p>
      <w:pPr>
        <w:spacing w:after="0" w:line="212" w:lineRule="exact"/>
        <w:rPr>
          <w:sz w:val="20"/>
          <w:szCs w:val="20"/>
          <w:color w:val="auto"/>
        </w:rPr>
      </w:pPr>
    </w:p>
    <w:p>
      <w:pPr>
        <w:ind w:left="260" w:hanging="239"/>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38" w:lineRule="exact"/>
        <w:rPr>
          <w:rFonts w:ascii="Arial" w:cs="Arial" w:eastAsia="Arial" w:hAnsi="Arial"/>
          <w:sz w:val="18"/>
          <w:szCs w:val="18"/>
          <w:color w:val="auto"/>
        </w:rPr>
      </w:pPr>
    </w:p>
    <w:p>
      <w:pPr>
        <w:jc w:val="both"/>
        <w:ind w:left="260" w:right="520" w:hanging="239"/>
        <w:spacing w:after="0" w:line="263"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260" w:right="480" w:hanging="239"/>
        <w:spacing w:after="0" w:line="308" w:lineRule="auto"/>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260" w:right="100" w:hanging="239"/>
        <w:spacing w:after="0" w:line="263"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760" w:right="300" w:hanging="509"/>
        <w:spacing w:after="0" w:line="263" w:lineRule="auto"/>
        <w:tabs>
          <w:tab w:leader="none" w:pos="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760" w:right="580" w:hanging="509"/>
        <w:spacing w:after="0" w:line="263" w:lineRule="auto"/>
        <w:tabs>
          <w:tab w:leader="none" w:pos="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760" w:right="740" w:hanging="509"/>
        <w:spacing w:after="0" w:line="342" w:lineRule="auto"/>
        <w:tabs>
          <w:tab w:leader="none" w:pos="7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760" w:right="300" w:hanging="509"/>
        <w:spacing w:after="0" w:line="263" w:lineRule="auto"/>
        <w:tabs>
          <w:tab w:leader="none" w:pos="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260" w:right="400" w:hanging="239"/>
        <w:spacing w:after="0" w:line="308" w:lineRule="auto"/>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760" w:right="220" w:hanging="509"/>
        <w:spacing w:after="0" w:line="308" w:lineRule="auto"/>
        <w:tabs>
          <w:tab w:leader="none" w:pos="7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760" w:right="180" w:hanging="509"/>
        <w:spacing w:after="0" w:line="277" w:lineRule="auto"/>
        <w:tabs>
          <w:tab w:leader="none" w:pos="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39"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6350</wp:posOffset>
            </wp:positionV>
            <wp:extent cx="30600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8020"/>
        <w:spacing w:after="0" w:line="232" w:lineRule="auto"/>
        <w:rPr>
          <w:sz w:val="20"/>
          <w:szCs w:val="20"/>
          <w:color w:val="auto"/>
        </w:rPr>
      </w:pPr>
      <w:r>
        <w:rPr>
          <w:rFonts w:ascii="Arial" w:cs="Arial" w:eastAsia="Arial" w:hAnsi="Arial"/>
          <w:sz w:val="18"/>
          <w:szCs w:val="18"/>
          <w:b w:val="1"/>
          <w:bCs w:val="1"/>
          <w:color w:val="auto"/>
        </w:rPr>
        <w:t>Arthur D. Chadwick</w:t>
      </w:r>
    </w:p>
    <w:p>
      <w:pPr>
        <w:ind w:left="694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60" w:firstLine="479"/>
        <w:spacing w:after="0" w:line="248"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March 31, 2022 as filed with the Securities and Exchange Commission on the date hereof (the “Report”), I, certify, pursuant to 18 U.S.C. § 1350, as adopted pursuant to § 906 of the Sarbanes-Oxley Act of 2002, that to the best of my knowledge:</w:t>
      </w:r>
    </w:p>
    <w:p>
      <w:pPr>
        <w:spacing w:after="0" w:line="182" w:lineRule="exact"/>
        <w:rPr>
          <w:sz w:val="20"/>
          <w:szCs w:val="20"/>
          <w:color w:val="auto"/>
        </w:rPr>
      </w:pPr>
    </w:p>
    <w:p>
      <w:pPr>
        <w:ind w:left="960" w:hanging="46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right="620" w:hanging="466"/>
        <w:spacing w:after="0" w:line="235"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7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06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12"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Rajesh Vashist</w:t>
      </w:r>
    </w:p>
    <w:p>
      <w:pPr>
        <w:spacing w:after="0" w:line="16"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60" w:firstLine="479"/>
        <w:spacing w:after="0" w:line="248"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March 31, 2022 as filed with the Securities and Exchange Commission on the date hereof (the “Report”), I, certify, pursuant to 18 U.S.C. § 1350, as adopted pursuant to § 906 of the Sarbanes-Oxley Act of 2002, that to the best of my knowledge:</w:t>
      </w:r>
    </w:p>
    <w:p>
      <w:pPr>
        <w:spacing w:after="0" w:line="182" w:lineRule="exact"/>
        <w:rPr>
          <w:sz w:val="20"/>
          <w:szCs w:val="20"/>
          <w:color w:val="auto"/>
        </w:rPr>
      </w:pPr>
    </w:p>
    <w:p>
      <w:pPr>
        <w:ind w:left="960" w:hanging="466"/>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right="620" w:hanging="466"/>
        <w:spacing w:after="0" w:line="235"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7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06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12"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Arthur D. Chadwick</w:t>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lvl w:ilvl="1">
      <w:lvlJc w:val="left"/>
      <w:lvlText w:val="%2"/>
      <w:numFmt w:val="decimal"/>
      <w:start w:val="104"/>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192" Type="http://schemas.openxmlformats.org/officeDocument/2006/relationships/hyperlink" Target="https://www.sec.gov/Archives/edgar/data/1451809/000119312519301287/d630610dex31.htm" TargetMode="External"/><Relationship Id="rId193" Type="http://schemas.openxmlformats.org/officeDocument/2006/relationships/hyperlink" Target="https://www.sec.gov/Archives/edgar/data/1451809/000156459021035069/sitm-ex32_6.htm" TargetMode="External"/><Relationship Id="rId194" Type="http://schemas.openxmlformats.org/officeDocument/2006/relationships/hyperlink" Target="https://www.sec.gov/Archives/edgar/data/0001451809/000119312519272678/d701682dex41.htm" TargetMode="External"/><Relationship Id="rId195" Type="http://schemas.openxmlformats.org/officeDocument/2006/relationships/hyperlink" Target="https://www.sec.gov/Archives/edgar/data/1451809/000156459021005867/sitm-ex42_644.htm" TargetMode="External"/><Relationship Id="rId196" Type="http://schemas.openxmlformats.org/officeDocument/2006/relationships/hyperlink" Target="https://www.sec.gov/Archives/edgar/data/1451809/000095017022002096/sitm-ex10_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2022-05-06T12:20:57Z</dcterms:created>
  <dcterms:modified xsi:type="dcterms:W3CDTF">2022-05-06T12:20:57Z</dcterms:modified>
</cp:coreProperties>
</file>