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22225</wp:posOffset>
                </wp:positionH>
                <wp:positionV relativeFrom="paragraph">
                  <wp:posOffset>-179070</wp:posOffset>
                </wp:positionV>
                <wp:extent cx="629666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9666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pt,-14.0999pt" to="497.55pt,-14.0999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22225</wp:posOffset>
                </wp:positionH>
                <wp:positionV relativeFrom="paragraph">
                  <wp:posOffset>-203200</wp:posOffset>
                </wp:positionV>
                <wp:extent cx="629666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9666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pt,-16pt" to="497.55pt,-16pt" o:allowincell="f" strokecolor="#000000" strokeweight="0.9599pt"/>
            </w:pict>
          </mc:Fallback>
        </mc:AlternateContent>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w:t>
      </w:r>
    </w:p>
    <w:p>
      <w:pPr>
        <w:spacing w:after="0" w:line="7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0"/>
          <w:szCs w:val="30"/>
          <w:b w:val="1"/>
          <w:bCs w:val="1"/>
          <w:color w:val="auto"/>
        </w:rPr>
        <w:t>FORM 10-K</w:t>
      </w:r>
    </w:p>
    <w:p>
      <w:pPr>
        <w:spacing w:after="0" w:line="54"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w:t>
      </w:r>
    </w:p>
    <w:p>
      <w:pPr>
        <w:spacing w:after="0" w:line="24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3" w:lineRule="exact"/>
        <w:rPr>
          <w:sz w:val="24"/>
          <w:szCs w:val="24"/>
          <w:color w:val="auto"/>
        </w:rPr>
      </w:pPr>
    </w:p>
    <w:p>
      <w:pPr>
        <w:ind w:left="460" w:right="180" w:hanging="410"/>
        <w:spacing w:after="0" w:line="249" w:lineRule="auto"/>
        <w:tabs>
          <w:tab w:leader="none" w:pos="460" w:val="left"/>
        </w:tabs>
        <w:numPr>
          <w:ilvl w:val="0"/>
          <w:numId w:val="1"/>
        </w:numPr>
        <w:rPr>
          <w:rFonts w:ascii="PMingLiU" w:cs="PMingLiU" w:eastAsia="PMingLiU" w:hAnsi="PMingLiU"/>
          <w:sz w:val="20"/>
          <w:szCs w:val="20"/>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7" w:lineRule="exact"/>
        <w:rPr>
          <w:sz w:val="24"/>
          <w:szCs w:val="24"/>
          <w:color w:val="auto"/>
        </w:rPr>
      </w:pPr>
    </w:p>
    <w:p>
      <w:pPr>
        <w:ind w:left="440" w:right="100" w:hanging="390"/>
        <w:spacing w:after="0" w:line="246" w:lineRule="auto"/>
        <w:tabs>
          <w:tab w:leader="none" w:pos="440" w:val="left"/>
        </w:tabs>
        <w:numPr>
          <w:ilvl w:val="0"/>
          <w:numId w:val="2"/>
        </w:numPr>
        <w:rPr>
          <w:rFonts w:ascii="PMingLiU" w:cs="PMingLiU" w:eastAsia="PMingLiU" w:hAnsi="PMingLiU"/>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 w:lineRule="exact"/>
        <w:rPr>
          <w:sz w:val="24"/>
          <w:szCs w:val="24"/>
          <w:color w:val="auto"/>
        </w:rPr>
      </w:pPr>
    </w:p>
    <w:p>
      <w:pPr>
        <w:ind w:left="440"/>
        <w:spacing w:after="0"/>
        <w:tabs>
          <w:tab w:leader="none" w:pos="3460" w:val="left"/>
        </w:tabs>
        <w:rPr>
          <w:sz w:val="20"/>
          <w:szCs w:val="20"/>
          <w:color w:val="auto"/>
        </w:rPr>
      </w:pPr>
      <w:r>
        <w:rPr>
          <w:rFonts w:ascii="Times New Roman" w:cs="Times New Roman" w:eastAsia="Times New Roman" w:hAnsi="Times New Roman"/>
          <w:sz w:val="20"/>
          <w:szCs w:val="20"/>
          <w:b w:val="1"/>
          <w:bCs w:val="1"/>
          <w:color w:val="auto"/>
        </w:rPr>
        <w:t>For the transition period from</w:t>
      </w:r>
      <w:r>
        <w:rPr>
          <w:sz w:val="20"/>
          <w:szCs w:val="20"/>
          <w:color w:val="auto"/>
        </w:rPr>
        <w:tab/>
      </w:r>
      <w:r>
        <w:rPr>
          <w:rFonts w:ascii="Times New Roman" w:cs="Times New Roman" w:eastAsia="Times New Roman" w:hAnsi="Times New Roman"/>
          <w:sz w:val="19"/>
          <w:szCs w:val="19"/>
          <w:b w:val="1"/>
          <w:bCs w:val="1"/>
          <w:color w:val="auto"/>
        </w:rPr>
        <w:t>to</w:t>
      </w:r>
    </w:p>
    <w:p>
      <w:pPr>
        <w:spacing w:after="0" w:line="11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Commission File Number 001-39135</w:t>
      </w:r>
    </w:p>
    <w:p>
      <w:pPr>
        <w:spacing w:after="0" w:line="35"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w:t>
      </w:r>
    </w:p>
    <w:p>
      <w:pPr>
        <w:spacing w:after="0" w:line="5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2"/>
          <w:szCs w:val="42"/>
          <w:b w:val="1"/>
          <w:bCs w:val="1"/>
          <w:color w:val="auto"/>
        </w:rPr>
        <w:t>SiTime Corporation</w:t>
      </w:r>
    </w:p>
    <w:p>
      <w:pPr>
        <w:spacing w:after="0" w:line="8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w:t>
      </w:r>
    </w:p>
    <w:p>
      <w:pPr>
        <w:spacing w:after="0" w:line="49" w:lineRule="exact"/>
        <w:rPr>
          <w:sz w:val="24"/>
          <w:szCs w:val="24"/>
          <w:color w:val="auto"/>
        </w:rPr>
      </w:pPr>
    </w:p>
    <w:tbl>
      <w:tblPr>
        <w:tblLayout w:type="fixed"/>
        <w:tblInd w:w="1140" w:type="dxa"/>
        <w:tblCellMar>
          <w:top w:w="0" w:type="dxa"/>
          <w:left w:w="0" w:type="dxa"/>
          <w:bottom w:w="0" w:type="dxa"/>
          <w:right w:w="0" w:type="dxa"/>
        </w:tblCellMar>
      </w:tblPr>
      <w:tr>
        <w:trPr>
          <w:trHeight w:val="265"/>
        </w:trPr>
        <w:tc>
          <w:tcPr>
            <w:tcW w:w="4160" w:type="dxa"/>
            <w:vAlign w:val="bottom"/>
          </w:tcPr>
          <w:p>
            <w:pPr>
              <w:jc w:val="center"/>
              <w:ind w:right="1410"/>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2740" w:type="dxa"/>
            <w:vAlign w:val="bottom"/>
          </w:tcPr>
          <w:p>
            <w:pPr>
              <w:jc w:val="right"/>
              <w:ind w:right="52"/>
              <w:spacing w:after="0"/>
              <w:rPr>
                <w:sz w:val="20"/>
                <w:szCs w:val="20"/>
                <w:color w:val="auto"/>
              </w:rPr>
            </w:pPr>
            <w:r>
              <w:rPr>
                <w:rFonts w:ascii="Times New Roman" w:cs="Times New Roman" w:eastAsia="Times New Roman" w:hAnsi="Times New Roman"/>
                <w:sz w:val="20"/>
                <w:szCs w:val="20"/>
                <w:b w:val="1"/>
                <w:bCs w:val="1"/>
                <w:color w:val="auto"/>
              </w:rPr>
              <w:t>02-0713868</w:t>
            </w:r>
          </w:p>
        </w:tc>
      </w:tr>
      <w:tr>
        <w:trPr>
          <w:trHeight w:val="264"/>
        </w:trPr>
        <w:tc>
          <w:tcPr>
            <w:tcW w:w="4160" w:type="dxa"/>
            <w:vAlign w:val="bottom"/>
          </w:tcPr>
          <w:p>
            <w:pPr>
              <w:jc w:val="center"/>
              <w:ind w:right="1410"/>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w:t>
            </w:r>
          </w:p>
        </w:tc>
        <w:tc>
          <w:tcPr>
            <w:tcW w:w="2740" w:type="dxa"/>
            <w:vAlign w:val="bottom"/>
          </w:tcPr>
          <w:p>
            <w:pPr>
              <w:jc w:val="center"/>
              <w:ind w:left="1412"/>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0"/>
        </w:trPr>
        <w:tc>
          <w:tcPr>
            <w:tcW w:w="4160" w:type="dxa"/>
            <w:vAlign w:val="bottom"/>
          </w:tcPr>
          <w:p>
            <w:pPr>
              <w:jc w:val="center"/>
              <w:ind w:right="141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740" w:type="dxa"/>
            <w:vAlign w:val="bottom"/>
          </w:tcPr>
          <w:p>
            <w:pPr>
              <w:jc w:val="center"/>
              <w:ind w:left="1412"/>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296"/>
        </w:trPr>
        <w:tc>
          <w:tcPr>
            <w:tcW w:w="4160" w:type="dxa"/>
            <w:vAlign w:val="bottom"/>
          </w:tcPr>
          <w:p>
            <w:pPr>
              <w:jc w:val="center"/>
              <w:ind w:right="1390"/>
              <w:spacing w:after="0"/>
              <w:rPr>
                <w:sz w:val="20"/>
                <w:szCs w:val="20"/>
                <w:color w:val="auto"/>
              </w:rPr>
            </w:pPr>
            <w:r>
              <w:rPr>
                <w:rFonts w:ascii="Times New Roman" w:cs="Times New Roman" w:eastAsia="Times New Roman" w:hAnsi="Times New Roman"/>
                <w:sz w:val="20"/>
                <w:szCs w:val="20"/>
                <w:b w:val="1"/>
                <w:bCs w:val="1"/>
                <w:color w:val="auto"/>
                <w:w w:val="99"/>
              </w:rPr>
              <w:t>5451 Patrick Henry Drive</w:t>
            </w:r>
          </w:p>
        </w:tc>
        <w:tc>
          <w:tcPr>
            <w:tcW w:w="2740" w:type="dxa"/>
            <w:vAlign w:val="bottom"/>
          </w:tcPr>
          <w:p>
            <w:pPr>
              <w:spacing w:after="0"/>
              <w:rPr>
                <w:sz w:val="24"/>
                <w:szCs w:val="24"/>
                <w:color w:val="auto"/>
              </w:rPr>
            </w:pPr>
          </w:p>
        </w:tc>
      </w:tr>
      <w:tr>
        <w:trPr>
          <w:trHeight w:val="265"/>
        </w:trPr>
        <w:tc>
          <w:tcPr>
            <w:tcW w:w="4160" w:type="dxa"/>
            <w:vAlign w:val="bottom"/>
          </w:tcPr>
          <w:p>
            <w:pPr>
              <w:jc w:val="center"/>
              <w:ind w:right="1410"/>
              <w:spacing w:after="0"/>
              <w:rPr>
                <w:sz w:val="20"/>
                <w:szCs w:val="20"/>
                <w:color w:val="auto"/>
              </w:rPr>
            </w:pPr>
            <w:r>
              <w:rPr>
                <w:rFonts w:ascii="Times New Roman" w:cs="Times New Roman" w:eastAsia="Times New Roman" w:hAnsi="Times New Roman"/>
                <w:sz w:val="20"/>
                <w:szCs w:val="20"/>
                <w:b w:val="1"/>
                <w:bCs w:val="1"/>
                <w:color w:val="auto"/>
              </w:rPr>
              <w:t>Santa Clara, CA</w:t>
            </w:r>
          </w:p>
        </w:tc>
        <w:tc>
          <w:tcPr>
            <w:tcW w:w="2740" w:type="dxa"/>
            <w:vAlign w:val="bottom"/>
          </w:tcPr>
          <w:p>
            <w:pPr>
              <w:jc w:val="right"/>
              <w:ind w:right="272"/>
              <w:spacing w:after="0"/>
              <w:rPr>
                <w:sz w:val="20"/>
                <w:szCs w:val="20"/>
                <w:color w:val="auto"/>
              </w:rPr>
            </w:pPr>
            <w:r>
              <w:rPr>
                <w:rFonts w:ascii="Times New Roman" w:cs="Times New Roman" w:eastAsia="Times New Roman" w:hAnsi="Times New Roman"/>
                <w:sz w:val="20"/>
                <w:szCs w:val="20"/>
                <w:b w:val="1"/>
                <w:bCs w:val="1"/>
                <w:color w:val="auto"/>
              </w:rPr>
              <w:t>95054</w:t>
            </w:r>
          </w:p>
        </w:tc>
      </w:tr>
      <w:tr>
        <w:trPr>
          <w:trHeight w:val="282"/>
        </w:trPr>
        <w:tc>
          <w:tcPr>
            <w:tcW w:w="4160" w:type="dxa"/>
            <w:vAlign w:val="bottom"/>
          </w:tcPr>
          <w:p>
            <w:pPr>
              <w:jc w:val="center"/>
              <w:ind w:right="141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740" w:type="dxa"/>
            <w:vAlign w:val="bottom"/>
          </w:tcPr>
          <w:p>
            <w:pPr>
              <w:jc w:val="center"/>
              <w:ind w:left="1432"/>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(408) 328-4400</w:t>
      </w:r>
    </w:p>
    <w:p>
      <w:pPr>
        <w:spacing w:after="0" w:line="27"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w:t>
      </w:r>
    </w:p>
    <w:p>
      <w:pPr>
        <w:spacing w:after="0" w:line="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9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220" w:type="dxa"/>
            <w:vAlign w:val="bottom"/>
            <w:gridSpan w:val="3"/>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820" w:type="dxa"/>
            <w:vAlign w:val="bottom"/>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6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30"/>
        </w:trPr>
        <w:tc>
          <w:tcPr>
            <w:tcW w:w="3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18"/>
        </w:trPr>
        <w:tc>
          <w:tcPr>
            <w:tcW w:w="422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820" w:type="dxa"/>
            <w:vAlign w:val="bottom"/>
          </w:tcPr>
          <w:p>
            <w:pPr>
              <w:jc w:val="center"/>
              <w:ind w:right="280"/>
              <w:spacing w:after="0"/>
              <w:rPr>
                <w:sz w:val="20"/>
                <w:szCs w:val="20"/>
                <w:color w:val="auto"/>
              </w:rPr>
            </w:pPr>
            <w:r>
              <w:rPr>
                <w:rFonts w:ascii="Times New Roman" w:cs="Times New Roman" w:eastAsia="Times New Roman" w:hAnsi="Times New Roman"/>
                <w:sz w:val="16"/>
                <w:szCs w:val="16"/>
                <w:color w:val="auto"/>
                <w:w w:val="99"/>
              </w:rPr>
              <w:t>SITM</w:t>
            </w:r>
          </w:p>
        </w:tc>
        <w:tc>
          <w:tcPr>
            <w:tcW w:w="60" w:type="dxa"/>
            <w:vAlign w:val="bottom"/>
          </w:tcPr>
          <w:p>
            <w:pPr>
              <w:spacing w:after="0"/>
              <w:rPr>
                <w:sz w:val="18"/>
                <w:szCs w:val="18"/>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r>
        <w:trPr>
          <w:trHeight w:val="242"/>
        </w:trPr>
        <w:tc>
          <w:tcPr>
            <w:tcW w:w="42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tc>
        <w:tc>
          <w:tcPr>
            <w:tcW w:w="1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0" w:type="dxa"/>
            <w:vAlign w:val="bottom"/>
          </w:tcPr>
          <w:p>
            <w:pPr>
              <w:spacing w:after="0"/>
              <w:rPr>
                <w:sz w:val="21"/>
                <w:szCs w:val="21"/>
                <w:color w:val="auto"/>
              </w:rPr>
            </w:pPr>
          </w:p>
        </w:tc>
      </w:tr>
    </w:tbl>
    <w:p>
      <w:pPr>
        <w:spacing w:after="0" w:line="25" w:lineRule="exact"/>
        <w:rPr>
          <w:sz w:val="24"/>
          <w:szCs w:val="24"/>
          <w:color w:val="auto"/>
        </w:rPr>
      </w:pPr>
    </w:p>
    <w:p>
      <w:pPr>
        <w:ind w:left="60" w:right="1400"/>
        <w:spacing w:after="0" w:line="286"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PMingLiU" w:cs="PMingLiU" w:eastAsia="PMingLiU" w:hAnsi="PMingLiU"/>
          <w:sz w:val="16"/>
          <w:szCs w:val="16"/>
          <w:color w:val="auto"/>
        </w:rPr>
        <w:t>_</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PMingLiU" w:cs="PMingLiU" w:eastAsia="PMingLiU" w:hAnsi="PMingLiU"/>
          <w:sz w:val="16"/>
          <w:szCs w:val="16"/>
          <w:color w:val="auto"/>
        </w:rPr>
        <w:t></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_</w:t>
      </w:r>
    </w:p>
    <w:p>
      <w:pPr>
        <w:spacing w:after="0" w:line="1" w:lineRule="exact"/>
        <w:rPr>
          <w:sz w:val="24"/>
          <w:szCs w:val="24"/>
          <w:color w:val="auto"/>
        </w:rPr>
      </w:pPr>
    </w:p>
    <w:p>
      <w:pPr>
        <w:ind w:left="60" w:right="40"/>
        <w:spacing w:after="0" w:line="259"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PMingLiU" w:cs="PMingLiU" w:eastAsia="PMingLiU" w:hAnsi="PMingLiU"/>
          <w:sz w:val="16"/>
          <w:szCs w:val="16"/>
          <w:color w:val="auto"/>
        </w:rPr>
        <w:t>_</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w:t>
      </w:r>
    </w:p>
    <w:p>
      <w:pPr>
        <w:spacing w:after="0" w:line="10" w:lineRule="exact"/>
        <w:rPr>
          <w:sz w:val="24"/>
          <w:szCs w:val="24"/>
          <w:color w:val="auto"/>
        </w:rPr>
      </w:pPr>
    </w:p>
    <w:p>
      <w:pPr>
        <w:ind w:left="60" w:right="120"/>
        <w:spacing w:after="0" w:line="26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PMingLiU" w:cs="PMingLiU" w:eastAsia="PMingLiU" w:hAnsi="PMingLiU"/>
          <w:sz w:val="16"/>
          <w:szCs w:val="16"/>
          <w:color w:val="auto"/>
        </w:rPr>
        <w:t>_</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w:t>
      </w:r>
    </w:p>
    <w:p>
      <w:pPr>
        <w:spacing w:after="0" w:line="7" w:lineRule="exact"/>
        <w:rPr>
          <w:sz w:val="24"/>
          <w:szCs w:val="24"/>
          <w:color w:val="auto"/>
        </w:rPr>
      </w:pPr>
    </w:p>
    <w:p>
      <w:pPr>
        <w:ind w:left="60" w:right="260"/>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69" w:lineRule="exact"/>
        <w:rPr>
          <w:sz w:val="24"/>
          <w:szCs w:val="24"/>
          <w:color w:val="auto"/>
        </w:rPr>
      </w:pPr>
    </w:p>
    <w:tbl>
      <w:tblPr>
        <w:tblLayout w:type="fixed"/>
        <w:tblInd w:w="60" w:type="dxa"/>
        <w:tblCellMar>
          <w:top w:w="0" w:type="dxa"/>
          <w:left w:w="0" w:type="dxa"/>
          <w:bottom w:w="0" w:type="dxa"/>
          <w:right w:w="0" w:type="dxa"/>
        </w:tblCellMar>
      </w:tblPr>
      <w:tr>
        <w:trPr>
          <w:trHeight w:val="208"/>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00" w:type="dxa"/>
            <w:vAlign w:val="bottom"/>
          </w:tcPr>
          <w:p>
            <w:pPr>
              <w:ind w:left="640"/>
              <w:spacing w:after="0"/>
              <w:rPr>
                <w:sz w:val="20"/>
                <w:szCs w:val="20"/>
                <w:color w:val="auto"/>
              </w:rPr>
            </w:pPr>
            <w:r>
              <w:rPr>
                <w:rFonts w:ascii="PMingLiU" w:cs="PMingLiU" w:eastAsia="PMingLiU" w:hAnsi="PMingLiU"/>
                <w:sz w:val="16"/>
                <w:szCs w:val="16"/>
                <w:color w:val="auto"/>
              </w:rPr>
              <w:t>_</w:t>
            </w:r>
          </w:p>
        </w:tc>
        <w:tc>
          <w:tcPr>
            <w:tcW w:w="410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jc w:val="right"/>
              <w:spacing w:after="0"/>
              <w:rPr>
                <w:sz w:val="20"/>
                <w:szCs w:val="20"/>
                <w:color w:val="auto"/>
              </w:rPr>
            </w:pPr>
            <w:r>
              <w:rPr>
                <w:rFonts w:ascii="PMingLiU" w:cs="PMingLiU" w:eastAsia="PMingLiU" w:hAnsi="PMingLiU"/>
                <w:sz w:val="16"/>
                <w:szCs w:val="16"/>
                <w:color w:val="auto"/>
              </w:rPr>
              <w:t></w:t>
            </w:r>
          </w:p>
        </w:tc>
      </w:tr>
      <w:tr>
        <w:trPr>
          <w:trHeight w:val="472"/>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00" w:type="dxa"/>
            <w:vAlign w:val="bottom"/>
          </w:tcPr>
          <w:p>
            <w:pPr>
              <w:ind w:left="640"/>
              <w:spacing w:after="0"/>
              <w:rPr>
                <w:sz w:val="20"/>
                <w:szCs w:val="20"/>
                <w:color w:val="auto"/>
              </w:rPr>
            </w:pPr>
            <w:r>
              <w:rPr>
                <w:rFonts w:ascii="PMingLiU" w:cs="PMingLiU" w:eastAsia="PMingLiU" w:hAnsi="PMingLiU"/>
                <w:sz w:val="16"/>
                <w:szCs w:val="16"/>
                <w:color w:val="auto"/>
              </w:rPr>
              <w:t></w:t>
            </w:r>
          </w:p>
        </w:tc>
        <w:tc>
          <w:tcPr>
            <w:tcW w:w="4100" w:type="dxa"/>
            <w:vAlign w:val="bottom"/>
          </w:tcPr>
          <w:p>
            <w:pPr>
              <w:ind w:left="2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jc w:val="right"/>
              <w:spacing w:after="0"/>
              <w:rPr>
                <w:sz w:val="20"/>
                <w:szCs w:val="20"/>
                <w:color w:val="auto"/>
              </w:rPr>
            </w:pPr>
            <w:r>
              <w:rPr>
                <w:rFonts w:ascii="PMingLiU" w:cs="PMingLiU" w:eastAsia="PMingLiU" w:hAnsi="PMingLiU"/>
                <w:sz w:val="16"/>
                <w:szCs w:val="16"/>
                <w:color w:val="auto"/>
              </w:rPr>
              <w:t></w:t>
            </w:r>
          </w:p>
        </w:tc>
      </w:tr>
      <w:tr>
        <w:trPr>
          <w:trHeight w:val="472"/>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800" w:type="dxa"/>
            <w:vAlign w:val="bottom"/>
          </w:tcPr>
          <w:p>
            <w:pPr>
              <w:ind w:left="640"/>
              <w:spacing w:after="0"/>
              <w:rPr>
                <w:sz w:val="20"/>
                <w:szCs w:val="20"/>
                <w:color w:val="auto"/>
              </w:rPr>
            </w:pPr>
            <w:r>
              <w:rPr>
                <w:rFonts w:ascii="PMingLiU" w:cs="PMingLiU" w:eastAsia="PMingLiU" w:hAnsi="PMingLiU"/>
                <w:sz w:val="16"/>
                <w:szCs w:val="16"/>
                <w:color w:val="auto"/>
              </w:rPr>
              <w:t></w:t>
            </w:r>
          </w:p>
        </w:tc>
        <w:tc>
          <w:tcPr>
            <w:tcW w:w="41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2240" w:h="15840" w:orient="portrait"/>
          <w:cols w:equalWidth="0" w:num="1">
            <w:col w:w="9900"/>
          </w:cols>
          <w:pgMar w:left="1120" w:top="947" w:right="1220" w:bottom="1440" w:gutter="0" w:footer="0" w:header="0"/>
        </w:sectPr>
      </w:pPr>
    </w:p>
    <w:bookmarkStart w:id="1" w:name="page2"/>
    <w:bookmarkEnd w:id="1"/>
    <w:p>
      <w:pPr>
        <w:spacing w:after="0" w:line="283"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PMingLiU" w:cs="PMingLiU" w:eastAsia="PMingLiU" w:hAnsi="PMingLiU"/>
          <w:sz w:val="16"/>
          <w:szCs w:val="16"/>
          <w:color w:val="auto"/>
        </w:rPr>
        <w:t></w:t>
      </w:r>
    </w:p>
    <w:p>
      <w:pPr>
        <w:spacing w:after="0" w:line="78" w:lineRule="exact"/>
        <w:rPr>
          <w:sz w:val="20"/>
          <w:szCs w:val="20"/>
          <w:color w:val="auto"/>
        </w:rPr>
      </w:pPr>
    </w:p>
    <w:p>
      <w:pPr>
        <w:sectPr>
          <w:pgSz w:w="12240" w:h="15840" w:orient="portrait"/>
          <w:cols w:equalWidth="0" w:num="2">
            <w:col w:w="8920" w:space="380"/>
            <w:col w:w="480"/>
          </w:cols>
          <w:pgMar w:left="1180" w:top="929" w:right="1280" w:bottom="1440" w:gutter="0" w:footer="0" w:header="0"/>
        </w:sect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PMingLiU" w:cs="PMingLiU" w:eastAsia="PMingLiU" w:hAnsi="PMingLiU"/>
          <w:sz w:val="16"/>
          <w:szCs w:val="16"/>
          <w:color w:val="auto"/>
        </w:rPr>
        <w:t>_</w:t>
      </w:r>
    </w:p>
    <w:p>
      <w:pPr>
        <w:spacing w:after="0" w:line="83" w:lineRule="exact"/>
        <w:rPr>
          <w:sz w:val="20"/>
          <w:szCs w:val="20"/>
          <w:color w:val="auto"/>
        </w:rPr>
      </w:pPr>
    </w:p>
    <w:p>
      <w:pPr>
        <w:sectPr>
          <w:pgSz w:w="12240" w:h="15840" w:orient="portrait"/>
          <w:cols w:equalWidth="0" w:num="2">
            <w:col w:w="8920" w:space="380"/>
            <w:col w:w="480"/>
          </w:cols>
          <w:pgMar w:left="1180" w:top="929" w:right="1280" w:bottom="1440" w:gutter="0" w:footer="0" w:header="0"/>
          <w:type w:val="continuous"/>
        </w:sectPr>
      </w:pPr>
    </w:p>
    <w:p>
      <w:pPr>
        <w:spacing w:after="0" w:line="283" w:lineRule="auto"/>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PMingLiU" w:cs="PMingLiU" w:eastAsia="PMingLiU" w:hAnsi="PMingLiU"/>
          <w:sz w:val="16"/>
          <w:szCs w:val="16"/>
          <w:color w:val="auto"/>
        </w:rPr>
        <w:t></w:t>
      </w:r>
    </w:p>
    <w:p>
      <w:pPr>
        <w:spacing w:after="0" w:line="83" w:lineRule="exact"/>
        <w:rPr>
          <w:sz w:val="20"/>
          <w:szCs w:val="20"/>
          <w:color w:val="auto"/>
        </w:rPr>
      </w:pPr>
    </w:p>
    <w:p>
      <w:pPr>
        <w:sectPr>
          <w:pgSz w:w="12240" w:h="15840" w:orient="portrait"/>
          <w:cols w:equalWidth="0" w:num="2">
            <w:col w:w="8700" w:space="600"/>
            <w:col w:w="480"/>
          </w:cols>
          <w:pgMar w:left="1180" w:top="929" w:right="1280" w:bottom="1440" w:gutter="0" w:footer="0" w:header="0"/>
          <w:type w:val="continuous"/>
        </w:sectPr>
      </w:pPr>
    </w:p>
    <w:p>
      <w:pPr>
        <w:jc w:val="both"/>
        <w:ind w:right="200"/>
        <w:spacing w:after="0" w:line="318" w:lineRule="auto"/>
        <w:rPr>
          <w:sz w:val="20"/>
          <w:szCs w:val="20"/>
          <w:color w:val="auto"/>
        </w:rPr>
      </w:pPr>
      <w:r>
        <w:rPr>
          <w:rFonts w:ascii="Times New Roman" w:cs="Times New Roman" w:eastAsia="Times New Roman" w:hAnsi="Times New Roman"/>
          <w:sz w:val="15"/>
          <w:szCs w:val="15"/>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PMingLiU" w:cs="PMingLiU" w:eastAsia="PMingLiU" w:hAnsi="PMingLiU"/>
          <w:sz w:val="16"/>
          <w:szCs w:val="16"/>
          <w:color w:val="auto"/>
        </w:rPr>
        <w:t></w:t>
      </w:r>
    </w:p>
    <w:p>
      <w:pPr>
        <w:spacing w:after="0" w:line="77" w:lineRule="exact"/>
        <w:rPr>
          <w:sz w:val="20"/>
          <w:szCs w:val="20"/>
          <w:color w:val="auto"/>
        </w:rPr>
      </w:pPr>
    </w:p>
    <w:p>
      <w:pPr>
        <w:sectPr>
          <w:pgSz w:w="12240" w:h="15840" w:orient="portrait"/>
          <w:cols w:equalWidth="0" w:num="2">
            <w:col w:w="8580" w:space="720"/>
            <w:col w:w="480"/>
          </w:cols>
          <w:pgMar w:left="1180" w:top="929" w:right="128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PMingLiU" w:cs="PMingLiU" w:eastAsia="PMingLiU" w:hAnsi="PMingLiU"/>
          <w:sz w:val="16"/>
          <w:szCs w:val="16"/>
          <w:color w:val="auto"/>
        </w:rPr>
        <w:t></w:t>
      </w:r>
      <w:r>
        <w:rPr>
          <w:rFonts w:ascii="Times New Roman" w:cs="Times New Roman" w:eastAsia="Times New Roman" w:hAnsi="Times New Roman"/>
          <w:sz w:val="16"/>
          <w:szCs w:val="16"/>
          <w:color w:val="auto"/>
        </w:rPr>
        <w:t xml:space="preserve"> No </w:t>
      </w:r>
      <w:r>
        <w:rPr>
          <w:rFonts w:ascii="PMingLiU" w:cs="PMingLiU" w:eastAsia="PMingLiU" w:hAnsi="PMingLiU"/>
          <w:sz w:val="16"/>
          <w:szCs w:val="16"/>
          <w:color w:val="auto"/>
        </w:rPr>
        <w:t>_</w:t>
      </w:r>
    </w:p>
    <w:p>
      <w:pPr>
        <w:sectPr>
          <w:pgSz w:w="12240" w:h="15840" w:orient="portrait"/>
          <w:cols w:equalWidth="0" w:num="1">
            <w:col w:w="9780"/>
          </w:cols>
          <w:pgMar w:left="1180" w:top="929" w:right="1280" w:bottom="1440" w:gutter="0" w:footer="0" w:header="0"/>
          <w:type w:val="continuous"/>
        </w:sectPr>
      </w:pPr>
    </w:p>
    <w:p>
      <w:pPr>
        <w:spacing w:after="0" w:line="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stock held by non-affiliates of the registrant based on the last reported sale of the common stock on June 30, 2025, on the Nasdaq Global Market, was $4,729,021,877 based on the closing price of the registrant’s common stock on such date of $213.08 per share.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Registrant’s Common Stock outstanding as of February 5, 2026 was 26,299,915.</w:t>
      </w:r>
    </w:p>
    <w:p>
      <w:pPr>
        <w:spacing w:after="0" w:line="3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64"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6"/>
          <w:szCs w:val="16"/>
          <w:color w:val="auto"/>
        </w:rPr>
        <w:t>Part III incorporates by reference certain information from the registrant’s definitive proxy statement for the 2026 Annual Meeting of Stockholders to be filed no later than 120 days after the conclusion of the registrant’s fiscal 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-15240</wp:posOffset>
                </wp:positionH>
                <wp:positionV relativeFrom="paragraph">
                  <wp:posOffset>211455</wp:posOffset>
                </wp:positionV>
                <wp:extent cx="629602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9602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16.65pt" to="494.55pt,16.65pt" o:allowincell="f" strokecolor="#000000" strokeweight="0.96pt"/>
            </w:pict>
          </mc:Fallback>
        </mc:AlternateContent>
        <mc:AlternateContent>
          <mc:Choice Requires="wps">
            <w:drawing>
              <wp:anchor simplePos="0" relativeHeight="251657728" behindDoc="1" locked="0" layoutInCell="0" allowOverlap="1">
                <wp:simplePos x="0" y="0"/>
                <wp:positionH relativeFrom="column">
                  <wp:posOffset>-15240</wp:posOffset>
                </wp:positionH>
                <wp:positionV relativeFrom="paragraph">
                  <wp:posOffset>187325</wp:posOffset>
                </wp:positionV>
                <wp:extent cx="629602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9602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999pt,14.75pt" to="494.55pt,14.75pt" o:allowincell="f" strokecolor="#000000" strokeweight="0.9599pt"/>
            </w:pict>
          </mc:Fallback>
        </mc:AlternateContent>
      </w:r>
    </w:p>
    <w:p>
      <w:pPr>
        <w:sectPr>
          <w:pgSz w:w="12240" w:h="15840" w:orient="portrait"/>
          <w:cols w:equalWidth="0" w:num="1">
            <w:col w:w="9780"/>
          </w:cols>
          <w:pgMar w:left="1180" w:top="929" w:right="128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65"/>
        </w:trPr>
        <w:tc>
          <w:tcPr>
            <w:tcW w:w="1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580" w:type="dxa"/>
            <w:vAlign w:val="bottom"/>
            <w:gridSpan w:val="12"/>
          </w:tcPr>
          <w:p>
            <w:pPr>
              <w:ind w:left="6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2"/>
        </w:trPr>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38"/>
        </w:trPr>
        <w:tc>
          <w:tcPr>
            <w:tcW w:w="1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200" w:type="dxa"/>
            <w:vAlign w:val="bottom"/>
            <w:vMerge w:val="continue"/>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1.</w:t>
            </w:r>
          </w:p>
        </w:tc>
        <w:tc>
          <w:tcPr>
            <w:tcW w:w="720" w:type="dxa"/>
            <w:vAlign w:val="bottom"/>
            <w:tcBorders>
              <w:bottom w:val="single" w:sz="8" w:color="282828"/>
            </w:tcBorders>
            <w:gridSpan w:val="2"/>
          </w:tcPr>
          <w:p>
            <w:pPr>
              <w:spacing w:after="0"/>
              <w:rPr>
                <w:sz w:val="20"/>
                <w:szCs w:val="20"/>
                <w:color w:val="auto"/>
              </w:rPr>
            </w:pPr>
            <w:r>
              <w:rPr>
                <w:rFonts w:ascii="Times New Roman" w:cs="Times New Roman" w:eastAsia="Times New Roman" w:hAnsi="Times New Roman"/>
                <w:sz w:val="20"/>
                <w:szCs w:val="20"/>
                <w:color w:val="282828"/>
                <w:w w:val="98"/>
              </w:rPr>
              <w:t>Business</w:t>
            </w:r>
          </w:p>
        </w:tc>
        <w:tc>
          <w:tcPr>
            <w:tcW w:w="7140" w:type="dxa"/>
            <w:vAlign w:val="bottom"/>
            <w:gridSpan w:val="23"/>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rPr>
                <w:sz w:val="1"/>
                <w:szCs w:val="1"/>
                <w:color w:val="auto"/>
              </w:rPr>
            </w:pPr>
          </w:p>
        </w:tc>
      </w:tr>
      <w:tr>
        <w:trPr>
          <w:trHeight w:val="305"/>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1A.</w:t>
            </w:r>
          </w:p>
        </w:tc>
        <w:tc>
          <w:tcPr>
            <w:tcW w:w="786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Risk Factors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282828"/>
          </w:tcPr>
          <w:p>
            <w:pPr>
              <w:spacing w:after="0" w:line="20" w:lineRule="exact"/>
              <w:rPr>
                <w:sz w:val="1"/>
                <w:szCs w:val="1"/>
                <w:color w:val="auto"/>
              </w:rPr>
            </w:pPr>
          </w:p>
        </w:tc>
        <w:tc>
          <w:tcPr>
            <w:tcW w:w="200" w:type="dxa"/>
            <w:vAlign w:val="bottom"/>
            <w:gridSpan w:val="2"/>
            <w:shd w:val="clear" w:color="auto" w:fill="282828"/>
          </w:tcPr>
          <w:p>
            <w:pPr>
              <w:spacing w:after="0" w:line="20" w:lineRule="exact"/>
              <w:rPr>
                <w:sz w:val="1"/>
                <w:szCs w:val="1"/>
                <w:color w:val="auto"/>
              </w:rPr>
            </w:pPr>
          </w:p>
        </w:tc>
        <w:tc>
          <w:tcPr>
            <w:tcW w:w="60" w:type="dxa"/>
            <w:vAlign w:val="bottom"/>
            <w:shd w:val="clear" w:color="auto" w:fill="282828"/>
          </w:tcPr>
          <w:p>
            <w:pPr>
              <w:spacing w:after="0" w:line="20" w:lineRule="exact"/>
              <w:rPr>
                <w:sz w:val="1"/>
                <w:szCs w:val="1"/>
                <w:color w:val="auto"/>
              </w:rPr>
            </w:pPr>
          </w:p>
        </w:tc>
        <w:tc>
          <w:tcPr>
            <w:tcW w:w="120" w:type="dxa"/>
            <w:vAlign w:val="bottom"/>
            <w:shd w:val="clear" w:color="auto" w:fill="28282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1B.</w:t>
            </w:r>
          </w:p>
        </w:tc>
        <w:tc>
          <w:tcPr>
            <w:tcW w:w="2280" w:type="dxa"/>
            <w:vAlign w:val="bottom"/>
            <w:tcBorders>
              <w:bottom w:val="single" w:sz="8" w:color="282828"/>
            </w:tcBorders>
            <w:gridSpan w:val="13"/>
          </w:tcPr>
          <w:p>
            <w:pPr>
              <w:spacing w:after="0"/>
              <w:rPr>
                <w:sz w:val="20"/>
                <w:szCs w:val="20"/>
                <w:color w:val="auto"/>
              </w:rPr>
            </w:pPr>
            <w:r>
              <w:rPr>
                <w:rFonts w:ascii="Times New Roman" w:cs="Times New Roman" w:eastAsia="Times New Roman" w:hAnsi="Times New Roman"/>
                <w:sz w:val="20"/>
                <w:szCs w:val="20"/>
                <w:color w:val="282828"/>
                <w:w w:val="99"/>
              </w:rPr>
              <w:t>Unresolved Staff Comments</w:t>
            </w:r>
          </w:p>
        </w:tc>
        <w:tc>
          <w:tcPr>
            <w:tcW w:w="5580" w:type="dxa"/>
            <w:vAlign w:val="bottom"/>
            <w:gridSpan w:val="12"/>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305"/>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1C</w:t>
            </w:r>
          </w:p>
        </w:tc>
        <w:tc>
          <w:tcPr>
            <w:tcW w:w="786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Cybersecurity</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305"/>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2.</w:t>
            </w:r>
          </w:p>
        </w:tc>
        <w:tc>
          <w:tcPr>
            <w:tcW w:w="820" w:type="dxa"/>
            <w:vAlign w:val="bottom"/>
            <w:tcBorders>
              <w:top w:val="single" w:sz="8" w:color="282828"/>
              <w:bottom w:val="single" w:sz="8" w:color="282828"/>
            </w:tcBorders>
            <w:gridSpan w:val="3"/>
          </w:tcPr>
          <w:p>
            <w:pPr>
              <w:spacing w:after="0"/>
              <w:rPr>
                <w:sz w:val="20"/>
                <w:szCs w:val="20"/>
                <w:color w:val="auto"/>
              </w:rPr>
            </w:pPr>
            <w:r>
              <w:rPr>
                <w:rFonts w:ascii="Times New Roman" w:cs="Times New Roman" w:eastAsia="Times New Roman" w:hAnsi="Times New Roman"/>
                <w:sz w:val="20"/>
                <w:szCs w:val="20"/>
                <w:color w:val="282828"/>
                <w:w w:val="98"/>
              </w:rPr>
              <w:t>Properties</w:t>
            </w:r>
          </w:p>
        </w:tc>
        <w:tc>
          <w:tcPr>
            <w:tcW w:w="300" w:type="dxa"/>
            <w:vAlign w:val="bottom"/>
            <w:tcBorders>
              <w:top w:val="single" w:sz="8" w:color="282828"/>
            </w:tcBorders>
            <w:gridSpan w:val="3"/>
          </w:tcPr>
          <w:p>
            <w:pPr>
              <w:spacing w:after="0"/>
              <w:rPr>
                <w:sz w:val="24"/>
                <w:szCs w:val="24"/>
                <w:color w:val="auto"/>
              </w:rPr>
            </w:pPr>
          </w:p>
        </w:tc>
        <w:tc>
          <w:tcPr>
            <w:tcW w:w="6740" w:type="dxa"/>
            <w:vAlign w:val="bottom"/>
            <w:gridSpan w:val="19"/>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305"/>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3.</w:t>
            </w:r>
          </w:p>
        </w:tc>
        <w:tc>
          <w:tcPr>
            <w:tcW w:w="786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Legal Proceedings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282828"/>
          </w:tcPr>
          <w:p>
            <w:pPr>
              <w:spacing w:after="0" w:line="20" w:lineRule="exact"/>
              <w:rPr>
                <w:sz w:val="1"/>
                <w:szCs w:val="1"/>
                <w:color w:val="auto"/>
              </w:rPr>
            </w:pPr>
          </w:p>
        </w:tc>
        <w:tc>
          <w:tcPr>
            <w:tcW w:w="260" w:type="dxa"/>
            <w:vAlign w:val="bottom"/>
            <w:gridSpan w:val="3"/>
            <w:shd w:val="clear" w:color="auto" w:fill="282828"/>
          </w:tcPr>
          <w:p>
            <w:pPr>
              <w:spacing w:after="0" w:line="20" w:lineRule="exact"/>
              <w:rPr>
                <w:sz w:val="1"/>
                <w:szCs w:val="1"/>
                <w:color w:val="auto"/>
              </w:rPr>
            </w:pPr>
          </w:p>
        </w:tc>
        <w:tc>
          <w:tcPr>
            <w:tcW w:w="500" w:type="dxa"/>
            <w:vAlign w:val="bottom"/>
            <w:gridSpan w:val="3"/>
            <w:shd w:val="clear" w:color="auto" w:fill="282828"/>
          </w:tcPr>
          <w:p>
            <w:pPr>
              <w:spacing w:after="0" w:line="20" w:lineRule="exact"/>
              <w:rPr>
                <w:sz w:val="1"/>
                <w:szCs w:val="1"/>
                <w:color w:val="auto"/>
              </w:rPr>
            </w:pPr>
          </w:p>
        </w:tc>
        <w:tc>
          <w:tcPr>
            <w:tcW w:w="80" w:type="dxa"/>
            <w:vAlign w:val="bottom"/>
            <w:shd w:val="clear" w:color="auto" w:fill="282828"/>
          </w:tcPr>
          <w:p>
            <w:pPr>
              <w:spacing w:after="0" w:line="20" w:lineRule="exact"/>
              <w:rPr>
                <w:sz w:val="1"/>
                <w:szCs w:val="1"/>
                <w:color w:val="auto"/>
              </w:rPr>
            </w:pPr>
          </w:p>
        </w:tc>
        <w:tc>
          <w:tcPr>
            <w:tcW w:w="260" w:type="dxa"/>
            <w:vAlign w:val="bottom"/>
            <w:tcBorders>
              <w:left w:val="single" w:sz="8" w:color="282828"/>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4.</w:t>
            </w:r>
          </w:p>
        </w:tc>
        <w:tc>
          <w:tcPr>
            <w:tcW w:w="786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Mine Safety Disclosures</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0" w:type="dxa"/>
            <w:vAlign w:val="bottom"/>
          </w:tcPr>
          <w:p>
            <w:pPr>
              <w:spacing w:after="0"/>
              <w:rPr>
                <w:sz w:val="1"/>
                <w:szCs w:val="1"/>
                <w:color w:val="auto"/>
              </w:rPr>
            </w:pPr>
          </w:p>
        </w:tc>
      </w:tr>
      <w:tr>
        <w:trPr>
          <w:trHeight w:val="584"/>
        </w:trPr>
        <w:tc>
          <w:tcPr>
            <w:tcW w:w="1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620" w:type="dxa"/>
            <w:vAlign w:val="bottom"/>
            <w:tcBorders>
              <w:top w:val="single" w:sz="8" w:color="282828"/>
            </w:tcBorders>
          </w:tcPr>
          <w:p>
            <w:pPr>
              <w:spacing w:after="0"/>
              <w:rPr>
                <w:sz w:val="24"/>
                <w:szCs w:val="24"/>
                <w:color w:val="auto"/>
              </w:rPr>
            </w:pPr>
          </w:p>
        </w:tc>
        <w:tc>
          <w:tcPr>
            <w:tcW w:w="100" w:type="dxa"/>
            <w:vAlign w:val="bottom"/>
            <w:tcBorders>
              <w:top w:val="single" w:sz="8" w:color="282828"/>
            </w:tcBorders>
          </w:tcPr>
          <w:p>
            <w:pPr>
              <w:spacing w:after="0"/>
              <w:rPr>
                <w:sz w:val="24"/>
                <w:szCs w:val="24"/>
                <w:color w:val="auto"/>
              </w:rPr>
            </w:pPr>
          </w:p>
        </w:tc>
        <w:tc>
          <w:tcPr>
            <w:tcW w:w="100" w:type="dxa"/>
            <w:vAlign w:val="bottom"/>
            <w:tcBorders>
              <w:top w:val="single" w:sz="8" w:color="282828"/>
            </w:tcBorders>
          </w:tcPr>
          <w:p>
            <w:pPr>
              <w:spacing w:after="0"/>
              <w:rPr>
                <w:sz w:val="24"/>
                <w:szCs w:val="24"/>
                <w:color w:val="auto"/>
              </w:rPr>
            </w:pPr>
          </w:p>
        </w:tc>
        <w:tc>
          <w:tcPr>
            <w:tcW w:w="60" w:type="dxa"/>
            <w:vAlign w:val="bottom"/>
            <w:tcBorders>
              <w:top w:val="single" w:sz="8" w:color="282828"/>
            </w:tcBorders>
          </w:tcPr>
          <w:p>
            <w:pPr>
              <w:spacing w:after="0"/>
              <w:rPr>
                <w:sz w:val="24"/>
                <w:szCs w:val="24"/>
                <w:color w:val="auto"/>
              </w:rPr>
            </w:pPr>
          </w:p>
        </w:tc>
        <w:tc>
          <w:tcPr>
            <w:tcW w:w="120" w:type="dxa"/>
            <w:vAlign w:val="bottom"/>
            <w:tcBorders>
              <w:top w:val="single" w:sz="8" w:color="282828"/>
            </w:tcBorders>
          </w:tcPr>
          <w:p>
            <w:pPr>
              <w:spacing w:after="0"/>
              <w:rPr>
                <w:sz w:val="24"/>
                <w:szCs w:val="24"/>
                <w:color w:val="auto"/>
              </w:rPr>
            </w:pPr>
          </w:p>
        </w:tc>
        <w:tc>
          <w:tcPr>
            <w:tcW w:w="120" w:type="dxa"/>
            <w:vAlign w:val="bottom"/>
            <w:tcBorders>
              <w:top w:val="single" w:sz="8" w:color="282828"/>
            </w:tcBorders>
          </w:tcPr>
          <w:p>
            <w:pPr>
              <w:spacing w:after="0"/>
              <w:rPr>
                <w:sz w:val="24"/>
                <w:szCs w:val="24"/>
                <w:color w:val="auto"/>
              </w:rPr>
            </w:pPr>
          </w:p>
        </w:tc>
        <w:tc>
          <w:tcPr>
            <w:tcW w:w="260" w:type="dxa"/>
            <w:vAlign w:val="bottom"/>
            <w:tcBorders>
              <w:top w:val="single" w:sz="8" w:color="282828"/>
            </w:tcBorders>
          </w:tcPr>
          <w:p>
            <w:pPr>
              <w:spacing w:after="0"/>
              <w:rPr>
                <w:sz w:val="24"/>
                <w:szCs w:val="24"/>
                <w:color w:val="auto"/>
              </w:rPr>
            </w:pPr>
          </w:p>
        </w:tc>
        <w:tc>
          <w:tcPr>
            <w:tcW w:w="80" w:type="dxa"/>
            <w:vAlign w:val="bottom"/>
            <w:tcBorders>
              <w:top w:val="single" w:sz="8" w:color="282828"/>
            </w:tcBorders>
          </w:tcPr>
          <w:p>
            <w:pPr>
              <w:spacing w:after="0"/>
              <w:rPr>
                <w:sz w:val="24"/>
                <w:szCs w:val="24"/>
                <w:color w:val="auto"/>
              </w:rPr>
            </w:pPr>
          </w:p>
        </w:tc>
        <w:tc>
          <w:tcPr>
            <w:tcW w:w="260" w:type="dxa"/>
            <w:vAlign w:val="bottom"/>
            <w:tcBorders>
              <w:top w:val="single" w:sz="8" w:color="282828"/>
            </w:tcBorders>
          </w:tcPr>
          <w:p>
            <w:pPr>
              <w:spacing w:after="0"/>
              <w:rPr>
                <w:sz w:val="24"/>
                <w:szCs w:val="24"/>
                <w:color w:val="auto"/>
              </w:rPr>
            </w:pPr>
          </w:p>
        </w:tc>
        <w:tc>
          <w:tcPr>
            <w:tcW w:w="240" w:type="dxa"/>
            <w:vAlign w:val="bottom"/>
            <w:tcBorders>
              <w:top w:val="single" w:sz="8" w:color="282828"/>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5.</w:t>
            </w:r>
          </w:p>
        </w:tc>
        <w:tc>
          <w:tcPr>
            <w:tcW w:w="7560" w:type="dxa"/>
            <w:vAlign w:val="bottom"/>
            <w:tcBorders>
              <w:bottom w:val="single" w:sz="8" w:color="282828"/>
            </w:tcBorders>
            <w:gridSpan w:val="24"/>
          </w:tcPr>
          <w:p>
            <w:pPr>
              <w:spacing w:after="0"/>
              <w:rPr>
                <w:sz w:val="20"/>
                <w:szCs w:val="20"/>
                <w:color w:val="auto"/>
              </w:rPr>
            </w:pPr>
            <w:r>
              <w:rPr>
                <w:rFonts w:ascii="Times New Roman" w:cs="Times New Roman" w:eastAsia="Times New Roman" w:hAnsi="Times New Roman"/>
                <w:sz w:val="20"/>
                <w:szCs w:val="20"/>
                <w:color w:val="282828"/>
                <w:w w:val="99"/>
              </w:rPr>
              <w:t>Market for Registrant’s Common Equity, Related Stockholder Matters and Issuer Purchases of</w:t>
            </w:r>
          </w:p>
        </w:tc>
        <w:tc>
          <w:tcPr>
            <w:tcW w:w="30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21"/>
        </w:trPr>
        <w:tc>
          <w:tcPr>
            <w:tcW w:w="1200" w:type="dxa"/>
            <w:vAlign w:val="bottom"/>
          </w:tcPr>
          <w:p>
            <w:pPr>
              <w:spacing w:after="0"/>
              <w:rPr>
                <w:sz w:val="19"/>
                <w:szCs w:val="19"/>
                <w:color w:val="auto"/>
              </w:rPr>
            </w:pPr>
          </w:p>
        </w:tc>
        <w:tc>
          <w:tcPr>
            <w:tcW w:w="1380" w:type="dxa"/>
            <w:vAlign w:val="bottom"/>
            <w:tcBorders>
              <w:bottom w:val="single" w:sz="8" w:color="282828"/>
            </w:tcBorders>
            <w:gridSpan w:val="7"/>
          </w:tcPr>
          <w:p>
            <w:pPr>
              <w:spacing w:after="0" w:line="221" w:lineRule="exact"/>
              <w:rPr>
                <w:sz w:val="20"/>
                <w:szCs w:val="20"/>
                <w:color w:val="auto"/>
              </w:rPr>
            </w:pPr>
            <w:r>
              <w:rPr>
                <w:rFonts w:ascii="Times New Roman" w:cs="Times New Roman" w:eastAsia="Times New Roman" w:hAnsi="Times New Roman"/>
                <w:sz w:val="20"/>
                <w:szCs w:val="20"/>
                <w:color w:val="282828"/>
                <w:w w:val="99"/>
              </w:rPr>
              <w:t>Equity Securities</w:t>
            </w:r>
          </w:p>
        </w:tc>
        <w:tc>
          <w:tcPr>
            <w:tcW w:w="6480" w:type="dxa"/>
            <w:vAlign w:val="bottom"/>
            <w:gridSpan w:val="18"/>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6.</w:t>
            </w:r>
          </w:p>
        </w:tc>
        <w:tc>
          <w:tcPr>
            <w:tcW w:w="786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[Reserved]</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282828"/>
          </w:tcPr>
          <w:p>
            <w:pPr>
              <w:spacing w:after="0" w:line="20" w:lineRule="exact"/>
              <w:rPr>
                <w:sz w:val="1"/>
                <w:szCs w:val="1"/>
                <w:color w:val="auto"/>
              </w:rPr>
            </w:pPr>
          </w:p>
        </w:tc>
        <w:tc>
          <w:tcPr>
            <w:tcW w:w="260" w:type="dxa"/>
            <w:vAlign w:val="bottom"/>
            <w:gridSpan w:val="3"/>
            <w:shd w:val="clear" w:color="auto" w:fill="282828"/>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7.</w:t>
            </w:r>
          </w:p>
        </w:tc>
        <w:tc>
          <w:tcPr>
            <w:tcW w:w="7180" w:type="dxa"/>
            <w:vAlign w:val="bottom"/>
            <w:tcBorders>
              <w:bottom w:val="single" w:sz="8" w:color="282828"/>
            </w:tcBorders>
            <w:gridSpan w:val="21"/>
          </w:tcPr>
          <w:p>
            <w:pPr>
              <w:spacing w:after="0"/>
              <w:rPr>
                <w:sz w:val="20"/>
                <w:szCs w:val="20"/>
                <w:color w:val="auto"/>
              </w:rPr>
            </w:pPr>
            <w:r>
              <w:rPr>
                <w:rFonts w:ascii="Times New Roman" w:cs="Times New Roman" w:eastAsia="Times New Roman" w:hAnsi="Times New Roman"/>
                <w:sz w:val="20"/>
                <w:szCs w:val="20"/>
                <w:color w:val="282828"/>
                <w:w w:val="99"/>
              </w:rPr>
              <w:t>Management’s Discussion and Analysis of Financial Condition and Results of Operations</w:t>
            </w:r>
          </w:p>
        </w:tc>
        <w:tc>
          <w:tcPr>
            <w:tcW w:w="68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0" w:type="dxa"/>
            <w:vAlign w:val="bottom"/>
          </w:tcPr>
          <w:p>
            <w:pPr>
              <w:spacing w:after="0"/>
              <w:rPr>
                <w:sz w:val="1"/>
                <w:szCs w:val="1"/>
                <w:color w:val="auto"/>
              </w:rPr>
            </w:pPr>
          </w:p>
        </w:tc>
      </w:tr>
      <w:tr>
        <w:trPr>
          <w:trHeight w:val="305"/>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7A.</w:t>
            </w:r>
          </w:p>
        </w:tc>
        <w:tc>
          <w:tcPr>
            <w:tcW w:w="4840" w:type="dxa"/>
            <w:vAlign w:val="bottom"/>
            <w:tcBorders>
              <w:bottom w:val="single" w:sz="8" w:color="282828"/>
            </w:tcBorders>
            <w:gridSpan w:val="18"/>
          </w:tcPr>
          <w:p>
            <w:pPr>
              <w:spacing w:after="0"/>
              <w:rPr>
                <w:sz w:val="20"/>
                <w:szCs w:val="20"/>
                <w:color w:val="auto"/>
              </w:rPr>
            </w:pPr>
            <w:r>
              <w:rPr>
                <w:rFonts w:ascii="Times New Roman" w:cs="Times New Roman" w:eastAsia="Times New Roman" w:hAnsi="Times New Roman"/>
                <w:sz w:val="20"/>
                <w:szCs w:val="20"/>
                <w:color w:val="282828"/>
                <w:w w:val="99"/>
              </w:rPr>
              <w:t>Quantitative and Qualitative Disclosures About Market Risk</w:t>
            </w:r>
          </w:p>
        </w:tc>
        <w:tc>
          <w:tcPr>
            <w:tcW w:w="3020" w:type="dxa"/>
            <w:vAlign w:val="bottom"/>
            <w:gridSpan w:val="7"/>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0" w:type="dxa"/>
            <w:vAlign w:val="bottom"/>
          </w:tcPr>
          <w:p>
            <w:pPr>
              <w:spacing w:after="0"/>
              <w:rPr>
                <w:sz w:val="1"/>
                <w:szCs w:val="1"/>
                <w:color w:val="auto"/>
              </w:rPr>
            </w:pPr>
          </w:p>
        </w:tc>
      </w:tr>
      <w:tr>
        <w:trPr>
          <w:trHeight w:val="305"/>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8.</w:t>
            </w:r>
          </w:p>
        </w:tc>
        <w:tc>
          <w:tcPr>
            <w:tcW w:w="786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Financial Statements and Supplementary Data</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282828"/>
          </w:tcPr>
          <w:p>
            <w:pPr>
              <w:spacing w:after="0" w:line="20" w:lineRule="exact"/>
              <w:rPr>
                <w:sz w:val="1"/>
                <w:szCs w:val="1"/>
                <w:color w:val="auto"/>
              </w:rPr>
            </w:pPr>
          </w:p>
        </w:tc>
        <w:tc>
          <w:tcPr>
            <w:tcW w:w="840" w:type="dxa"/>
            <w:vAlign w:val="bottom"/>
            <w:gridSpan w:val="7"/>
            <w:shd w:val="clear" w:color="auto" w:fill="282828"/>
          </w:tcPr>
          <w:p>
            <w:pPr>
              <w:spacing w:after="0" w:line="20" w:lineRule="exact"/>
              <w:rPr>
                <w:sz w:val="1"/>
                <w:szCs w:val="1"/>
                <w:color w:val="auto"/>
              </w:rPr>
            </w:pPr>
          </w:p>
        </w:tc>
        <w:tc>
          <w:tcPr>
            <w:tcW w:w="260" w:type="dxa"/>
            <w:vAlign w:val="bottom"/>
            <w:tcBorders>
              <w:left w:val="single" w:sz="8" w:color="282828"/>
            </w:tcBorders>
            <w:shd w:val="clear" w:color="auto" w:fill="282828"/>
          </w:tcPr>
          <w:p>
            <w:pPr>
              <w:spacing w:after="0" w:line="20" w:lineRule="exact"/>
              <w:rPr>
                <w:sz w:val="1"/>
                <w:szCs w:val="1"/>
                <w:color w:val="auto"/>
              </w:rPr>
            </w:pPr>
          </w:p>
        </w:tc>
        <w:tc>
          <w:tcPr>
            <w:tcW w:w="260" w:type="dxa"/>
            <w:vAlign w:val="bottom"/>
            <w:gridSpan w:val="2"/>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1180" w:type="dxa"/>
            <w:vAlign w:val="bottom"/>
            <w:gridSpan w:val="2"/>
            <w:shd w:val="clear" w:color="auto" w:fill="282828"/>
          </w:tcPr>
          <w:p>
            <w:pPr>
              <w:spacing w:after="0" w:line="20" w:lineRule="exact"/>
              <w:rPr>
                <w:sz w:val="1"/>
                <w:szCs w:val="1"/>
                <w:color w:val="auto"/>
              </w:rPr>
            </w:pPr>
          </w:p>
        </w:tc>
        <w:tc>
          <w:tcPr>
            <w:tcW w:w="340" w:type="dxa"/>
            <w:vAlign w:val="bottom"/>
            <w:shd w:val="clear" w:color="auto" w:fill="282828"/>
          </w:tcPr>
          <w:p>
            <w:pPr>
              <w:spacing w:after="0" w:line="20" w:lineRule="exact"/>
              <w:rPr>
                <w:sz w:val="1"/>
                <w:szCs w:val="1"/>
                <w:color w:val="auto"/>
              </w:rPr>
            </w:pPr>
          </w:p>
        </w:tc>
        <w:tc>
          <w:tcPr>
            <w:tcW w:w="180" w:type="dxa"/>
            <w:vAlign w:val="bottom"/>
            <w:shd w:val="clear" w:color="auto" w:fill="28282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9.</w:t>
            </w:r>
          </w:p>
        </w:tc>
        <w:tc>
          <w:tcPr>
            <w:tcW w:w="7220" w:type="dxa"/>
            <w:vAlign w:val="bottom"/>
            <w:tcBorders>
              <w:bottom w:val="single" w:sz="8" w:color="282828"/>
            </w:tcBorders>
            <w:gridSpan w:val="22"/>
          </w:tcPr>
          <w:p>
            <w:pPr>
              <w:spacing w:after="0"/>
              <w:rPr>
                <w:sz w:val="20"/>
                <w:szCs w:val="20"/>
                <w:color w:val="auto"/>
              </w:rPr>
            </w:pPr>
            <w:r>
              <w:rPr>
                <w:rFonts w:ascii="Times New Roman" w:cs="Times New Roman" w:eastAsia="Times New Roman" w:hAnsi="Times New Roman"/>
                <w:sz w:val="20"/>
                <w:szCs w:val="20"/>
                <w:color w:val="282828"/>
                <w:w w:val="99"/>
              </w:rPr>
              <w:t>Changes in and Disagreements With Accountants on Accounting and Financial Disclosure</w:t>
            </w:r>
          </w:p>
        </w:tc>
        <w:tc>
          <w:tcPr>
            <w:tcW w:w="640" w:type="dxa"/>
            <w:vAlign w:val="bottom"/>
            <w:gridSpan w:val="3"/>
          </w:tcPr>
          <w:p>
            <w:pPr>
              <w:spacing w:after="0"/>
              <w:rPr>
                <w:sz w:val="24"/>
                <w:szCs w:val="24"/>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4"/>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9A.</w:t>
            </w:r>
          </w:p>
        </w:tc>
        <w:tc>
          <w:tcPr>
            <w:tcW w:w="1980" w:type="dxa"/>
            <w:vAlign w:val="bottom"/>
            <w:tcBorders>
              <w:bottom w:val="single" w:sz="8" w:color="282828"/>
            </w:tcBorders>
            <w:gridSpan w:val="11"/>
          </w:tcPr>
          <w:p>
            <w:pPr>
              <w:spacing w:after="0"/>
              <w:rPr>
                <w:sz w:val="20"/>
                <w:szCs w:val="20"/>
                <w:color w:val="auto"/>
              </w:rPr>
            </w:pPr>
            <w:r>
              <w:rPr>
                <w:rFonts w:ascii="Times New Roman" w:cs="Times New Roman" w:eastAsia="Times New Roman" w:hAnsi="Times New Roman"/>
                <w:sz w:val="20"/>
                <w:szCs w:val="20"/>
                <w:color w:val="282828"/>
                <w:w w:val="99"/>
              </w:rPr>
              <w:t>Controls and Procedures</w:t>
            </w:r>
          </w:p>
        </w:tc>
        <w:tc>
          <w:tcPr>
            <w:tcW w:w="5880" w:type="dxa"/>
            <w:vAlign w:val="bottom"/>
            <w:gridSpan w:val="14"/>
          </w:tcPr>
          <w:p>
            <w:pPr>
              <w:spacing w:after="0"/>
              <w:rPr>
                <w:sz w:val="24"/>
                <w:szCs w:val="24"/>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5"/>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9B.</w:t>
            </w:r>
          </w:p>
        </w:tc>
        <w:tc>
          <w:tcPr>
            <w:tcW w:w="786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Other Information</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282828"/>
          </w:tcPr>
          <w:p>
            <w:pPr>
              <w:spacing w:after="0" w:line="20" w:lineRule="exact"/>
              <w:rPr>
                <w:sz w:val="1"/>
                <w:szCs w:val="1"/>
                <w:color w:val="auto"/>
              </w:rPr>
            </w:pPr>
          </w:p>
        </w:tc>
        <w:tc>
          <w:tcPr>
            <w:tcW w:w="840" w:type="dxa"/>
            <w:vAlign w:val="bottom"/>
            <w:gridSpan w:val="7"/>
            <w:shd w:val="clear" w:color="auto" w:fill="28282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9C.</w:t>
            </w:r>
          </w:p>
        </w:tc>
        <w:tc>
          <w:tcPr>
            <w:tcW w:w="786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Disclosure Regarding Foreign Jurisdictions that Prevent Inspections</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84"/>
        </w:trPr>
        <w:tc>
          <w:tcPr>
            <w:tcW w:w="1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620" w:type="dxa"/>
            <w:vAlign w:val="bottom"/>
            <w:tcBorders>
              <w:top w:val="single" w:sz="8" w:color="282828"/>
            </w:tcBorders>
          </w:tcPr>
          <w:p>
            <w:pPr>
              <w:spacing w:after="0"/>
              <w:rPr>
                <w:sz w:val="24"/>
                <w:szCs w:val="24"/>
                <w:color w:val="auto"/>
              </w:rPr>
            </w:pPr>
          </w:p>
        </w:tc>
        <w:tc>
          <w:tcPr>
            <w:tcW w:w="100" w:type="dxa"/>
            <w:vAlign w:val="bottom"/>
            <w:tcBorders>
              <w:top w:val="single" w:sz="8" w:color="282828"/>
            </w:tcBorders>
          </w:tcPr>
          <w:p>
            <w:pPr>
              <w:spacing w:after="0"/>
              <w:rPr>
                <w:sz w:val="24"/>
                <w:szCs w:val="24"/>
                <w:color w:val="auto"/>
              </w:rPr>
            </w:pPr>
          </w:p>
        </w:tc>
        <w:tc>
          <w:tcPr>
            <w:tcW w:w="100" w:type="dxa"/>
            <w:vAlign w:val="bottom"/>
            <w:tcBorders>
              <w:top w:val="single" w:sz="8" w:color="282828"/>
            </w:tcBorders>
          </w:tcPr>
          <w:p>
            <w:pPr>
              <w:spacing w:after="0"/>
              <w:rPr>
                <w:sz w:val="24"/>
                <w:szCs w:val="24"/>
                <w:color w:val="auto"/>
              </w:rPr>
            </w:pPr>
          </w:p>
        </w:tc>
        <w:tc>
          <w:tcPr>
            <w:tcW w:w="60" w:type="dxa"/>
            <w:vAlign w:val="bottom"/>
            <w:tcBorders>
              <w:top w:val="single" w:sz="8" w:color="282828"/>
            </w:tcBorders>
          </w:tcPr>
          <w:p>
            <w:pPr>
              <w:spacing w:after="0"/>
              <w:rPr>
                <w:sz w:val="24"/>
                <w:szCs w:val="24"/>
                <w:color w:val="auto"/>
              </w:rPr>
            </w:pPr>
          </w:p>
        </w:tc>
        <w:tc>
          <w:tcPr>
            <w:tcW w:w="120" w:type="dxa"/>
            <w:vAlign w:val="bottom"/>
            <w:tcBorders>
              <w:top w:val="single" w:sz="8" w:color="282828"/>
            </w:tcBorders>
          </w:tcPr>
          <w:p>
            <w:pPr>
              <w:spacing w:after="0"/>
              <w:rPr>
                <w:sz w:val="24"/>
                <w:szCs w:val="24"/>
                <w:color w:val="auto"/>
              </w:rPr>
            </w:pPr>
          </w:p>
        </w:tc>
        <w:tc>
          <w:tcPr>
            <w:tcW w:w="120" w:type="dxa"/>
            <w:vAlign w:val="bottom"/>
            <w:tcBorders>
              <w:top w:val="single" w:sz="8" w:color="282828"/>
            </w:tcBorders>
          </w:tcPr>
          <w:p>
            <w:pPr>
              <w:spacing w:after="0"/>
              <w:rPr>
                <w:sz w:val="24"/>
                <w:szCs w:val="24"/>
                <w:color w:val="auto"/>
              </w:rPr>
            </w:pPr>
          </w:p>
        </w:tc>
        <w:tc>
          <w:tcPr>
            <w:tcW w:w="260" w:type="dxa"/>
            <w:vAlign w:val="bottom"/>
            <w:tcBorders>
              <w:top w:val="single" w:sz="8" w:color="282828"/>
            </w:tcBorders>
          </w:tcPr>
          <w:p>
            <w:pPr>
              <w:spacing w:after="0"/>
              <w:rPr>
                <w:sz w:val="24"/>
                <w:szCs w:val="24"/>
                <w:color w:val="auto"/>
              </w:rPr>
            </w:pPr>
          </w:p>
        </w:tc>
        <w:tc>
          <w:tcPr>
            <w:tcW w:w="80" w:type="dxa"/>
            <w:vAlign w:val="bottom"/>
            <w:tcBorders>
              <w:top w:val="single" w:sz="8" w:color="282828"/>
            </w:tcBorders>
          </w:tcPr>
          <w:p>
            <w:pPr>
              <w:spacing w:after="0"/>
              <w:rPr>
                <w:sz w:val="24"/>
                <w:szCs w:val="24"/>
                <w:color w:val="auto"/>
              </w:rPr>
            </w:pPr>
          </w:p>
        </w:tc>
        <w:tc>
          <w:tcPr>
            <w:tcW w:w="260" w:type="dxa"/>
            <w:vAlign w:val="bottom"/>
            <w:tcBorders>
              <w:top w:val="single" w:sz="8" w:color="282828"/>
            </w:tcBorders>
          </w:tcPr>
          <w:p>
            <w:pPr>
              <w:spacing w:after="0"/>
              <w:rPr>
                <w:sz w:val="24"/>
                <w:szCs w:val="24"/>
                <w:color w:val="auto"/>
              </w:rPr>
            </w:pPr>
          </w:p>
        </w:tc>
        <w:tc>
          <w:tcPr>
            <w:tcW w:w="240" w:type="dxa"/>
            <w:vAlign w:val="bottom"/>
            <w:tcBorders>
              <w:top w:val="single" w:sz="8" w:color="282828"/>
            </w:tcBorders>
          </w:tcPr>
          <w:p>
            <w:pPr>
              <w:spacing w:after="0"/>
              <w:rPr>
                <w:sz w:val="24"/>
                <w:szCs w:val="24"/>
                <w:color w:val="auto"/>
              </w:rPr>
            </w:pPr>
          </w:p>
        </w:tc>
        <w:tc>
          <w:tcPr>
            <w:tcW w:w="20" w:type="dxa"/>
            <w:vAlign w:val="bottom"/>
            <w:tcBorders>
              <w:top w:val="single" w:sz="8" w:color="282828"/>
            </w:tcBorders>
          </w:tcPr>
          <w:p>
            <w:pPr>
              <w:spacing w:after="0"/>
              <w:rPr>
                <w:sz w:val="24"/>
                <w:szCs w:val="24"/>
                <w:color w:val="auto"/>
              </w:rPr>
            </w:pPr>
          </w:p>
        </w:tc>
        <w:tc>
          <w:tcPr>
            <w:tcW w:w="20" w:type="dxa"/>
            <w:vAlign w:val="bottom"/>
            <w:tcBorders>
              <w:top w:val="single" w:sz="8" w:color="282828"/>
            </w:tcBorders>
          </w:tcPr>
          <w:p>
            <w:pPr>
              <w:spacing w:after="0"/>
              <w:rPr>
                <w:sz w:val="24"/>
                <w:szCs w:val="24"/>
                <w:color w:val="auto"/>
              </w:rPr>
            </w:pPr>
          </w:p>
        </w:tc>
        <w:tc>
          <w:tcPr>
            <w:tcW w:w="280" w:type="dxa"/>
            <w:vAlign w:val="bottom"/>
            <w:tcBorders>
              <w:top w:val="single" w:sz="8" w:color="282828"/>
            </w:tcBorders>
          </w:tcPr>
          <w:p>
            <w:pPr>
              <w:spacing w:after="0"/>
              <w:rPr>
                <w:sz w:val="24"/>
                <w:szCs w:val="24"/>
                <w:color w:val="auto"/>
              </w:rPr>
            </w:pPr>
          </w:p>
        </w:tc>
        <w:tc>
          <w:tcPr>
            <w:tcW w:w="900" w:type="dxa"/>
            <w:vAlign w:val="bottom"/>
            <w:tcBorders>
              <w:top w:val="single" w:sz="8" w:color="282828"/>
            </w:tcBorders>
          </w:tcPr>
          <w:p>
            <w:pPr>
              <w:spacing w:after="0"/>
              <w:rPr>
                <w:sz w:val="24"/>
                <w:szCs w:val="24"/>
                <w:color w:val="auto"/>
              </w:rPr>
            </w:pPr>
          </w:p>
        </w:tc>
        <w:tc>
          <w:tcPr>
            <w:tcW w:w="340" w:type="dxa"/>
            <w:vAlign w:val="bottom"/>
            <w:tcBorders>
              <w:top w:val="single" w:sz="8" w:color="282828"/>
            </w:tcBorders>
          </w:tcPr>
          <w:p>
            <w:pPr>
              <w:spacing w:after="0"/>
              <w:rPr>
                <w:sz w:val="24"/>
                <w:szCs w:val="24"/>
                <w:color w:val="auto"/>
              </w:rPr>
            </w:pPr>
          </w:p>
        </w:tc>
        <w:tc>
          <w:tcPr>
            <w:tcW w:w="180" w:type="dxa"/>
            <w:vAlign w:val="bottom"/>
            <w:tcBorders>
              <w:top w:val="single" w:sz="8" w:color="282828"/>
            </w:tcBorders>
          </w:tcPr>
          <w:p>
            <w:pPr>
              <w:spacing w:after="0"/>
              <w:rPr>
                <w:sz w:val="24"/>
                <w:szCs w:val="24"/>
                <w:color w:val="auto"/>
              </w:rPr>
            </w:pPr>
          </w:p>
        </w:tc>
        <w:tc>
          <w:tcPr>
            <w:tcW w:w="860" w:type="dxa"/>
            <w:vAlign w:val="bottom"/>
            <w:tcBorders>
              <w:top w:val="single" w:sz="8" w:color="282828"/>
            </w:tcBorders>
          </w:tcPr>
          <w:p>
            <w:pPr>
              <w:spacing w:after="0"/>
              <w:rPr>
                <w:sz w:val="24"/>
                <w:szCs w:val="24"/>
                <w:color w:val="auto"/>
              </w:rPr>
            </w:pPr>
          </w:p>
        </w:tc>
        <w:tc>
          <w:tcPr>
            <w:tcW w:w="280" w:type="dxa"/>
            <w:vAlign w:val="bottom"/>
            <w:tcBorders>
              <w:top w:val="single" w:sz="8" w:color="282828"/>
            </w:tcBorders>
          </w:tcPr>
          <w:p>
            <w:pPr>
              <w:spacing w:after="0"/>
              <w:rPr>
                <w:sz w:val="24"/>
                <w:szCs w:val="24"/>
                <w:color w:val="auto"/>
              </w:rPr>
            </w:pPr>
          </w:p>
        </w:tc>
        <w:tc>
          <w:tcPr>
            <w:tcW w:w="600" w:type="dxa"/>
            <w:vAlign w:val="bottom"/>
            <w:tcBorders>
              <w:top w:val="single" w:sz="8" w:color="282828"/>
            </w:tcBorders>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10.</w:t>
            </w:r>
          </w:p>
        </w:tc>
        <w:tc>
          <w:tcPr>
            <w:tcW w:w="4560" w:type="dxa"/>
            <w:vAlign w:val="bottom"/>
            <w:tcBorders>
              <w:bottom w:val="single" w:sz="8" w:color="282828"/>
            </w:tcBorders>
            <w:gridSpan w:val="17"/>
          </w:tcPr>
          <w:p>
            <w:pPr>
              <w:spacing w:after="0"/>
              <w:rPr>
                <w:sz w:val="20"/>
                <w:szCs w:val="20"/>
                <w:color w:val="auto"/>
              </w:rPr>
            </w:pPr>
            <w:r>
              <w:rPr>
                <w:rFonts w:ascii="Times New Roman" w:cs="Times New Roman" w:eastAsia="Times New Roman" w:hAnsi="Times New Roman"/>
                <w:sz w:val="20"/>
                <w:szCs w:val="20"/>
                <w:color w:val="282828"/>
                <w:w w:val="99"/>
              </w:rPr>
              <w:t>Directors, Executive Officers and Corporate Governance</w:t>
            </w:r>
          </w:p>
        </w:tc>
        <w:tc>
          <w:tcPr>
            <w:tcW w:w="3300" w:type="dxa"/>
            <w:vAlign w:val="bottom"/>
            <w:gridSpan w:val="8"/>
          </w:tcPr>
          <w:p>
            <w:pPr>
              <w:spacing w:after="0"/>
              <w:rPr>
                <w:sz w:val="24"/>
                <w:szCs w:val="24"/>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5"/>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11.</w:t>
            </w:r>
          </w:p>
        </w:tc>
        <w:tc>
          <w:tcPr>
            <w:tcW w:w="786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Executive Compensation</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282828"/>
          </w:tcPr>
          <w:p>
            <w:pPr>
              <w:spacing w:after="0" w:line="20" w:lineRule="exact"/>
              <w:rPr>
                <w:sz w:val="1"/>
                <w:szCs w:val="1"/>
                <w:color w:val="auto"/>
              </w:rPr>
            </w:pPr>
          </w:p>
        </w:tc>
        <w:tc>
          <w:tcPr>
            <w:tcW w:w="1100" w:type="dxa"/>
            <w:vAlign w:val="bottom"/>
            <w:gridSpan w:val="8"/>
            <w:shd w:val="clear" w:color="auto" w:fill="282828"/>
          </w:tcPr>
          <w:p>
            <w:pPr>
              <w:spacing w:after="0" w:line="20" w:lineRule="exact"/>
              <w:rPr>
                <w:sz w:val="1"/>
                <w:szCs w:val="1"/>
                <w:color w:val="auto"/>
              </w:rPr>
            </w:pPr>
          </w:p>
        </w:tc>
        <w:tc>
          <w:tcPr>
            <w:tcW w:w="280" w:type="dxa"/>
            <w:vAlign w:val="bottom"/>
            <w:gridSpan w:val="3"/>
            <w:shd w:val="clear" w:color="auto" w:fill="282828"/>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12.</w:t>
            </w:r>
          </w:p>
        </w:tc>
        <w:tc>
          <w:tcPr>
            <w:tcW w:w="786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Security Ownership of Certain Beneficial Owners and Management and Related Stockholder</w:t>
            </w:r>
          </w:p>
        </w:tc>
        <w:tc>
          <w:tcPr>
            <w:tcW w:w="800" w:type="dxa"/>
            <w:vAlign w:val="bottom"/>
            <w:vMerge w:val="restart"/>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21"/>
        </w:trPr>
        <w:tc>
          <w:tcPr>
            <w:tcW w:w="1200" w:type="dxa"/>
            <w:vAlign w:val="bottom"/>
          </w:tcPr>
          <w:p>
            <w:pPr>
              <w:spacing w:after="0"/>
              <w:rPr>
                <w:sz w:val="19"/>
                <w:szCs w:val="19"/>
                <w:color w:val="auto"/>
              </w:rPr>
            </w:pPr>
          </w:p>
        </w:tc>
        <w:tc>
          <w:tcPr>
            <w:tcW w:w="620" w:type="dxa"/>
            <w:vAlign w:val="bottom"/>
            <w:tcBorders>
              <w:top w:val="single" w:sz="8" w:color="282828"/>
              <w:bottom w:val="single" w:sz="8" w:color="282828"/>
            </w:tcBorders>
          </w:tcPr>
          <w:p>
            <w:pPr>
              <w:spacing w:after="0" w:line="221" w:lineRule="exact"/>
              <w:rPr>
                <w:sz w:val="20"/>
                <w:szCs w:val="20"/>
                <w:color w:val="auto"/>
              </w:rPr>
            </w:pPr>
            <w:r>
              <w:rPr>
                <w:rFonts w:ascii="Times New Roman" w:cs="Times New Roman" w:eastAsia="Times New Roman" w:hAnsi="Times New Roman"/>
                <w:sz w:val="20"/>
                <w:szCs w:val="20"/>
                <w:color w:val="282828"/>
                <w:w w:val="98"/>
              </w:rPr>
              <w:t>Matters</w:t>
            </w:r>
          </w:p>
        </w:tc>
        <w:tc>
          <w:tcPr>
            <w:tcW w:w="6820" w:type="dxa"/>
            <w:vAlign w:val="bottom"/>
            <w:tcBorders>
              <w:top w:val="single" w:sz="8" w:color="282828"/>
            </w:tcBorders>
            <w:gridSpan w:val="22"/>
          </w:tcPr>
          <w:p>
            <w:pPr>
              <w:spacing w:after="0"/>
              <w:rPr>
                <w:sz w:val="19"/>
                <w:szCs w:val="19"/>
                <w:color w:val="auto"/>
              </w:rPr>
            </w:pPr>
          </w:p>
        </w:tc>
        <w:tc>
          <w:tcPr>
            <w:tcW w:w="420" w:type="dxa"/>
            <w:vAlign w:val="bottom"/>
            <w:gridSpan w:val="2"/>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13.</w:t>
            </w:r>
          </w:p>
        </w:tc>
        <w:tc>
          <w:tcPr>
            <w:tcW w:w="6060" w:type="dxa"/>
            <w:vAlign w:val="bottom"/>
            <w:tcBorders>
              <w:bottom w:val="single" w:sz="8" w:color="282828"/>
            </w:tcBorders>
            <w:gridSpan w:val="20"/>
          </w:tcPr>
          <w:p>
            <w:pPr>
              <w:spacing w:after="0"/>
              <w:rPr>
                <w:sz w:val="20"/>
                <w:szCs w:val="20"/>
                <w:color w:val="auto"/>
              </w:rPr>
            </w:pPr>
            <w:r>
              <w:rPr>
                <w:rFonts w:ascii="Times New Roman" w:cs="Times New Roman" w:eastAsia="Times New Roman" w:hAnsi="Times New Roman"/>
                <w:sz w:val="20"/>
                <w:szCs w:val="20"/>
                <w:color w:val="282828"/>
                <w:w w:val="99"/>
              </w:rPr>
              <w:t>Certain Relationships and Related Transactions, and Director Independence</w:t>
            </w:r>
          </w:p>
        </w:tc>
        <w:tc>
          <w:tcPr>
            <w:tcW w:w="1800" w:type="dxa"/>
            <w:vAlign w:val="bottom"/>
            <w:gridSpan w:val="5"/>
          </w:tcPr>
          <w:p>
            <w:pPr>
              <w:spacing w:after="0"/>
              <w:rPr>
                <w:sz w:val="24"/>
                <w:szCs w:val="24"/>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5"/>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14.</w:t>
            </w:r>
          </w:p>
        </w:tc>
        <w:tc>
          <w:tcPr>
            <w:tcW w:w="786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Principal Accounting Fees and Services</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584"/>
        </w:trPr>
        <w:tc>
          <w:tcPr>
            <w:tcW w:w="1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620" w:type="dxa"/>
            <w:vAlign w:val="bottom"/>
            <w:tcBorders>
              <w:top w:val="single" w:sz="8" w:color="282828"/>
            </w:tcBorders>
          </w:tcPr>
          <w:p>
            <w:pPr>
              <w:spacing w:after="0"/>
              <w:rPr>
                <w:sz w:val="24"/>
                <w:szCs w:val="24"/>
                <w:color w:val="auto"/>
              </w:rPr>
            </w:pPr>
          </w:p>
        </w:tc>
        <w:tc>
          <w:tcPr>
            <w:tcW w:w="100" w:type="dxa"/>
            <w:vAlign w:val="bottom"/>
            <w:tcBorders>
              <w:top w:val="single" w:sz="8" w:color="282828"/>
            </w:tcBorders>
          </w:tcPr>
          <w:p>
            <w:pPr>
              <w:spacing w:after="0"/>
              <w:rPr>
                <w:sz w:val="24"/>
                <w:szCs w:val="24"/>
                <w:color w:val="auto"/>
              </w:rPr>
            </w:pPr>
          </w:p>
        </w:tc>
        <w:tc>
          <w:tcPr>
            <w:tcW w:w="100" w:type="dxa"/>
            <w:vAlign w:val="bottom"/>
            <w:tcBorders>
              <w:top w:val="single" w:sz="8" w:color="282828"/>
            </w:tcBorders>
          </w:tcPr>
          <w:p>
            <w:pPr>
              <w:spacing w:after="0"/>
              <w:rPr>
                <w:sz w:val="24"/>
                <w:szCs w:val="24"/>
                <w:color w:val="auto"/>
              </w:rPr>
            </w:pPr>
          </w:p>
        </w:tc>
        <w:tc>
          <w:tcPr>
            <w:tcW w:w="60" w:type="dxa"/>
            <w:vAlign w:val="bottom"/>
            <w:tcBorders>
              <w:top w:val="single" w:sz="8" w:color="282828"/>
            </w:tcBorders>
          </w:tcPr>
          <w:p>
            <w:pPr>
              <w:spacing w:after="0"/>
              <w:rPr>
                <w:sz w:val="24"/>
                <w:szCs w:val="24"/>
                <w:color w:val="auto"/>
              </w:rPr>
            </w:pPr>
          </w:p>
        </w:tc>
        <w:tc>
          <w:tcPr>
            <w:tcW w:w="120" w:type="dxa"/>
            <w:vAlign w:val="bottom"/>
            <w:tcBorders>
              <w:top w:val="single" w:sz="8" w:color="282828"/>
            </w:tcBorders>
          </w:tcPr>
          <w:p>
            <w:pPr>
              <w:spacing w:after="0"/>
              <w:rPr>
                <w:sz w:val="24"/>
                <w:szCs w:val="24"/>
                <w:color w:val="auto"/>
              </w:rPr>
            </w:pPr>
          </w:p>
        </w:tc>
        <w:tc>
          <w:tcPr>
            <w:tcW w:w="120" w:type="dxa"/>
            <w:vAlign w:val="bottom"/>
            <w:tcBorders>
              <w:top w:val="single" w:sz="8" w:color="282828"/>
            </w:tcBorders>
          </w:tcPr>
          <w:p>
            <w:pPr>
              <w:spacing w:after="0"/>
              <w:rPr>
                <w:sz w:val="24"/>
                <w:szCs w:val="24"/>
                <w:color w:val="auto"/>
              </w:rPr>
            </w:pPr>
          </w:p>
        </w:tc>
        <w:tc>
          <w:tcPr>
            <w:tcW w:w="260" w:type="dxa"/>
            <w:vAlign w:val="bottom"/>
            <w:tcBorders>
              <w:top w:val="single" w:sz="8" w:color="282828"/>
            </w:tcBorders>
          </w:tcPr>
          <w:p>
            <w:pPr>
              <w:spacing w:after="0"/>
              <w:rPr>
                <w:sz w:val="24"/>
                <w:szCs w:val="24"/>
                <w:color w:val="auto"/>
              </w:rPr>
            </w:pPr>
          </w:p>
        </w:tc>
        <w:tc>
          <w:tcPr>
            <w:tcW w:w="80" w:type="dxa"/>
            <w:vAlign w:val="bottom"/>
            <w:tcBorders>
              <w:top w:val="single" w:sz="8" w:color="282828"/>
            </w:tcBorders>
          </w:tcPr>
          <w:p>
            <w:pPr>
              <w:spacing w:after="0"/>
              <w:rPr>
                <w:sz w:val="24"/>
                <w:szCs w:val="24"/>
                <w:color w:val="auto"/>
              </w:rPr>
            </w:pPr>
          </w:p>
        </w:tc>
        <w:tc>
          <w:tcPr>
            <w:tcW w:w="260" w:type="dxa"/>
            <w:vAlign w:val="bottom"/>
            <w:tcBorders>
              <w:top w:val="single" w:sz="8" w:color="282828"/>
            </w:tcBorders>
          </w:tcPr>
          <w:p>
            <w:pPr>
              <w:spacing w:after="0"/>
              <w:rPr>
                <w:sz w:val="24"/>
                <w:szCs w:val="24"/>
                <w:color w:val="auto"/>
              </w:rPr>
            </w:pPr>
          </w:p>
        </w:tc>
        <w:tc>
          <w:tcPr>
            <w:tcW w:w="240" w:type="dxa"/>
            <w:vAlign w:val="bottom"/>
            <w:tcBorders>
              <w:top w:val="single" w:sz="8" w:color="282828"/>
            </w:tcBorders>
          </w:tcPr>
          <w:p>
            <w:pPr>
              <w:spacing w:after="0"/>
              <w:rPr>
                <w:sz w:val="24"/>
                <w:szCs w:val="24"/>
                <w:color w:val="auto"/>
              </w:rPr>
            </w:pPr>
          </w:p>
        </w:tc>
        <w:tc>
          <w:tcPr>
            <w:tcW w:w="20" w:type="dxa"/>
            <w:vAlign w:val="bottom"/>
            <w:tcBorders>
              <w:top w:val="single" w:sz="8" w:color="282828"/>
            </w:tcBorders>
          </w:tcPr>
          <w:p>
            <w:pPr>
              <w:spacing w:after="0"/>
              <w:rPr>
                <w:sz w:val="24"/>
                <w:szCs w:val="24"/>
                <w:color w:val="auto"/>
              </w:rPr>
            </w:pPr>
          </w:p>
        </w:tc>
        <w:tc>
          <w:tcPr>
            <w:tcW w:w="20" w:type="dxa"/>
            <w:vAlign w:val="bottom"/>
            <w:tcBorders>
              <w:top w:val="single" w:sz="8" w:color="282828"/>
            </w:tcBorders>
          </w:tcPr>
          <w:p>
            <w:pPr>
              <w:spacing w:after="0"/>
              <w:rPr>
                <w:sz w:val="24"/>
                <w:szCs w:val="24"/>
                <w:color w:val="auto"/>
              </w:rPr>
            </w:pPr>
          </w:p>
        </w:tc>
        <w:tc>
          <w:tcPr>
            <w:tcW w:w="280" w:type="dxa"/>
            <w:vAlign w:val="bottom"/>
            <w:tcBorders>
              <w:top w:val="single" w:sz="8" w:color="282828"/>
            </w:tcBorders>
          </w:tcPr>
          <w:p>
            <w:pPr>
              <w:spacing w:after="0"/>
              <w:rPr>
                <w:sz w:val="24"/>
                <w:szCs w:val="24"/>
                <w:color w:val="auto"/>
              </w:rPr>
            </w:pPr>
          </w:p>
        </w:tc>
        <w:tc>
          <w:tcPr>
            <w:tcW w:w="900" w:type="dxa"/>
            <w:vAlign w:val="bottom"/>
            <w:tcBorders>
              <w:top w:val="single" w:sz="8" w:color="282828"/>
            </w:tcBorders>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15.</w:t>
            </w:r>
          </w:p>
        </w:tc>
        <w:tc>
          <w:tcPr>
            <w:tcW w:w="3520" w:type="dxa"/>
            <w:vAlign w:val="bottom"/>
            <w:tcBorders>
              <w:bottom w:val="single" w:sz="8" w:color="282828"/>
            </w:tcBorders>
            <w:gridSpan w:val="15"/>
          </w:tcPr>
          <w:p>
            <w:pPr>
              <w:spacing w:after="0"/>
              <w:rPr>
                <w:sz w:val="20"/>
                <w:szCs w:val="20"/>
                <w:color w:val="auto"/>
              </w:rPr>
            </w:pPr>
            <w:r>
              <w:rPr>
                <w:rFonts w:ascii="Times New Roman" w:cs="Times New Roman" w:eastAsia="Times New Roman" w:hAnsi="Times New Roman"/>
                <w:sz w:val="20"/>
                <w:szCs w:val="20"/>
                <w:color w:val="282828"/>
                <w:w w:val="99"/>
              </w:rPr>
              <w:t>Exhibits and Financial Statement Schedules</w:t>
            </w:r>
          </w:p>
        </w:tc>
        <w:tc>
          <w:tcPr>
            <w:tcW w:w="4340" w:type="dxa"/>
            <w:vAlign w:val="bottom"/>
            <w:gridSpan w:val="10"/>
          </w:tcPr>
          <w:p>
            <w:pPr>
              <w:spacing w:after="0"/>
              <w:rPr>
                <w:sz w:val="24"/>
                <w:szCs w:val="24"/>
                <w:color w:val="auto"/>
              </w:rPr>
            </w:pP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305"/>
        </w:trPr>
        <w:tc>
          <w:tcPr>
            <w:tcW w:w="1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Item 16.</w:t>
            </w:r>
          </w:p>
        </w:tc>
        <w:tc>
          <w:tcPr>
            <w:tcW w:w="786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Form 10-K Summary</w:t>
            </w:r>
          </w:p>
        </w:tc>
        <w:tc>
          <w:tcPr>
            <w:tcW w:w="800" w:type="dxa"/>
            <w:vAlign w:val="bottom"/>
          </w:tcPr>
          <w:p>
            <w:pPr>
              <w:jc w:val="right"/>
              <w:spacing w:after="0" w:line="240" w:lineRule="exact"/>
              <w:rPr>
                <w:sz w:val="20"/>
                <w:szCs w:val="20"/>
                <w:color w:val="auto"/>
              </w:rPr>
            </w:pPr>
            <w:r>
              <w:rPr>
                <w:rFonts w:ascii="PMingLiU" w:cs="PMingLiU" w:eastAsia="PMingLiU" w:hAnsi="PMingLiU"/>
                <w:sz w:val="20"/>
                <w:szCs w:val="20"/>
                <w:color w:val="auto"/>
              </w:rPr>
              <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20" w:type="dxa"/>
            <w:vAlign w:val="bottom"/>
            <w:shd w:val="clear" w:color="auto" w:fill="282828"/>
          </w:tcPr>
          <w:p>
            <w:pPr>
              <w:spacing w:after="0" w:line="20" w:lineRule="exact"/>
              <w:rPr>
                <w:sz w:val="1"/>
                <w:szCs w:val="1"/>
                <w:color w:val="auto"/>
              </w:rPr>
            </w:pPr>
          </w:p>
        </w:tc>
        <w:tc>
          <w:tcPr>
            <w:tcW w:w="100" w:type="dxa"/>
            <w:vAlign w:val="bottom"/>
            <w:shd w:val="clear" w:color="auto" w:fill="282828"/>
          </w:tcPr>
          <w:p>
            <w:pPr>
              <w:spacing w:after="0" w:line="20" w:lineRule="exact"/>
              <w:rPr>
                <w:sz w:val="1"/>
                <w:szCs w:val="1"/>
                <w:color w:val="auto"/>
              </w:rPr>
            </w:pPr>
          </w:p>
        </w:tc>
        <w:tc>
          <w:tcPr>
            <w:tcW w:w="100" w:type="dxa"/>
            <w:vAlign w:val="bottom"/>
            <w:shd w:val="clear" w:color="auto" w:fill="282828"/>
          </w:tcPr>
          <w:p>
            <w:pPr>
              <w:spacing w:after="0" w:line="20" w:lineRule="exact"/>
              <w:rPr>
                <w:sz w:val="1"/>
                <w:szCs w:val="1"/>
                <w:color w:val="auto"/>
              </w:rPr>
            </w:pPr>
          </w:p>
        </w:tc>
        <w:tc>
          <w:tcPr>
            <w:tcW w:w="60" w:type="dxa"/>
            <w:vAlign w:val="bottom"/>
            <w:shd w:val="clear" w:color="auto" w:fill="282828"/>
          </w:tcPr>
          <w:p>
            <w:pPr>
              <w:spacing w:after="0" w:line="20" w:lineRule="exact"/>
              <w:rPr>
                <w:sz w:val="1"/>
                <w:szCs w:val="1"/>
                <w:color w:val="auto"/>
              </w:rPr>
            </w:pPr>
          </w:p>
        </w:tc>
        <w:tc>
          <w:tcPr>
            <w:tcW w:w="120" w:type="dxa"/>
            <w:vAlign w:val="bottom"/>
            <w:shd w:val="clear" w:color="auto" w:fill="282828"/>
          </w:tcPr>
          <w:p>
            <w:pPr>
              <w:spacing w:after="0" w:line="20" w:lineRule="exact"/>
              <w:rPr>
                <w:sz w:val="1"/>
                <w:szCs w:val="1"/>
                <w:color w:val="auto"/>
              </w:rPr>
            </w:pPr>
          </w:p>
        </w:tc>
        <w:tc>
          <w:tcPr>
            <w:tcW w:w="120" w:type="dxa"/>
            <w:vAlign w:val="bottom"/>
            <w:shd w:val="clear" w:color="auto" w:fill="282828"/>
          </w:tcPr>
          <w:p>
            <w:pPr>
              <w:spacing w:after="0" w:line="20" w:lineRule="exact"/>
              <w:rPr>
                <w:sz w:val="1"/>
                <w:szCs w:val="1"/>
                <w:color w:val="auto"/>
              </w:rPr>
            </w:pPr>
          </w:p>
        </w:tc>
        <w:tc>
          <w:tcPr>
            <w:tcW w:w="260" w:type="dxa"/>
            <w:vAlign w:val="bottom"/>
            <w:shd w:val="clear" w:color="auto" w:fill="282828"/>
          </w:tcPr>
          <w:p>
            <w:pPr>
              <w:spacing w:after="0" w:line="20" w:lineRule="exact"/>
              <w:rPr>
                <w:sz w:val="1"/>
                <w:szCs w:val="1"/>
                <w:color w:val="auto"/>
              </w:rPr>
            </w:pPr>
          </w:p>
        </w:tc>
        <w:tc>
          <w:tcPr>
            <w:tcW w:w="80" w:type="dxa"/>
            <w:vAlign w:val="bottom"/>
            <w:shd w:val="clear" w:color="auto" w:fill="282828"/>
          </w:tcPr>
          <w:p>
            <w:pPr>
              <w:spacing w:after="0" w:line="20" w:lineRule="exact"/>
              <w:rPr>
                <w:sz w:val="1"/>
                <w:szCs w:val="1"/>
                <w:color w:val="auto"/>
              </w:rPr>
            </w:pPr>
          </w:p>
        </w:tc>
        <w:tc>
          <w:tcPr>
            <w:tcW w:w="260" w:type="dxa"/>
            <w:vAlign w:val="bottom"/>
            <w:tcBorders>
              <w:left w:val="single" w:sz="8" w:color="282828"/>
            </w:tcBorders>
            <w:shd w:val="clear" w:color="auto" w:fill="28282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860"/>
          </w:cols>
          <w:pgMar w:left="1220" w:top="852"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9860"/>
          </w:cols>
          <w:pgMar w:left="1220" w:top="852" w:right="1160" w:bottom="0" w:gutter="0" w:footer="0" w:header="0"/>
          <w:type w:val="continuous"/>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54" w:lineRule="exact"/>
        <w:rPr>
          <w:sz w:val="20"/>
          <w:szCs w:val="20"/>
          <w:color w:val="auto"/>
        </w:rPr>
      </w:pPr>
    </w:p>
    <w:p>
      <w:pPr>
        <w:ind w:right="40" w:firstLine="900"/>
        <w:spacing w:after="0" w:line="255" w:lineRule="auto"/>
        <w:rPr>
          <w:sz w:val="20"/>
          <w:szCs w:val="20"/>
          <w:color w:val="auto"/>
        </w:rPr>
      </w:pPr>
      <w:r>
        <w:rPr>
          <w:rFonts w:ascii="Times New Roman" w:cs="Times New Roman" w:eastAsia="Times New Roman" w:hAnsi="Times New Roman"/>
          <w:sz w:val="20"/>
          <w:szCs w:val="20"/>
          <w:color w:val="auto"/>
        </w:rPr>
        <w:t>The information in this Annual Report on Form 10-K contains forward-looking statements within the meaning of Section 27A of the Securities Act of 1933, as amended (the “Securities Act”), and Section 21E of the Securities Exchange Act of 1934, as amended (the “Exchange Act”), which are subject to the “safe harbor” created by those sections. We may, in some cases, use words such as “anticipate,” “believe,” “could,” “estimate,” “expect,” “intend,” “may,” “objective,”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report include, but are not limited to, statements about:</w:t>
      </w:r>
    </w:p>
    <w:p>
      <w:pPr>
        <w:spacing w:after="0" w:line="86" w:lineRule="exact"/>
        <w:rPr>
          <w:sz w:val="20"/>
          <w:szCs w:val="20"/>
          <w:color w:val="auto"/>
        </w:rPr>
      </w:pPr>
    </w:p>
    <w:p>
      <w:pPr>
        <w:ind w:left="900" w:right="200" w:hanging="550"/>
        <w:spacing w:after="0" w:line="282"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plans to focus on oscillators, clock ICs, resonators and timing synchronization solutions and to aggressively expand our presence in these markets;</w:t>
      </w:r>
    </w:p>
    <w:p>
      <w:pPr>
        <w:spacing w:after="0" w:line="59" w:lineRule="exact"/>
        <w:rPr>
          <w:rFonts w:ascii="Times New Roman" w:cs="Times New Roman" w:eastAsia="Times New Roman" w:hAnsi="Times New Roman"/>
          <w:sz w:val="20"/>
          <w:szCs w:val="20"/>
          <w:color w:val="auto"/>
        </w:rPr>
      </w:pPr>
    </w:p>
    <w:p>
      <w:pPr>
        <w:ind w:left="900" w:right="380" w:hanging="550"/>
        <w:spacing w:after="0" w:line="282"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our ability to address market and customer demands and to timely develop new or enhanced solutions to meet those demands;</w:t>
      </w:r>
    </w:p>
    <w:p>
      <w:pPr>
        <w:spacing w:after="0" w:line="59" w:lineRule="exact"/>
        <w:rPr>
          <w:rFonts w:ascii="Times New Roman" w:cs="Times New Roman" w:eastAsia="Times New Roman" w:hAnsi="Times New Roman"/>
          <w:sz w:val="20"/>
          <w:szCs w:val="20"/>
          <w:color w:val="auto"/>
        </w:rPr>
      </w:pPr>
    </w:p>
    <w:p>
      <w:pPr>
        <w:ind w:left="900" w:right="120" w:hanging="550"/>
        <w:spacing w:after="0" w:line="282"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anticipated trends, challenges and growth in our business and the markets in which we operate, including pricing expectations;</w:t>
      </w:r>
    </w:p>
    <w:p>
      <w:pPr>
        <w:spacing w:after="0" w:line="59"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our revenue, average selling prices, gross margin, and expenses;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effects of macroeconomic events in 2026;</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dependence on a limited number of customers and end customers;</w:t>
      </w:r>
    </w:p>
    <w:p>
      <w:pPr>
        <w:spacing w:after="0" w:line="130" w:lineRule="exact"/>
        <w:rPr>
          <w:rFonts w:ascii="Times New Roman" w:cs="Times New Roman" w:eastAsia="Times New Roman" w:hAnsi="Times New Roman"/>
          <w:sz w:val="20"/>
          <w:szCs w:val="20"/>
          <w:color w:val="auto"/>
        </w:rPr>
      </w:pPr>
    </w:p>
    <w:p>
      <w:pPr>
        <w:ind w:left="900" w:right="160" w:hanging="550"/>
        <w:spacing w:after="0" w:line="282"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 relationships and our ability to retain and expand our customer relationships and to achieve design wins;</w:t>
      </w:r>
    </w:p>
    <w:p>
      <w:pPr>
        <w:spacing w:after="0" w:line="59"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success, cost, and timing of new products;</w:t>
      </w:r>
    </w:p>
    <w:p>
      <w:pPr>
        <w:spacing w:after="0" w:line="130" w:lineRule="exact"/>
        <w:rPr>
          <w:rFonts w:ascii="Times New Roman" w:cs="Times New Roman" w:eastAsia="Times New Roman" w:hAnsi="Times New Roman"/>
          <w:sz w:val="20"/>
          <w:szCs w:val="20"/>
          <w:color w:val="auto"/>
        </w:rPr>
      </w:pPr>
    </w:p>
    <w:p>
      <w:pPr>
        <w:ind w:left="900" w:right="80" w:hanging="550"/>
        <w:spacing w:after="0" w:line="282"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and growth potential of the markets for our solutions, and our ability to serve and expand our presence in those markets;</w:t>
      </w:r>
    </w:p>
    <w:p>
      <w:pPr>
        <w:spacing w:after="0" w:line="59" w:lineRule="exact"/>
        <w:rPr>
          <w:rFonts w:ascii="Times New Roman" w:cs="Times New Roman" w:eastAsia="Times New Roman" w:hAnsi="Times New Roman"/>
          <w:sz w:val="20"/>
          <w:szCs w:val="20"/>
          <w:color w:val="auto"/>
        </w:rPr>
      </w:pPr>
    </w:p>
    <w:p>
      <w:pPr>
        <w:ind w:left="900" w:right="80" w:hanging="550"/>
        <w:spacing w:after="0" w:line="310" w:lineRule="auto"/>
        <w:tabs>
          <w:tab w:leader="none" w:pos="72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plans to expand sales and marketing efforts through increased collaboration with our distributors and contracted sales representatives, and our plans to grow direct online sales through our self-service online store;</w:t>
      </w:r>
    </w:p>
    <w:p>
      <w:pPr>
        <w:spacing w:after="0" w:line="36" w:lineRule="exact"/>
        <w:rPr>
          <w:rFonts w:ascii="Times New Roman" w:cs="Times New Roman" w:eastAsia="Times New Roman" w:hAnsi="Times New Roman"/>
          <w:sz w:val="19"/>
          <w:szCs w:val="19"/>
          <w:color w:val="auto"/>
        </w:rPr>
      </w:pPr>
    </w:p>
    <w:p>
      <w:pPr>
        <w:ind w:left="900" w:right="100" w:hanging="550"/>
        <w:spacing w:after="0" w:line="282"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to identify new customers and deliver differentiated Precision Timing solutions to them through digital marketing strategies;</w:t>
      </w:r>
    </w:p>
    <w:p>
      <w:pPr>
        <w:spacing w:after="0" w:line="59"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goal to become the leading provider of Precision Timing solutions for advanced and challenging applications;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positioning of being designed into current systems as well as future products;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 that our advanced packaging designs can enable the smallest footprints in the industry;</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competition in our existing and future markets;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of the success of our acquisitions and how we integrate and generate revenue;</w:t>
      </w:r>
    </w:p>
    <w:p>
      <w:pPr>
        <w:spacing w:after="0" w:line="130" w:lineRule="exact"/>
        <w:rPr>
          <w:rFonts w:ascii="Times New Roman" w:cs="Times New Roman" w:eastAsia="Times New Roman" w:hAnsi="Times New Roman"/>
          <w:sz w:val="20"/>
          <w:szCs w:val="20"/>
          <w:color w:val="auto"/>
        </w:rPr>
      </w:pPr>
    </w:p>
    <w:p>
      <w:pPr>
        <w:ind w:left="900" w:right="200" w:hanging="550"/>
        <w:spacing w:after="0" w:line="282"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a pandemic, epidemic, or other outbreak of disease may in the future have on our business, results of operations and financial condition, as well as the businesses of our suppliers and customers;</w:t>
      </w:r>
    </w:p>
    <w:p>
      <w:pPr>
        <w:spacing w:after="0" w:line="59"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regulatory developments in the United States and foreign countries;</w:t>
      </w:r>
    </w:p>
    <w:p>
      <w:pPr>
        <w:spacing w:after="0" w:line="130" w:lineRule="exact"/>
        <w:rPr>
          <w:rFonts w:ascii="Times New Roman" w:cs="Times New Roman" w:eastAsia="Times New Roman" w:hAnsi="Times New Roman"/>
          <w:sz w:val="20"/>
          <w:szCs w:val="20"/>
          <w:color w:val="auto"/>
        </w:rPr>
      </w:pPr>
    </w:p>
    <w:p>
      <w:pPr>
        <w:ind w:left="900" w:right="860" w:hanging="550"/>
        <w:spacing w:after="0" w:line="282"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the performance of, and our relationships with, our third-party suppliers and manufacturers;</w:t>
      </w:r>
    </w:p>
    <w:p>
      <w:pPr>
        <w:spacing w:after="0" w:line="53" w:lineRule="exact"/>
        <w:rPr>
          <w:rFonts w:ascii="Times New Roman" w:cs="Times New Roman" w:eastAsia="Times New Roman" w:hAnsi="Times New Roman"/>
          <w:sz w:val="20"/>
          <w:szCs w:val="20"/>
          <w:color w:val="auto"/>
        </w:rPr>
      </w:pPr>
    </w:p>
    <w:p>
      <w:pPr>
        <w:ind w:left="900" w:right="380" w:hanging="550"/>
        <w:spacing w:after="0" w:line="288"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our and our customers’ ability to respond successfully to technological or industry developments;</w:t>
      </w:r>
    </w:p>
    <w:p>
      <w:pPr>
        <w:spacing w:after="0" w:line="54"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our ability to attract and retain key personnel;</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expectations regarding intellectual property and related litigation;</w:t>
      </w:r>
    </w:p>
    <w:p>
      <w:pPr>
        <w:spacing w:after="0" w:line="130" w:lineRule="exact"/>
        <w:rPr>
          <w:rFonts w:ascii="Times New Roman" w:cs="Times New Roman" w:eastAsia="Times New Roman" w:hAnsi="Times New Roman"/>
          <w:sz w:val="20"/>
          <w:szCs w:val="20"/>
          <w:color w:val="auto"/>
        </w:rPr>
      </w:pPr>
    </w:p>
    <w:p>
      <w:pPr>
        <w:ind w:left="900" w:hanging="550"/>
        <w:spacing w:after="0" w:line="282" w:lineRule="auto"/>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belief as to the sufficiency of our existing cash and cash equivalents and short-term investments funds to meet our cash needs for at least the next 12 months and our future capital requirements over the longer term;</w:t>
      </w:r>
    </w:p>
    <w:p>
      <w:pPr>
        <w:spacing w:after="0" w:line="59"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adequacy and availability of our leased facilities; and</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accuracy of our estimates regarding capital requirements and needs for additional financing.</w:t>
      </w:r>
    </w:p>
    <w:p>
      <w:pPr>
        <w:sectPr>
          <w:pgSz w:w="12240" w:h="15840" w:orient="portrait"/>
          <w:cols w:equalWidth="0" w:num="1">
            <w:col w:w="9840"/>
          </w:cols>
          <w:pgMar w:left="1180" w:top="852" w:right="1220" w:bottom="0" w:gutter="0" w:footer="0" w:header="0"/>
        </w:sect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840"/>
          </w:cols>
          <w:pgMar w:left="1180" w:top="852" w:right="1220" w:bottom="0" w:gutter="0" w:footer="0" w:header="0"/>
          <w:type w:val="continuous"/>
        </w:sectPr>
      </w:pPr>
    </w:p>
    <w:bookmarkStart w:id="4" w:name="page5"/>
    <w:bookmarkEnd w:id="4"/>
    <w:p>
      <w:pPr>
        <w:ind w:right="60" w:firstLine="900"/>
        <w:spacing w:after="0" w:line="271" w:lineRule="auto"/>
        <w:rPr>
          <w:sz w:val="20"/>
          <w:szCs w:val="20"/>
          <w:color w:val="auto"/>
        </w:rPr>
      </w:pPr>
      <w:r>
        <w:rPr>
          <w:rFonts w:ascii="Times New Roman" w:cs="Times New Roman" w:eastAsia="Times New Roman" w:hAnsi="Times New Roman"/>
          <w:sz w:val="19"/>
          <w:szCs w:val="19"/>
          <w:color w:val="auto"/>
        </w:rPr>
        <w:t>These forward-looking statements reflect our management’s beliefs and views with respect to future events and are based on estimates and assumptions as of the date of this report and are subject to risks and uncertainties. We discuss many of these risks in greater detail in Part I, Item 1A “Risk Factors” of this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spacing w:after="0" w:line="193" w:lineRule="exact"/>
        <w:rPr>
          <w:sz w:val="20"/>
          <w:szCs w:val="20"/>
          <w:color w:val="auto"/>
        </w:rPr>
      </w:pPr>
    </w:p>
    <w:p>
      <w:pPr>
        <w:ind w:firstLine="900"/>
        <w:spacing w:after="0" w:line="272" w:lineRule="auto"/>
        <w:rPr>
          <w:sz w:val="20"/>
          <w:szCs w:val="20"/>
          <w:color w:val="auto"/>
        </w:rPr>
      </w:pPr>
      <w:r>
        <w:rPr>
          <w:rFonts w:ascii="Times New Roman" w:cs="Times New Roman" w:eastAsia="Times New Roman" w:hAnsi="Times New Roman"/>
          <w:sz w:val="19"/>
          <w:szCs w:val="19"/>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spacing w:after="0" w:line="188" w:lineRule="exact"/>
        <w:rPr>
          <w:sz w:val="20"/>
          <w:szCs w:val="20"/>
          <w:color w:val="auto"/>
        </w:rPr>
      </w:pPr>
    </w:p>
    <w:p>
      <w:pPr>
        <w:ind w:right="60" w:firstLine="900"/>
        <w:spacing w:after="0" w:line="258" w:lineRule="auto"/>
        <w:rPr>
          <w:sz w:val="20"/>
          <w:szCs w:val="20"/>
          <w:color w:val="auto"/>
        </w:rPr>
      </w:pPr>
      <w:r>
        <w:rPr>
          <w:rFonts w:ascii="Times New Roman" w:cs="Times New Roman" w:eastAsia="Times New Roman" w:hAnsi="Times New Roman"/>
          <w:sz w:val="20"/>
          <w:szCs w:val="20"/>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128" w:lineRule="exact"/>
        <w:rPr>
          <w:sz w:val="20"/>
          <w:szCs w:val="20"/>
          <w:color w:val="auto"/>
        </w:rPr>
      </w:pPr>
    </w:p>
    <w:p>
      <w:pPr>
        <w:ind w:right="100" w:firstLine="900"/>
        <w:spacing w:after="0" w:line="263" w:lineRule="auto"/>
        <w:rPr>
          <w:sz w:val="20"/>
          <w:szCs w:val="20"/>
          <w:color w:val="auto"/>
        </w:rPr>
      </w:pPr>
      <w:r>
        <w:rPr>
          <w:rFonts w:ascii="Times New Roman" w:cs="Times New Roman" w:eastAsia="Times New Roman" w:hAnsi="Times New Roman"/>
          <w:sz w:val="20"/>
          <w:szCs w:val="20"/>
          <w:color w:val="auto"/>
        </w:rPr>
        <w:t>Our business is subject to numerous risks, as more fully described in Part I, Item 1A "Risk Factors” below. You should read these risks before you invest in our common stock. We may be unable, for many reasons, including those that are beyond our control, to implement or execute our business strategy. In particular, risks associated with our business include, among others:</w:t>
      </w:r>
    </w:p>
    <w:p>
      <w:pPr>
        <w:spacing w:after="0" w:line="78" w:lineRule="exact"/>
        <w:rPr>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Global macroeconomic conditions have harmed and may continue to harm our business;</w:t>
      </w:r>
    </w:p>
    <w:p>
      <w:pPr>
        <w:spacing w:after="0" w:line="13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the cyclical nature of the semiconductor industry;</w:t>
      </w:r>
    </w:p>
    <w:p>
      <w:pPr>
        <w:spacing w:after="0" w:line="130" w:lineRule="exact"/>
        <w:rPr>
          <w:rFonts w:ascii="Times New Roman" w:cs="Times New Roman" w:eastAsia="Times New Roman" w:hAnsi="Times New Roman"/>
          <w:sz w:val="20"/>
          <w:szCs w:val="20"/>
          <w:color w:val="auto"/>
        </w:rPr>
      </w:pPr>
    </w:p>
    <w:p>
      <w:pPr>
        <w:ind w:left="900" w:hanging="550"/>
        <w:spacing w:after="0" w:line="25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spacing w:after="0" w:line="83" w:lineRule="exact"/>
        <w:rPr>
          <w:rFonts w:ascii="Times New Roman" w:cs="Times New Roman" w:eastAsia="Times New Roman" w:hAnsi="Times New Roman"/>
          <w:sz w:val="20"/>
          <w:szCs w:val="20"/>
          <w:color w:val="auto"/>
        </w:rPr>
      </w:pPr>
    </w:p>
    <w:p>
      <w:pPr>
        <w:ind w:left="900" w:right="80" w:hanging="55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spacing w:after="0" w:line="75" w:lineRule="exact"/>
        <w:rPr>
          <w:rFonts w:ascii="Times New Roman" w:cs="Times New Roman" w:eastAsia="Times New Roman" w:hAnsi="Times New Roman"/>
          <w:sz w:val="20"/>
          <w:szCs w:val="20"/>
          <w:color w:val="auto"/>
        </w:rPr>
      </w:pPr>
    </w:p>
    <w:p>
      <w:pPr>
        <w:ind w:left="900" w:hanging="550"/>
        <w:spacing w:after="0" w:line="25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revenue and operating results may fluctuate from period to period due to, among other factors, macroeconomic conditions, cyclical fluctuations in the semiconductor market, customer demand, product life cycles, fluctuations in inventories held by our distributors or end customers, the gain or loss of significant customers, the availability of capacity in our supply chain, research and development costs, the impact of any pandemic, epidemic, or outbreak of disease, on our business as well as our suppliers and customers, and product warranty claims. This in turn could cause our stock price to decline;</w:t>
      </w:r>
    </w:p>
    <w:p>
      <w:pPr>
        <w:spacing w:after="0" w:line="88" w:lineRule="exact"/>
        <w:rPr>
          <w:rFonts w:ascii="Times New Roman" w:cs="Times New Roman" w:eastAsia="Times New Roman" w:hAnsi="Times New Roman"/>
          <w:sz w:val="20"/>
          <w:szCs w:val="20"/>
          <w:color w:val="auto"/>
        </w:rPr>
      </w:pPr>
    </w:p>
    <w:p>
      <w:pPr>
        <w:ind w:left="900" w:hanging="550"/>
        <w:spacing w:after="0" w:line="258"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spacing w:after="0" w:line="84" w:lineRule="exact"/>
        <w:rPr>
          <w:rFonts w:ascii="Times New Roman" w:cs="Times New Roman" w:eastAsia="Times New Roman" w:hAnsi="Times New Roman"/>
          <w:sz w:val="20"/>
          <w:szCs w:val="20"/>
          <w:color w:val="auto"/>
        </w:rPr>
      </w:pPr>
    </w:p>
    <w:p>
      <w:pPr>
        <w:ind w:left="900" w:right="540" w:hanging="550"/>
        <w:spacing w:after="0" w:line="282"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International trade policies, including tariffs, sanctions and trade barriers may adversely affect our business, financial condition, result of operations and prospects;</w:t>
      </w:r>
    </w:p>
    <w:p>
      <w:pPr>
        <w:sectPr>
          <w:pgSz w:w="12240" w:h="15840" w:orient="portrait"/>
          <w:cols w:equalWidth="0" w:num="1">
            <w:col w:w="9880"/>
          </w:cols>
          <w:pgMar w:left="1180" w:top="850"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880"/>
          </w:cols>
          <w:pgMar w:left="1180" w:top="850" w:right="1180" w:bottom="0" w:gutter="0" w:footer="0" w:header="0"/>
          <w:type w:val="continuous"/>
        </w:sectPr>
      </w:pPr>
    </w:p>
    <w:bookmarkStart w:id="5" w:name="page6"/>
    <w:bookmarkEnd w:id="5"/>
    <w:p>
      <w:pPr>
        <w:ind w:left="640" w:right="460" w:hanging="550"/>
        <w:spacing w:after="0" w:line="266"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significant portion of our operations is located outside of the United States, which subjects us to additional risks, including increased complexity and costs of managing international operations and geopolitical instability;</w:t>
      </w:r>
    </w:p>
    <w:p>
      <w:pPr>
        <w:spacing w:after="0" w:line="75" w:lineRule="exact"/>
        <w:rPr>
          <w:rFonts w:ascii="Times New Roman" w:cs="Times New Roman" w:eastAsia="Times New Roman" w:hAnsi="Times New Roman"/>
          <w:sz w:val="20"/>
          <w:szCs w:val="20"/>
          <w:color w:val="auto"/>
        </w:rPr>
      </w:pPr>
    </w:p>
    <w:p>
      <w:pPr>
        <w:ind w:left="640" w:right="300" w:hanging="550"/>
        <w:spacing w:after="0" w:line="266"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spacing w:after="0" w:line="75" w:lineRule="exact"/>
        <w:rPr>
          <w:rFonts w:ascii="Times New Roman" w:cs="Times New Roman" w:eastAsia="Times New Roman" w:hAnsi="Times New Roman"/>
          <w:sz w:val="20"/>
          <w:szCs w:val="20"/>
          <w:color w:val="auto"/>
        </w:rPr>
      </w:pPr>
    </w:p>
    <w:p>
      <w:pPr>
        <w:ind w:left="640" w:right="160" w:hanging="550"/>
        <w:spacing w:after="0" w:line="266"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75" w:lineRule="exact"/>
        <w:rPr>
          <w:rFonts w:ascii="Times New Roman" w:cs="Times New Roman" w:eastAsia="Times New Roman" w:hAnsi="Times New Roman"/>
          <w:sz w:val="20"/>
          <w:szCs w:val="20"/>
          <w:color w:val="auto"/>
        </w:rPr>
      </w:pPr>
    </w:p>
    <w:p>
      <w:pPr>
        <w:ind w:left="640" w:right="60" w:hanging="550"/>
        <w:spacing w:after="0" w:line="282"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not able to successfully introduce and ship in volume new products in a timely manner, our business and revenue will suffer;</w:t>
      </w:r>
    </w:p>
    <w:p>
      <w:pPr>
        <w:spacing w:after="0" w:line="59" w:lineRule="exact"/>
        <w:rPr>
          <w:rFonts w:ascii="Times New Roman" w:cs="Times New Roman" w:eastAsia="Times New Roman" w:hAnsi="Times New Roman"/>
          <w:sz w:val="20"/>
          <w:szCs w:val="20"/>
          <w:color w:val="auto"/>
        </w:rPr>
      </w:pPr>
    </w:p>
    <w:p>
      <w:pPr>
        <w:ind w:left="640" w:right="100" w:hanging="550"/>
        <w:spacing w:after="0" w:line="266"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Pandemics, epidemics, or other outbreaks of disease have had and may in the future have an adverse impact upon our business, results of operations, and financial condition, as well as the businesses of our suppliers and customers;</w:t>
      </w:r>
    </w:p>
    <w:p>
      <w:pPr>
        <w:spacing w:after="0" w:line="75" w:lineRule="exact"/>
        <w:rPr>
          <w:rFonts w:ascii="Times New Roman" w:cs="Times New Roman" w:eastAsia="Times New Roman" w:hAnsi="Times New Roman"/>
          <w:sz w:val="20"/>
          <w:szCs w:val="20"/>
          <w:color w:val="auto"/>
        </w:rPr>
      </w:pPr>
    </w:p>
    <w:p>
      <w:pPr>
        <w:ind w:left="640" w:right="780" w:hanging="550"/>
        <w:spacing w:after="0" w:line="282"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gross margins may fluctuate due to a variety of factors, which could negatively impact our results of operations and our financial condition;</w:t>
      </w:r>
    </w:p>
    <w:p>
      <w:pPr>
        <w:spacing w:after="0" w:line="59" w:lineRule="exact"/>
        <w:rPr>
          <w:rFonts w:ascii="Times New Roman" w:cs="Times New Roman" w:eastAsia="Times New Roman" w:hAnsi="Times New Roman"/>
          <w:sz w:val="20"/>
          <w:szCs w:val="20"/>
          <w:color w:val="auto"/>
        </w:rPr>
      </w:pPr>
    </w:p>
    <w:p>
      <w:pPr>
        <w:ind w:left="640" w:right="120" w:hanging="550"/>
        <w:spacing w:after="0" w:line="282"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revenue in previous periods may not be indicative of future performance and our revenue may fluctuate over time;</w:t>
      </w:r>
    </w:p>
    <w:p>
      <w:pPr>
        <w:spacing w:after="0" w:line="59" w:lineRule="exact"/>
        <w:rPr>
          <w:rFonts w:ascii="Times New Roman" w:cs="Times New Roman" w:eastAsia="Times New Roman" w:hAnsi="Times New Roman"/>
          <w:sz w:val="20"/>
          <w:szCs w:val="20"/>
          <w:color w:val="auto"/>
        </w:rPr>
      </w:pPr>
    </w:p>
    <w:p>
      <w:pPr>
        <w:ind w:left="640" w:right="180" w:hanging="550"/>
        <w:spacing w:after="0" w:line="266"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75" w:lineRule="exact"/>
        <w:rPr>
          <w:rFonts w:ascii="Times New Roman" w:cs="Times New Roman" w:eastAsia="Times New Roman" w:hAnsi="Times New Roman"/>
          <w:sz w:val="20"/>
          <w:szCs w:val="20"/>
          <w:color w:val="auto"/>
        </w:rPr>
      </w:pPr>
    </w:p>
    <w:p>
      <w:pPr>
        <w:ind w:left="640" w:right="100" w:hanging="550"/>
        <w:spacing w:after="0" w:line="282"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provide a lifetime warranty on our products and may be subject to warranty or product liability claims, which could harm our reputation, result in unexpected expenses, and cause us to lose market share;</w:t>
      </w:r>
    </w:p>
    <w:p>
      <w:pPr>
        <w:spacing w:after="0" w:line="59" w:lineRule="exact"/>
        <w:rPr>
          <w:rFonts w:ascii="Times New Roman" w:cs="Times New Roman" w:eastAsia="Times New Roman" w:hAnsi="Times New Roman"/>
          <w:sz w:val="20"/>
          <w:szCs w:val="20"/>
          <w:color w:val="auto"/>
        </w:rPr>
      </w:pPr>
    </w:p>
    <w:p>
      <w:pPr>
        <w:ind w:left="460" w:hanging="370"/>
        <w:spacing w:after="0"/>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Defects in our products could harm our relationships with our customers and damage our reputation;</w:t>
      </w:r>
    </w:p>
    <w:p>
      <w:pPr>
        <w:spacing w:after="0" w:line="130" w:lineRule="exact"/>
        <w:rPr>
          <w:rFonts w:ascii="Times New Roman" w:cs="Times New Roman" w:eastAsia="Times New Roman" w:hAnsi="Times New Roman"/>
          <w:sz w:val="20"/>
          <w:szCs w:val="20"/>
          <w:color w:val="auto"/>
        </w:rPr>
      </w:pPr>
    </w:p>
    <w:p>
      <w:pPr>
        <w:ind w:left="640" w:right="420" w:hanging="550"/>
        <w:spacing w:after="0" w:line="282"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compete effectively, we may lose or fail to gain market share, which could negatively impact our operating results and our business;</w:t>
      </w:r>
    </w:p>
    <w:p>
      <w:pPr>
        <w:spacing w:after="0" w:line="59" w:lineRule="exact"/>
        <w:rPr>
          <w:rFonts w:ascii="Times New Roman" w:cs="Times New Roman" w:eastAsia="Times New Roman" w:hAnsi="Times New Roman"/>
          <w:sz w:val="20"/>
          <w:szCs w:val="20"/>
          <w:color w:val="auto"/>
        </w:rPr>
      </w:pPr>
    </w:p>
    <w:p>
      <w:pPr>
        <w:ind w:left="640" w:right="80" w:hanging="550"/>
        <w:spacing w:after="0" w:line="282"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make acquisitions in the future that could disrupt our business, cause dilution to our stockholders, reduce our financial resources, and harm our business;</w:t>
      </w:r>
    </w:p>
    <w:p>
      <w:pPr>
        <w:spacing w:after="0" w:line="59" w:lineRule="exact"/>
        <w:rPr>
          <w:rFonts w:ascii="Times New Roman" w:cs="Times New Roman" w:eastAsia="Times New Roman" w:hAnsi="Times New Roman"/>
          <w:sz w:val="20"/>
          <w:szCs w:val="20"/>
          <w:color w:val="auto"/>
        </w:rPr>
      </w:pPr>
    </w:p>
    <w:p>
      <w:pPr>
        <w:ind w:left="640" w:right="380" w:hanging="550"/>
        <w:spacing w:after="0" w:line="282"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accurately predict our future capital needs, and we may not be able to obtain additional financing to fund our operations;</w:t>
      </w:r>
    </w:p>
    <w:p>
      <w:pPr>
        <w:spacing w:after="0" w:line="59" w:lineRule="exact"/>
        <w:rPr>
          <w:rFonts w:ascii="Times New Roman" w:cs="Times New Roman" w:eastAsia="Times New Roman" w:hAnsi="Times New Roman"/>
          <w:sz w:val="20"/>
          <w:szCs w:val="20"/>
          <w:color w:val="auto"/>
        </w:rPr>
      </w:pPr>
    </w:p>
    <w:p>
      <w:pPr>
        <w:ind w:left="460" w:hanging="370"/>
        <w:spacing w:after="0"/>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seek, or be required to seek debt financing;</w:t>
      </w:r>
    </w:p>
    <w:p>
      <w:pPr>
        <w:spacing w:after="0" w:line="130" w:lineRule="exact"/>
        <w:rPr>
          <w:rFonts w:ascii="Times New Roman" w:cs="Times New Roman" w:eastAsia="Times New Roman" w:hAnsi="Times New Roman"/>
          <w:sz w:val="20"/>
          <w:szCs w:val="20"/>
          <w:color w:val="auto"/>
        </w:rPr>
      </w:pPr>
    </w:p>
    <w:p>
      <w:pPr>
        <w:ind w:left="640" w:right="460" w:hanging="550"/>
        <w:spacing w:after="0" w:line="282"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the laws associated with our activities outside of the United States could subject us to penalties and other adverse consequences;</w:t>
      </w:r>
    </w:p>
    <w:p>
      <w:pPr>
        <w:spacing w:after="0" w:line="59" w:lineRule="exact"/>
        <w:rPr>
          <w:rFonts w:ascii="Times New Roman" w:cs="Times New Roman" w:eastAsia="Times New Roman" w:hAnsi="Times New Roman"/>
          <w:sz w:val="20"/>
          <w:szCs w:val="20"/>
          <w:color w:val="auto"/>
        </w:rPr>
      </w:pPr>
    </w:p>
    <w:p>
      <w:pPr>
        <w:ind w:left="640" w:right="220" w:hanging="550"/>
        <w:spacing w:after="0" w:line="282"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government regulation, including import, export and economic sanctions laws and regulations that may expose us to liability and increase our costs;</w:t>
      </w:r>
    </w:p>
    <w:p>
      <w:pPr>
        <w:spacing w:after="0" w:line="59" w:lineRule="exact"/>
        <w:rPr>
          <w:rFonts w:ascii="Times New Roman" w:cs="Times New Roman" w:eastAsia="Times New Roman" w:hAnsi="Times New Roman"/>
          <w:sz w:val="20"/>
          <w:szCs w:val="20"/>
          <w:color w:val="auto"/>
        </w:rPr>
      </w:pPr>
    </w:p>
    <w:p>
      <w:pPr>
        <w:ind w:left="640" w:right="120" w:hanging="550"/>
        <w:spacing w:after="0" w:line="282"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or future changes to U.S. and non-U.S. tax laws, or tax regulatory authorities disagreeing with our positions and conclusions regarding certain tax positions, could materially adversely affect us;</w:t>
      </w:r>
    </w:p>
    <w:p>
      <w:pPr>
        <w:spacing w:after="0" w:line="59" w:lineRule="exact"/>
        <w:rPr>
          <w:rFonts w:ascii="Times New Roman" w:cs="Times New Roman" w:eastAsia="Times New Roman" w:hAnsi="Times New Roman"/>
          <w:sz w:val="20"/>
          <w:szCs w:val="20"/>
          <w:color w:val="auto"/>
        </w:rPr>
      </w:pPr>
    </w:p>
    <w:p>
      <w:pPr>
        <w:ind w:left="640" w:right="100" w:hanging="550"/>
        <w:spacing w:after="0" w:line="266"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Breaches, cyberattacks, or other disruptions to our information technology systems owned or maintained by us or third parties could disrupt our operations, compromise confidentiality of private customer data or our intellectual property, and adversely affect our business, reputation, operations, and financial results;</w:t>
      </w:r>
    </w:p>
    <w:p>
      <w:pPr>
        <w:spacing w:after="0" w:line="75" w:lineRule="exact"/>
        <w:rPr>
          <w:rFonts w:ascii="Times New Roman" w:cs="Times New Roman" w:eastAsia="Times New Roman" w:hAnsi="Times New Roman"/>
          <w:sz w:val="20"/>
          <w:szCs w:val="20"/>
          <w:color w:val="auto"/>
        </w:rPr>
      </w:pPr>
    </w:p>
    <w:p>
      <w:pPr>
        <w:ind w:left="640" w:hanging="550"/>
        <w:spacing w:after="0" w:line="255"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spacing w:after="0" w:line="3" w:lineRule="exact"/>
        <w:rPr>
          <w:rFonts w:ascii="Times New Roman" w:cs="Times New Roman" w:eastAsia="Times New Roman" w:hAnsi="Times New Roman"/>
          <w:sz w:val="20"/>
          <w:szCs w:val="20"/>
          <w:color w:val="auto"/>
        </w:rPr>
      </w:pPr>
    </w:p>
    <w:p>
      <w:pPr>
        <w:ind w:left="640" w:right="60" w:hanging="550"/>
        <w:spacing w:after="0" w:line="239"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impacted by risks associated with the concentration of ownership of a significant portion of our stock, and our other shareholders’ ability to influence matters requiring stockholder approval will be limited, which could impact our business and operating results;</w:t>
      </w:r>
    </w:p>
    <w:p>
      <w:pPr>
        <w:spacing w:after="0" w:line="84" w:lineRule="exact"/>
        <w:rPr>
          <w:rFonts w:ascii="Times New Roman" w:cs="Times New Roman" w:eastAsia="Times New Roman" w:hAnsi="Times New Roman"/>
          <w:sz w:val="20"/>
          <w:szCs w:val="20"/>
          <w:color w:val="auto"/>
        </w:rPr>
      </w:pPr>
    </w:p>
    <w:p>
      <w:pPr>
        <w:ind w:left="460" w:hanging="370"/>
        <w:spacing w:after="0"/>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future sales of our common stock could cause the market price of our common stock to decline; and</w:t>
      </w:r>
    </w:p>
    <w:p>
      <w:pPr>
        <w:sectPr>
          <w:pgSz w:w="12240" w:h="15840" w:orient="portrait"/>
          <w:cols w:equalWidth="0" w:num="1">
            <w:col w:w="9620"/>
          </w:cols>
          <w:pgMar w:left="1440" w:top="856" w:right="1180" w:bottom="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620"/>
          </w:cols>
          <w:pgMar w:left="1440" w:top="856" w:right="1180" w:bottom="0" w:gutter="0" w:footer="0" w:header="0"/>
          <w:type w:val="continuous"/>
        </w:sectPr>
      </w:pPr>
    </w:p>
    <w:bookmarkStart w:id="6" w:name="page7"/>
    <w:bookmarkEnd w:id="6"/>
    <w:p>
      <w:pPr>
        <w:ind w:left="640" w:hanging="550"/>
        <w:spacing w:after="0" w:line="266" w:lineRule="auto"/>
        <w:tabs>
          <w:tab w:leader="none" w:pos="4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ectPr>
          <w:pgSz w:w="12240" w:h="15840" w:orient="portrait"/>
          <w:cols w:equalWidth="0" w:num="1">
            <w:col w:w="9540"/>
          </w:cols>
          <w:pgMar w:left="1440" w:top="85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540"/>
          </w:cols>
          <w:pgMar w:left="1440" w:top="856" w:right="1260" w:bottom="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8"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ability to accurately measure and reference time has been essential to humankind’s greatest inventions and technological advances. Timing technology has continued to evolve over centuries, underpinning broader technological evolution and is the heartbeat of digital electronic systems. Timing ensures that the system runs smoothly and reliably by providing and distributing clock signals to various critical components such as central processing units, communication and interface ICs, and radio frequency components. As electronics evolve to deliver higher performance, connectivity, and intelligence, even in increasingly challenging environments, while also being more complex and size-constrained, we believe they will require more sophisticated semiconductor-based timing solutions that cannot be developed in legacy quartz crystal-based technologies. Precision timing, a category that SiTime created ("Precision Timing") fills this need with the performance, resilience, reliability, power, size, and cost that is required by these applications.</w:t>
      </w:r>
    </w:p>
    <w:p>
      <w:pPr>
        <w:spacing w:after="0" w:line="87"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We are a leading provider of Precision Timing solutions to the global electronics industry. Our Precision Timing products are the heartbeat of our customers’ electronic systems, providing the timing functionality that is needed for electronics to operate reliably and accurately. We provide Precision Timing solutions that are differentiated by high performance, high resilience, and high reliability, along with programmability, small size, and low power consumption. Our products have been designed into over 400 applications across our target markets, including artificial intelligence ("AI") systems, datacenter, communications, enterprise, automotive, industrial, aerospace, defense, mobile, Internet of Things (“IoT”), and consumer. Our current solutions include various types of oscillators, as well as clock integrated circuits (“ICs”), resonators, and synchronization software.</w:t>
      </w:r>
    </w:p>
    <w:p>
      <w:pPr>
        <w:spacing w:after="0" w:line="85" w:lineRule="exact"/>
        <w:rPr>
          <w:sz w:val="20"/>
          <w:szCs w:val="20"/>
          <w:color w:val="auto"/>
        </w:rPr>
      </w:pPr>
    </w:p>
    <w:p>
      <w:pPr>
        <w:jc w:val="both"/>
        <w:ind w:right="160" w:firstLine="720"/>
        <w:spacing w:after="0" w:line="261" w:lineRule="auto"/>
        <w:rPr>
          <w:sz w:val="20"/>
          <w:szCs w:val="20"/>
          <w:color w:val="auto"/>
        </w:rPr>
      </w:pPr>
      <w:r>
        <w:rPr>
          <w:rFonts w:ascii="Times New Roman" w:cs="Times New Roman" w:eastAsia="Times New Roman" w:hAnsi="Times New Roman"/>
          <w:sz w:val="20"/>
          <w:szCs w:val="20"/>
          <w:color w:val="auto"/>
        </w:rPr>
        <w:t>We believe that the total timing market is approximately $11 billion in size and growing. Since our founding, we have focused on the high-end portion of the market, i.e. Precision Timing. Historically, our revenue has been substantially derived from sale of oscillator systems across our target end markets. In 2025, we benefitted from the strong growth in AI datacenter deployments.</w:t>
      </w:r>
    </w:p>
    <w:p>
      <w:pPr>
        <w:spacing w:after="0" w:line="80"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Our all-silicon solutions are based on four fundamental areas of technical expertise: micro-electro-mechanical systems (“MEMS”), analog mixed-signal design, advanced system-level integration, and software. This expertise, along with the knowledge of our customers' systems, gives our products a significant edge as we address customers’ complex timing problems. In this aspect, we believe we are different than quartz-based oscillator and resonator providers, who typically have expertise in designing and manufacturing resonator components, but usually outsource the analog circuit design and packaging. We also have a deep understanding of the mechanical, electrical, and thermal properties of materials, which is a key requirement for developing our proprietary MEMS processes. To maximize MEMS first-silicon success, we have also developed our own MEMS simulation tools. We are also different in that our MEMS resonators are made using semiconductor technology which has significant benefits in features, performance, manufacturing, and cost, while the quartz resonator and oscillator suppliers use quartz crystal material.</w:t>
      </w:r>
    </w:p>
    <w:p>
      <w:pPr>
        <w:spacing w:after="0" w:line="86"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Compared to traditional clock IC suppliers, we are different in that we design the resonator in-house and can integrate it into the clock IC package. Our analog/mixed-signal die are developed using industry-standard processes and deliver high levels of performance using programmable phase-locked loops, temperature sensors, regulators, data converters, drivers and other building blocks. Unlike most clock IC vendors, we do not rely on quartz vendors to provide the quartz resonator clock reference that is required for their clock ICs to function. Our expertise creates supply chain advantages for us and most importantly, enables us to design and build complete timing systems that result in performance advantages, providing a complete solution to the customer.</w:t>
      </w:r>
    </w:p>
    <w:p>
      <w:pPr>
        <w:spacing w:after="0" w:line="90" w:lineRule="exact"/>
        <w:rPr>
          <w:sz w:val="20"/>
          <w:szCs w:val="20"/>
          <w:color w:val="auto"/>
        </w:rPr>
      </w:pPr>
    </w:p>
    <w:p>
      <w:pPr>
        <w:ind w:right="40" w:firstLine="720"/>
        <w:spacing w:after="0" w:line="268" w:lineRule="auto"/>
        <w:rPr>
          <w:sz w:val="20"/>
          <w:szCs w:val="20"/>
          <w:color w:val="auto"/>
        </w:rPr>
      </w:pPr>
      <w:r>
        <w:rPr>
          <w:rFonts w:ascii="Times New Roman" w:cs="Times New Roman" w:eastAsia="Times New Roman" w:hAnsi="Times New Roman"/>
          <w:sz w:val="19"/>
          <w:szCs w:val="19"/>
          <w:color w:val="auto"/>
        </w:rPr>
        <w:t>Today's newer applications are driving the need for faster connectivity and lower latency, even when the electronics is subject to non-ideal conditions. Our Precision Timing solutions are designed to be resilient to such harsh environmental stressors which provides a benefit to our customers. For example, AI Infrastructure equipment is becoming more dense, and is subject to rapid temperature changes within the system, but still needs to deliver maximum performance and reliability. In the Communications market, a 5G small cell radio mounted on a pole next to a road or rail line is subject to vibration of passing heavy trucks or trains. These conditions make our Precision Timing solutions a natural choice in such applications. Our solutions are also utilized in automotive electronics, including advanced driver assistance systems (“ADAS”) for self-driving cars, which require increased timing accuracy. For the industrial market, our products offer programmability and high reliability for the diverse operating conditions of industrial equipment, including high temperatures, mechanical shock, and vibration. For the aerospace and defense market, our solutions provide high reliability and lower acceleration sensitivity for end products that operate in rugged conditions. For the mobile, IoT and consumer</w:t>
      </w:r>
    </w:p>
    <w:p>
      <w:pPr>
        <w:sectPr>
          <w:pgSz w:w="12240" w:h="15840" w:orient="portrait"/>
          <w:cols w:equalWidth="0" w:num="1">
            <w:col w:w="9900"/>
          </w:cols>
          <w:pgMar w:left="1180" w:top="852"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900"/>
          </w:cols>
          <w:pgMar w:left="1180" w:top="852" w:right="1160" w:bottom="0" w:gutter="0" w:footer="0" w:header="0"/>
          <w:type w:val="continuous"/>
        </w:sectPr>
      </w:pPr>
    </w:p>
    <w:bookmarkStart w:id="8" w:name="page9"/>
    <w:bookmarkEnd w:id="8"/>
    <w:p>
      <w:pPr>
        <w:ind w:right="420"/>
        <w:spacing w:after="0" w:line="282" w:lineRule="auto"/>
        <w:rPr>
          <w:sz w:val="20"/>
          <w:szCs w:val="20"/>
          <w:color w:val="auto"/>
        </w:rPr>
      </w:pPr>
      <w:r>
        <w:rPr>
          <w:rFonts w:ascii="Times New Roman" w:cs="Times New Roman" w:eastAsia="Times New Roman" w:hAnsi="Times New Roman"/>
          <w:sz w:val="20"/>
          <w:szCs w:val="20"/>
          <w:color w:val="auto"/>
        </w:rPr>
        <w:t>market, our timing solutions offer high performance at optimal power consumption and size, as our customers fit more functionality into smaller devices.</w:t>
      </w:r>
    </w:p>
    <w:p>
      <w:pPr>
        <w:spacing w:after="0" w:line="60" w:lineRule="exact"/>
        <w:rPr>
          <w:sz w:val="20"/>
          <w:szCs w:val="20"/>
          <w:color w:val="auto"/>
        </w:rPr>
      </w:pPr>
    </w:p>
    <w:p>
      <w:pPr>
        <w:ind w:right="280" w:firstLine="720"/>
        <w:spacing w:after="0" w:line="275" w:lineRule="auto"/>
        <w:rPr>
          <w:sz w:val="20"/>
          <w:szCs w:val="20"/>
          <w:color w:val="auto"/>
        </w:rPr>
      </w:pPr>
      <w:r>
        <w:rPr>
          <w:rFonts w:ascii="Times New Roman" w:cs="Times New Roman" w:eastAsia="Times New Roman" w:hAnsi="Times New Roman"/>
          <w:sz w:val="19"/>
          <w:szCs w:val="19"/>
          <w:color w:val="auto"/>
        </w:rPr>
        <w:t>In all of these markets, the trend for increased data transfer at higher speeds and demand for lower latency continues to grow. This requires higher levels of performance in timing and synchronization. Additionally, as electronics continue to proliferate in all industries and areas of our daily life, digital devices are increasingly subjected to less controlled environments, making resiliency to environmental stressors ever more important. These industry trends place higher demands on timing components, increasing the importance of resilient and reliable Precision Timing.</w:t>
      </w:r>
    </w:p>
    <w:p>
      <w:pPr>
        <w:spacing w:after="0" w:line="69" w:lineRule="exact"/>
        <w:rPr>
          <w:sz w:val="20"/>
          <w:szCs w:val="20"/>
          <w:color w:val="auto"/>
        </w:rPr>
      </w:pPr>
    </w:p>
    <w:p>
      <w:pPr>
        <w:ind w:right="120" w:firstLine="720"/>
        <w:spacing w:after="0" w:line="254" w:lineRule="auto"/>
        <w:rPr>
          <w:sz w:val="20"/>
          <w:szCs w:val="20"/>
          <w:color w:val="auto"/>
        </w:rPr>
      </w:pPr>
      <w:r>
        <w:rPr>
          <w:rFonts w:ascii="Times New Roman" w:cs="Times New Roman" w:eastAsia="Times New Roman" w:hAnsi="Times New Roman"/>
          <w:sz w:val="20"/>
          <w:szCs w:val="20"/>
          <w:color w:val="auto"/>
        </w:rPr>
        <w:t>In December 2023, we acquired clocking products through the acquisition of certain assets and the exclusive license to certain intellectual property from Aura Semiconductor Pvt. Ltd. and certain of its affiliated entities (together, "Aura") relating to Aura's timing business and clock products that significantly expands our presence within the clocking market. Total consideration paid in the acquisition included approximately $148 million in fixed payments and up to $120 million in earnouts. With the addition of all four categories of clock products including network synchronizers, jitter cleaners, clock generators, and buffers, we now offer a comprehensive portfolio of timing solutions. By pairing the new SiTime clocking products with our MEMS oscillators and/or our resonators, we expect to be able to offer a more complete clock tree that is simpler to design with higher performance, more resilient to environmental stressors and has higher reliability.</w:t>
      </w:r>
    </w:p>
    <w:p>
      <w:pPr>
        <w:spacing w:after="0" w:line="89"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In June 2025, we launched our suite of synchronization software, with the TimeFabric Software suite. TimeFabric combined with SiTime's oscillators and clocks, delivers up to 9X more accurate time synchronization than quartz-based solutions, enabling higher performance and utilization in AI data centers. The TimeFabric suite consists of two modules: IEEE 1588 standards-compliant synchronization software, as well as SiTime's unique innovation in software technology that extends critical holdover performance to 24 hours.</w:t>
      </w:r>
    </w:p>
    <w:p>
      <w:pPr>
        <w:spacing w:after="0" w:line="84" w:lineRule="exact"/>
        <w:rPr>
          <w:sz w:val="20"/>
          <w:szCs w:val="20"/>
          <w:color w:val="auto"/>
        </w:rPr>
      </w:pPr>
    </w:p>
    <w:p>
      <w:pPr>
        <w:ind w:right="40" w:firstLine="720"/>
        <w:spacing w:after="0" w:line="272" w:lineRule="auto"/>
        <w:rPr>
          <w:sz w:val="20"/>
          <w:szCs w:val="20"/>
          <w:color w:val="auto"/>
        </w:rPr>
      </w:pPr>
      <w:r>
        <w:rPr>
          <w:rFonts w:ascii="Times New Roman" w:cs="Times New Roman" w:eastAsia="Times New Roman" w:hAnsi="Times New Roman"/>
          <w:sz w:val="19"/>
          <w:szCs w:val="19"/>
          <w:color w:val="auto"/>
        </w:rPr>
        <w:t>In September 2025, we announced the Titan Platform in the standalone resonator market. This platform is the result of more than two decades of innovation, significant engineering investment and six generations of MEMS technology. With Titan, we have improved resonator performance by 100x. We believe that Titan fundamentally transforms the resonator market. By eliminating the need for standalone board-level resonators, we solve a persistent challenge for customers by enabling semiconductor-level packaging and integration With Titan, our customers can design new classes of electronics that are smaller, lower power, and higher performance, setting the stage for the next wave of innovation.</w:t>
      </w:r>
    </w:p>
    <w:p>
      <w:pPr>
        <w:spacing w:after="0" w:line="68"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On February 4, 2026, we entered into an asset purchase agreement (the “Asset Purchase Agreement”) with Renesas Electronics America Inc., a California corporation (“Renesas”), pursuant to which Renesas will and will cause certain of its affiliates to sell, transfer, assign and convey to SiTime all of their right, title and interest in, to and under certain assets related to the timing business of Renesas Electronics Corporation for an aggregate purchase price of approximately $1,500.0 million in cash (“Cash Consideration”) and 4.13 million shares of our common stock (such consideration, the “Stock Consideration”), subject to certain adjustments as set forth in the Asset Purchase Agreement (the “Acquisition”). As described in greater detail in the Asset Purchase Agreement, the Stock Consideration will be determined based on the volume-weighted average price of our common stock for the period of 10 consecutive trading days ending on the third full trading day prior to the consummation of the Acquisition (the “Closing”), subject to a floor price of $308.6686 and a ceiling price of $417.6104.</w:t>
      </w:r>
    </w:p>
    <w:p>
      <w:pPr>
        <w:spacing w:after="0" w:line="87" w:lineRule="exact"/>
        <w:rPr>
          <w:sz w:val="20"/>
          <w:szCs w:val="20"/>
          <w:color w:val="auto"/>
        </w:rPr>
      </w:pPr>
    </w:p>
    <w:p>
      <w:pPr>
        <w:ind w:right="40" w:firstLine="720"/>
        <w:spacing w:after="0" w:line="276" w:lineRule="auto"/>
        <w:rPr>
          <w:sz w:val="20"/>
          <w:szCs w:val="20"/>
          <w:color w:val="auto"/>
        </w:rPr>
      </w:pPr>
      <w:r>
        <w:rPr>
          <w:rFonts w:ascii="Times New Roman" w:cs="Times New Roman" w:eastAsia="Times New Roman" w:hAnsi="Times New Roman"/>
          <w:sz w:val="19"/>
          <w:szCs w:val="19"/>
          <w:color w:val="auto"/>
        </w:rPr>
        <w:t>The Closing is subject to the satisfaction of certain customary conditions, including the accuracy of each party’s representations and warranties as of the Closing, subject in certain instances, to certain materiality and other thresholds, the performance by each party of its obligations and covenants under the Asset Purchase Agreement in all material respects, the expiration or termination of the applicable waiting periods under the Hart-Scott-Rodino Antitrust Improvements Act of 1976, as amended (“HSR”), and the receipt of other governmental approvals in certain foreign jurisdictions.</w:t>
      </w:r>
    </w:p>
    <w:p>
      <w:pPr>
        <w:spacing w:after="0" w:line="70"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auto"/>
        </w:rPr>
        <w:t>Also on February 4, 2026, in connection with our entry into the Asset Purchase Agreement, we entered into a debt financing commitment letter (the “Commitment Letter”) with Wells Fargo Securities, LLC and Wells Fargo Bank, National Association (collectively, “Wells Fargo”), pursuant to which Wells Fargo has committed to provide us with debt financing to fund a portion of the Cash Consideration in an aggregate principal amount of up to $900.0 million in the form of a 364-day senior secured bridge loan facility (the “Bridge Facility”), subject to customary conditions. Subject to market conditions and other factors, in lieu of all or a portion of the Bridge Facility, we may fund a portion of the Acquisition consideration through one or more bank financing or capital markets transactions. The consummation of the Acquisition is not conditioned on the availability of the Bridge Facility or any alternative financing.</w:t>
      </w:r>
    </w:p>
    <w:p>
      <w:pPr>
        <w:spacing w:after="0" w:line="86" w:lineRule="exact"/>
        <w:rPr>
          <w:sz w:val="20"/>
          <w:szCs w:val="20"/>
          <w:color w:val="auto"/>
        </w:rPr>
      </w:pPr>
    </w:p>
    <w:p>
      <w:pPr>
        <w:ind w:right="740" w:firstLine="720"/>
        <w:spacing w:after="0" w:line="282" w:lineRule="auto"/>
        <w:rPr>
          <w:sz w:val="20"/>
          <w:szCs w:val="20"/>
          <w:color w:val="auto"/>
        </w:rPr>
      </w:pPr>
      <w:r>
        <w:rPr>
          <w:rFonts w:ascii="Times New Roman" w:cs="Times New Roman" w:eastAsia="Times New Roman" w:hAnsi="Times New Roman"/>
          <w:sz w:val="20"/>
          <w:szCs w:val="20"/>
          <w:color w:val="auto"/>
        </w:rPr>
        <w:t>SiTime is now a key provider of all differentiated products in timing - oscillators, clocks, and resonators - combined with synchronization software and deep engineering expertise in Precision Timing solutions.</w:t>
      </w:r>
    </w:p>
    <w:p>
      <w:pPr>
        <w:spacing w:after="0" w:line="60" w:lineRule="exact"/>
        <w:rPr>
          <w:sz w:val="20"/>
          <w:szCs w:val="20"/>
          <w:color w:val="auto"/>
        </w:rPr>
      </w:pPr>
    </w:p>
    <w:p>
      <w:pPr>
        <w:ind w:right="240" w:firstLine="720"/>
        <w:spacing w:after="0" w:line="309" w:lineRule="auto"/>
        <w:rPr>
          <w:sz w:val="20"/>
          <w:szCs w:val="20"/>
          <w:color w:val="auto"/>
        </w:rPr>
      </w:pPr>
      <w:r>
        <w:rPr>
          <w:rFonts w:ascii="Times New Roman" w:cs="Times New Roman" w:eastAsia="Times New Roman" w:hAnsi="Times New Roman"/>
          <w:sz w:val="19"/>
          <w:szCs w:val="19"/>
          <w:color w:val="auto"/>
        </w:rPr>
        <w:t>We sell our products primarily through distributors, who in turn sell to our end customers. We also sell products directly to some of our end customers. We leverage our global network of distributors to address the broad set of end</w:t>
      </w:r>
    </w:p>
    <w:p>
      <w:pPr>
        <w:sectPr>
          <w:pgSz w:w="12240" w:h="15840" w:orient="portrait"/>
          <w:cols w:equalWidth="0" w:num="1">
            <w:col w:w="9900"/>
          </w:cols>
          <w:pgMar w:left="1180" w:top="856" w:right="1160" w:bottom="0" w:gutter="0" w:footer="0" w:header="0"/>
        </w:sect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900"/>
          </w:cols>
          <w:pgMar w:left="1180" w:top="856" w:right="1160" w:bottom="0" w:gutter="0" w:footer="0" w:header="0"/>
          <w:type w:val="continuous"/>
        </w:sectPr>
      </w:pPr>
    </w:p>
    <w:bookmarkStart w:id="9" w:name="page10"/>
    <w:bookmarkEnd w:id="9"/>
    <w:p>
      <w:pPr>
        <w:ind w:right="60"/>
        <w:spacing w:after="0" w:line="286" w:lineRule="auto"/>
        <w:rPr>
          <w:sz w:val="20"/>
          <w:szCs w:val="20"/>
          <w:color w:val="auto"/>
        </w:rPr>
      </w:pPr>
      <w:r>
        <w:rPr>
          <w:rFonts w:ascii="Times New Roman" w:cs="Times New Roman" w:eastAsia="Times New Roman" w:hAnsi="Times New Roman"/>
          <w:sz w:val="19"/>
          <w:szCs w:val="19"/>
          <w:color w:val="auto"/>
        </w:rPr>
        <w:t>markets we serve. For our largest accounts, dedicated sales personnel work with the end customer to ensure that our solutions fully address the end customer’s timing needs. Our smaller customers can select the optimum timing solution for their needs by working directly with our sales personnel or distributors or by shopping on our online store, SiTimeDirect®.</w:t>
      </w:r>
    </w:p>
    <w:p>
      <w:pPr>
        <w:spacing w:after="0" w:line="59" w:lineRule="exact"/>
        <w:rPr>
          <w:sz w:val="20"/>
          <w:szCs w:val="20"/>
          <w:color w:val="auto"/>
        </w:rPr>
      </w:pPr>
    </w:p>
    <w:p>
      <w:pPr>
        <w:ind w:right="40" w:firstLine="720"/>
        <w:spacing w:after="0" w:line="253" w:lineRule="auto"/>
        <w:rPr>
          <w:sz w:val="20"/>
          <w:szCs w:val="20"/>
          <w:color w:val="auto"/>
        </w:rPr>
      </w:pPr>
      <w:r>
        <w:rPr>
          <w:rFonts w:ascii="Times New Roman" w:cs="Times New Roman" w:eastAsia="Times New Roman" w:hAnsi="Times New Roman"/>
          <w:sz w:val="20"/>
          <w:szCs w:val="20"/>
          <w:color w:val="auto"/>
        </w:rPr>
        <w:t>We operate a fabless business model, where we outsource manufacturing to semiconductor industry suppliers, which allows us to focus on, and excel in, the design, marketing, and sales of our products. A fabless infrastructure gives us production flexibility and the ability to scale capacity up and down to meet demand. While this model allows us to operate with lower capital expenditure investment than other semiconductor companies that own fabrication plants ("fabs"), we may be required to make such investments from time to time primarily to strengthen our supply chain and optimize our costs. These investments could put downward pressure on our gross margins if demand for our products does not materialize as expected. Further, this model could also subject us to supply constraints, when demand for our products is higher than anticipated, resulting in increased costs and impacting our gross margins. Our programmable architecture also plays a key role in ensuring optimal production flexibility. In contrast to products offered by traditional timing device suppliers, our products are batch produced and then custom programmed to customer needs, allowing us to offer shorter lead times and the ability to meet custom requirements more easily.</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Industry Background</w:t>
      </w:r>
    </w:p>
    <w:p>
      <w:pPr>
        <w:spacing w:after="0" w:line="1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Key Building Blocks of Timing Solutions</w:t>
      </w:r>
    </w:p>
    <w:p>
      <w:pPr>
        <w:spacing w:after="0" w:line="136" w:lineRule="exact"/>
        <w:rPr>
          <w:sz w:val="20"/>
          <w:szCs w:val="20"/>
          <w:color w:val="auto"/>
        </w:rPr>
      </w:pPr>
    </w:p>
    <w:p>
      <w:pPr>
        <w:jc w:val="both"/>
        <w:ind w:right="380" w:firstLine="720"/>
        <w:spacing w:after="0" w:line="266" w:lineRule="auto"/>
        <w:rPr>
          <w:sz w:val="20"/>
          <w:szCs w:val="20"/>
          <w:color w:val="auto"/>
        </w:rPr>
      </w:pPr>
      <w:r>
        <w:rPr>
          <w:rFonts w:ascii="Times New Roman" w:cs="Times New Roman" w:eastAsia="Times New Roman" w:hAnsi="Times New Roman"/>
          <w:sz w:val="20"/>
          <w:szCs w:val="20"/>
          <w:color w:val="auto"/>
        </w:rPr>
        <w:t>Timing solutions are comprised of three key product types: resonators, oscillators, and clock ICs. Certain high performance applications such as communications and networking equipment in AI, enterprise, 5G, and aerospace and defense, also need synchronization software.</w:t>
      </w:r>
    </w:p>
    <w:p>
      <w:pPr>
        <w:spacing w:after="0" w:line="75" w:lineRule="exact"/>
        <w:rPr>
          <w:sz w:val="20"/>
          <w:szCs w:val="20"/>
          <w:color w:val="auto"/>
        </w:rPr>
      </w:pPr>
    </w:p>
    <w:p>
      <w:pPr>
        <w:ind w:left="1080" w:right="80" w:hanging="550"/>
        <w:spacing w:after="0" w:line="26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Resonators are mechanical structures that vibrate at a precise frequency and provide the core accuracy and stability in oscillator systems. We create resonators in silicon using MEMS semiconductor technology, which is different than the quartz industry where the resonators are made from quartz crystals and are generally manufactured in non-semiconductor technologies.</w:t>
      </w:r>
    </w:p>
    <w:p>
      <w:pPr>
        <w:spacing w:after="0" w:line="79" w:lineRule="exact"/>
        <w:rPr>
          <w:rFonts w:ascii="Times New Roman" w:cs="Times New Roman" w:eastAsia="Times New Roman" w:hAnsi="Times New Roman"/>
          <w:sz w:val="20"/>
          <w:szCs w:val="20"/>
          <w:color w:val="auto"/>
        </w:rPr>
      </w:pPr>
    </w:p>
    <w:p>
      <w:pPr>
        <w:ind w:left="1080" w:right="220" w:hanging="550"/>
        <w:spacing w:after="0" w:line="266"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Oscillators are active systems that combine resonators with analog mixed-signal ICs that cause the resonators to vibrate - generating, amplifying, and sustaining accurate and stable clock signals. Each oscillator generally delivers a single clock signal.</w:t>
      </w:r>
    </w:p>
    <w:p>
      <w:pPr>
        <w:spacing w:after="0" w:line="75" w:lineRule="exact"/>
        <w:rPr>
          <w:rFonts w:ascii="Times New Roman" w:cs="Times New Roman" w:eastAsia="Times New Roman" w:hAnsi="Times New Roman"/>
          <w:sz w:val="20"/>
          <w:szCs w:val="20"/>
          <w:color w:val="auto"/>
        </w:rPr>
      </w:pPr>
    </w:p>
    <w:p>
      <w:pPr>
        <w:ind w:left="1080" w:right="140" w:hanging="550"/>
        <w:spacing w:after="0" w:line="266"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Clock ICs are integrated analog mixed-signal circuits that deliver multiple clock signals by using building blocks such as PLLs, clock dividers, and drivers. Clock ICs require resonators and oscillators for timing references and usually integrate these blocks into complex systems.</w:t>
      </w:r>
    </w:p>
    <w:p>
      <w:pPr>
        <w:spacing w:after="0" w:line="75"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In an electronic system, these three product component types may be used individually or in combination, depending on the end product’s performance, price, and size requirements. Simpler electronic systems generally require a standalone resonator coupled with a basic oscillator circuit that is embedded in a semiconductor device such as a microprocessor, system on a chip ("SoC"), or application specific integrated circuit ("ASIC"). In this type of system, multiple resonators may be used for different functionality. More complex electronic systems require advanced timing solutions that may use a variety of oscillators, clock ICs, and resonators. The complexity of these timing solutions increases significantly when the performance requirements of the systems that use them increase, such as electronic systems required to support AI datacenters or 5G communication network infrastructure. Synchronization software compliant to the IEEE 1588 standard ensures time synchronization across the network to deliver higher performance and lower latency, resulting, for example, in better utilization in AI data centers.</w:t>
      </w:r>
    </w:p>
    <w:p>
      <w:pPr>
        <w:spacing w:after="0" w:line="3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Limitations of Legacy Quartz-based Solutions</w:t>
      </w:r>
    </w:p>
    <w:p>
      <w:pPr>
        <w:spacing w:after="0" w:line="136"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auto"/>
        </w:rPr>
        <w:t>Quartz crystal has been the predominant technology of choice for resonators for over half a century and will continue to play a role in the timing market. In a quartz-based oscillator, a quartz crystal resonator is paired with a silicon-based clock IC in a ceramic or metal package. However, quartz timing devices, largely unchanged in decades, have many inherent limitations, including limited frequency ranges, sensitivity to rapid temperature changes, vulnerability to vibration and mechanical shock, susceptibility to frequency jumps at specific temperatures, and limited programmability. Quartz devices must be housed in specialized (i.e., ceramic) packaging, and thus are difficult to integrate into standard semiconductor packages. Quartz products require dedicated manufacturing facilities and have relatively long lead times due to the need to specify various characteristics well in advance of production, without the ability to reconfigure them during the design cycle. In addition, as electronic systems become more complex, feature-rich, and robust, they require more sophisticated timing systems that can seamlessly integrate a variety of oscillators, clock ICs, and resonators in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900"/>
          </w:cols>
          <w:pgMar w:left="1180" w:top="856" w:right="1160" w:bottom="0" w:gutter="0" w:footer="0" w:header="0"/>
        </w:sectPr>
      </w:pPr>
    </w:p>
    <w:bookmarkStart w:id="10" w:name="page11"/>
    <w:bookmarkEnd w:id="10"/>
    <w:p>
      <w:pPr>
        <w:ind w:right="860"/>
        <w:spacing w:after="0" w:line="282" w:lineRule="auto"/>
        <w:rPr>
          <w:sz w:val="20"/>
          <w:szCs w:val="20"/>
          <w:color w:val="auto"/>
        </w:rPr>
      </w:pPr>
      <w:r>
        <w:rPr>
          <w:rFonts w:ascii="Times New Roman" w:cs="Times New Roman" w:eastAsia="Times New Roman" w:hAnsi="Times New Roman"/>
          <w:sz w:val="20"/>
          <w:szCs w:val="20"/>
          <w:color w:val="auto"/>
        </w:rPr>
        <w:t>various system-level combinations. This seamless integration is more difficult with legacy quartz systems. These limitations impact the precision and quality of the timing signal in harsh conditions.</w:t>
      </w:r>
    </w:p>
    <w:p>
      <w:pPr>
        <w:spacing w:after="0" w:line="2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Precision MEMS Timing Solutions are Disrupting the Market</w:t>
      </w:r>
    </w:p>
    <w:p>
      <w:pPr>
        <w:spacing w:after="0" w:line="136" w:lineRule="exact"/>
        <w:rPr>
          <w:sz w:val="20"/>
          <w:szCs w:val="20"/>
          <w:color w:val="auto"/>
        </w:rPr>
      </w:pPr>
    </w:p>
    <w:p>
      <w:pPr>
        <w:ind w:right="20" w:firstLine="720"/>
        <w:spacing w:after="0" w:line="270" w:lineRule="auto"/>
        <w:rPr>
          <w:sz w:val="20"/>
          <w:szCs w:val="20"/>
          <w:color w:val="auto"/>
        </w:rPr>
      </w:pPr>
      <w:r>
        <w:rPr>
          <w:rFonts w:ascii="Times New Roman" w:cs="Times New Roman" w:eastAsia="Times New Roman" w:hAnsi="Times New Roman"/>
          <w:sz w:val="19"/>
          <w:szCs w:val="19"/>
          <w:color w:val="auto"/>
        </w:rPr>
        <w:t>In recent years, advances in silicon-based manufacturing and packaging techniques have allowed the development of alternatives to quartz crystal technology. We believe that MEMS is an ideal technology for resonator design. Specifically, its ability to integrate with other circuits in standard semiconductor packages has made scalable standard manufacturing possible for resonators and broader timing technology. MEMS-based timing products can operate in a wide range of frequencies, are more resistant to vibration, mechanical shock, and temperature changes, and are less susceptible to frequency jumps. MEMS technology is also inherently well-suited to produce timing solutions that are small, and offer high performance, resilience and programmability. Timing solutions based on MEMS technology are manufactured using semiconductor processes in fabs with high capacity, allowing for cost-effective high-volume manufacturing.</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Opportunity for Advanced Solutions</w:t>
      </w:r>
    </w:p>
    <w:p>
      <w:pPr>
        <w:spacing w:after="0" w:line="134"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From high-performance network infrastructure equipment to low-power battery-operated devices, Precision Timing solutions enable virtually all electronics, as timing is fundamental in orchestrating the functionality of electronic systems - from providing a reference frequency for processing components (e.g., graphics processing units, microprocessors, microcontrollers, SoCs, ASICs, Field Programmable Gate Arrays) to synchronizing the transfer of data. The complexity of such timing solutions increases significantly with the performance requirements of the systems in which they are used. Below are some examples of end markets in which we believe our silicon-based timing is enabling or has the potential to enable, greater functionality than legacy solutions:</w:t>
      </w:r>
    </w:p>
    <w:p>
      <w:pPr>
        <w:spacing w:after="0" w:line="3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Communications, Datacenter, and Enterprise</w:t>
      </w:r>
    </w:p>
    <w:p>
      <w:pPr>
        <w:spacing w:after="0" w:line="136" w:lineRule="exact"/>
        <w:rPr>
          <w:sz w:val="20"/>
          <w:szCs w:val="20"/>
          <w:color w:val="auto"/>
        </w:rPr>
      </w:pPr>
    </w:p>
    <w:p>
      <w:pPr>
        <w:ind w:right="140" w:firstLine="720"/>
        <w:spacing w:after="0" w:line="255" w:lineRule="auto"/>
        <w:rPr>
          <w:sz w:val="20"/>
          <w:szCs w:val="20"/>
          <w:color w:val="auto"/>
        </w:rPr>
      </w:pPr>
      <w:r>
        <w:rPr>
          <w:rFonts w:ascii="Times New Roman" w:cs="Times New Roman" w:eastAsia="Times New Roman" w:hAnsi="Times New Roman"/>
          <w:sz w:val="20"/>
          <w:szCs w:val="20"/>
          <w:color w:val="auto"/>
        </w:rPr>
        <w:t>In AI datacenters, a variety of applications such as switches, network interface cards, accelerator cards, server boards, optical modules, retimers, and active electrical cables ensure very fast connectivity in and across clusters. Similar infrastructure equipment is used in core and enterprise networking. All of this equipment must provide high performance and stability in demanding environments, which may include temperature fluctuations, and vibration. For example, due to the density and large data processing within the equipment, internal temperatures elevate to levels that need cooling fans that both rapidly change ambient temperatures and cause vibration. If the timing solution within the equipment fails, data may be corrupted or networks can shut down, leading to service disruptions and higher operating costs.</w:t>
      </w:r>
    </w:p>
    <w:p>
      <w:pPr>
        <w:spacing w:after="0" w:line="3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Automotive, Industrial, and Aerospace and Defense</w:t>
      </w:r>
    </w:p>
    <w:p>
      <w:pPr>
        <w:spacing w:after="0" w:line="136"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In the past few years, the automotive industry has expanded the use of electronics in vehicles for diverse purposes such as sensing, ADAS, computing, and in-vehicle infotainment. In these applications, timing technology must perform reliably over the life of an automobile in an environment characterized by vibration, mechanical shocks, electromagnetic interference, wide and rapid temperature change. We believe Precision Timing can address many of the challenges associated with this demanding automotive ecosystem.</w:t>
      </w:r>
    </w:p>
    <w:p>
      <w:pPr>
        <w:spacing w:after="0" w:line="84" w:lineRule="exact"/>
        <w:rPr>
          <w:sz w:val="20"/>
          <w:szCs w:val="20"/>
          <w:color w:val="auto"/>
        </w:rPr>
      </w:pPr>
    </w:p>
    <w:p>
      <w:pPr>
        <w:ind w:right="140" w:firstLine="720"/>
        <w:spacing w:after="0" w:line="256" w:lineRule="auto"/>
        <w:rPr>
          <w:sz w:val="20"/>
          <w:szCs w:val="20"/>
          <w:color w:val="auto"/>
        </w:rPr>
      </w:pPr>
      <w:r>
        <w:rPr>
          <w:rFonts w:ascii="Times New Roman" w:cs="Times New Roman" w:eastAsia="Times New Roman" w:hAnsi="Times New Roman"/>
          <w:sz w:val="20"/>
          <w:szCs w:val="20"/>
          <w:color w:val="auto"/>
        </w:rPr>
        <w:t>Industrial equipment, ranging from factory machinery to diagnostic equipment, is often exposed to environments characterized by temperature fluctuation, mechanical shocks, vibration, electromagnetic interference, and power supply noise. We believe our Precision Timing solutions can perform better than legacy quartz-based solutions in demanding industrial environments and with lower power consumption and higher reliability. In addition, with the highly diverse nature of industrial applications and the need for unique operating frequencies, we believe the programmable architecture of our Precision Timing products provides an advantage.</w:t>
      </w:r>
    </w:p>
    <w:p>
      <w:pPr>
        <w:spacing w:after="0" w:line="88" w:lineRule="exact"/>
        <w:rPr>
          <w:sz w:val="20"/>
          <w:szCs w:val="20"/>
          <w:color w:val="auto"/>
        </w:rPr>
      </w:pPr>
    </w:p>
    <w:p>
      <w:pPr>
        <w:ind w:right="480" w:firstLine="720"/>
        <w:spacing w:after="0" w:line="261" w:lineRule="auto"/>
        <w:rPr>
          <w:sz w:val="20"/>
          <w:szCs w:val="20"/>
          <w:color w:val="auto"/>
        </w:rPr>
      </w:pPr>
      <w:r>
        <w:rPr>
          <w:rFonts w:ascii="Times New Roman" w:cs="Times New Roman" w:eastAsia="Times New Roman" w:hAnsi="Times New Roman"/>
          <w:sz w:val="20"/>
          <w:szCs w:val="20"/>
          <w:color w:val="auto"/>
        </w:rPr>
        <w:t>Timing devices used in aerospace and defense applications such as rockets and satellites need to withstand extreme vibration forces and temperature gradients during operation. Quartz-based solutions can be impacted by vibrational forces acting on the whole system. Precision Timing devices are well-suited for these applications, as they provide up to 50 times better acceleration sensitivity under vibration than comparable quartz-based solutions.</w:t>
      </w:r>
    </w:p>
    <w:p>
      <w:pPr>
        <w:spacing w:after="0" w:line="3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Mobile, IoT and Consumer</w:t>
      </w:r>
    </w:p>
    <w:p>
      <w:pPr>
        <w:spacing w:after="0" w:line="136" w:lineRule="exact"/>
        <w:rPr>
          <w:sz w:val="20"/>
          <w:szCs w:val="20"/>
          <w:color w:val="auto"/>
        </w:rPr>
      </w:pPr>
    </w:p>
    <w:p>
      <w:pPr>
        <w:jc w:val="both"/>
        <w:ind w:right="120" w:firstLine="720"/>
        <w:spacing w:after="0" w:line="286" w:lineRule="auto"/>
        <w:rPr>
          <w:sz w:val="20"/>
          <w:szCs w:val="20"/>
          <w:color w:val="auto"/>
        </w:rPr>
      </w:pPr>
      <w:r>
        <w:rPr>
          <w:rFonts w:ascii="Times New Roman" w:cs="Times New Roman" w:eastAsia="Times New Roman" w:hAnsi="Times New Roman"/>
          <w:sz w:val="19"/>
          <w:szCs w:val="19"/>
          <w:color w:val="auto"/>
        </w:rPr>
        <w:t>The growing reliance on mobile devices has enabled the proliferation of billions of internet-connected devices in industrial and consumer applications. These devices range from smartphones and personal wearable devices to electronics embedded in appliances and industrial machinery. Many of these devices need to package a significant amount of</w:t>
      </w:r>
    </w:p>
    <w:p>
      <w:pPr>
        <w:sectPr>
          <w:pgSz w:w="12240" w:h="15840" w:orient="portrait"/>
          <w:cols w:equalWidth="0" w:num="1">
            <w:col w:w="9880"/>
          </w:cols>
          <w:pgMar w:left="1180" w:top="856" w:right="1180" w:bottom="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880"/>
          </w:cols>
          <w:pgMar w:left="1180" w:top="856" w:right="1180" w:bottom="0" w:gutter="0" w:footer="0" w:header="0"/>
          <w:type w:val="continuous"/>
        </w:sectPr>
      </w:pPr>
    </w:p>
    <w:bookmarkStart w:id="11" w:name="page12"/>
    <w:bookmarkEnd w:id="11"/>
    <w:p>
      <w:pPr>
        <w:ind w:right="180"/>
        <w:spacing w:after="0" w:line="266" w:lineRule="auto"/>
        <w:rPr>
          <w:sz w:val="20"/>
          <w:szCs w:val="20"/>
          <w:color w:val="auto"/>
        </w:rPr>
      </w:pPr>
      <w:r>
        <w:rPr>
          <w:rFonts w:ascii="Times New Roman" w:cs="Times New Roman" w:eastAsia="Times New Roman" w:hAnsi="Times New Roman"/>
          <w:sz w:val="20"/>
          <w:szCs w:val="20"/>
          <w:color w:val="auto"/>
        </w:rPr>
        <w:t>electronics in a limited battery-powered and size-constrained form factor, while still requiring high performance and high accuracy. Due to the ability to integrate with ICs, we believe silicon MEMS timing solutions are well-suited to optimize footprint, reliability, and power consumption of the overall system within mobile, IoT and consumer devices.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Solutions and Technology</w:t>
      </w:r>
    </w:p>
    <w:p>
      <w:pPr>
        <w:spacing w:after="0" w:line="1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Precision Timing solutions comprise of:</w:t>
      </w:r>
    </w:p>
    <w:p>
      <w:pPr>
        <w:spacing w:after="0" w:line="126" w:lineRule="exact"/>
        <w:rPr>
          <w:sz w:val="20"/>
          <w:szCs w:val="20"/>
          <w:color w:val="auto"/>
        </w:rPr>
      </w:pPr>
    </w:p>
    <w:p>
      <w:pPr>
        <w:ind w:left="1080" w:hanging="550"/>
        <w:spacing w:after="0" w:line="269" w:lineRule="auto"/>
        <w:tabs>
          <w:tab w:leader="none" w:pos="7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Oscillators and Clock ICs</w:t>
      </w:r>
      <w:r>
        <w:rPr>
          <w:rFonts w:ascii="Times New Roman" w:cs="Times New Roman" w:eastAsia="Times New Roman" w:hAnsi="Times New Roman"/>
          <w:sz w:val="19"/>
          <w:szCs w:val="19"/>
          <w:color w:val="auto"/>
        </w:rPr>
        <w:t>: We have a dedicated analog and mixed-signal engineering team focused on the most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complex challenges related to oscillators, such as OCXOs, Super-TCXOs, XOs, VCXOs, and DCXOs, and clock ICs, such as network synchronizers, jitter cleaners, clock generators, and buffers. Our analog mixed-signal technologies include several innovative low-noise circuit-based oscillators, high-performance PLLs, low-noise data converters, and precision low-aging reference circuits. Many of our oscillators use temperature sensing to maximize frequency stability. Our low-power nano-ampere and high-resolution DualMEMS® sensing technologies stabilize our Precision Timing solutions despite rapid temperature changes. We also offer what we consider to be leading solutions across a range of performance attributes, including Allan deviation, power supply noise rejection, temperature-sensing resolution, and integrated phase jitter.</w:t>
      </w:r>
    </w:p>
    <w:p>
      <w:pPr>
        <w:spacing w:after="0" w:line="76" w:lineRule="exact"/>
        <w:rPr>
          <w:rFonts w:ascii="Times New Roman" w:cs="Times New Roman" w:eastAsia="Times New Roman" w:hAnsi="Times New Roman"/>
          <w:sz w:val="19"/>
          <w:szCs w:val="19"/>
          <w:color w:val="auto"/>
        </w:rPr>
      </w:pPr>
    </w:p>
    <w:p>
      <w:pPr>
        <w:ind w:left="1080" w:right="60" w:hanging="550"/>
        <w:spacing w:after="0" w:line="255" w:lineRule="auto"/>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MEMS resonators</w:t>
      </w:r>
      <w:r>
        <w:rPr>
          <w:rFonts w:ascii="Times New Roman" w:cs="Times New Roman" w:eastAsia="Times New Roman" w:hAnsi="Times New Roman"/>
          <w:sz w:val="20"/>
          <w:szCs w:val="20"/>
          <w:color w:val="auto"/>
        </w:rPr>
        <w:t>: We pioneered the silicon MEMS timing industry with the MEMS First®, EpiSeal®,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TempFlat® and ApexMEMS processes and technologies. These manufacturing processes and technologies have allowed the hermetically sealed resonator die to be housed in industry-standard, low-cost plastic packages or use advanced packaging techniques such as wafer-level chip-scale packing. These processes and technologies improve resonator stability, increase quality and reliability, and decrease aging effects. Because our MEMS resonators are manufactured in silicon using semiconductor processes, they are easier to integrate into silicon-based oscillators and clock ICs, and allow us to develop tightly-integrated Precision Timing solutions.</w:t>
      </w:r>
    </w:p>
    <w:p>
      <w:pPr>
        <w:spacing w:after="0" w:line="85" w:lineRule="exact"/>
        <w:rPr>
          <w:rFonts w:ascii="Times New Roman" w:cs="Times New Roman" w:eastAsia="Times New Roman" w:hAnsi="Times New Roman"/>
          <w:sz w:val="20"/>
          <w:szCs w:val="20"/>
          <w:color w:val="auto"/>
        </w:rPr>
      </w:pPr>
    </w:p>
    <w:p>
      <w:pPr>
        <w:ind w:left="1080" w:right="20" w:hanging="550"/>
        <w:spacing w:after="0" w:line="255" w:lineRule="auto"/>
        <w:tabs>
          <w:tab w:leader="none" w:pos="108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Advanced system-level integration</w:t>
      </w:r>
      <w:r>
        <w:rPr>
          <w:rFonts w:ascii="Times New Roman" w:cs="Times New Roman" w:eastAsia="Times New Roman" w:hAnsi="Times New Roman"/>
          <w:sz w:val="20"/>
          <w:szCs w:val="20"/>
          <w:color w:val="auto"/>
        </w:rPr>
        <w:t>: We have extensive know-how in integrating various timing components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into elegant system-level solutions. Because the internal elements of our products are silicon - namely the silicon MEMS resonators and the analog mixed-signal ICs - our systems integration design teams are not limited by the restrictions of using dissimilar materials such as quartz crystals and semiconductor die within a package. Our ability to integrate MEMS-based resonators with analog mixed-signal products allows us to develop oscillators and clock ICs in diverse permutations, which helps us innovate without the boundaries imposed by legacy materials. Our all-silicon approach enables us to solve difficult timing challenges in new ways. For example, we can use advanced packaging designs, yielding some of the smallest footprints in the industry.</w:t>
      </w:r>
    </w:p>
    <w:p>
      <w:pPr>
        <w:spacing w:after="0" w:line="81" w:lineRule="exact"/>
        <w:rPr>
          <w:rFonts w:ascii="Times New Roman" w:cs="Times New Roman" w:eastAsia="Times New Roman" w:hAnsi="Times New Roman"/>
          <w:sz w:val="20"/>
          <w:szCs w:val="20"/>
          <w:b w:val="1"/>
          <w:bCs w:val="1"/>
          <w:color w:val="auto"/>
        </w:rPr>
      </w:pPr>
    </w:p>
    <w:p>
      <w:pPr>
        <w:ind w:left="1080" w:right="20" w:hanging="550"/>
        <w:spacing w:after="0" w:line="268" w:lineRule="auto"/>
        <w:tabs>
          <w:tab w:leader="none" w:pos="1080" w:val="left"/>
        </w:tabs>
        <w:numPr>
          <w:ilvl w:val="0"/>
          <w:numId w:val="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Software suite: </w:t>
      </w:r>
      <w:r>
        <w:rPr>
          <w:rFonts w:ascii="Times New Roman" w:cs="Times New Roman" w:eastAsia="Times New Roman" w:hAnsi="Times New Roman"/>
          <w:sz w:val="20"/>
          <w:szCs w:val="20"/>
          <w:color w:val="auto"/>
        </w:rPr>
        <w:t>While we do not sell our software separately, such software suite embedded within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products delivers more accurate time synchronization in networks and extends the network's ability to operate without an accurate network clock ("holdover").</w:t>
      </w:r>
    </w:p>
    <w:p>
      <w:pPr>
        <w:spacing w:after="0" w:line="194"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20"/>
          <w:szCs w:val="20"/>
          <w:color w:val="auto"/>
        </w:rPr>
        <w:t>We design and develop each key building block of the timing system, from MEMS resonators to oscillator circuits to clock ICs to software. Our ability to combine our MEMS resonators with analog-mixed signal components in a fabless semiconductor supply chain allows us to build full timing solutions from the ground up, enabling our customers to focus on their core expertise.</w:t>
      </w:r>
    </w:p>
    <w:p>
      <w:pPr>
        <w:spacing w:after="0" w:line="20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Our flexible and programmable Precision Timing solutions offer the following benefits:</w:t>
      </w:r>
    </w:p>
    <w:p>
      <w:pPr>
        <w:spacing w:after="0" w:line="126" w:lineRule="exact"/>
        <w:rPr>
          <w:sz w:val="20"/>
          <w:szCs w:val="20"/>
          <w:color w:val="auto"/>
        </w:rPr>
      </w:pPr>
    </w:p>
    <w:p>
      <w:pPr>
        <w:ind w:left="1080" w:right="40" w:hanging="550"/>
        <w:spacing w:after="0" w:line="268"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High performance</w:t>
      </w:r>
      <w:r>
        <w:rPr>
          <w:rFonts w:ascii="Times New Roman" w:cs="Times New Roman" w:eastAsia="Times New Roman" w:hAnsi="Times New Roman"/>
          <w:sz w:val="20"/>
          <w:szCs w:val="20"/>
          <w:color w:val="auto"/>
        </w:rPr>
        <w:t>: Our portfolio of MEMS-based Precision Timing products allows us to provide our customers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high performance solutions across a wide range of attributes including stability over temperature, low sensitivity to vibration, low phase jitter, and other metrics.</w:t>
      </w:r>
    </w:p>
    <w:p>
      <w:pPr>
        <w:spacing w:after="0" w:line="69" w:lineRule="exact"/>
        <w:rPr>
          <w:rFonts w:ascii="Times New Roman" w:cs="Times New Roman" w:eastAsia="Times New Roman" w:hAnsi="Times New Roman"/>
          <w:sz w:val="20"/>
          <w:szCs w:val="20"/>
          <w:color w:val="auto"/>
        </w:rPr>
      </w:pPr>
    </w:p>
    <w:p>
      <w:pPr>
        <w:ind w:left="1080" w:right="40" w:hanging="550"/>
        <w:spacing w:after="0" w:line="262" w:lineRule="auto"/>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High resilience: </w:t>
      </w:r>
      <w:r>
        <w:rPr>
          <w:rFonts w:ascii="Times New Roman" w:cs="Times New Roman" w:eastAsia="Times New Roman" w:hAnsi="Times New Roman"/>
          <w:sz w:val="20"/>
          <w:szCs w:val="20"/>
          <w:color w:val="auto"/>
        </w:rPr>
        <w:t>Due to the unique properties of silicon, construction of our resonators, and advancements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analog design circuits, systems, and packaging, our products provide resilience and robustness against the harsh operating conditions of many end-products. Specifically, our solutions offer low sensitivity to electromagnetic energy, mechanical shock, vibration, airflow, temperature gradients and power supply noise.</w:t>
      </w:r>
    </w:p>
    <w:p>
      <w:pPr>
        <w:spacing w:after="0" w:line="74" w:lineRule="exact"/>
        <w:rPr>
          <w:rFonts w:ascii="Times New Roman" w:cs="Times New Roman" w:eastAsia="Times New Roman" w:hAnsi="Times New Roman"/>
          <w:sz w:val="20"/>
          <w:szCs w:val="20"/>
          <w:color w:val="auto"/>
        </w:rPr>
      </w:pPr>
    </w:p>
    <w:p>
      <w:pPr>
        <w:ind w:left="1080" w:right="100" w:hanging="550"/>
        <w:spacing w:after="0" w:line="269" w:lineRule="auto"/>
        <w:tabs>
          <w:tab w:leader="none" w:pos="1080" w:val="left"/>
        </w:tabs>
        <w:numPr>
          <w:ilvl w:val="0"/>
          <w:numId w:val="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Small size</w:t>
      </w:r>
      <w:r>
        <w:rPr>
          <w:rFonts w:ascii="Times New Roman" w:cs="Times New Roman" w:eastAsia="Times New Roman" w:hAnsi="Times New Roman"/>
          <w:sz w:val="20"/>
          <w:szCs w:val="20"/>
          <w:color w:val="auto"/>
        </w:rPr>
        <w:t>: Our solutions have a small footprint and package size, optimizing the end customer’s board area.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Additionally, many of our products have added integrated functions such as on-chip regulators and load capacitors which reduce the need for external components and decrease the overall system size.</w:t>
      </w:r>
    </w:p>
    <w:p>
      <w:pPr>
        <w:sectPr>
          <w:pgSz w:w="12240" w:h="15840" w:orient="portrait"/>
          <w:cols w:equalWidth="0" w:num="1">
            <w:col w:w="9880"/>
          </w:cols>
          <w:pgMar w:left="1180" w:top="85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880"/>
          </w:cols>
          <w:pgMar w:left="1180" w:top="856" w:right="1180" w:bottom="0" w:gutter="0" w:footer="0" w:header="0"/>
          <w:type w:val="continuous"/>
        </w:sectPr>
      </w:pPr>
    </w:p>
    <w:bookmarkStart w:id="12" w:name="page13"/>
    <w:bookmarkEnd w:id="12"/>
    <w:p>
      <w:pPr>
        <w:ind w:left="720" w:hanging="19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Low power</w:t>
      </w:r>
      <w:r>
        <w:rPr>
          <w:rFonts w:ascii="Times New Roman" w:cs="Times New Roman" w:eastAsia="Times New Roman" w:hAnsi="Times New Roman"/>
          <w:sz w:val="20"/>
          <w:szCs w:val="20"/>
          <w:color w:val="auto"/>
        </w:rPr>
        <w:t>: Our solutions operate at low power levels and have differentiated power-saving features such as</w:t>
      </w:r>
    </w:p>
    <w:p>
      <w:pPr>
        <w:spacing w:after="0" w:line="34" w:lineRule="exact"/>
        <w:rPr>
          <w:rFonts w:ascii="Times New Roman" w:cs="Times New Roman" w:eastAsia="Times New Roman" w:hAnsi="Times New Roman"/>
          <w:sz w:val="20"/>
          <w:szCs w:val="20"/>
          <w:color w:val="auto"/>
        </w:rPr>
      </w:pPr>
    </w:p>
    <w:p>
      <w:pPr>
        <w:ind w:left="1080" w:right="240"/>
        <w:spacing w:after="0" w:line="25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NanoDrive™ and FlexSwing™, making them well-suited for mobile, IoT and other power-sensitive applications. Additionally, the high stability of our products allows mobile and IoT devices to stay in sleep mode longer, extending battery life.</w:t>
      </w:r>
    </w:p>
    <w:p>
      <w:pPr>
        <w:spacing w:after="0" w:line="82" w:lineRule="exact"/>
        <w:rPr>
          <w:rFonts w:ascii="Times New Roman" w:cs="Times New Roman" w:eastAsia="Times New Roman" w:hAnsi="Times New Roman"/>
          <w:sz w:val="20"/>
          <w:szCs w:val="20"/>
          <w:color w:val="auto"/>
        </w:rPr>
      </w:pPr>
    </w:p>
    <w:p>
      <w:pPr>
        <w:ind w:left="1080" w:right="60" w:hanging="550"/>
        <w:spacing w:after="0" w:line="257"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Programmability</w:t>
      </w:r>
      <w:r>
        <w:rPr>
          <w:rFonts w:ascii="Times New Roman" w:cs="Times New Roman" w:eastAsia="Times New Roman" w:hAnsi="Times New Roman"/>
          <w:sz w:val="20"/>
          <w:szCs w:val="20"/>
          <w:color w:val="auto"/>
        </w:rPr>
        <w:t>: A majority of our oscillators have programmable output frequency that allows customers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optimize their design with custom frequencies. In contrast, traditional quartz oscillators are built to provide a single or very limited range of frequencies. Furthermore, our oscillators are configurable across a wide range of additional parameters, including stability metrics, voltage parameters, and temperature ranges, among others. This provides design flexibility for the customer, and enables us to produce a vast number of custom timing products on demand with short lead times.</w:t>
      </w:r>
    </w:p>
    <w:p>
      <w:pPr>
        <w:spacing w:after="0" w:line="82" w:lineRule="exact"/>
        <w:rPr>
          <w:rFonts w:ascii="Times New Roman" w:cs="Times New Roman" w:eastAsia="Times New Roman" w:hAnsi="Times New Roman"/>
          <w:sz w:val="20"/>
          <w:szCs w:val="20"/>
          <w:color w:val="auto"/>
        </w:rPr>
      </w:pPr>
    </w:p>
    <w:p>
      <w:pPr>
        <w:ind w:left="1080" w:right="140" w:hanging="550"/>
        <w:spacing w:after="0" w:line="286"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High quality and reliability</w:t>
      </w:r>
      <w:r>
        <w:rPr>
          <w:rFonts w:ascii="Times New Roman" w:cs="Times New Roman" w:eastAsia="Times New Roman" w:hAnsi="Times New Roman"/>
          <w:sz w:val="20"/>
          <w:szCs w:val="20"/>
          <w:color w:val="auto"/>
        </w:rPr>
        <w:t>: The combination of our materials, design, and manufacturing processes enables 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produce high quality products with long-term reliability.</w:t>
      </w:r>
    </w:p>
    <w:p>
      <w:pPr>
        <w:spacing w:after="0" w:line="51" w:lineRule="exact"/>
        <w:rPr>
          <w:rFonts w:ascii="Times New Roman" w:cs="Times New Roman" w:eastAsia="Times New Roman" w:hAnsi="Times New Roman"/>
          <w:sz w:val="20"/>
          <w:szCs w:val="20"/>
          <w:color w:val="auto"/>
        </w:rPr>
      </w:pPr>
    </w:p>
    <w:p>
      <w:pPr>
        <w:ind w:left="1080" w:right="60" w:hanging="550"/>
        <w:spacing w:after="0" w:line="257"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Flexible integration</w:t>
      </w:r>
      <w:r>
        <w:rPr>
          <w:rFonts w:ascii="Times New Roman" w:cs="Times New Roman" w:eastAsia="Times New Roman" w:hAnsi="Times New Roman"/>
          <w:sz w:val="20"/>
          <w:szCs w:val="20"/>
          <w:color w:val="auto"/>
        </w:rPr>
        <w:t>: Our MEMS resonators and clock ICs allow a wide range of packaging and integration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methodologies to support various levels of size, cost, and electrical, thermal, and mechanical performance. We are one of the first companies to introduce a clock system-on-a-chip with an embedded MEMS resonator, which solves significant board and system level problems. We believe that we have an advantage in delivering such integrated clocking solutions because the expertise related to these high-performance technologies resides in house.</w:t>
      </w:r>
    </w:p>
    <w:p>
      <w:pPr>
        <w:spacing w:after="0" w:line="82" w:lineRule="exact"/>
        <w:rPr>
          <w:rFonts w:ascii="Times New Roman" w:cs="Times New Roman" w:eastAsia="Times New Roman" w:hAnsi="Times New Roman"/>
          <w:sz w:val="20"/>
          <w:szCs w:val="20"/>
          <w:color w:val="auto"/>
        </w:rPr>
      </w:pPr>
    </w:p>
    <w:p>
      <w:pPr>
        <w:ind w:left="1080" w:right="320" w:hanging="550"/>
        <w:spacing w:after="0" w:line="268"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Leveraged product development</w:t>
      </w:r>
      <w:r>
        <w:rPr>
          <w:rFonts w:ascii="Times New Roman" w:cs="Times New Roman" w:eastAsia="Times New Roman" w:hAnsi="Times New Roman"/>
          <w:sz w:val="20"/>
          <w:szCs w:val="20"/>
          <w:color w:val="auto"/>
        </w:rPr>
        <w:t>: Our solutions employ different combinations of MEMS and circuit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components, enabling us to generate a vast number of custom part numbers, including over 40,000 unique part numbers shipped as of December 31, 2025.</w:t>
      </w:r>
    </w:p>
    <w:p>
      <w:pPr>
        <w:spacing w:after="0" w:line="69" w:lineRule="exact"/>
        <w:rPr>
          <w:rFonts w:ascii="Times New Roman" w:cs="Times New Roman" w:eastAsia="Times New Roman" w:hAnsi="Times New Roman"/>
          <w:sz w:val="20"/>
          <w:szCs w:val="20"/>
          <w:color w:val="auto"/>
        </w:rPr>
      </w:pPr>
    </w:p>
    <w:p>
      <w:pPr>
        <w:ind w:left="1080" w:right="600" w:hanging="550"/>
        <w:spacing w:after="0" w:line="286"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Rapid time to market</w:t>
      </w:r>
      <w:r>
        <w:rPr>
          <w:rFonts w:ascii="Times New Roman" w:cs="Times New Roman" w:eastAsia="Times New Roman" w:hAnsi="Times New Roman"/>
          <w:sz w:val="20"/>
          <w:szCs w:val="20"/>
          <w:color w:val="auto"/>
        </w:rPr>
        <w:t>: Our solutions can typically be delivered within weeks of initial customer order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configuration, enabling us to reduce our end customers’ time to market.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34"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Our objective is to be the leading provider of Precision Timing solutions for advanced and complex electronics applications. Our solutions not only displace existing products by providing improved performance across a range of operational attributes, but also enable next-generation electronic applications by providing high performance at affordable price points. We believe our performance and size benefits enable new system-level architectural options that in turn enable innovation for our end customers. Key elements of our strategy include:</w:t>
      </w:r>
    </w:p>
    <w:p>
      <w:pPr>
        <w:spacing w:after="0" w:line="80" w:lineRule="exact"/>
        <w:rPr>
          <w:sz w:val="20"/>
          <w:szCs w:val="20"/>
          <w:color w:val="auto"/>
        </w:rPr>
      </w:pPr>
    </w:p>
    <w:p>
      <w:pPr>
        <w:ind w:left="1080" w:right="120" w:hanging="550"/>
        <w:spacing w:after="0" w:line="255"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Extend our leadership in Precision Timing</w:t>
      </w:r>
      <w:r>
        <w:rPr>
          <w:rFonts w:ascii="Times New Roman" w:cs="Times New Roman" w:eastAsia="Times New Roman" w:hAnsi="Times New Roman"/>
          <w:sz w:val="20"/>
          <w:szCs w:val="20"/>
          <w:color w:val="auto"/>
        </w:rPr>
        <w:t>. SiTime pioneered the Precision Timing category, and we intend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continue driving innovation in the timing market and working with our ecosystem partners to help set the timing standards of the future. Through this and other efforts, we expect to enable customers to create reference architectures and purchase complete solutions. Our knowledge of the end systems architecture, its future trajectory, and the clock tree are important for developing better Precision Timing products, as well as helping customers get the best system performance and reliability. We plan to improve the performance of our current solution suite across a variety of key metrics, including size, power, frequency stability, phase noise, and signal quality, while adding new functionality.</w:t>
      </w:r>
    </w:p>
    <w:p>
      <w:pPr>
        <w:spacing w:after="0" w:line="85" w:lineRule="exact"/>
        <w:rPr>
          <w:rFonts w:ascii="Times New Roman" w:cs="Times New Roman" w:eastAsia="Times New Roman" w:hAnsi="Times New Roman"/>
          <w:sz w:val="20"/>
          <w:szCs w:val="20"/>
          <w:color w:val="auto"/>
        </w:rPr>
      </w:pPr>
    </w:p>
    <w:p>
      <w:pPr>
        <w:ind w:left="1080" w:hanging="550"/>
        <w:spacing w:after="0" w:line="259"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Educate and promote the benefits of silicon timing technology</w:t>
      </w:r>
      <w:r>
        <w:rPr>
          <w:rFonts w:ascii="Times New Roman" w:cs="Times New Roman" w:eastAsia="Times New Roman" w:hAnsi="Times New Roman"/>
          <w:sz w:val="20"/>
          <w:szCs w:val="20"/>
          <w:color w:val="auto"/>
        </w:rPr>
        <w:t>. We intend to continue to educate current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prospective customers about the benefits of our Precision Timing solutions relative to their existing and future products. Our </w:t>
      </w:r>
      <w:r>
        <w:rPr>
          <w:rFonts w:ascii="Times New Roman" w:cs="Times New Roman" w:eastAsia="Times New Roman" w:hAnsi="Times New Roman"/>
          <w:sz w:val="20"/>
          <w:szCs w:val="20"/>
          <w:i w:val="1"/>
          <w:iCs w:val="1"/>
          <w:color w:val="auto"/>
        </w:rPr>
        <w:t>Timing Essentials Learning Hub</w:t>
      </w:r>
      <w:r>
        <w:rPr>
          <w:rFonts w:ascii="Times New Roman" w:cs="Times New Roman" w:eastAsia="Times New Roman" w:hAnsi="Times New Roman"/>
          <w:sz w:val="20"/>
          <w:szCs w:val="20"/>
          <w:color w:val="auto"/>
        </w:rPr>
        <w:t xml:space="preserve"> is an online educational platform established to share our knowledge to help customers better understand timing to improve their designs, as well as promote our thought and technology leadership.</w:t>
      </w:r>
    </w:p>
    <w:p>
      <w:pPr>
        <w:spacing w:after="0" w:line="79" w:lineRule="exact"/>
        <w:rPr>
          <w:rFonts w:ascii="Times New Roman" w:cs="Times New Roman" w:eastAsia="Times New Roman" w:hAnsi="Times New Roman"/>
          <w:sz w:val="20"/>
          <w:szCs w:val="20"/>
          <w:color w:val="auto"/>
        </w:rPr>
      </w:pPr>
    </w:p>
    <w:p>
      <w:pPr>
        <w:ind w:left="1080" w:right="400" w:hanging="550"/>
        <w:spacing w:after="0" w:line="268"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Identify and promote new and emerging applications for our technologies</w:t>
      </w:r>
      <w:r>
        <w:rPr>
          <w:rFonts w:ascii="Times New Roman" w:cs="Times New Roman" w:eastAsia="Times New Roman" w:hAnsi="Times New Roman"/>
          <w:sz w:val="20"/>
          <w:szCs w:val="20"/>
          <w:color w:val="auto"/>
        </w:rPr>
        <w:t>. We intend to continue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collaborate with our end customers to identify timing challenges related to their product roadmaps and to support new applications that would not be possible without SiTime's unique timing technology.</w:t>
      </w:r>
    </w:p>
    <w:p>
      <w:pPr>
        <w:spacing w:after="0" w:line="69" w:lineRule="exact"/>
        <w:rPr>
          <w:rFonts w:ascii="Times New Roman" w:cs="Times New Roman" w:eastAsia="Times New Roman" w:hAnsi="Times New Roman"/>
          <w:sz w:val="20"/>
          <w:szCs w:val="20"/>
          <w:color w:val="auto"/>
        </w:rPr>
      </w:pPr>
    </w:p>
    <w:p>
      <w:pPr>
        <w:ind w:left="1080" w:right="240" w:hanging="550"/>
        <w:spacing w:after="0" w:line="314" w:lineRule="auto"/>
        <w:tabs>
          <w:tab w:leader="none" w:pos="72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Enable future technology innovation</w:t>
      </w:r>
      <w:r>
        <w:rPr>
          <w:rFonts w:ascii="Times New Roman" w:cs="Times New Roman" w:eastAsia="Times New Roman" w:hAnsi="Times New Roman"/>
          <w:sz w:val="19"/>
          <w:szCs w:val="19"/>
          <w:color w:val="auto"/>
        </w:rPr>
        <w:t>. We plan to continue to apply our MEMS, analog and mixed-signal,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systems expertise, as well as partner with leading technology companies to develop innovative products.</w:t>
      </w:r>
    </w:p>
    <w:p>
      <w:pPr>
        <w:spacing w:after="0" w:line="28" w:lineRule="exact"/>
        <w:rPr>
          <w:rFonts w:ascii="Times New Roman" w:cs="Times New Roman" w:eastAsia="Times New Roman" w:hAnsi="Times New Roman"/>
          <w:sz w:val="19"/>
          <w:szCs w:val="19"/>
          <w:color w:val="auto"/>
        </w:rPr>
      </w:pPr>
    </w:p>
    <w:p>
      <w:pPr>
        <w:ind w:left="1080" w:right="300" w:hanging="550"/>
        <w:spacing w:after="0" w:line="268"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Broaden our product portfolio</w:t>
      </w:r>
      <w:r>
        <w:rPr>
          <w:rFonts w:ascii="Times New Roman" w:cs="Times New Roman" w:eastAsia="Times New Roman" w:hAnsi="Times New Roman"/>
          <w:sz w:val="20"/>
          <w:szCs w:val="20"/>
          <w:color w:val="auto"/>
        </w:rPr>
        <w:t>. We intend to continue to broaden our product portfolio by offering additional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varieties of oscillators, expanding into the clock IC market and growing our business in standalone resonators.</w:t>
      </w:r>
    </w:p>
    <w:p>
      <w:pPr>
        <w:sectPr>
          <w:pgSz w:w="12240" w:h="15840" w:orient="portrait"/>
          <w:cols w:equalWidth="0" w:num="1">
            <w:col w:w="9880"/>
          </w:cols>
          <w:pgMar w:left="1180" w:top="852"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880"/>
          </w:cols>
          <w:pgMar w:left="1180" w:top="852" w:right="1180" w:bottom="0" w:gutter="0" w:footer="0" w:header="0"/>
          <w:type w:val="continuous"/>
        </w:sectPr>
      </w:pPr>
    </w:p>
    <w:bookmarkStart w:id="13" w:name="page14"/>
    <w:bookmarkEnd w:id="13"/>
    <w:p>
      <w:pPr>
        <w:ind w:left="1080" w:hanging="550"/>
        <w:spacing w:after="0" w:line="259"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Continue to attract and acquire new customers</w:t>
      </w:r>
      <w:r>
        <w:rPr>
          <w:rFonts w:ascii="Times New Roman" w:cs="Times New Roman" w:eastAsia="Times New Roman" w:hAnsi="Times New Roman"/>
          <w:sz w:val="20"/>
          <w:szCs w:val="20"/>
          <w:color w:val="auto"/>
        </w:rPr>
        <w:t>. We expect to continue expanding our end customer base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through direct dialogue with large strategic accounts, partnerships with large distributors, as well as grow direct online sales with the SiTimeDirect store. With continued investment in our digital marketing strategies that advance the SiTime customer experience, along with sophisticated market segmentation efforts, we expect to identify new customers, and deliver differentiated Precision Timing solutions to them.</w:t>
      </w:r>
    </w:p>
    <w:p>
      <w:pPr>
        <w:spacing w:after="0" w:line="79" w:lineRule="exact"/>
        <w:rPr>
          <w:rFonts w:ascii="Times New Roman" w:cs="Times New Roman" w:eastAsia="Times New Roman" w:hAnsi="Times New Roman"/>
          <w:sz w:val="20"/>
          <w:szCs w:val="20"/>
          <w:color w:val="auto"/>
        </w:rPr>
      </w:pPr>
    </w:p>
    <w:p>
      <w:pPr>
        <w:ind w:left="1080" w:right="140" w:hanging="550"/>
        <w:spacing w:after="0" w:line="289" w:lineRule="auto"/>
        <w:tabs>
          <w:tab w:leader="none" w:pos="72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Drive margin expansion of our products</w:t>
      </w:r>
      <w:r>
        <w:rPr>
          <w:rFonts w:ascii="Times New Roman" w:cs="Times New Roman" w:eastAsia="Times New Roman" w:hAnsi="Times New Roman"/>
          <w:sz w:val="19"/>
          <w:szCs w:val="19"/>
          <w:color w:val="auto"/>
        </w:rPr>
        <w:t>. We intend to use our technological expertise to deliver higher value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higher margin products through traditional and new innovative channels. In addition, we intend to continue to reduce our costs through operational improvements and supply-chain management initiatives.</w:t>
      </w:r>
    </w:p>
    <w:p>
      <w:pPr>
        <w:spacing w:after="0" w:line="51" w:lineRule="exact"/>
        <w:rPr>
          <w:rFonts w:ascii="Times New Roman" w:cs="Times New Roman" w:eastAsia="Times New Roman" w:hAnsi="Times New Roman"/>
          <w:sz w:val="19"/>
          <w:szCs w:val="19"/>
          <w:color w:val="auto"/>
        </w:rPr>
      </w:pPr>
    </w:p>
    <w:p>
      <w:pPr>
        <w:ind w:left="1080" w:right="220" w:hanging="550"/>
        <w:spacing w:after="0" w:line="262"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Deliver lower cost of ownership</w:t>
      </w:r>
      <w:r>
        <w:rPr>
          <w:rFonts w:ascii="Times New Roman" w:cs="Times New Roman" w:eastAsia="Times New Roman" w:hAnsi="Times New Roman"/>
          <w:sz w:val="20"/>
          <w:szCs w:val="20"/>
          <w:color w:val="auto"/>
        </w:rPr>
        <w:t>. In addition to differentiating our solutions based on technical features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value, we also intend to provide value to our customers on business metrics by leveraging our fabless semiconductor infrastructure. These benefits may include shorter lead times, higher quality and reliability, and therefore lower cost of ownership for the end customer.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Products</w:t>
      </w:r>
    </w:p>
    <w:p>
      <w:pPr>
        <w:spacing w:after="0" w:line="134" w:lineRule="exact"/>
        <w:rPr>
          <w:sz w:val="20"/>
          <w:szCs w:val="20"/>
          <w:color w:val="auto"/>
        </w:rPr>
      </w:pPr>
    </w:p>
    <w:p>
      <w:pPr>
        <w:jc w:val="both"/>
        <w:ind w:right="180" w:firstLine="720"/>
        <w:spacing w:after="0" w:line="266" w:lineRule="auto"/>
        <w:rPr>
          <w:sz w:val="20"/>
          <w:szCs w:val="20"/>
          <w:color w:val="auto"/>
        </w:rPr>
      </w:pPr>
      <w:r>
        <w:rPr>
          <w:rFonts w:ascii="Times New Roman" w:cs="Times New Roman" w:eastAsia="Times New Roman" w:hAnsi="Times New Roman"/>
          <w:sz w:val="20"/>
          <w:szCs w:val="20"/>
          <w:color w:val="auto"/>
        </w:rPr>
        <w:t>Our Precision Timing products are designed to address a wide range of applications across a broad array of end markets. Our product portfolio encompasses oscillators, clock ICs, and resonators. The programmability of our product platforms enables us to generate solutions quickly to customer specifications.</w:t>
      </w:r>
    </w:p>
    <w:p>
      <w:pPr>
        <w:spacing w:after="0" w:line="243"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20"/>
          <w:szCs w:val="20"/>
          <w:color w:val="auto"/>
        </w:rPr>
        <w:t>We are well established with our core offering of oscillator products that comprise a MEMS resonator and an analog mixed-signal IC that are integrated into a package. The following table illustrates our current portfolio of products by target end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780"/>
          </w:cols>
          <w:pgMar w:left="1180" w:top="852" w:right="1280" w:bottom="0" w:gutter="0" w:footer="0" w:header="0"/>
        </w:sectPr>
      </w:pPr>
    </w:p>
    <w:bookmarkStart w:id="14" w:name="page15"/>
    <w:bookmarkEnd w:id="14"/>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1814830</wp:posOffset>
                </wp:positionH>
                <wp:positionV relativeFrom="page">
                  <wp:posOffset>769620</wp:posOffset>
                </wp:positionV>
                <wp:extent cx="949325" cy="56261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9325" cy="562610"/>
                        </a:xfrm>
                        <a:prstGeom prst="rect">
                          <a:avLst/>
                        </a:prstGeom>
                        <a:solidFill>
                          <a:srgbClr val="A6A6A6"/>
                        </a:solidFill>
                      </wps:spPr>
                      <wps:bodyPr/>
                    </wps:wsp>
                  </a:graphicData>
                </a:graphic>
              </wp:anchor>
            </w:drawing>
          </mc:Choice>
          <mc:Fallback>
            <w:pict>
              <v:rect id="Shape 5" o:spid="_x0000_s1030" style="position:absolute;margin-left:142.9pt;margin-top:60.6pt;width:74.75pt;height:44.3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6A6A6"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1847850</wp:posOffset>
                </wp:positionH>
                <wp:positionV relativeFrom="page">
                  <wp:posOffset>989330</wp:posOffset>
                </wp:positionV>
                <wp:extent cx="881380" cy="12192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1380" cy="121920"/>
                        </a:xfrm>
                        <a:prstGeom prst="rect">
                          <a:avLst/>
                        </a:prstGeom>
                        <a:solidFill>
                          <a:srgbClr val="A6A6A6"/>
                        </a:solidFill>
                      </wps:spPr>
                      <wps:bodyPr/>
                    </wps:wsp>
                  </a:graphicData>
                </a:graphic>
              </wp:anchor>
            </w:drawing>
          </mc:Choice>
          <mc:Fallback>
            <w:pict>
              <v:rect id="Shape 6" o:spid="_x0000_s1031" style="position:absolute;margin-left:145.5pt;margin-top:77.9pt;width:69.4pt;height:9.6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6A6A6"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1847850</wp:posOffset>
                </wp:positionH>
                <wp:positionV relativeFrom="page">
                  <wp:posOffset>1111250</wp:posOffset>
                </wp:positionV>
                <wp:extent cx="881380" cy="12192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1380" cy="121920"/>
                        </a:xfrm>
                        <a:prstGeom prst="rect">
                          <a:avLst/>
                        </a:prstGeom>
                        <a:solidFill>
                          <a:srgbClr val="A6A6A6"/>
                        </a:solidFill>
                      </wps:spPr>
                      <wps:bodyPr/>
                    </wps:wsp>
                  </a:graphicData>
                </a:graphic>
              </wp:anchor>
            </w:drawing>
          </mc:Choice>
          <mc:Fallback>
            <w:pict>
              <v:rect id="Shape 7" o:spid="_x0000_s1032" style="position:absolute;margin-left:145.5pt;margin-top:87.5pt;width:69.4pt;height:9.6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A6A6A6" stroked="f">
                <w10:wrap anchorx="page" anchory="page"/>
              </v:rect>
            </w:pict>
          </mc:Fallback>
        </mc:AlternateContent>
      </w:r>
    </w:p>
    <w:p>
      <w:pPr>
        <w:spacing w:after="0" w:line="267" w:lineRule="exact"/>
        <w:rPr>
          <w:sz w:val="20"/>
          <w:szCs w:val="20"/>
          <w:color w:val="auto"/>
        </w:rPr>
      </w:pPr>
    </w:p>
    <w:p>
      <w:pPr>
        <w:jc w:val="center"/>
        <w:ind w:left="1840"/>
        <w:spacing w:after="0"/>
        <w:rPr>
          <w:sz w:val="20"/>
          <w:szCs w:val="20"/>
          <w:color w:val="auto"/>
        </w:rPr>
      </w:pPr>
      <w:r>
        <w:rPr>
          <w:rFonts w:ascii="Calibri" w:cs="Calibri" w:eastAsia="Calibri" w:hAnsi="Calibri"/>
          <w:sz w:val="16"/>
          <w:szCs w:val="16"/>
          <w:b w:val="1"/>
          <w:bCs w:val="1"/>
          <w:color w:val="FFFFFF"/>
          <w:highlight w:val="darkGray"/>
        </w:rPr>
        <w:t>Communications,</w:t>
      </w:r>
    </w:p>
    <w:p>
      <w:pPr>
        <w:spacing w:after="0" w:line="15" w:lineRule="exact"/>
        <w:rPr>
          <w:sz w:val="20"/>
          <w:szCs w:val="20"/>
          <w:color w:val="auto"/>
        </w:rPr>
      </w:pPr>
    </w:p>
    <w:p>
      <w:pPr>
        <w:jc w:val="center"/>
        <w:ind w:left="1840"/>
        <w:spacing w:after="0"/>
        <w:rPr>
          <w:sz w:val="20"/>
          <w:szCs w:val="20"/>
          <w:color w:val="auto"/>
        </w:rPr>
      </w:pPr>
      <w:r>
        <w:rPr>
          <w:rFonts w:ascii="Calibri" w:cs="Calibri" w:eastAsia="Calibri" w:hAnsi="Calibri"/>
          <w:sz w:val="16"/>
          <w:szCs w:val="16"/>
          <w:b w:val="1"/>
          <w:bCs w:val="1"/>
          <w:color w:val="FFFFFF"/>
        </w:rPr>
        <w:t>Datacenter,</w:t>
      </w:r>
    </w:p>
    <w:p>
      <w:pPr>
        <w:jc w:val="center"/>
        <w:ind w:left="1840"/>
        <w:spacing w:after="0" w:line="235" w:lineRule="auto"/>
        <w:rPr>
          <w:sz w:val="20"/>
          <w:szCs w:val="20"/>
          <w:color w:val="auto"/>
        </w:rPr>
      </w:pPr>
      <w:r>
        <w:rPr>
          <w:rFonts w:ascii="Calibri" w:cs="Calibri" w:eastAsia="Calibri" w:hAnsi="Calibri"/>
          <w:sz w:val="16"/>
          <w:szCs w:val="16"/>
          <w:b w:val="1"/>
          <w:bCs w:val="1"/>
          <w:color w:val="FFFFFF"/>
        </w:rPr>
        <w:t>&amp; Enterprise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1065530</wp:posOffset>
                </wp:positionH>
                <wp:positionV relativeFrom="paragraph">
                  <wp:posOffset>191770</wp:posOffset>
                </wp:positionV>
                <wp:extent cx="949325" cy="55245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9325" cy="552450"/>
                        </a:xfrm>
                        <a:prstGeom prst="rect">
                          <a:avLst/>
                        </a:prstGeom>
                        <a:solidFill>
                          <a:srgbClr val="000000"/>
                        </a:solidFill>
                      </wps:spPr>
                      <wps:bodyPr/>
                    </wps:wsp>
                  </a:graphicData>
                </a:graphic>
              </wp:anchor>
            </w:drawing>
          </mc:Choice>
          <mc:Fallback>
            <w:pict>
              <v:rect id="Shape 8" o:spid="_x0000_s1033" style="position:absolute;margin-left:83.9pt;margin-top:15.1pt;width:74.75pt;height:4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1098550</wp:posOffset>
                </wp:positionH>
                <wp:positionV relativeFrom="paragraph">
                  <wp:posOffset>345440</wp:posOffset>
                </wp:positionV>
                <wp:extent cx="881380" cy="12192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1380" cy="121920"/>
                        </a:xfrm>
                        <a:prstGeom prst="rect">
                          <a:avLst/>
                        </a:prstGeom>
                        <a:solidFill>
                          <a:srgbClr val="000000"/>
                        </a:solidFill>
                      </wps:spPr>
                      <wps:bodyPr/>
                    </wps:wsp>
                  </a:graphicData>
                </a:graphic>
              </wp:anchor>
            </w:drawing>
          </mc:Choice>
          <mc:Fallback>
            <w:pict>
              <v:rect id="Shape 9" o:spid="_x0000_s1034" style="position:absolute;margin-left:86.5pt;margin-top:27.2pt;width:69.4pt;height: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1098550</wp:posOffset>
                </wp:positionH>
                <wp:positionV relativeFrom="paragraph">
                  <wp:posOffset>467360</wp:posOffset>
                </wp:positionV>
                <wp:extent cx="881380" cy="12192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1380" cy="121920"/>
                        </a:xfrm>
                        <a:prstGeom prst="rect">
                          <a:avLst/>
                        </a:prstGeom>
                        <a:solidFill>
                          <a:srgbClr val="000000"/>
                        </a:solidFill>
                      </wps:spPr>
                      <wps:bodyPr/>
                    </wps:wsp>
                  </a:graphicData>
                </a:graphic>
              </wp:anchor>
            </w:drawing>
          </mc:Choice>
          <mc:Fallback>
            <w:pict>
              <v:rect id="Shape 10" o:spid="_x0000_s1035" style="position:absolute;margin-left:86.5pt;margin-top:36.8pt;width:69.4pt;height: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76" w:lineRule="exact"/>
        <w:rPr>
          <w:sz w:val="20"/>
          <w:szCs w:val="20"/>
          <w:color w:val="auto"/>
        </w:rPr>
      </w:pPr>
    </w:p>
    <w:p>
      <w:pPr>
        <w:ind w:left="2100"/>
        <w:spacing w:after="0"/>
        <w:rPr>
          <w:sz w:val="20"/>
          <w:szCs w:val="20"/>
          <w:color w:val="auto"/>
        </w:rPr>
      </w:pPr>
      <w:r>
        <w:rPr>
          <w:rFonts w:ascii="Calibri" w:cs="Calibri" w:eastAsia="Calibri" w:hAnsi="Calibri"/>
          <w:sz w:val="16"/>
          <w:szCs w:val="16"/>
          <w:b w:val="1"/>
          <w:bCs w:val="1"/>
          <w:color w:val="FFFFFF"/>
        </w:rPr>
        <w:t>Low Jitter</w:t>
      </w:r>
    </w:p>
    <w:p>
      <w:pPr>
        <w:spacing w:after="0" w:line="15" w:lineRule="exact"/>
        <w:rPr>
          <w:sz w:val="20"/>
          <w:szCs w:val="20"/>
          <w:color w:val="auto"/>
        </w:rPr>
      </w:pPr>
    </w:p>
    <w:p>
      <w:pPr>
        <w:ind w:left="2080"/>
        <w:spacing w:after="0"/>
        <w:rPr>
          <w:sz w:val="20"/>
          <w:szCs w:val="20"/>
          <w:color w:val="auto"/>
        </w:rPr>
      </w:pPr>
      <w:r>
        <w:rPr>
          <w:rFonts w:ascii="Calibri" w:cs="Calibri" w:eastAsia="Calibri" w:hAnsi="Calibri"/>
          <w:sz w:val="16"/>
          <w:szCs w:val="16"/>
          <w:b w:val="1"/>
          <w:bCs w:val="1"/>
          <w:color w:val="FFFFFF"/>
        </w:rPr>
        <w:t>Oscillators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1065530</wp:posOffset>
                </wp:positionH>
                <wp:positionV relativeFrom="paragraph">
                  <wp:posOffset>247650</wp:posOffset>
                </wp:positionV>
                <wp:extent cx="949325" cy="55245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9325" cy="552450"/>
                        </a:xfrm>
                        <a:prstGeom prst="rect">
                          <a:avLst/>
                        </a:prstGeom>
                        <a:solidFill>
                          <a:srgbClr val="000000"/>
                        </a:solidFill>
                      </wps:spPr>
                      <wps:bodyPr/>
                    </wps:wsp>
                  </a:graphicData>
                </a:graphic>
              </wp:anchor>
            </w:drawing>
          </mc:Choice>
          <mc:Fallback>
            <w:pict>
              <v:rect id="Shape 11" o:spid="_x0000_s1036" style="position:absolute;margin-left:83.9pt;margin-top:19.5pt;width:74.75pt;height:4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1098550</wp:posOffset>
                </wp:positionH>
                <wp:positionV relativeFrom="paragraph">
                  <wp:posOffset>370840</wp:posOffset>
                </wp:positionV>
                <wp:extent cx="881380" cy="30480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1380" cy="304800"/>
                        </a:xfrm>
                        <a:prstGeom prst="rect">
                          <a:avLst/>
                        </a:prstGeom>
                        <a:solidFill>
                          <a:srgbClr val="000000"/>
                        </a:solidFill>
                      </wps:spPr>
                      <wps:bodyPr/>
                    </wps:wsp>
                  </a:graphicData>
                </a:graphic>
              </wp:anchor>
            </w:drawing>
          </mc:Choice>
          <mc:Fallback>
            <w:pict>
              <v:rect id="Shape 12" o:spid="_x0000_s1037" style="position:absolute;margin-left:86.5pt;margin-top:29.2pt;width:69.4pt;height:2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316" w:lineRule="exact"/>
        <w:rPr>
          <w:sz w:val="20"/>
          <w:szCs w:val="20"/>
          <w:color w:val="auto"/>
        </w:rPr>
      </w:pPr>
    </w:p>
    <w:p>
      <w:pPr>
        <w:jc w:val="center"/>
        <w:ind w:left="1840"/>
        <w:spacing w:after="0"/>
        <w:rPr>
          <w:sz w:val="20"/>
          <w:szCs w:val="20"/>
          <w:color w:val="auto"/>
        </w:rPr>
      </w:pPr>
      <w:r>
        <w:rPr>
          <w:rFonts w:ascii="Calibri" w:cs="Calibri" w:eastAsia="Calibri" w:hAnsi="Calibri"/>
          <w:sz w:val="16"/>
          <w:szCs w:val="16"/>
          <w:b w:val="1"/>
          <w:bCs w:val="1"/>
          <w:color w:val="FFFFFF"/>
        </w:rPr>
        <w:t>DCXO</w:t>
      </w:r>
    </w:p>
    <w:p>
      <w:pPr>
        <w:spacing w:after="0" w:line="18" w:lineRule="exact"/>
        <w:rPr>
          <w:sz w:val="20"/>
          <w:szCs w:val="20"/>
          <w:color w:val="auto"/>
        </w:rPr>
      </w:pPr>
    </w:p>
    <w:p>
      <w:pPr>
        <w:jc w:val="center"/>
        <w:ind w:left="1840"/>
        <w:spacing w:after="0"/>
        <w:rPr>
          <w:sz w:val="20"/>
          <w:szCs w:val="20"/>
          <w:color w:val="auto"/>
        </w:rPr>
      </w:pPr>
      <w:r>
        <w:rPr>
          <w:rFonts w:ascii="Calibri" w:cs="Calibri" w:eastAsia="Calibri" w:hAnsi="Calibri"/>
          <w:sz w:val="12"/>
          <w:szCs w:val="12"/>
          <w:b w:val="1"/>
          <w:bCs w:val="1"/>
          <w:color w:val="FFFFFF"/>
        </w:rPr>
        <w:t>In-System</w:t>
      </w:r>
    </w:p>
    <w:p>
      <w:pPr>
        <w:spacing w:after="0" w:line="1" w:lineRule="exact"/>
        <w:rPr>
          <w:sz w:val="20"/>
          <w:szCs w:val="20"/>
          <w:color w:val="auto"/>
        </w:rPr>
      </w:pPr>
    </w:p>
    <w:p>
      <w:pPr>
        <w:jc w:val="center"/>
        <w:ind w:left="1840"/>
        <w:spacing w:after="0"/>
        <w:rPr>
          <w:sz w:val="20"/>
          <w:szCs w:val="20"/>
          <w:color w:val="auto"/>
        </w:rPr>
      </w:pPr>
      <w:r>
        <w:rPr>
          <w:rFonts w:ascii="Calibri" w:cs="Calibri" w:eastAsia="Calibri" w:hAnsi="Calibri"/>
          <w:sz w:val="12"/>
          <w:szCs w:val="12"/>
          <w:b w:val="1"/>
          <w:bCs w:val="1"/>
          <w:color w:val="FFFFFF"/>
        </w:rPr>
        <w:t>Programmable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1065530</wp:posOffset>
                </wp:positionH>
                <wp:positionV relativeFrom="paragraph">
                  <wp:posOffset>213360</wp:posOffset>
                </wp:positionV>
                <wp:extent cx="949325" cy="55245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9325" cy="552450"/>
                        </a:xfrm>
                        <a:prstGeom prst="rect">
                          <a:avLst/>
                        </a:prstGeom>
                        <a:solidFill>
                          <a:srgbClr val="000000"/>
                        </a:solidFill>
                      </wps:spPr>
                      <wps:bodyPr/>
                    </wps:wsp>
                  </a:graphicData>
                </a:graphic>
              </wp:anchor>
            </w:drawing>
          </mc:Choice>
          <mc:Fallback>
            <w:pict>
              <v:rect id="Shape 13" o:spid="_x0000_s1038" style="position:absolute;margin-left:83.9pt;margin-top:16.8pt;width:74.75pt;height:4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1098550</wp:posOffset>
                </wp:positionH>
                <wp:positionV relativeFrom="paragraph">
                  <wp:posOffset>427990</wp:posOffset>
                </wp:positionV>
                <wp:extent cx="881380" cy="12192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1380" cy="121920"/>
                        </a:xfrm>
                        <a:prstGeom prst="rect">
                          <a:avLst/>
                        </a:prstGeom>
                        <a:solidFill>
                          <a:srgbClr val="000000"/>
                        </a:solidFill>
                      </wps:spPr>
                      <wps:bodyPr/>
                    </wps:wsp>
                  </a:graphicData>
                </a:graphic>
              </wp:anchor>
            </w:drawing>
          </mc:Choice>
          <mc:Fallback>
            <w:pict>
              <v:rect id="Shape 14" o:spid="_x0000_s1039" style="position:absolute;margin-left:86.5pt;margin-top:33.7pt;width:69.4pt;height: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40"/>
        <w:spacing w:after="0"/>
        <w:rPr>
          <w:sz w:val="20"/>
          <w:szCs w:val="20"/>
          <w:color w:val="auto"/>
        </w:rPr>
      </w:pPr>
      <w:r>
        <w:rPr>
          <w:rFonts w:ascii="Calibri" w:cs="Calibri" w:eastAsia="Calibri" w:hAnsi="Calibri"/>
          <w:sz w:val="16"/>
          <w:szCs w:val="16"/>
          <w:b w:val="1"/>
          <w:bCs w:val="1"/>
          <w:color w:val="FFFFFF"/>
        </w:rPr>
        <w:t>VCXO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1065530</wp:posOffset>
                </wp:positionH>
                <wp:positionV relativeFrom="paragraph">
                  <wp:posOffset>320040</wp:posOffset>
                </wp:positionV>
                <wp:extent cx="949325" cy="55245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9325" cy="552450"/>
                        </a:xfrm>
                        <a:prstGeom prst="rect">
                          <a:avLst/>
                        </a:prstGeom>
                        <a:solidFill>
                          <a:srgbClr val="000000"/>
                        </a:solidFill>
                      </wps:spPr>
                      <wps:bodyPr/>
                    </wps:wsp>
                  </a:graphicData>
                </a:graphic>
              </wp:anchor>
            </w:drawing>
          </mc:Choice>
          <mc:Fallback>
            <w:pict>
              <v:rect id="Shape 15" o:spid="_x0000_s1040" style="position:absolute;margin-left:83.9pt;margin-top:25.2pt;width:74.75pt;height:4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1098550</wp:posOffset>
                </wp:positionH>
                <wp:positionV relativeFrom="paragraph">
                  <wp:posOffset>473710</wp:posOffset>
                </wp:positionV>
                <wp:extent cx="881380" cy="12192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1380" cy="121920"/>
                        </a:xfrm>
                        <a:prstGeom prst="rect">
                          <a:avLst/>
                        </a:prstGeom>
                        <a:solidFill>
                          <a:srgbClr val="000000"/>
                        </a:solidFill>
                      </wps:spPr>
                      <wps:bodyPr/>
                    </wps:wsp>
                  </a:graphicData>
                </a:graphic>
              </wp:anchor>
            </w:drawing>
          </mc:Choice>
          <mc:Fallback>
            <w:pict>
              <v:rect id="Shape 16" o:spid="_x0000_s1041" style="position:absolute;margin-left:86.5pt;margin-top:37.3pt;width:69.4pt;height: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1098550</wp:posOffset>
                </wp:positionH>
                <wp:positionV relativeFrom="paragraph">
                  <wp:posOffset>595630</wp:posOffset>
                </wp:positionV>
                <wp:extent cx="881380" cy="12192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1380" cy="121920"/>
                        </a:xfrm>
                        <a:prstGeom prst="rect">
                          <a:avLst/>
                        </a:prstGeom>
                        <a:solidFill>
                          <a:srgbClr val="000000"/>
                        </a:solidFill>
                      </wps:spPr>
                      <wps:bodyPr/>
                    </wps:wsp>
                  </a:graphicData>
                </a:graphic>
              </wp:anchor>
            </w:drawing>
          </mc:Choice>
          <mc:Fallback>
            <w:pict>
              <v:rect id="Shape 17" o:spid="_x0000_s1042" style="position:absolute;margin-left:86.5pt;margin-top:46.9pt;width:69.4pt;height: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1840"/>
        <w:spacing w:after="0"/>
        <w:rPr>
          <w:sz w:val="20"/>
          <w:szCs w:val="20"/>
          <w:color w:val="auto"/>
        </w:rPr>
      </w:pPr>
      <w:r>
        <w:rPr>
          <w:rFonts w:ascii="Calibri" w:cs="Calibri" w:eastAsia="Calibri" w:hAnsi="Calibri"/>
          <w:sz w:val="16"/>
          <w:szCs w:val="16"/>
          <w:b w:val="1"/>
          <w:bCs w:val="1"/>
          <w:color w:val="FFFFFF"/>
        </w:rPr>
        <w:t>TCXO/VCTCXO/</w:t>
      </w:r>
    </w:p>
    <w:p>
      <w:pPr>
        <w:spacing w:after="0" w:line="15" w:lineRule="exact"/>
        <w:rPr>
          <w:sz w:val="20"/>
          <w:szCs w:val="20"/>
          <w:color w:val="auto"/>
        </w:rPr>
      </w:pPr>
    </w:p>
    <w:p>
      <w:pPr>
        <w:jc w:val="center"/>
        <w:ind w:left="1840"/>
        <w:spacing w:after="0"/>
        <w:rPr>
          <w:sz w:val="20"/>
          <w:szCs w:val="20"/>
          <w:color w:val="auto"/>
        </w:rPr>
      </w:pPr>
      <w:r>
        <w:rPr>
          <w:rFonts w:ascii="Calibri" w:cs="Calibri" w:eastAsia="Calibri" w:hAnsi="Calibri"/>
          <w:sz w:val="16"/>
          <w:szCs w:val="16"/>
          <w:b w:val="1"/>
          <w:bCs w:val="1"/>
          <w:color w:val="FFFFFF"/>
        </w:rPr>
        <w:t>DCTCXO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1065530</wp:posOffset>
                </wp:positionH>
                <wp:positionV relativeFrom="paragraph">
                  <wp:posOffset>247650</wp:posOffset>
                </wp:positionV>
                <wp:extent cx="949325" cy="55245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9325" cy="552450"/>
                        </a:xfrm>
                        <a:prstGeom prst="rect">
                          <a:avLst/>
                        </a:prstGeom>
                        <a:solidFill>
                          <a:srgbClr val="000000"/>
                        </a:solidFill>
                      </wps:spPr>
                      <wps:bodyPr/>
                    </wps:wsp>
                  </a:graphicData>
                </a:graphic>
              </wp:anchor>
            </w:drawing>
          </mc:Choice>
          <mc:Fallback>
            <w:pict>
              <v:rect id="Shape 18" o:spid="_x0000_s1043" style="position:absolute;margin-left:83.9pt;margin-top:19.5pt;width:74.75pt;height:4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1098550</wp:posOffset>
                </wp:positionH>
                <wp:positionV relativeFrom="paragraph">
                  <wp:posOffset>462280</wp:posOffset>
                </wp:positionV>
                <wp:extent cx="881380" cy="12192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1380" cy="121920"/>
                        </a:xfrm>
                        <a:prstGeom prst="rect">
                          <a:avLst/>
                        </a:prstGeom>
                        <a:solidFill>
                          <a:srgbClr val="000000"/>
                        </a:solidFill>
                      </wps:spPr>
                      <wps:bodyPr/>
                    </wps:wsp>
                  </a:graphicData>
                </a:graphic>
              </wp:anchor>
            </w:drawing>
          </mc:Choice>
          <mc:Fallback>
            <w:pict>
              <v:rect id="Shape 19" o:spid="_x0000_s1044" style="position:absolute;margin-left:86.5pt;margin-top:36.4pt;width:69.4pt;height: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920"/>
        <w:spacing w:after="0"/>
        <w:rPr>
          <w:sz w:val="20"/>
          <w:szCs w:val="20"/>
          <w:color w:val="auto"/>
        </w:rPr>
      </w:pPr>
      <w:r>
        <w:rPr>
          <w:rFonts w:ascii="Calibri" w:cs="Calibri" w:eastAsia="Calibri" w:hAnsi="Calibri"/>
          <w:sz w:val="16"/>
          <w:szCs w:val="16"/>
          <w:b w:val="1"/>
          <w:bCs w:val="1"/>
          <w:color w:val="FFFFFF"/>
        </w:rPr>
        <w:t>OCXO/DCOCXO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1065530</wp:posOffset>
                </wp:positionH>
                <wp:positionV relativeFrom="paragraph">
                  <wp:posOffset>320040</wp:posOffset>
                </wp:positionV>
                <wp:extent cx="949325" cy="55245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9325" cy="552450"/>
                        </a:xfrm>
                        <a:prstGeom prst="rect">
                          <a:avLst/>
                        </a:prstGeom>
                        <a:solidFill>
                          <a:srgbClr val="000000"/>
                        </a:solidFill>
                      </wps:spPr>
                      <wps:bodyPr/>
                    </wps:wsp>
                  </a:graphicData>
                </a:graphic>
              </wp:anchor>
            </w:drawing>
          </mc:Choice>
          <mc:Fallback>
            <w:pict>
              <v:rect id="Shape 20" o:spid="_x0000_s1045" style="position:absolute;margin-left:83.9pt;margin-top:25.2pt;width:74.75pt;height:4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1098550</wp:posOffset>
                </wp:positionH>
                <wp:positionV relativeFrom="paragraph">
                  <wp:posOffset>412750</wp:posOffset>
                </wp:positionV>
                <wp:extent cx="881380" cy="12192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1380" cy="121920"/>
                        </a:xfrm>
                        <a:prstGeom prst="rect">
                          <a:avLst/>
                        </a:prstGeom>
                        <a:solidFill>
                          <a:srgbClr val="000000"/>
                        </a:solidFill>
                      </wps:spPr>
                      <wps:bodyPr/>
                    </wps:wsp>
                  </a:graphicData>
                </a:graphic>
              </wp:anchor>
            </w:drawing>
          </mc:Choice>
          <mc:Fallback>
            <w:pict>
              <v:rect id="Shape 21" o:spid="_x0000_s1046" style="position:absolute;margin-left:86.5pt;margin-top:32.5pt;width:69.4pt;height: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1098550</wp:posOffset>
                </wp:positionH>
                <wp:positionV relativeFrom="paragraph">
                  <wp:posOffset>534670</wp:posOffset>
                </wp:positionV>
                <wp:extent cx="881380" cy="12192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1380" cy="121920"/>
                        </a:xfrm>
                        <a:prstGeom prst="rect">
                          <a:avLst/>
                        </a:prstGeom>
                        <a:solidFill>
                          <a:srgbClr val="000000"/>
                        </a:solidFill>
                      </wps:spPr>
                      <wps:bodyPr/>
                    </wps:wsp>
                  </a:graphicData>
                </a:graphic>
              </wp:anchor>
            </w:drawing>
          </mc:Choice>
          <mc:Fallback>
            <w:pict>
              <v:rect id="Shape 22" o:spid="_x0000_s1047" style="position:absolute;margin-left:86.5pt;margin-top:42.1pt;width:69.4pt;height: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1098550</wp:posOffset>
                </wp:positionH>
                <wp:positionV relativeFrom="paragraph">
                  <wp:posOffset>656590</wp:posOffset>
                </wp:positionV>
                <wp:extent cx="881380" cy="12192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1380" cy="121920"/>
                        </a:xfrm>
                        <a:prstGeom prst="rect">
                          <a:avLst/>
                        </a:prstGeom>
                        <a:solidFill>
                          <a:srgbClr val="000000"/>
                        </a:solidFill>
                      </wps:spPr>
                      <wps:bodyPr/>
                    </wps:wsp>
                  </a:graphicData>
                </a:graphic>
              </wp:anchor>
            </w:drawing>
          </mc:Choice>
          <mc:Fallback>
            <w:pict>
              <v:rect id="Shape 23" o:spid="_x0000_s1048" style="position:absolute;margin-left:86.5pt;margin-top:51.7pt;width:69.4pt;height: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383" w:lineRule="exact"/>
        <w:rPr>
          <w:sz w:val="20"/>
          <w:szCs w:val="20"/>
          <w:color w:val="auto"/>
        </w:rPr>
      </w:pPr>
    </w:p>
    <w:p>
      <w:pPr>
        <w:jc w:val="center"/>
        <w:ind w:left="1840"/>
        <w:spacing w:after="0"/>
        <w:rPr>
          <w:sz w:val="20"/>
          <w:szCs w:val="20"/>
          <w:color w:val="auto"/>
        </w:rPr>
      </w:pPr>
      <w:r>
        <w:rPr>
          <w:rFonts w:ascii="Calibri" w:cs="Calibri" w:eastAsia="Calibri" w:hAnsi="Calibri"/>
          <w:sz w:val="16"/>
          <w:szCs w:val="16"/>
          <w:b w:val="1"/>
          <w:bCs w:val="1"/>
          <w:color w:val="FFFFFF"/>
        </w:rPr>
        <w:t>Network</w:t>
      </w:r>
    </w:p>
    <w:p>
      <w:pPr>
        <w:spacing w:after="0" w:line="15" w:lineRule="exact"/>
        <w:rPr>
          <w:sz w:val="20"/>
          <w:szCs w:val="20"/>
          <w:color w:val="auto"/>
        </w:rPr>
      </w:pPr>
    </w:p>
    <w:p>
      <w:pPr>
        <w:jc w:val="center"/>
        <w:ind w:left="1840"/>
        <w:spacing w:after="0"/>
        <w:rPr>
          <w:sz w:val="20"/>
          <w:szCs w:val="20"/>
          <w:color w:val="auto"/>
        </w:rPr>
      </w:pPr>
      <w:r>
        <w:rPr>
          <w:rFonts w:ascii="Calibri" w:cs="Calibri" w:eastAsia="Calibri" w:hAnsi="Calibri"/>
          <w:sz w:val="16"/>
          <w:szCs w:val="16"/>
          <w:b w:val="1"/>
          <w:bCs w:val="1"/>
          <w:color w:val="FFFFFF"/>
        </w:rPr>
        <w:t>Synchronizers/</w:t>
      </w:r>
    </w:p>
    <w:p>
      <w:pPr>
        <w:jc w:val="center"/>
        <w:ind w:left="1840"/>
        <w:spacing w:after="0" w:line="235" w:lineRule="auto"/>
        <w:rPr>
          <w:sz w:val="20"/>
          <w:szCs w:val="20"/>
          <w:color w:val="auto"/>
        </w:rPr>
      </w:pPr>
      <w:r>
        <w:rPr>
          <w:rFonts w:ascii="Calibri" w:cs="Calibri" w:eastAsia="Calibri" w:hAnsi="Calibri"/>
          <w:sz w:val="16"/>
          <w:szCs w:val="16"/>
          <w:b w:val="1"/>
          <w:bCs w:val="1"/>
          <w:color w:val="FFFFFF"/>
        </w:rPr>
        <w:t>Jitter Cleaners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1065530</wp:posOffset>
                </wp:positionH>
                <wp:positionV relativeFrom="paragraph">
                  <wp:posOffset>187325</wp:posOffset>
                </wp:positionV>
                <wp:extent cx="949325" cy="55245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9325" cy="552450"/>
                        </a:xfrm>
                        <a:prstGeom prst="rect">
                          <a:avLst/>
                        </a:prstGeom>
                        <a:solidFill>
                          <a:srgbClr val="000000"/>
                        </a:solidFill>
                      </wps:spPr>
                      <wps:bodyPr/>
                    </wps:wsp>
                  </a:graphicData>
                </a:graphic>
              </wp:anchor>
            </w:drawing>
          </mc:Choice>
          <mc:Fallback>
            <w:pict>
              <v:rect id="Shape 24" o:spid="_x0000_s1049" style="position:absolute;margin-left:83.9pt;margin-top:14.75pt;width:74.75pt;height:4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1098550</wp:posOffset>
                </wp:positionH>
                <wp:positionV relativeFrom="paragraph">
                  <wp:posOffset>401955</wp:posOffset>
                </wp:positionV>
                <wp:extent cx="881380" cy="12192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1380" cy="121920"/>
                        </a:xfrm>
                        <a:prstGeom prst="rect">
                          <a:avLst/>
                        </a:prstGeom>
                        <a:solidFill>
                          <a:srgbClr val="000000"/>
                        </a:solidFill>
                      </wps:spPr>
                      <wps:bodyPr/>
                    </wps:wsp>
                  </a:graphicData>
                </a:graphic>
              </wp:anchor>
            </w:drawing>
          </mc:Choice>
          <mc:Fallback>
            <w:pict>
              <v:rect id="Shape 25" o:spid="_x0000_s1050" style="position:absolute;margin-left:86.5pt;margin-top:31.65pt;width:69.4pt;height: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365" w:lineRule="exact"/>
        <w:rPr>
          <w:sz w:val="20"/>
          <w:szCs w:val="20"/>
          <w:color w:val="auto"/>
        </w:rPr>
      </w:pPr>
    </w:p>
    <w:p>
      <w:pPr>
        <w:ind w:left="1860"/>
        <w:spacing w:after="0"/>
        <w:rPr>
          <w:sz w:val="20"/>
          <w:szCs w:val="20"/>
          <w:color w:val="auto"/>
        </w:rPr>
      </w:pPr>
      <w:r>
        <w:rPr>
          <w:rFonts w:ascii="Calibri" w:cs="Calibri" w:eastAsia="Calibri" w:hAnsi="Calibri"/>
          <w:sz w:val="16"/>
          <w:szCs w:val="16"/>
          <w:b w:val="1"/>
          <w:bCs w:val="1"/>
          <w:color w:val="FFFFFF"/>
        </w:rPr>
        <w:t>Clock Generators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1065530</wp:posOffset>
                </wp:positionH>
                <wp:positionV relativeFrom="paragraph">
                  <wp:posOffset>320040</wp:posOffset>
                </wp:positionV>
                <wp:extent cx="949325" cy="55245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9325" cy="552450"/>
                        </a:xfrm>
                        <a:prstGeom prst="rect">
                          <a:avLst/>
                        </a:prstGeom>
                        <a:solidFill>
                          <a:srgbClr val="000000"/>
                        </a:solidFill>
                      </wps:spPr>
                      <wps:bodyPr/>
                    </wps:wsp>
                  </a:graphicData>
                </a:graphic>
              </wp:anchor>
            </w:drawing>
          </mc:Choice>
          <mc:Fallback>
            <w:pict>
              <v:rect id="Shape 26" o:spid="_x0000_s1051" style="position:absolute;margin-left:83.9pt;margin-top:25.2pt;width:74.75pt;height:4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1098550</wp:posOffset>
                </wp:positionH>
                <wp:positionV relativeFrom="paragraph">
                  <wp:posOffset>534670</wp:posOffset>
                </wp:positionV>
                <wp:extent cx="881380" cy="12192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1380" cy="121920"/>
                        </a:xfrm>
                        <a:prstGeom prst="rect">
                          <a:avLst/>
                        </a:prstGeom>
                        <a:solidFill>
                          <a:srgbClr val="000000"/>
                        </a:solidFill>
                      </wps:spPr>
                      <wps:bodyPr/>
                    </wps:wsp>
                  </a:graphicData>
                </a:graphic>
              </wp:anchor>
            </w:drawing>
          </mc:Choice>
          <mc:Fallback>
            <w:pict>
              <v:rect id="Shape 27" o:spid="_x0000_s1052" style="position:absolute;margin-left:86.5pt;margin-top:42.1pt;width:69.4pt;height: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0"/>
        <w:spacing w:after="0"/>
        <w:rPr>
          <w:sz w:val="20"/>
          <w:szCs w:val="20"/>
          <w:color w:val="auto"/>
        </w:rPr>
      </w:pPr>
      <w:r>
        <w:rPr>
          <w:rFonts w:ascii="Calibri" w:cs="Calibri" w:eastAsia="Calibri" w:hAnsi="Calibri"/>
          <w:sz w:val="16"/>
          <w:szCs w:val="16"/>
          <w:b w:val="1"/>
          <w:bCs w:val="1"/>
          <w:color w:val="FFFFFF"/>
        </w:rPr>
        <w:t>Clock Buffers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60" w:type="dxa"/>
            <w:vAlign w:val="bottom"/>
          </w:tcPr>
          <w:p>
            <w:pPr>
              <w:spacing w:after="0"/>
              <w:rPr>
                <w:sz w:val="18"/>
                <w:szCs w:val="18"/>
                <w:color w:val="auto"/>
              </w:rPr>
            </w:pPr>
          </w:p>
        </w:tc>
        <w:tc>
          <w:tcPr>
            <w:tcW w:w="3040" w:type="dxa"/>
            <w:vAlign w:val="bottom"/>
            <w:gridSpan w:val="3"/>
          </w:tcPr>
          <w:p>
            <w:pPr>
              <w:jc w:val="center"/>
              <w:ind w:right="2"/>
              <w:spacing w:after="0"/>
              <w:rPr>
                <w:sz w:val="20"/>
                <w:szCs w:val="20"/>
                <w:color w:val="auto"/>
              </w:rPr>
            </w:pPr>
            <w:r>
              <w:rPr>
                <w:rFonts w:ascii="Calibri" w:cs="Calibri" w:eastAsia="Calibri" w:hAnsi="Calibri"/>
                <w:sz w:val="16"/>
                <w:szCs w:val="16"/>
                <w:b w:val="1"/>
                <w:bCs w:val="1"/>
                <w:color w:val="FFFFFF"/>
                <w:w w:val="97"/>
              </w:rPr>
              <w:t>Products by Market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0" w:type="dxa"/>
            <w:vAlign w:val="bottom"/>
            <w:shd w:val="clear" w:color="auto" w:fill="A6A6A6"/>
          </w:tcPr>
          <w:p>
            <w:pPr>
              <w:spacing w:after="0"/>
              <w:rPr>
                <w:sz w:val="17"/>
                <w:szCs w:val="17"/>
                <w:color w:val="auto"/>
              </w:rPr>
            </w:pPr>
          </w:p>
        </w:tc>
        <w:tc>
          <w:tcPr>
            <w:tcW w:w="3040" w:type="dxa"/>
            <w:vAlign w:val="bottom"/>
            <w:tcBorders>
              <w:right w:val="single" w:sz="8" w:color="A6A6A6"/>
            </w:tcBorders>
            <w:gridSpan w:val="3"/>
            <w:shd w:val="clear" w:color="auto" w:fill="A6A6A6"/>
          </w:tcPr>
          <w:p>
            <w:pPr>
              <w:jc w:val="center"/>
              <w:spacing w:after="0"/>
              <w:rPr>
                <w:sz w:val="20"/>
                <w:szCs w:val="20"/>
                <w:color w:val="auto"/>
              </w:rPr>
            </w:pPr>
            <w:r>
              <w:rPr>
                <w:rFonts w:ascii="Calibri" w:cs="Calibri" w:eastAsia="Calibri" w:hAnsi="Calibri"/>
                <w:sz w:val="16"/>
                <w:szCs w:val="16"/>
                <w:b w:val="1"/>
                <w:bCs w:val="1"/>
                <w:color w:val="FFFFFF"/>
                <w:w w:val="98"/>
              </w:rPr>
              <w:t>Automotive,</w:t>
            </w:r>
          </w:p>
        </w:tc>
        <w:tc>
          <w:tcPr>
            <w:tcW w:w="120" w:type="dxa"/>
            <w:vAlign w:val="bottom"/>
            <w:tcBorders>
              <w:right w:val="single" w:sz="8" w:color="B5B5B5"/>
            </w:tcBorders>
          </w:tcPr>
          <w:p>
            <w:pPr>
              <w:spacing w:after="0"/>
              <w:rPr>
                <w:sz w:val="17"/>
                <w:szCs w:val="17"/>
                <w:color w:val="auto"/>
              </w:rPr>
            </w:pPr>
          </w:p>
        </w:tc>
        <w:tc>
          <w:tcPr>
            <w:tcW w:w="140" w:type="dxa"/>
            <w:vAlign w:val="bottom"/>
            <w:tcBorders>
              <w:right w:val="single" w:sz="8" w:color="A6A6A6"/>
            </w:tcBorders>
          </w:tcPr>
          <w:p>
            <w:pPr>
              <w:spacing w:after="0"/>
              <w:rPr>
                <w:sz w:val="17"/>
                <w:szCs w:val="17"/>
                <w:color w:val="auto"/>
              </w:rPr>
            </w:pPr>
          </w:p>
        </w:tc>
        <w:tc>
          <w:tcPr>
            <w:tcW w:w="1380" w:type="dxa"/>
            <w:vAlign w:val="bottom"/>
            <w:shd w:val="clear" w:color="auto" w:fill="A6A6A6"/>
          </w:tcPr>
          <w:p>
            <w:pPr>
              <w:spacing w:after="0"/>
              <w:rPr>
                <w:sz w:val="17"/>
                <w:szCs w:val="17"/>
                <w:color w:val="auto"/>
              </w:rPr>
            </w:pPr>
          </w:p>
        </w:tc>
        <w:tc>
          <w:tcPr>
            <w:tcW w:w="60" w:type="dxa"/>
            <w:vAlign w:val="bottom"/>
            <w:shd w:val="clear" w:color="auto" w:fill="A6A6A6"/>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0" w:type="dxa"/>
            <w:vAlign w:val="bottom"/>
            <w:shd w:val="clear" w:color="auto" w:fill="A6A6A6"/>
          </w:tcPr>
          <w:p>
            <w:pPr>
              <w:spacing w:after="0"/>
              <w:rPr>
                <w:sz w:val="16"/>
                <w:szCs w:val="16"/>
                <w:color w:val="auto"/>
              </w:rPr>
            </w:pPr>
          </w:p>
        </w:tc>
        <w:tc>
          <w:tcPr>
            <w:tcW w:w="3040" w:type="dxa"/>
            <w:vAlign w:val="bottom"/>
            <w:tcBorders>
              <w:right w:val="single" w:sz="8" w:color="A6A6A6"/>
            </w:tcBorders>
            <w:gridSpan w:val="3"/>
            <w:shd w:val="clear" w:color="auto" w:fill="A6A6A6"/>
          </w:tcPr>
          <w:p>
            <w:pPr>
              <w:jc w:val="center"/>
              <w:spacing w:after="0" w:line="192" w:lineRule="exact"/>
              <w:rPr>
                <w:sz w:val="20"/>
                <w:szCs w:val="20"/>
                <w:color w:val="auto"/>
              </w:rPr>
            </w:pPr>
            <w:r>
              <w:rPr>
                <w:rFonts w:ascii="Calibri" w:cs="Calibri" w:eastAsia="Calibri" w:hAnsi="Calibri"/>
                <w:sz w:val="16"/>
                <w:szCs w:val="16"/>
                <w:b w:val="1"/>
                <w:bCs w:val="1"/>
                <w:color w:val="FFFFFF"/>
                <w:w w:val="97"/>
              </w:rPr>
              <w:t>Industrial,</w:t>
            </w:r>
          </w:p>
        </w:tc>
        <w:tc>
          <w:tcPr>
            <w:tcW w:w="120" w:type="dxa"/>
            <w:vAlign w:val="bottom"/>
            <w:tcBorders>
              <w:right w:val="single" w:sz="8" w:color="B5B5B5"/>
            </w:tcBorders>
          </w:tcPr>
          <w:p>
            <w:pPr>
              <w:spacing w:after="0"/>
              <w:rPr>
                <w:sz w:val="16"/>
                <w:szCs w:val="16"/>
                <w:color w:val="auto"/>
              </w:rPr>
            </w:pPr>
          </w:p>
        </w:tc>
        <w:tc>
          <w:tcPr>
            <w:tcW w:w="140" w:type="dxa"/>
            <w:vAlign w:val="bottom"/>
            <w:tcBorders>
              <w:right w:val="single" w:sz="8" w:color="A6A6A6"/>
            </w:tcBorders>
          </w:tcPr>
          <w:p>
            <w:pPr>
              <w:spacing w:after="0"/>
              <w:rPr>
                <w:sz w:val="16"/>
                <w:szCs w:val="16"/>
                <w:color w:val="auto"/>
              </w:rPr>
            </w:pPr>
          </w:p>
        </w:tc>
        <w:tc>
          <w:tcPr>
            <w:tcW w:w="1380" w:type="dxa"/>
            <w:vAlign w:val="bottom"/>
            <w:shd w:val="clear" w:color="auto" w:fill="A6A6A6"/>
          </w:tcPr>
          <w:p>
            <w:pPr>
              <w:jc w:val="center"/>
              <w:spacing w:after="0" w:line="192" w:lineRule="exact"/>
              <w:rPr>
                <w:sz w:val="20"/>
                <w:szCs w:val="20"/>
                <w:color w:val="auto"/>
              </w:rPr>
            </w:pPr>
            <w:r>
              <w:rPr>
                <w:rFonts w:ascii="Calibri" w:cs="Calibri" w:eastAsia="Calibri" w:hAnsi="Calibri"/>
                <w:sz w:val="16"/>
                <w:szCs w:val="16"/>
                <w:b w:val="1"/>
                <w:bCs w:val="1"/>
                <w:color w:val="FFFFFF"/>
                <w:w w:val="99"/>
              </w:rPr>
              <w:t>Mobile, IoT &amp;</w:t>
            </w:r>
          </w:p>
        </w:tc>
        <w:tc>
          <w:tcPr>
            <w:tcW w:w="60" w:type="dxa"/>
            <w:vAlign w:val="bottom"/>
            <w:shd w:val="clear" w:color="auto" w:fill="A6A6A6"/>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 w:type="dxa"/>
            <w:vAlign w:val="bottom"/>
            <w:shd w:val="clear" w:color="auto" w:fill="A6A6A6"/>
          </w:tcPr>
          <w:p>
            <w:pPr>
              <w:spacing w:after="0"/>
              <w:rPr>
                <w:sz w:val="18"/>
                <w:szCs w:val="18"/>
                <w:color w:val="auto"/>
              </w:rPr>
            </w:pPr>
          </w:p>
        </w:tc>
        <w:tc>
          <w:tcPr>
            <w:tcW w:w="3040" w:type="dxa"/>
            <w:vAlign w:val="bottom"/>
            <w:tcBorders>
              <w:right w:val="single" w:sz="8" w:color="A6A6A6"/>
            </w:tcBorders>
            <w:gridSpan w:val="3"/>
            <w:shd w:val="clear" w:color="auto" w:fill="A6A6A6"/>
          </w:tcPr>
          <w:p>
            <w:pPr>
              <w:jc w:val="center"/>
              <w:spacing w:after="0"/>
              <w:rPr>
                <w:sz w:val="20"/>
                <w:szCs w:val="20"/>
                <w:color w:val="auto"/>
              </w:rPr>
            </w:pPr>
            <w:r>
              <w:rPr>
                <w:rFonts w:ascii="Calibri" w:cs="Calibri" w:eastAsia="Calibri" w:hAnsi="Calibri"/>
                <w:sz w:val="16"/>
                <w:szCs w:val="16"/>
                <w:b w:val="1"/>
                <w:bCs w:val="1"/>
                <w:color w:val="FFFFFF"/>
              </w:rPr>
              <w:t>&amp; Aerospace &amp; Defense</w:t>
            </w:r>
          </w:p>
        </w:tc>
        <w:tc>
          <w:tcPr>
            <w:tcW w:w="120" w:type="dxa"/>
            <w:vAlign w:val="bottom"/>
            <w:tcBorders>
              <w:right w:val="single" w:sz="8" w:color="B5B5B5"/>
            </w:tcBorders>
          </w:tcPr>
          <w:p>
            <w:pPr>
              <w:spacing w:after="0"/>
              <w:rPr>
                <w:sz w:val="18"/>
                <w:szCs w:val="18"/>
                <w:color w:val="auto"/>
              </w:rPr>
            </w:pPr>
          </w:p>
        </w:tc>
        <w:tc>
          <w:tcPr>
            <w:tcW w:w="140" w:type="dxa"/>
            <w:vAlign w:val="bottom"/>
            <w:tcBorders>
              <w:right w:val="single" w:sz="8" w:color="A6A6A6"/>
            </w:tcBorders>
          </w:tcPr>
          <w:p>
            <w:pPr>
              <w:spacing w:after="0"/>
              <w:rPr>
                <w:sz w:val="18"/>
                <w:szCs w:val="18"/>
                <w:color w:val="auto"/>
              </w:rPr>
            </w:pPr>
          </w:p>
        </w:tc>
        <w:tc>
          <w:tcPr>
            <w:tcW w:w="1380" w:type="dxa"/>
            <w:vAlign w:val="bottom"/>
            <w:shd w:val="clear" w:color="auto" w:fill="A6A6A6"/>
          </w:tcPr>
          <w:p>
            <w:pPr>
              <w:jc w:val="center"/>
              <w:spacing w:after="0"/>
              <w:rPr>
                <w:sz w:val="20"/>
                <w:szCs w:val="20"/>
                <w:color w:val="auto"/>
              </w:rPr>
            </w:pPr>
            <w:r>
              <w:rPr>
                <w:rFonts w:ascii="Calibri" w:cs="Calibri" w:eastAsia="Calibri" w:hAnsi="Calibri"/>
                <w:sz w:val="16"/>
                <w:szCs w:val="16"/>
                <w:b w:val="1"/>
                <w:bCs w:val="1"/>
                <w:color w:val="FFFFFF"/>
              </w:rPr>
              <w:t>Consumer</w:t>
            </w:r>
          </w:p>
        </w:tc>
        <w:tc>
          <w:tcPr>
            <w:tcW w:w="60" w:type="dxa"/>
            <w:vAlign w:val="bottom"/>
            <w:shd w:val="clear" w:color="auto" w:fill="A6A6A6"/>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0" w:type="dxa"/>
            <w:vAlign w:val="bottom"/>
            <w:shd w:val="clear" w:color="auto" w:fill="A6A6A6"/>
          </w:tcPr>
          <w:p>
            <w:pPr>
              <w:spacing w:after="0"/>
              <w:rPr>
                <w:sz w:val="24"/>
                <w:szCs w:val="24"/>
                <w:color w:val="auto"/>
              </w:rPr>
            </w:pPr>
          </w:p>
        </w:tc>
        <w:tc>
          <w:tcPr>
            <w:tcW w:w="1440" w:type="dxa"/>
            <w:vAlign w:val="bottom"/>
            <w:tcBorders>
              <w:right w:val="single" w:sz="8" w:color="A6A6A6"/>
            </w:tcBorders>
            <w:shd w:val="clear" w:color="auto" w:fill="A6A6A6"/>
          </w:tcPr>
          <w:p>
            <w:pPr>
              <w:spacing w:after="0"/>
              <w:rPr>
                <w:sz w:val="24"/>
                <w:szCs w:val="24"/>
                <w:color w:val="auto"/>
              </w:rPr>
            </w:pPr>
          </w:p>
        </w:tc>
        <w:tc>
          <w:tcPr>
            <w:tcW w:w="160" w:type="dxa"/>
            <w:vAlign w:val="bottom"/>
            <w:tcBorders>
              <w:right w:val="single" w:sz="8" w:color="A6A6A6"/>
            </w:tcBorders>
            <w:shd w:val="clear" w:color="auto" w:fill="A6A6A6"/>
          </w:tcPr>
          <w:p>
            <w:pPr>
              <w:spacing w:after="0"/>
              <w:rPr>
                <w:sz w:val="24"/>
                <w:szCs w:val="24"/>
                <w:color w:val="auto"/>
              </w:rPr>
            </w:pPr>
          </w:p>
        </w:tc>
        <w:tc>
          <w:tcPr>
            <w:tcW w:w="1440" w:type="dxa"/>
            <w:vAlign w:val="bottom"/>
            <w:tcBorders>
              <w:right w:val="single" w:sz="8" w:color="A6A6A6"/>
            </w:tcBorders>
            <w:shd w:val="clear" w:color="auto" w:fill="A6A6A6"/>
          </w:tcPr>
          <w:p>
            <w:pPr>
              <w:spacing w:after="0"/>
              <w:rPr>
                <w:sz w:val="24"/>
                <w:szCs w:val="24"/>
                <w:color w:val="auto"/>
              </w:rPr>
            </w:pPr>
          </w:p>
        </w:tc>
        <w:tc>
          <w:tcPr>
            <w:tcW w:w="120" w:type="dxa"/>
            <w:vAlign w:val="bottom"/>
            <w:tcBorders>
              <w:right w:val="single" w:sz="8" w:color="B5B5B5"/>
            </w:tcBorders>
          </w:tcPr>
          <w:p>
            <w:pPr>
              <w:spacing w:after="0"/>
              <w:rPr>
                <w:sz w:val="24"/>
                <w:szCs w:val="24"/>
                <w:color w:val="auto"/>
              </w:rPr>
            </w:pPr>
          </w:p>
        </w:tc>
        <w:tc>
          <w:tcPr>
            <w:tcW w:w="140" w:type="dxa"/>
            <w:vAlign w:val="bottom"/>
            <w:tcBorders>
              <w:right w:val="single" w:sz="8" w:color="A6A6A6"/>
            </w:tcBorders>
          </w:tcPr>
          <w:p>
            <w:pPr>
              <w:spacing w:after="0"/>
              <w:rPr>
                <w:sz w:val="24"/>
                <w:szCs w:val="24"/>
                <w:color w:val="auto"/>
              </w:rPr>
            </w:pPr>
          </w:p>
        </w:tc>
        <w:tc>
          <w:tcPr>
            <w:tcW w:w="1380" w:type="dxa"/>
            <w:vAlign w:val="bottom"/>
            <w:shd w:val="clear" w:color="auto" w:fill="A6A6A6"/>
          </w:tcPr>
          <w:p>
            <w:pPr>
              <w:spacing w:after="0"/>
              <w:rPr>
                <w:sz w:val="24"/>
                <w:szCs w:val="24"/>
                <w:color w:val="auto"/>
              </w:rPr>
            </w:pPr>
          </w:p>
        </w:tc>
        <w:tc>
          <w:tcPr>
            <w:tcW w:w="60" w:type="dxa"/>
            <w:vAlign w:val="bottom"/>
            <w:shd w:val="clear" w:color="auto" w:fill="A6A6A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Borders>
              <w:right w:val="single" w:sz="8" w:color="B5B5B5"/>
            </w:tcBorders>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60" w:type="dxa"/>
            <w:vAlign w:val="bottom"/>
            <w:shd w:val="clear" w:color="auto" w:fill="000000"/>
          </w:tcPr>
          <w:p>
            <w:pPr>
              <w:spacing w:after="0"/>
              <w:rPr>
                <w:sz w:val="24"/>
                <w:szCs w:val="24"/>
                <w:color w:val="auto"/>
              </w:rPr>
            </w:pPr>
          </w:p>
        </w:tc>
        <w:tc>
          <w:tcPr>
            <w:tcW w:w="144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16"/>
                <w:szCs w:val="16"/>
                <w:b w:val="1"/>
                <w:bCs w:val="1"/>
                <w:color w:val="FFFFFF"/>
                <w:w w:val="97"/>
              </w:rPr>
              <w:t>High Temp</w:t>
            </w:r>
          </w:p>
        </w:tc>
        <w:tc>
          <w:tcPr>
            <w:tcW w:w="16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16"/>
                <w:szCs w:val="16"/>
                <w:b w:val="1"/>
                <w:bCs w:val="1"/>
                <w:color w:val="FFFFFF"/>
                <w:w w:val="95"/>
              </w:rPr>
              <w:t>Clock</w:t>
            </w:r>
          </w:p>
        </w:tc>
        <w:tc>
          <w:tcPr>
            <w:tcW w:w="120" w:type="dxa"/>
            <w:vAlign w:val="bottom"/>
            <w:tcBorders>
              <w:right w:val="single" w:sz="8" w:color="B5B5B5"/>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shd w:val="clear" w:color="auto" w:fill="000000"/>
          </w:tcPr>
          <w:p>
            <w:pPr>
              <w:jc w:val="center"/>
              <w:spacing w:after="0"/>
              <w:rPr>
                <w:sz w:val="20"/>
                <w:szCs w:val="20"/>
                <w:color w:val="auto"/>
              </w:rPr>
            </w:pPr>
            <w:r>
              <w:rPr>
                <w:rFonts w:ascii="Calibri" w:cs="Calibri" w:eastAsia="Calibri" w:hAnsi="Calibri"/>
                <w:sz w:val="16"/>
                <w:szCs w:val="16"/>
                <w:b w:val="1"/>
                <w:bCs w:val="1"/>
                <w:color w:val="FFFFFF"/>
              </w:rPr>
              <w:t>Low Power</w:t>
            </w:r>
          </w:p>
        </w:tc>
        <w:tc>
          <w:tcPr>
            <w:tcW w:w="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0" w:type="dxa"/>
            <w:vAlign w:val="bottom"/>
            <w:shd w:val="clear" w:color="auto" w:fill="000000"/>
          </w:tcPr>
          <w:p>
            <w:pPr>
              <w:spacing w:after="0"/>
              <w:rPr>
                <w:sz w:val="18"/>
                <w:szCs w:val="18"/>
                <w:color w:val="auto"/>
              </w:rPr>
            </w:pPr>
          </w:p>
        </w:tc>
        <w:tc>
          <w:tcPr>
            <w:tcW w:w="144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16"/>
                <w:szCs w:val="16"/>
                <w:b w:val="1"/>
                <w:bCs w:val="1"/>
                <w:color w:val="FFFFFF"/>
              </w:rPr>
              <w:t>Oscillators</w:t>
            </w:r>
          </w:p>
        </w:tc>
        <w:tc>
          <w:tcPr>
            <w:tcW w:w="1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16"/>
                <w:szCs w:val="16"/>
                <w:b w:val="1"/>
                <w:bCs w:val="1"/>
                <w:color w:val="FFFFFF"/>
                <w:w w:val="99"/>
              </w:rPr>
              <w:t>Generators</w:t>
            </w:r>
          </w:p>
        </w:tc>
        <w:tc>
          <w:tcPr>
            <w:tcW w:w="120" w:type="dxa"/>
            <w:vAlign w:val="bottom"/>
            <w:tcBorders>
              <w:right w:val="single" w:sz="8" w:color="B5B5B5"/>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80" w:type="dxa"/>
            <w:vAlign w:val="bottom"/>
            <w:shd w:val="clear" w:color="auto" w:fill="000000"/>
          </w:tcPr>
          <w:p>
            <w:pPr>
              <w:jc w:val="center"/>
              <w:spacing w:after="0"/>
              <w:rPr>
                <w:sz w:val="20"/>
                <w:szCs w:val="20"/>
                <w:color w:val="auto"/>
              </w:rPr>
            </w:pPr>
            <w:r>
              <w:rPr>
                <w:rFonts w:ascii="Calibri" w:cs="Calibri" w:eastAsia="Calibri" w:hAnsi="Calibri"/>
                <w:sz w:val="16"/>
                <w:szCs w:val="16"/>
                <w:b w:val="1"/>
                <w:bCs w:val="1"/>
                <w:color w:val="FFFFFF"/>
              </w:rPr>
              <w:t>Oscillators</w:t>
            </w:r>
          </w:p>
        </w:tc>
        <w:tc>
          <w:tcPr>
            <w:tcW w:w="6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000000"/>
          </w:tcPr>
          <w:p>
            <w:pPr>
              <w:spacing w:after="0"/>
              <w:rPr>
                <w:sz w:val="23"/>
                <w:szCs w:val="23"/>
                <w:color w:val="auto"/>
              </w:rPr>
            </w:pPr>
          </w:p>
        </w:tc>
        <w:tc>
          <w:tcPr>
            <w:tcW w:w="1440" w:type="dxa"/>
            <w:vAlign w:val="bottom"/>
            <w:tcBorders>
              <w:right w:val="single" w:sz="8" w:color="auto"/>
            </w:tcBorders>
            <w:shd w:val="clear" w:color="auto" w:fill="000000"/>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shd w:val="clear" w:color="auto" w:fill="000000"/>
          </w:tcPr>
          <w:p>
            <w:pPr>
              <w:spacing w:after="0"/>
              <w:rPr>
                <w:sz w:val="23"/>
                <w:szCs w:val="23"/>
                <w:color w:val="auto"/>
              </w:rPr>
            </w:pPr>
          </w:p>
        </w:tc>
        <w:tc>
          <w:tcPr>
            <w:tcW w:w="120" w:type="dxa"/>
            <w:vAlign w:val="bottom"/>
            <w:tcBorders>
              <w:right w:val="single" w:sz="8" w:color="B5B5B5"/>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380" w:type="dxa"/>
            <w:vAlign w:val="bottom"/>
            <w:shd w:val="clear" w:color="auto" w:fill="000000"/>
          </w:tcPr>
          <w:p>
            <w:pPr>
              <w:spacing w:after="0"/>
              <w:rPr>
                <w:sz w:val="23"/>
                <w:szCs w:val="23"/>
                <w:color w:val="auto"/>
              </w:rPr>
            </w:pPr>
          </w:p>
        </w:tc>
        <w:tc>
          <w:tcPr>
            <w:tcW w:w="6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Borders>
              <w:right w:val="single" w:sz="8" w:color="B5B5B5"/>
            </w:tcBorders>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86"/>
        </w:trPr>
        <w:tc>
          <w:tcPr>
            <w:tcW w:w="60" w:type="dxa"/>
            <w:vAlign w:val="bottom"/>
            <w:shd w:val="clear" w:color="auto" w:fill="000000"/>
          </w:tcPr>
          <w:p>
            <w:pPr>
              <w:spacing w:after="0"/>
              <w:rPr>
                <w:sz w:val="24"/>
                <w:szCs w:val="24"/>
                <w:color w:val="auto"/>
              </w:rPr>
            </w:pPr>
          </w:p>
        </w:tc>
        <w:tc>
          <w:tcPr>
            <w:tcW w:w="144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16"/>
                <w:szCs w:val="16"/>
                <w:b w:val="1"/>
                <w:bCs w:val="1"/>
                <w:color w:val="FFFFFF"/>
              </w:rPr>
              <w:t>Low Jitter</w:t>
            </w:r>
          </w:p>
        </w:tc>
        <w:tc>
          <w:tcPr>
            <w:tcW w:w="16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16"/>
                <w:szCs w:val="16"/>
                <w:b w:val="1"/>
                <w:bCs w:val="1"/>
                <w:color w:val="FFFFFF"/>
                <w:w w:val="95"/>
              </w:rPr>
              <w:t>Clock</w:t>
            </w:r>
          </w:p>
        </w:tc>
        <w:tc>
          <w:tcPr>
            <w:tcW w:w="120" w:type="dxa"/>
            <w:vAlign w:val="bottom"/>
            <w:tcBorders>
              <w:right w:val="single" w:sz="8" w:color="B5B5B5"/>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shd w:val="clear" w:color="auto" w:fill="000000"/>
          </w:tcPr>
          <w:p>
            <w:pPr>
              <w:jc w:val="center"/>
              <w:spacing w:after="0"/>
              <w:rPr>
                <w:sz w:val="20"/>
                <w:szCs w:val="20"/>
                <w:color w:val="auto"/>
              </w:rPr>
            </w:pPr>
            <w:r>
              <w:rPr>
                <w:rFonts w:ascii="Calibri" w:cs="Calibri" w:eastAsia="Calibri" w:hAnsi="Calibri"/>
                <w:sz w:val="16"/>
                <w:szCs w:val="16"/>
                <w:b w:val="1"/>
                <w:bCs w:val="1"/>
                <w:color w:val="FFFFFF"/>
              </w:rPr>
              <w:t xml:space="preserve">ʅWŽǁĞƌ ϯϮ Ŭ,ǌ </w:t>
            </w:r>
          </w:p>
        </w:tc>
        <w:tc>
          <w:tcPr>
            <w:tcW w:w="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0" w:type="dxa"/>
            <w:vAlign w:val="bottom"/>
            <w:shd w:val="clear" w:color="auto" w:fill="000000"/>
          </w:tcPr>
          <w:p>
            <w:pPr>
              <w:spacing w:after="0"/>
              <w:rPr>
                <w:sz w:val="18"/>
                <w:szCs w:val="18"/>
                <w:color w:val="auto"/>
              </w:rPr>
            </w:pPr>
          </w:p>
        </w:tc>
        <w:tc>
          <w:tcPr>
            <w:tcW w:w="144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16"/>
                <w:szCs w:val="16"/>
                <w:b w:val="1"/>
                <w:bCs w:val="1"/>
                <w:color w:val="FFFFFF"/>
              </w:rPr>
              <w:t>Oscillators</w:t>
            </w:r>
          </w:p>
        </w:tc>
        <w:tc>
          <w:tcPr>
            <w:tcW w:w="160" w:type="dxa"/>
            <w:vAlign w:val="bottom"/>
            <w:tcBorders>
              <w:right w:val="single" w:sz="8" w:color="auto"/>
            </w:tcBorders>
          </w:tcPr>
          <w:p>
            <w:pPr>
              <w:spacing w:after="0"/>
              <w:rPr>
                <w:sz w:val="18"/>
                <w:szCs w:val="18"/>
                <w:color w:val="auto"/>
              </w:rPr>
            </w:pPr>
          </w:p>
        </w:tc>
        <w:tc>
          <w:tcPr>
            <w:tcW w:w="144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16"/>
                <w:szCs w:val="16"/>
                <w:b w:val="1"/>
                <w:bCs w:val="1"/>
                <w:color w:val="FFFFFF"/>
                <w:w w:val="96"/>
              </w:rPr>
              <w:t>Buffers</w:t>
            </w:r>
          </w:p>
        </w:tc>
        <w:tc>
          <w:tcPr>
            <w:tcW w:w="120" w:type="dxa"/>
            <w:vAlign w:val="bottom"/>
            <w:tcBorders>
              <w:right w:val="single" w:sz="8" w:color="B5B5B5"/>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80" w:type="dxa"/>
            <w:vAlign w:val="bottom"/>
            <w:shd w:val="clear" w:color="auto" w:fill="000000"/>
          </w:tcPr>
          <w:p>
            <w:pPr>
              <w:jc w:val="center"/>
              <w:spacing w:after="0"/>
              <w:rPr>
                <w:sz w:val="20"/>
                <w:szCs w:val="20"/>
                <w:color w:val="auto"/>
              </w:rPr>
            </w:pPr>
            <w:r>
              <w:rPr>
                <w:rFonts w:ascii="Calibri" w:cs="Calibri" w:eastAsia="Calibri" w:hAnsi="Calibri"/>
                <w:sz w:val="16"/>
                <w:szCs w:val="16"/>
                <w:b w:val="1"/>
                <w:bCs w:val="1"/>
                <w:color w:val="FFFFFF"/>
              </w:rPr>
              <w:t>Oscillators</w:t>
            </w:r>
          </w:p>
        </w:tc>
        <w:tc>
          <w:tcPr>
            <w:tcW w:w="6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000000"/>
          </w:tcPr>
          <w:p>
            <w:pPr>
              <w:spacing w:after="0"/>
              <w:rPr>
                <w:sz w:val="23"/>
                <w:szCs w:val="23"/>
                <w:color w:val="auto"/>
              </w:rPr>
            </w:pPr>
          </w:p>
        </w:tc>
        <w:tc>
          <w:tcPr>
            <w:tcW w:w="1440" w:type="dxa"/>
            <w:vAlign w:val="bottom"/>
            <w:tcBorders>
              <w:right w:val="single" w:sz="8" w:color="auto"/>
            </w:tcBorders>
            <w:shd w:val="clear" w:color="auto" w:fill="000000"/>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shd w:val="clear" w:color="auto" w:fill="000000"/>
          </w:tcPr>
          <w:p>
            <w:pPr>
              <w:spacing w:after="0"/>
              <w:rPr>
                <w:sz w:val="23"/>
                <w:szCs w:val="23"/>
                <w:color w:val="auto"/>
              </w:rPr>
            </w:pPr>
          </w:p>
        </w:tc>
        <w:tc>
          <w:tcPr>
            <w:tcW w:w="120" w:type="dxa"/>
            <w:vAlign w:val="bottom"/>
            <w:tcBorders>
              <w:right w:val="single" w:sz="8" w:color="B5B5B5"/>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380" w:type="dxa"/>
            <w:vAlign w:val="bottom"/>
            <w:shd w:val="clear" w:color="auto" w:fill="000000"/>
          </w:tcPr>
          <w:p>
            <w:pPr>
              <w:spacing w:after="0"/>
              <w:rPr>
                <w:sz w:val="23"/>
                <w:szCs w:val="23"/>
                <w:color w:val="auto"/>
              </w:rPr>
            </w:pPr>
          </w:p>
        </w:tc>
        <w:tc>
          <w:tcPr>
            <w:tcW w:w="6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Borders>
              <w:right w:val="single" w:sz="8" w:color="B5B5B5"/>
            </w:tcBorders>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60"/>
        </w:trPr>
        <w:tc>
          <w:tcPr>
            <w:tcW w:w="60" w:type="dxa"/>
            <w:vAlign w:val="bottom"/>
            <w:shd w:val="clear" w:color="auto" w:fill="000000"/>
          </w:tcPr>
          <w:p>
            <w:pPr>
              <w:spacing w:after="0"/>
              <w:rPr>
                <w:sz w:val="24"/>
                <w:szCs w:val="24"/>
                <w:color w:val="auto"/>
              </w:rPr>
            </w:pPr>
          </w:p>
        </w:tc>
        <w:tc>
          <w:tcPr>
            <w:tcW w:w="144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16"/>
                <w:szCs w:val="16"/>
                <w:b w:val="1"/>
                <w:bCs w:val="1"/>
                <w:color w:val="FFFFFF"/>
                <w:w w:val="99"/>
              </w:rPr>
              <w:t>DCXO</w:t>
            </w:r>
          </w:p>
        </w:tc>
        <w:tc>
          <w:tcPr>
            <w:tcW w:w="16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16"/>
                <w:szCs w:val="16"/>
                <w:b w:val="1"/>
                <w:bCs w:val="1"/>
                <w:color w:val="FFFFFF"/>
                <w:w w:val="99"/>
              </w:rPr>
              <w:t>Network</w:t>
            </w:r>
          </w:p>
        </w:tc>
        <w:tc>
          <w:tcPr>
            <w:tcW w:w="120" w:type="dxa"/>
            <w:vAlign w:val="bottom"/>
            <w:tcBorders>
              <w:right w:val="single" w:sz="8" w:color="B5B5B5"/>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shd w:val="clear" w:color="auto" w:fill="000000"/>
          </w:tcPr>
          <w:p>
            <w:pPr>
              <w:jc w:val="center"/>
              <w:spacing w:after="0"/>
              <w:rPr>
                <w:sz w:val="20"/>
                <w:szCs w:val="20"/>
                <w:color w:val="auto"/>
              </w:rPr>
            </w:pPr>
            <w:r>
              <w:rPr>
                <w:rFonts w:ascii="Calibri" w:cs="Calibri" w:eastAsia="Calibri" w:hAnsi="Calibri"/>
                <w:sz w:val="16"/>
                <w:szCs w:val="16"/>
                <w:b w:val="1"/>
                <w:bCs w:val="1"/>
                <w:color w:val="FFFFFF"/>
              </w:rPr>
              <w:t xml:space="preserve">ʅWŽǁĞƌ ϯϮ Ŭ,ǌ </w:t>
            </w:r>
          </w:p>
        </w:tc>
        <w:tc>
          <w:tcPr>
            <w:tcW w:w="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0" w:type="dxa"/>
            <w:vAlign w:val="bottom"/>
            <w:shd w:val="clear" w:color="auto" w:fill="000000"/>
          </w:tcPr>
          <w:p>
            <w:pPr>
              <w:spacing w:after="0"/>
              <w:rPr>
                <w:sz w:val="10"/>
                <w:szCs w:val="10"/>
                <w:color w:val="auto"/>
              </w:rPr>
            </w:pPr>
          </w:p>
        </w:tc>
        <w:tc>
          <w:tcPr>
            <w:tcW w:w="1440" w:type="dxa"/>
            <w:vAlign w:val="bottom"/>
            <w:tcBorders>
              <w:right w:val="single" w:sz="8" w:color="auto"/>
            </w:tcBorders>
            <w:shd w:val="clear" w:color="auto" w:fill="000000"/>
          </w:tcPr>
          <w:p>
            <w:pPr>
              <w:jc w:val="center"/>
              <w:spacing w:after="0" w:line="123" w:lineRule="exact"/>
              <w:rPr>
                <w:sz w:val="20"/>
                <w:szCs w:val="20"/>
                <w:color w:val="auto"/>
              </w:rPr>
            </w:pPr>
            <w:r>
              <w:rPr>
                <w:rFonts w:ascii="Calibri" w:cs="Calibri" w:eastAsia="Calibri" w:hAnsi="Calibri"/>
                <w:sz w:val="12"/>
                <w:szCs w:val="12"/>
                <w:b w:val="1"/>
                <w:bCs w:val="1"/>
                <w:color w:val="FFFFFF"/>
              </w:rPr>
              <w:t>In-System</w:t>
            </w:r>
          </w:p>
        </w:tc>
        <w:tc>
          <w:tcPr>
            <w:tcW w:w="16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shd w:val="clear" w:color="auto" w:fill="000000"/>
          </w:tcPr>
          <w:p>
            <w:pPr>
              <w:jc w:val="center"/>
              <w:spacing w:after="0" w:line="122" w:lineRule="exact"/>
              <w:rPr>
                <w:sz w:val="20"/>
                <w:szCs w:val="20"/>
                <w:color w:val="auto"/>
              </w:rPr>
            </w:pPr>
            <w:r>
              <w:rPr>
                <w:rFonts w:ascii="Calibri" w:cs="Calibri" w:eastAsia="Calibri" w:hAnsi="Calibri"/>
                <w:sz w:val="13"/>
                <w:szCs w:val="13"/>
                <w:b w:val="1"/>
                <w:bCs w:val="1"/>
                <w:color w:val="FFFFFF"/>
              </w:rPr>
              <w:t>Synchronizers/</w:t>
            </w:r>
          </w:p>
        </w:tc>
        <w:tc>
          <w:tcPr>
            <w:tcW w:w="120" w:type="dxa"/>
            <w:vAlign w:val="bottom"/>
            <w:tcBorders>
              <w:right w:val="single" w:sz="8" w:color="B5B5B5"/>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380" w:type="dxa"/>
            <w:vAlign w:val="bottom"/>
            <w:vMerge w:val="restart"/>
            <w:shd w:val="clear" w:color="auto" w:fill="000000"/>
          </w:tcPr>
          <w:p>
            <w:pPr>
              <w:jc w:val="center"/>
              <w:spacing w:after="0"/>
              <w:rPr>
                <w:sz w:val="20"/>
                <w:szCs w:val="20"/>
                <w:color w:val="auto"/>
              </w:rPr>
            </w:pPr>
            <w:r>
              <w:rPr>
                <w:rFonts w:ascii="Calibri" w:cs="Calibri" w:eastAsia="Calibri" w:hAnsi="Calibri"/>
                <w:sz w:val="16"/>
                <w:szCs w:val="16"/>
                <w:b w:val="1"/>
                <w:bCs w:val="1"/>
                <w:color w:val="FFFFFF"/>
                <w:w w:val="94"/>
              </w:rPr>
              <w:t>TCXO</w:t>
            </w:r>
          </w:p>
        </w:tc>
        <w:tc>
          <w:tcPr>
            <w:tcW w:w="6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 w:type="dxa"/>
            <w:vAlign w:val="bottom"/>
            <w:shd w:val="clear" w:color="auto" w:fill="000000"/>
          </w:tcPr>
          <w:p>
            <w:pPr>
              <w:spacing w:after="0"/>
              <w:rPr>
                <w:sz w:val="10"/>
                <w:szCs w:val="10"/>
                <w:color w:val="auto"/>
              </w:rPr>
            </w:pPr>
          </w:p>
        </w:tc>
        <w:tc>
          <w:tcPr>
            <w:tcW w:w="1440" w:type="dxa"/>
            <w:vAlign w:val="bottom"/>
            <w:tcBorders>
              <w:right w:val="single" w:sz="8" w:color="auto"/>
            </w:tcBorders>
            <w:vMerge w:val="restart"/>
            <w:shd w:val="clear" w:color="auto" w:fill="000000"/>
          </w:tcPr>
          <w:p>
            <w:pPr>
              <w:jc w:val="center"/>
              <w:spacing w:after="0"/>
              <w:rPr>
                <w:sz w:val="20"/>
                <w:szCs w:val="20"/>
                <w:color w:val="auto"/>
              </w:rPr>
            </w:pPr>
            <w:r>
              <w:rPr>
                <w:rFonts w:ascii="Calibri" w:cs="Calibri" w:eastAsia="Calibri" w:hAnsi="Calibri"/>
                <w:sz w:val="12"/>
                <w:szCs w:val="12"/>
                <w:b w:val="1"/>
                <w:bCs w:val="1"/>
                <w:color w:val="FFFFFF"/>
              </w:rPr>
              <w:t>Programmable</w:t>
            </w:r>
          </w:p>
        </w:tc>
        <w:tc>
          <w:tcPr>
            <w:tcW w:w="16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vMerge w:val="restart"/>
            <w:shd w:val="clear" w:color="auto" w:fill="000000"/>
          </w:tcPr>
          <w:p>
            <w:pPr>
              <w:jc w:val="center"/>
              <w:spacing w:after="0" w:line="193" w:lineRule="exact"/>
              <w:rPr>
                <w:sz w:val="20"/>
                <w:szCs w:val="20"/>
                <w:color w:val="auto"/>
              </w:rPr>
            </w:pPr>
            <w:r>
              <w:rPr>
                <w:rFonts w:ascii="Calibri" w:cs="Calibri" w:eastAsia="Calibri" w:hAnsi="Calibri"/>
                <w:sz w:val="16"/>
                <w:szCs w:val="16"/>
                <w:b w:val="1"/>
                <w:bCs w:val="1"/>
                <w:color w:val="FFFFFF"/>
                <w:w w:val="99"/>
              </w:rPr>
              <w:t>Jitter Cleaners</w:t>
            </w:r>
          </w:p>
        </w:tc>
        <w:tc>
          <w:tcPr>
            <w:tcW w:w="120" w:type="dxa"/>
            <w:vAlign w:val="bottom"/>
            <w:tcBorders>
              <w:right w:val="single" w:sz="8" w:color="B5B5B5"/>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380" w:type="dxa"/>
            <w:vAlign w:val="bottom"/>
            <w:vMerge w:val="continue"/>
            <w:shd w:val="clear" w:color="auto" w:fill="000000"/>
          </w:tcPr>
          <w:p>
            <w:pPr>
              <w:spacing w:after="0"/>
              <w:rPr>
                <w:sz w:val="10"/>
                <w:szCs w:val="10"/>
                <w:color w:val="auto"/>
              </w:rPr>
            </w:pPr>
          </w:p>
        </w:tc>
        <w:tc>
          <w:tcPr>
            <w:tcW w:w="6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60" w:type="dxa"/>
            <w:vAlign w:val="bottom"/>
            <w:shd w:val="clear" w:color="auto" w:fill="000000"/>
          </w:tcPr>
          <w:p>
            <w:pPr>
              <w:spacing w:after="0"/>
              <w:rPr>
                <w:sz w:val="6"/>
                <w:szCs w:val="6"/>
                <w:color w:val="auto"/>
              </w:rPr>
            </w:pPr>
          </w:p>
        </w:tc>
        <w:tc>
          <w:tcPr>
            <w:tcW w:w="1440" w:type="dxa"/>
            <w:vAlign w:val="bottom"/>
            <w:tcBorders>
              <w:right w:val="single" w:sz="8" w:color="auto"/>
            </w:tcBorders>
            <w:vMerge w:val="continue"/>
            <w:shd w:val="clear" w:color="auto" w:fill="000000"/>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1440" w:type="dxa"/>
            <w:vAlign w:val="bottom"/>
            <w:tcBorders>
              <w:right w:val="single" w:sz="8" w:color="auto"/>
            </w:tcBorders>
            <w:vMerge w:val="continue"/>
            <w:shd w:val="clear" w:color="auto" w:fill="000000"/>
          </w:tcPr>
          <w:p>
            <w:pPr>
              <w:spacing w:after="0"/>
              <w:rPr>
                <w:sz w:val="6"/>
                <w:szCs w:val="6"/>
                <w:color w:val="auto"/>
              </w:rPr>
            </w:pPr>
          </w:p>
        </w:tc>
        <w:tc>
          <w:tcPr>
            <w:tcW w:w="120" w:type="dxa"/>
            <w:vAlign w:val="bottom"/>
            <w:tcBorders>
              <w:right w:val="single" w:sz="8" w:color="B5B5B5"/>
            </w:tcBorders>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380" w:type="dxa"/>
            <w:vAlign w:val="bottom"/>
            <w:shd w:val="clear" w:color="auto" w:fill="000000"/>
          </w:tcPr>
          <w:p>
            <w:pPr>
              <w:spacing w:after="0"/>
              <w:rPr>
                <w:sz w:val="6"/>
                <w:szCs w:val="6"/>
                <w:color w:val="auto"/>
              </w:rPr>
            </w:pPr>
          </w:p>
        </w:tc>
        <w:tc>
          <w:tcPr>
            <w:tcW w:w="6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0" w:type="dxa"/>
            <w:vAlign w:val="bottom"/>
            <w:shd w:val="clear" w:color="auto" w:fill="000000"/>
          </w:tcPr>
          <w:p>
            <w:pPr>
              <w:spacing w:after="0"/>
              <w:rPr>
                <w:sz w:val="17"/>
                <w:szCs w:val="17"/>
                <w:color w:val="auto"/>
              </w:rPr>
            </w:pPr>
          </w:p>
        </w:tc>
        <w:tc>
          <w:tcPr>
            <w:tcW w:w="1440" w:type="dxa"/>
            <w:vAlign w:val="bottom"/>
            <w:tcBorders>
              <w:right w:val="single" w:sz="8" w:color="auto"/>
            </w:tcBorders>
            <w:shd w:val="clear" w:color="auto" w:fill="000000"/>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shd w:val="clear" w:color="auto" w:fill="000000"/>
          </w:tcPr>
          <w:p>
            <w:pPr>
              <w:spacing w:after="0"/>
              <w:rPr>
                <w:sz w:val="17"/>
                <w:szCs w:val="17"/>
                <w:color w:val="auto"/>
              </w:rPr>
            </w:pPr>
          </w:p>
        </w:tc>
        <w:tc>
          <w:tcPr>
            <w:tcW w:w="120" w:type="dxa"/>
            <w:vAlign w:val="bottom"/>
            <w:tcBorders>
              <w:right w:val="single" w:sz="8" w:color="B5B5B5"/>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80" w:type="dxa"/>
            <w:vAlign w:val="bottom"/>
            <w:shd w:val="clear" w:color="auto" w:fill="000000"/>
          </w:tcPr>
          <w:p>
            <w:pPr>
              <w:spacing w:after="0"/>
              <w:rPr>
                <w:sz w:val="17"/>
                <w:szCs w:val="17"/>
                <w:color w:val="auto"/>
              </w:rPr>
            </w:pPr>
          </w:p>
        </w:tc>
        <w:tc>
          <w:tcPr>
            <w:tcW w:w="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Borders>
              <w:right w:val="single" w:sz="8" w:color="B5B5B5"/>
            </w:tcBorders>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86"/>
        </w:trPr>
        <w:tc>
          <w:tcPr>
            <w:tcW w:w="60" w:type="dxa"/>
            <w:vAlign w:val="bottom"/>
            <w:shd w:val="clear" w:color="auto" w:fill="000000"/>
          </w:tcPr>
          <w:p>
            <w:pPr>
              <w:spacing w:after="0"/>
              <w:rPr>
                <w:sz w:val="24"/>
                <w:szCs w:val="24"/>
                <w:color w:val="auto"/>
              </w:rPr>
            </w:pPr>
          </w:p>
        </w:tc>
        <w:tc>
          <w:tcPr>
            <w:tcW w:w="1440" w:type="dxa"/>
            <w:vAlign w:val="bottom"/>
            <w:tcBorders>
              <w:right w:val="single" w:sz="8" w:color="auto"/>
            </w:tcBorders>
            <w:vMerge w:val="restart"/>
            <w:shd w:val="clear" w:color="auto" w:fill="000000"/>
          </w:tcPr>
          <w:p>
            <w:pPr>
              <w:jc w:val="center"/>
              <w:ind w:right="2"/>
              <w:spacing w:after="0"/>
              <w:rPr>
                <w:sz w:val="20"/>
                <w:szCs w:val="20"/>
                <w:color w:val="auto"/>
              </w:rPr>
            </w:pPr>
            <w:r>
              <w:rPr>
                <w:rFonts w:ascii="Calibri" w:cs="Calibri" w:eastAsia="Calibri" w:hAnsi="Calibri"/>
                <w:sz w:val="16"/>
                <w:szCs w:val="16"/>
                <w:b w:val="1"/>
                <w:bCs w:val="1"/>
                <w:color w:val="FFFFFF"/>
                <w:w w:val="95"/>
              </w:rPr>
              <w:t>VCXO</w:t>
            </w:r>
          </w:p>
        </w:tc>
        <w:tc>
          <w:tcPr>
            <w:tcW w:w="160" w:type="dxa"/>
            <w:vAlign w:val="bottom"/>
            <w:tcBorders>
              <w:right w:val="single" w:sz="8" w:color="auto"/>
            </w:tcBorders>
          </w:tcPr>
          <w:p>
            <w:pPr>
              <w:spacing w:after="0"/>
              <w:rPr>
                <w:sz w:val="24"/>
                <w:szCs w:val="24"/>
                <w:color w:val="auto"/>
              </w:rPr>
            </w:pPr>
          </w:p>
        </w:tc>
        <w:tc>
          <w:tcPr>
            <w:tcW w:w="1440" w:type="dxa"/>
            <w:vAlign w:val="bottom"/>
            <w:tcBorders>
              <w:right w:val="single" w:sz="8" w:color="auto"/>
            </w:tcBorders>
            <w:vMerge w:val="restart"/>
            <w:shd w:val="clear" w:color="auto" w:fill="000000"/>
          </w:tcPr>
          <w:p>
            <w:pPr>
              <w:jc w:val="center"/>
              <w:spacing w:after="0"/>
              <w:rPr>
                <w:sz w:val="20"/>
                <w:szCs w:val="20"/>
                <w:color w:val="auto"/>
              </w:rPr>
            </w:pPr>
            <w:r>
              <w:rPr>
                <w:rFonts w:ascii="Calibri" w:cs="Calibri" w:eastAsia="Calibri" w:hAnsi="Calibri"/>
                <w:sz w:val="16"/>
                <w:szCs w:val="16"/>
                <w:b w:val="1"/>
                <w:bCs w:val="1"/>
                <w:color w:val="FFFFFF"/>
                <w:w w:val="98"/>
              </w:rPr>
              <w:t>OCXO/DCOCXO</w:t>
            </w:r>
          </w:p>
        </w:tc>
        <w:tc>
          <w:tcPr>
            <w:tcW w:w="120" w:type="dxa"/>
            <w:vAlign w:val="bottom"/>
            <w:tcBorders>
              <w:right w:val="single" w:sz="8" w:color="B5B5B5"/>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shd w:val="clear" w:color="auto" w:fill="000000"/>
          </w:tcPr>
          <w:p>
            <w:pPr>
              <w:jc w:val="center"/>
              <w:spacing w:after="0"/>
              <w:rPr>
                <w:sz w:val="20"/>
                <w:szCs w:val="20"/>
                <w:color w:val="auto"/>
              </w:rPr>
            </w:pPr>
            <w:r>
              <w:rPr>
                <w:rFonts w:ascii="Calibri" w:cs="Calibri" w:eastAsia="Calibri" w:hAnsi="Calibri"/>
                <w:sz w:val="16"/>
                <w:szCs w:val="16"/>
                <w:b w:val="1"/>
                <w:bCs w:val="1"/>
                <w:color w:val="FFFFFF"/>
              </w:rPr>
              <w:t>Low Power</w:t>
            </w:r>
          </w:p>
        </w:tc>
        <w:tc>
          <w:tcPr>
            <w:tcW w:w="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0" w:type="dxa"/>
            <w:vAlign w:val="bottom"/>
            <w:shd w:val="clear" w:color="auto" w:fill="000000"/>
          </w:tcPr>
          <w:p>
            <w:pPr>
              <w:spacing w:after="0"/>
              <w:rPr>
                <w:sz w:val="10"/>
                <w:szCs w:val="10"/>
                <w:color w:val="auto"/>
              </w:rPr>
            </w:pPr>
          </w:p>
        </w:tc>
        <w:tc>
          <w:tcPr>
            <w:tcW w:w="1440" w:type="dxa"/>
            <w:vAlign w:val="bottom"/>
            <w:tcBorders>
              <w:right w:val="single" w:sz="8" w:color="auto"/>
            </w:tcBorders>
            <w:vMerge w:val="continue"/>
            <w:shd w:val="clear" w:color="auto" w:fill="000000"/>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40" w:type="dxa"/>
            <w:vAlign w:val="bottom"/>
            <w:tcBorders>
              <w:right w:val="single" w:sz="8" w:color="auto"/>
            </w:tcBorders>
            <w:vMerge w:val="continue"/>
            <w:shd w:val="clear" w:color="auto" w:fill="000000"/>
          </w:tcPr>
          <w:p>
            <w:pPr>
              <w:spacing w:after="0"/>
              <w:rPr>
                <w:sz w:val="10"/>
                <w:szCs w:val="10"/>
                <w:color w:val="auto"/>
              </w:rPr>
            </w:pPr>
          </w:p>
        </w:tc>
        <w:tc>
          <w:tcPr>
            <w:tcW w:w="120" w:type="dxa"/>
            <w:vAlign w:val="bottom"/>
            <w:tcBorders>
              <w:right w:val="single" w:sz="8" w:color="B5B5B5"/>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380" w:type="dxa"/>
            <w:vAlign w:val="bottom"/>
            <w:vMerge w:val="restart"/>
            <w:shd w:val="clear" w:color="auto" w:fill="000000"/>
          </w:tcPr>
          <w:p>
            <w:pPr>
              <w:jc w:val="center"/>
              <w:spacing w:after="0"/>
              <w:rPr>
                <w:sz w:val="20"/>
                <w:szCs w:val="20"/>
                <w:color w:val="auto"/>
              </w:rPr>
            </w:pPr>
            <w:r>
              <w:rPr>
                <w:rFonts w:ascii="Calibri" w:cs="Calibri" w:eastAsia="Calibri" w:hAnsi="Calibri"/>
                <w:sz w:val="16"/>
                <w:szCs w:val="16"/>
                <w:b w:val="1"/>
                <w:bCs w:val="1"/>
                <w:color w:val="FFFFFF"/>
                <w:w w:val="94"/>
              </w:rPr>
              <w:t>TCXO</w:t>
            </w:r>
          </w:p>
        </w:tc>
        <w:tc>
          <w:tcPr>
            <w:tcW w:w="6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60" w:type="dxa"/>
            <w:vAlign w:val="bottom"/>
            <w:shd w:val="clear" w:color="auto" w:fill="000000"/>
          </w:tcPr>
          <w:p>
            <w:pPr>
              <w:spacing w:after="0"/>
              <w:rPr>
                <w:sz w:val="8"/>
                <w:szCs w:val="8"/>
                <w:color w:val="auto"/>
              </w:rPr>
            </w:pPr>
          </w:p>
        </w:tc>
        <w:tc>
          <w:tcPr>
            <w:tcW w:w="1440" w:type="dxa"/>
            <w:vAlign w:val="bottom"/>
            <w:tcBorders>
              <w:right w:val="single" w:sz="8" w:color="auto"/>
            </w:tcBorders>
            <w:shd w:val="clear" w:color="auto" w:fill="000000"/>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1440" w:type="dxa"/>
            <w:vAlign w:val="bottom"/>
            <w:tcBorders>
              <w:right w:val="single" w:sz="8" w:color="auto"/>
            </w:tcBorders>
            <w:shd w:val="clear" w:color="auto" w:fill="000000"/>
          </w:tcPr>
          <w:p>
            <w:pPr>
              <w:spacing w:after="0"/>
              <w:rPr>
                <w:sz w:val="8"/>
                <w:szCs w:val="8"/>
                <w:color w:val="auto"/>
              </w:rPr>
            </w:pPr>
          </w:p>
        </w:tc>
        <w:tc>
          <w:tcPr>
            <w:tcW w:w="120" w:type="dxa"/>
            <w:vAlign w:val="bottom"/>
            <w:tcBorders>
              <w:right w:val="single" w:sz="8" w:color="B5B5B5"/>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1380" w:type="dxa"/>
            <w:vAlign w:val="bottom"/>
            <w:vMerge w:val="continue"/>
            <w:shd w:val="clear" w:color="auto" w:fill="000000"/>
          </w:tcPr>
          <w:p>
            <w:pPr>
              <w:spacing w:after="0"/>
              <w:rPr>
                <w:sz w:val="8"/>
                <w:szCs w:val="8"/>
                <w:color w:val="auto"/>
              </w:rPr>
            </w:pPr>
          </w:p>
        </w:tc>
        <w:tc>
          <w:tcPr>
            <w:tcW w:w="6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000000"/>
          </w:tcPr>
          <w:p>
            <w:pPr>
              <w:spacing w:after="0"/>
              <w:rPr>
                <w:sz w:val="23"/>
                <w:szCs w:val="23"/>
                <w:color w:val="auto"/>
              </w:rPr>
            </w:pPr>
          </w:p>
        </w:tc>
        <w:tc>
          <w:tcPr>
            <w:tcW w:w="1440" w:type="dxa"/>
            <w:vAlign w:val="bottom"/>
            <w:tcBorders>
              <w:right w:val="single" w:sz="8" w:color="auto"/>
            </w:tcBorders>
            <w:shd w:val="clear" w:color="auto" w:fill="000000"/>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1440" w:type="dxa"/>
            <w:vAlign w:val="bottom"/>
            <w:tcBorders>
              <w:right w:val="single" w:sz="8" w:color="auto"/>
            </w:tcBorders>
            <w:shd w:val="clear" w:color="auto" w:fill="000000"/>
          </w:tcPr>
          <w:p>
            <w:pPr>
              <w:spacing w:after="0"/>
              <w:rPr>
                <w:sz w:val="23"/>
                <w:szCs w:val="23"/>
                <w:color w:val="auto"/>
              </w:rPr>
            </w:pPr>
          </w:p>
        </w:tc>
        <w:tc>
          <w:tcPr>
            <w:tcW w:w="120" w:type="dxa"/>
            <w:vAlign w:val="bottom"/>
            <w:tcBorders>
              <w:right w:val="single" w:sz="8" w:color="B5B5B5"/>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380" w:type="dxa"/>
            <w:vAlign w:val="bottom"/>
            <w:shd w:val="clear" w:color="auto" w:fill="000000"/>
          </w:tcPr>
          <w:p>
            <w:pPr>
              <w:spacing w:after="0"/>
              <w:rPr>
                <w:sz w:val="23"/>
                <w:szCs w:val="23"/>
                <w:color w:val="auto"/>
              </w:rPr>
            </w:pPr>
          </w:p>
        </w:tc>
        <w:tc>
          <w:tcPr>
            <w:tcW w:w="6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Borders>
              <w:right w:val="single" w:sz="8" w:color="B5B5B5"/>
            </w:tcBorders>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86"/>
        </w:trPr>
        <w:tc>
          <w:tcPr>
            <w:tcW w:w="60" w:type="dxa"/>
            <w:vAlign w:val="bottom"/>
            <w:shd w:val="clear" w:color="auto" w:fill="000000"/>
          </w:tcPr>
          <w:p>
            <w:pPr>
              <w:spacing w:after="0"/>
              <w:rPr>
                <w:sz w:val="24"/>
                <w:szCs w:val="24"/>
                <w:color w:val="auto"/>
              </w:rPr>
            </w:pPr>
          </w:p>
        </w:tc>
        <w:tc>
          <w:tcPr>
            <w:tcW w:w="144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16"/>
                <w:szCs w:val="16"/>
                <w:b w:val="1"/>
                <w:bCs w:val="1"/>
                <w:color w:val="FFFFFF"/>
              </w:rPr>
              <w:t>Low Power</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right w:val="single" w:sz="8" w:color="B5B5B5"/>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shd w:val="clear" w:color="auto" w:fill="000000"/>
          </w:tcPr>
          <w:p>
            <w:pPr>
              <w:jc w:val="center"/>
              <w:spacing w:after="0"/>
              <w:rPr>
                <w:sz w:val="20"/>
                <w:szCs w:val="20"/>
                <w:color w:val="auto"/>
              </w:rPr>
            </w:pPr>
            <w:r>
              <w:rPr>
                <w:rFonts w:ascii="Calibri" w:cs="Calibri" w:eastAsia="Calibri" w:hAnsi="Calibri"/>
                <w:sz w:val="16"/>
                <w:szCs w:val="16"/>
                <w:b w:val="1"/>
                <w:bCs w:val="1"/>
                <w:color w:val="FFFFFF"/>
              </w:rPr>
              <w:t>Low Power</w:t>
            </w:r>
          </w:p>
        </w:tc>
        <w:tc>
          <w:tcPr>
            <w:tcW w:w="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0" w:type="dxa"/>
            <w:vAlign w:val="bottom"/>
            <w:shd w:val="clear" w:color="auto" w:fill="000000"/>
          </w:tcPr>
          <w:p>
            <w:pPr>
              <w:spacing w:after="0"/>
              <w:rPr>
                <w:sz w:val="18"/>
                <w:szCs w:val="18"/>
                <w:color w:val="auto"/>
              </w:rPr>
            </w:pPr>
          </w:p>
        </w:tc>
        <w:tc>
          <w:tcPr>
            <w:tcW w:w="144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16"/>
                <w:szCs w:val="16"/>
                <w:b w:val="1"/>
                <w:bCs w:val="1"/>
                <w:color w:val="FFFFFF"/>
              </w:rPr>
              <w:t>Oscillators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Borders>
              <w:right w:val="single" w:sz="8" w:color="B5B5B5"/>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80" w:type="dxa"/>
            <w:vAlign w:val="bottom"/>
            <w:shd w:val="clear" w:color="auto" w:fill="000000"/>
          </w:tcPr>
          <w:p>
            <w:pPr>
              <w:jc w:val="center"/>
              <w:spacing w:after="0"/>
              <w:rPr>
                <w:sz w:val="20"/>
                <w:szCs w:val="20"/>
                <w:color w:val="auto"/>
              </w:rPr>
            </w:pPr>
            <w:r>
              <w:rPr>
                <w:rFonts w:ascii="Calibri" w:cs="Calibri" w:eastAsia="Calibri" w:hAnsi="Calibri"/>
                <w:sz w:val="16"/>
                <w:szCs w:val="16"/>
                <w:b w:val="1"/>
                <w:bCs w:val="1"/>
                <w:color w:val="FFFFFF"/>
                <w:w w:val="99"/>
              </w:rPr>
              <w:t>DCXO</w:t>
            </w:r>
          </w:p>
        </w:tc>
        <w:tc>
          <w:tcPr>
            <w:tcW w:w="6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000000"/>
          </w:tcPr>
          <w:p>
            <w:pPr>
              <w:spacing w:after="0"/>
              <w:rPr>
                <w:sz w:val="23"/>
                <w:szCs w:val="23"/>
                <w:color w:val="auto"/>
              </w:rPr>
            </w:pPr>
          </w:p>
        </w:tc>
        <w:tc>
          <w:tcPr>
            <w:tcW w:w="1440" w:type="dxa"/>
            <w:vAlign w:val="bottom"/>
            <w:tcBorders>
              <w:right w:val="single" w:sz="8" w:color="auto"/>
            </w:tcBorders>
            <w:shd w:val="clear" w:color="auto" w:fill="000000"/>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Borders>
              <w:right w:val="single" w:sz="8" w:color="B5B5B5"/>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380" w:type="dxa"/>
            <w:vAlign w:val="bottom"/>
            <w:shd w:val="clear" w:color="auto" w:fill="000000"/>
          </w:tcPr>
          <w:p>
            <w:pPr>
              <w:spacing w:after="0"/>
              <w:rPr>
                <w:sz w:val="23"/>
                <w:szCs w:val="23"/>
                <w:color w:val="auto"/>
              </w:rPr>
            </w:pPr>
          </w:p>
        </w:tc>
        <w:tc>
          <w:tcPr>
            <w:tcW w:w="6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Borders>
              <w:right w:val="single" w:sz="8" w:color="B5B5B5"/>
            </w:tcBorders>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86"/>
        </w:trPr>
        <w:tc>
          <w:tcPr>
            <w:tcW w:w="60" w:type="dxa"/>
            <w:vAlign w:val="bottom"/>
            <w:shd w:val="clear" w:color="auto" w:fill="000000"/>
          </w:tcPr>
          <w:p>
            <w:pPr>
              <w:spacing w:after="0"/>
              <w:rPr>
                <w:sz w:val="24"/>
                <w:szCs w:val="24"/>
                <w:color w:val="auto"/>
              </w:rPr>
            </w:pPr>
          </w:p>
        </w:tc>
        <w:tc>
          <w:tcPr>
            <w:tcW w:w="144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16"/>
                <w:szCs w:val="16"/>
                <w:b w:val="1"/>
                <w:bCs w:val="1"/>
                <w:color w:val="FFFFFF"/>
              </w:rPr>
              <w:t>Spread Spectrum</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right w:val="single" w:sz="8" w:color="B5B5B5"/>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shd w:val="clear" w:color="auto" w:fill="000000"/>
          </w:tcPr>
          <w:p>
            <w:pPr>
              <w:jc w:val="center"/>
              <w:spacing w:after="0"/>
              <w:rPr>
                <w:sz w:val="20"/>
                <w:szCs w:val="20"/>
                <w:color w:val="auto"/>
              </w:rPr>
            </w:pPr>
            <w:r>
              <w:rPr>
                <w:rFonts w:ascii="Calibri" w:cs="Calibri" w:eastAsia="Calibri" w:hAnsi="Calibri"/>
                <w:sz w:val="16"/>
                <w:szCs w:val="16"/>
                <w:b w:val="1"/>
                <w:bCs w:val="1"/>
                <w:color w:val="FFFFFF"/>
              </w:rPr>
              <w:t>Active</w:t>
            </w:r>
          </w:p>
        </w:tc>
        <w:tc>
          <w:tcPr>
            <w:tcW w:w="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0" w:type="dxa"/>
            <w:vAlign w:val="bottom"/>
            <w:shd w:val="clear" w:color="auto" w:fill="000000"/>
          </w:tcPr>
          <w:p>
            <w:pPr>
              <w:spacing w:after="0"/>
              <w:rPr>
                <w:sz w:val="18"/>
                <w:szCs w:val="18"/>
                <w:color w:val="auto"/>
              </w:rPr>
            </w:pPr>
          </w:p>
        </w:tc>
        <w:tc>
          <w:tcPr>
            <w:tcW w:w="144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16"/>
                <w:szCs w:val="16"/>
                <w:b w:val="1"/>
                <w:bCs w:val="1"/>
                <w:color w:val="FFFFFF"/>
              </w:rPr>
              <w:t>Oscillators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Borders>
              <w:right w:val="single" w:sz="8" w:color="B5B5B5"/>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80" w:type="dxa"/>
            <w:vAlign w:val="bottom"/>
            <w:shd w:val="clear" w:color="auto" w:fill="000000"/>
          </w:tcPr>
          <w:p>
            <w:pPr>
              <w:jc w:val="center"/>
              <w:spacing w:after="0"/>
              <w:rPr>
                <w:sz w:val="20"/>
                <w:szCs w:val="20"/>
                <w:color w:val="auto"/>
              </w:rPr>
            </w:pPr>
            <w:r>
              <w:rPr>
                <w:rFonts w:ascii="Calibri" w:cs="Calibri" w:eastAsia="Calibri" w:hAnsi="Calibri"/>
                <w:sz w:val="16"/>
                <w:szCs w:val="16"/>
                <w:b w:val="1"/>
                <w:bCs w:val="1"/>
                <w:color w:val="FFFFFF"/>
                <w:w w:val="98"/>
              </w:rPr>
              <w:t>Resonators</w:t>
            </w:r>
          </w:p>
        </w:tc>
        <w:tc>
          <w:tcPr>
            <w:tcW w:w="6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000000"/>
          </w:tcPr>
          <w:p>
            <w:pPr>
              <w:spacing w:after="0"/>
              <w:rPr>
                <w:sz w:val="23"/>
                <w:szCs w:val="23"/>
                <w:color w:val="auto"/>
              </w:rPr>
            </w:pPr>
          </w:p>
        </w:tc>
        <w:tc>
          <w:tcPr>
            <w:tcW w:w="1440" w:type="dxa"/>
            <w:vAlign w:val="bottom"/>
            <w:tcBorders>
              <w:right w:val="single" w:sz="8" w:color="auto"/>
            </w:tcBorders>
            <w:shd w:val="clear" w:color="auto" w:fill="000000"/>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Borders>
              <w:right w:val="single" w:sz="8" w:color="B5B5B5"/>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380" w:type="dxa"/>
            <w:vAlign w:val="bottom"/>
            <w:shd w:val="clear" w:color="auto" w:fill="000000"/>
          </w:tcPr>
          <w:p>
            <w:pPr>
              <w:spacing w:after="0"/>
              <w:rPr>
                <w:sz w:val="23"/>
                <w:szCs w:val="23"/>
                <w:color w:val="auto"/>
              </w:rPr>
            </w:pPr>
          </w:p>
        </w:tc>
        <w:tc>
          <w:tcPr>
            <w:tcW w:w="6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Borders>
              <w:right w:val="single" w:sz="8" w:color="B5B5B5"/>
            </w:tcBorders>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60" w:type="dxa"/>
            <w:vAlign w:val="bottom"/>
            <w:shd w:val="clear" w:color="auto" w:fill="000000"/>
          </w:tcPr>
          <w:p>
            <w:pPr>
              <w:spacing w:after="0"/>
              <w:rPr>
                <w:sz w:val="24"/>
                <w:szCs w:val="24"/>
                <w:color w:val="auto"/>
              </w:rPr>
            </w:pPr>
          </w:p>
        </w:tc>
        <w:tc>
          <w:tcPr>
            <w:tcW w:w="144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16"/>
                <w:szCs w:val="16"/>
                <w:b w:val="1"/>
                <w:bCs w:val="1"/>
                <w:color w:val="FFFFFF"/>
                <w:w w:val="98"/>
              </w:rPr>
              <w:t>TCXO/VCTCXO/</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right w:val="single" w:sz="8" w:color="B5B5B5"/>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shd w:val="clear" w:color="auto" w:fill="000000"/>
          </w:tcPr>
          <w:p>
            <w:pPr>
              <w:jc w:val="center"/>
              <w:spacing w:after="0"/>
              <w:rPr>
                <w:sz w:val="20"/>
                <w:szCs w:val="20"/>
                <w:color w:val="auto"/>
              </w:rPr>
            </w:pPr>
            <w:r>
              <w:rPr>
                <w:rFonts w:ascii="Calibri" w:cs="Calibri" w:eastAsia="Calibri" w:hAnsi="Calibri"/>
                <w:sz w:val="16"/>
                <w:szCs w:val="16"/>
                <w:b w:val="1"/>
                <w:bCs w:val="1"/>
                <w:color w:val="FFFFFF"/>
                <w:w w:val="98"/>
              </w:rPr>
              <w:t>TCXO/VCTCXO/</w:t>
            </w:r>
          </w:p>
        </w:tc>
        <w:tc>
          <w:tcPr>
            <w:tcW w:w="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0" w:type="dxa"/>
            <w:vAlign w:val="bottom"/>
            <w:shd w:val="clear" w:color="auto" w:fill="000000"/>
          </w:tcPr>
          <w:p>
            <w:pPr>
              <w:spacing w:after="0"/>
              <w:rPr>
                <w:sz w:val="18"/>
                <w:szCs w:val="18"/>
                <w:color w:val="auto"/>
              </w:rPr>
            </w:pPr>
          </w:p>
        </w:tc>
        <w:tc>
          <w:tcPr>
            <w:tcW w:w="144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16"/>
                <w:szCs w:val="16"/>
                <w:b w:val="1"/>
                <w:bCs w:val="1"/>
                <w:color w:val="FFFFFF"/>
                <w:w w:val="98"/>
              </w:rPr>
              <w:t>DCTCXO</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Borders>
              <w:right w:val="single" w:sz="8" w:color="B5B5B5"/>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80" w:type="dxa"/>
            <w:vAlign w:val="bottom"/>
            <w:shd w:val="clear" w:color="auto" w:fill="000000"/>
          </w:tcPr>
          <w:p>
            <w:pPr>
              <w:jc w:val="center"/>
              <w:spacing w:after="0"/>
              <w:rPr>
                <w:sz w:val="20"/>
                <w:szCs w:val="20"/>
                <w:color w:val="auto"/>
              </w:rPr>
            </w:pPr>
            <w:r>
              <w:rPr>
                <w:rFonts w:ascii="Calibri" w:cs="Calibri" w:eastAsia="Calibri" w:hAnsi="Calibri"/>
                <w:sz w:val="16"/>
                <w:szCs w:val="16"/>
                <w:b w:val="1"/>
                <w:bCs w:val="1"/>
                <w:color w:val="FFFFFF"/>
                <w:w w:val="98"/>
              </w:rPr>
              <w:t>DCTCXO</w:t>
            </w:r>
          </w:p>
        </w:tc>
        <w:tc>
          <w:tcPr>
            <w:tcW w:w="6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000000"/>
          </w:tcPr>
          <w:p>
            <w:pPr>
              <w:spacing w:after="0"/>
              <w:rPr>
                <w:sz w:val="23"/>
                <w:szCs w:val="23"/>
                <w:color w:val="auto"/>
              </w:rPr>
            </w:pPr>
          </w:p>
        </w:tc>
        <w:tc>
          <w:tcPr>
            <w:tcW w:w="1440" w:type="dxa"/>
            <w:vAlign w:val="bottom"/>
            <w:tcBorders>
              <w:right w:val="single" w:sz="8" w:color="auto"/>
            </w:tcBorders>
            <w:shd w:val="clear" w:color="auto" w:fill="000000"/>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Borders>
              <w:right w:val="single" w:sz="8" w:color="B5B5B5"/>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380" w:type="dxa"/>
            <w:vAlign w:val="bottom"/>
            <w:shd w:val="clear" w:color="auto" w:fill="000000"/>
          </w:tcPr>
          <w:p>
            <w:pPr>
              <w:spacing w:after="0"/>
              <w:rPr>
                <w:sz w:val="23"/>
                <w:szCs w:val="23"/>
                <w:color w:val="auto"/>
              </w:rPr>
            </w:pPr>
          </w:p>
        </w:tc>
        <w:tc>
          <w:tcPr>
            <w:tcW w:w="6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Borders>
              <w:right w:val="single" w:sz="8" w:color="B5B5B5"/>
            </w:tcBorders>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86"/>
        </w:trPr>
        <w:tc>
          <w:tcPr>
            <w:tcW w:w="60" w:type="dxa"/>
            <w:vAlign w:val="bottom"/>
            <w:shd w:val="clear" w:color="auto" w:fill="000000"/>
          </w:tcPr>
          <w:p>
            <w:pPr>
              <w:spacing w:after="0"/>
              <w:rPr>
                <w:sz w:val="24"/>
                <w:szCs w:val="24"/>
                <w:color w:val="auto"/>
              </w:rPr>
            </w:pPr>
          </w:p>
        </w:tc>
        <w:tc>
          <w:tcPr>
            <w:tcW w:w="144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16"/>
                <w:szCs w:val="16"/>
                <w:b w:val="1"/>
                <w:bCs w:val="1"/>
                <w:color w:val="FFFFFF"/>
              </w:rPr>
              <w:t xml:space="preserve">ʅWŽǁĞƌ ϯϮ Ŭ,ǌ </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right w:val="single" w:sz="8" w:color="B5B5B5"/>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80" w:type="dxa"/>
            <w:vAlign w:val="bottom"/>
            <w:shd w:val="clear" w:color="auto" w:fill="000000"/>
          </w:tcPr>
          <w:p>
            <w:pPr>
              <w:jc w:val="center"/>
              <w:spacing w:after="0"/>
              <w:rPr>
                <w:sz w:val="20"/>
                <w:szCs w:val="20"/>
                <w:color w:val="auto"/>
              </w:rPr>
            </w:pPr>
            <w:r>
              <w:rPr>
                <w:rFonts w:ascii="Calibri" w:cs="Calibri" w:eastAsia="Calibri" w:hAnsi="Calibri"/>
                <w:sz w:val="16"/>
                <w:szCs w:val="16"/>
                <w:b w:val="1"/>
                <w:bCs w:val="1"/>
                <w:color w:val="FFFFFF"/>
              </w:rPr>
              <w:t>Spread Spectrum</w:t>
            </w:r>
          </w:p>
        </w:tc>
        <w:tc>
          <w:tcPr>
            <w:tcW w:w="6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0" w:type="dxa"/>
            <w:vAlign w:val="bottom"/>
            <w:shd w:val="clear" w:color="auto" w:fill="000000"/>
          </w:tcPr>
          <w:p>
            <w:pPr>
              <w:spacing w:after="0"/>
              <w:rPr>
                <w:sz w:val="18"/>
                <w:szCs w:val="18"/>
                <w:color w:val="auto"/>
              </w:rPr>
            </w:pPr>
          </w:p>
        </w:tc>
        <w:tc>
          <w:tcPr>
            <w:tcW w:w="1440" w:type="dxa"/>
            <w:vAlign w:val="bottom"/>
            <w:tcBorders>
              <w:right w:val="single" w:sz="8" w:color="auto"/>
            </w:tcBorders>
            <w:shd w:val="clear" w:color="auto" w:fill="000000"/>
          </w:tcPr>
          <w:p>
            <w:pPr>
              <w:jc w:val="center"/>
              <w:spacing w:after="0"/>
              <w:rPr>
                <w:sz w:val="20"/>
                <w:szCs w:val="20"/>
                <w:color w:val="auto"/>
              </w:rPr>
            </w:pPr>
            <w:r>
              <w:rPr>
                <w:rFonts w:ascii="Calibri" w:cs="Calibri" w:eastAsia="Calibri" w:hAnsi="Calibri"/>
                <w:sz w:val="16"/>
                <w:szCs w:val="16"/>
                <w:b w:val="1"/>
                <w:bCs w:val="1"/>
                <w:color w:val="FFFFFF"/>
              </w:rPr>
              <w:t>Oscillators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Borders>
              <w:right w:val="single" w:sz="8" w:color="B5B5B5"/>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380" w:type="dxa"/>
            <w:vAlign w:val="bottom"/>
            <w:shd w:val="clear" w:color="auto" w:fill="000000"/>
          </w:tcPr>
          <w:p>
            <w:pPr>
              <w:jc w:val="center"/>
              <w:spacing w:after="0"/>
              <w:rPr>
                <w:sz w:val="20"/>
                <w:szCs w:val="20"/>
                <w:color w:val="auto"/>
              </w:rPr>
            </w:pPr>
            <w:r>
              <w:rPr>
                <w:rFonts w:ascii="Calibri" w:cs="Calibri" w:eastAsia="Calibri" w:hAnsi="Calibri"/>
                <w:sz w:val="16"/>
                <w:szCs w:val="16"/>
                <w:b w:val="1"/>
                <w:bCs w:val="1"/>
                <w:color w:val="FFFFFF"/>
              </w:rPr>
              <w:t>Oscillators</w:t>
            </w:r>
          </w:p>
        </w:tc>
        <w:tc>
          <w:tcPr>
            <w:tcW w:w="6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 w:type="dxa"/>
            <w:vAlign w:val="bottom"/>
            <w:shd w:val="clear" w:color="auto" w:fill="000000"/>
          </w:tcPr>
          <w:p>
            <w:pPr>
              <w:spacing w:after="0"/>
              <w:rPr>
                <w:sz w:val="23"/>
                <w:szCs w:val="23"/>
                <w:color w:val="auto"/>
              </w:rPr>
            </w:pPr>
          </w:p>
        </w:tc>
        <w:tc>
          <w:tcPr>
            <w:tcW w:w="1440" w:type="dxa"/>
            <w:vAlign w:val="bottom"/>
            <w:tcBorders>
              <w:right w:val="single" w:sz="8" w:color="auto"/>
            </w:tcBorders>
            <w:shd w:val="clear" w:color="auto" w:fill="000000"/>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Borders>
              <w:right w:val="single" w:sz="8" w:color="B5B5B5"/>
            </w:tcBorders>
          </w:tcPr>
          <w:p>
            <w:pPr>
              <w:spacing w:after="0"/>
              <w:rPr>
                <w:sz w:val="23"/>
                <w:szCs w:val="23"/>
                <w:color w:val="auto"/>
              </w:rPr>
            </w:pPr>
          </w:p>
        </w:tc>
        <w:tc>
          <w:tcPr>
            <w:tcW w:w="140" w:type="dxa"/>
            <w:vAlign w:val="bottom"/>
            <w:tcBorders>
              <w:right w:val="single" w:sz="8" w:color="auto"/>
            </w:tcBorders>
          </w:tcPr>
          <w:p>
            <w:pPr>
              <w:spacing w:after="0"/>
              <w:rPr>
                <w:sz w:val="23"/>
                <w:szCs w:val="23"/>
                <w:color w:val="auto"/>
              </w:rPr>
            </w:pPr>
          </w:p>
        </w:tc>
        <w:tc>
          <w:tcPr>
            <w:tcW w:w="1380" w:type="dxa"/>
            <w:vAlign w:val="bottom"/>
            <w:shd w:val="clear" w:color="auto" w:fill="000000"/>
          </w:tcPr>
          <w:p>
            <w:pPr>
              <w:spacing w:after="0"/>
              <w:rPr>
                <w:sz w:val="23"/>
                <w:szCs w:val="23"/>
                <w:color w:val="auto"/>
              </w:rPr>
            </w:pPr>
          </w:p>
        </w:tc>
        <w:tc>
          <w:tcPr>
            <w:tcW w:w="6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-1093470</wp:posOffset>
                </wp:positionH>
                <wp:positionV relativeFrom="paragraph">
                  <wp:posOffset>-5789930</wp:posOffset>
                </wp:positionV>
                <wp:extent cx="4142740" cy="12192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42740" cy="121920"/>
                        </a:xfrm>
                        <a:prstGeom prst="rect">
                          <a:avLst/>
                        </a:prstGeom>
                        <a:solidFill>
                          <a:srgbClr val="000000"/>
                        </a:solidFill>
                      </wps:spPr>
                      <wps:bodyPr/>
                    </wps:wsp>
                  </a:graphicData>
                </a:graphic>
              </wp:anchor>
            </w:drawing>
          </mc:Choice>
          <mc:Fallback>
            <w:pict>
              <v:rect id="Shape 28" o:spid="_x0000_s1053" style="position:absolute;margin-left:-86.0999pt;margin-top:-455.8999pt;width:326.2pt;height:9.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drawing>
          <wp:anchor simplePos="0" relativeHeight="251657728" behindDoc="1" locked="0" layoutInCell="0" allowOverlap="1">
            <wp:simplePos x="0" y="0"/>
            <wp:positionH relativeFrom="column">
              <wp:posOffset>-1123315</wp:posOffset>
            </wp:positionH>
            <wp:positionV relativeFrom="paragraph">
              <wp:posOffset>-5591175</wp:posOffset>
            </wp:positionV>
            <wp:extent cx="4204335" cy="6486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
                      <a:extLst>
                        <a:ext uri="{28A0092B-C50C-407E-A947-70E740481C1C}"/>
                      </a:extLst>
                    </a:blip>
                    <a:srcRect/>
                    <a:stretch>
                      <a:fillRect/>
                    </a:stretch>
                  </pic:blipFill>
                  <pic:spPr bwMode="auto">
                    <a:xfrm>
                      <a:off x="0" y="0"/>
                      <a:ext cx="4204335" cy="6486525"/>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3000" w:space="400"/>
            <w:col w:w="6480"/>
          </w:cols>
          <w:pgMar w:left="1180" w:top="85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FFFFFF"/>
        </w:rPr>
        <w:t>Synchronization software</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Customers</w:t>
      </w:r>
    </w:p>
    <w:p>
      <w:pPr>
        <w:spacing w:after="0" w:line="134"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auto"/>
        </w:rPr>
        <w:t>While our sales personnel interact directly with our end customers to sell our Precision Timing products, such sales are executed through distributors, who in turn sell our products to our end customers. We also sell products directly to some of our end customers. We work closely with our end customers throughout their design cycles and are able to develop long-term relationships as our technology becomes embedded in their products. As a result, we believe our products are well-positioned to be designed into their current systems and we are well-positioned to develop next generation solutions for their future products.</w:t>
      </w:r>
    </w:p>
    <w:p>
      <w:pPr>
        <w:spacing w:after="0" w:line="128" w:lineRule="exact"/>
        <w:rPr>
          <w:sz w:val="20"/>
          <w:szCs w:val="20"/>
          <w:color w:val="auto"/>
        </w:rPr>
      </w:pPr>
    </w:p>
    <w:p>
      <w:pPr>
        <w:ind w:right="220" w:firstLine="720"/>
        <w:spacing w:after="0" w:line="283" w:lineRule="auto"/>
        <w:rPr>
          <w:sz w:val="20"/>
          <w:szCs w:val="20"/>
          <w:color w:val="auto"/>
        </w:rPr>
      </w:pPr>
      <w:r>
        <w:rPr>
          <w:rFonts w:ascii="Times New Roman" w:cs="Times New Roman" w:eastAsia="Times New Roman" w:hAnsi="Times New Roman"/>
          <w:sz w:val="20"/>
          <w:szCs w:val="20"/>
          <w:color w:val="auto"/>
        </w:rPr>
        <w:t>Our distributor customers, which accounted for more than 10% of our revenue in the years ended December 31, 2025, 2024, and 2023,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880"/>
          </w:cols>
          <w:pgMar w:left="1180" w:top="851" w:right="1180"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6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880" w:type="dxa"/>
            <w:vAlign w:val="bottom"/>
          </w:tcPr>
          <w:p>
            <w:pPr>
              <w:spacing w:after="0"/>
              <w:rPr>
                <w:sz w:val="18"/>
                <w:szCs w:val="18"/>
                <w:color w:val="auto"/>
              </w:rPr>
            </w:pPr>
          </w:p>
        </w:tc>
      </w:tr>
      <w:tr>
        <w:trPr>
          <w:trHeight w:val="38"/>
        </w:trPr>
        <w:tc>
          <w:tcPr>
            <w:tcW w:w="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314"/>
        </w:trPr>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900" w:type="dxa"/>
            <w:vAlign w:val="bottom"/>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6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0"/>
        </w:trPr>
        <w:tc>
          <w:tcPr>
            <w:tcW w:w="60" w:type="dxa"/>
            <w:vAlign w:val="bottom"/>
            <w:tcBorders>
              <w:bottom w:val="single" w:sz="8" w:color="DDDDDD"/>
            </w:tcBorders>
          </w:tcPr>
          <w:p>
            <w:pPr>
              <w:spacing w:after="0"/>
              <w:rPr>
                <w:sz w:val="3"/>
                <w:szCs w:val="3"/>
                <w:color w:val="auto"/>
              </w:rPr>
            </w:pPr>
          </w:p>
        </w:tc>
        <w:tc>
          <w:tcPr>
            <w:tcW w:w="3620" w:type="dxa"/>
            <w:vAlign w:val="bottom"/>
            <w:tcBorders>
              <w:bottom w:val="single" w:sz="8" w:color="DDDDDD"/>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DDDDDD"/>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DDDDDD"/>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332"/>
        </w:trPr>
        <w:tc>
          <w:tcPr>
            <w:tcW w:w="60" w:type="dxa"/>
            <w:vAlign w:val="bottom"/>
            <w:tcBorders>
              <w:bottom w:val="single" w:sz="8" w:color="DDDDDD"/>
            </w:tcBorders>
            <w:shd w:val="clear" w:color="auto" w:fill="DDDDDD"/>
          </w:tcPr>
          <w:p>
            <w:pPr>
              <w:spacing w:after="0"/>
              <w:rPr>
                <w:sz w:val="24"/>
                <w:szCs w:val="24"/>
                <w:color w:val="auto"/>
              </w:rPr>
            </w:pPr>
          </w:p>
        </w:tc>
        <w:tc>
          <w:tcPr>
            <w:tcW w:w="362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b w:val="1"/>
                <w:bCs w:val="1"/>
                <w:color w:val="auto"/>
              </w:rPr>
              <w:t>Customer</w:t>
            </w:r>
          </w:p>
        </w:tc>
        <w:tc>
          <w:tcPr>
            <w:tcW w:w="90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18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spacing w:after="0"/>
              <w:rPr>
                <w:sz w:val="24"/>
                <w:szCs w:val="24"/>
                <w:color w:val="auto"/>
              </w:rPr>
            </w:pPr>
          </w:p>
        </w:tc>
        <w:tc>
          <w:tcPr>
            <w:tcW w:w="880" w:type="dxa"/>
            <w:vAlign w:val="bottom"/>
            <w:tcBorders>
              <w:bottom w:val="single" w:sz="8" w:color="DDDDDD"/>
            </w:tcBorders>
            <w:shd w:val="clear" w:color="auto" w:fill="DDDDDD"/>
          </w:tcPr>
          <w:p>
            <w:pPr>
              <w:spacing w:after="0"/>
              <w:rPr>
                <w:sz w:val="24"/>
                <w:szCs w:val="24"/>
                <w:color w:val="auto"/>
              </w:rPr>
            </w:pPr>
          </w:p>
        </w:tc>
      </w:tr>
      <w:tr>
        <w:trPr>
          <w:trHeight w:val="330"/>
        </w:trPr>
        <w:tc>
          <w:tcPr>
            <w:tcW w:w="6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Arrow Electronics, Inc.</w:t>
            </w:r>
          </w:p>
        </w:tc>
        <w:tc>
          <w:tcPr>
            <w:tcW w:w="900" w:type="dxa"/>
            <w:vAlign w:val="bottom"/>
          </w:tcPr>
          <w:p>
            <w:pPr>
              <w:jc w:val="center"/>
              <w:ind w:left="244"/>
              <w:spacing w:after="0"/>
              <w:rPr>
                <w:sz w:val="20"/>
                <w:szCs w:val="20"/>
                <w:color w:val="auto"/>
              </w:rPr>
            </w:pPr>
            <w:r>
              <w:rPr>
                <w:rFonts w:ascii="Times New Roman" w:cs="Times New Roman" w:eastAsia="Times New Roman" w:hAnsi="Times New Roman"/>
                <w:sz w:val="20"/>
                <w:szCs w:val="20"/>
                <w:color w:val="auto"/>
                <w:w w:val="98"/>
              </w:rPr>
              <w:t>26%</w:t>
            </w:r>
          </w:p>
        </w:tc>
        <w:tc>
          <w:tcPr>
            <w:tcW w:w="156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auto"/>
              </w:rPr>
              <w:t>19%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18%</w:t>
            </w:r>
          </w:p>
        </w:tc>
      </w:tr>
      <w:tr>
        <w:trPr>
          <w:trHeight w:val="43"/>
        </w:trPr>
        <w:tc>
          <w:tcPr>
            <w:tcW w:w="60" w:type="dxa"/>
            <w:vAlign w:val="bottom"/>
          </w:tcPr>
          <w:p>
            <w:pPr>
              <w:spacing w:after="0"/>
              <w:rPr>
                <w:sz w:val="3"/>
                <w:szCs w:val="3"/>
                <w:color w:val="auto"/>
              </w:rPr>
            </w:pPr>
          </w:p>
        </w:tc>
        <w:tc>
          <w:tcPr>
            <w:tcW w:w="3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354"/>
        </w:trPr>
        <w:tc>
          <w:tcPr>
            <w:tcW w:w="60" w:type="dxa"/>
            <w:vAlign w:val="bottom"/>
            <w:tcBorders>
              <w:bottom w:val="single" w:sz="8" w:color="DDDDDD"/>
            </w:tcBorders>
            <w:shd w:val="clear" w:color="auto" w:fill="DDDDDD"/>
          </w:tcPr>
          <w:p>
            <w:pPr>
              <w:spacing w:after="0"/>
              <w:rPr>
                <w:sz w:val="24"/>
                <w:szCs w:val="24"/>
                <w:color w:val="auto"/>
              </w:rPr>
            </w:pPr>
          </w:p>
        </w:tc>
        <w:tc>
          <w:tcPr>
            <w:tcW w:w="362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Pernas Electronics Co. Ltd.</w:t>
            </w:r>
          </w:p>
        </w:tc>
        <w:tc>
          <w:tcPr>
            <w:tcW w:w="900" w:type="dxa"/>
            <w:vAlign w:val="bottom"/>
            <w:tcBorders>
              <w:bottom w:val="single" w:sz="8" w:color="DDDDDD"/>
            </w:tcBorders>
            <w:shd w:val="clear" w:color="auto" w:fill="DDDDDD"/>
          </w:tcPr>
          <w:p>
            <w:pPr>
              <w:jc w:val="center"/>
              <w:ind w:left="244"/>
              <w:spacing w:after="0"/>
              <w:rPr>
                <w:sz w:val="20"/>
                <w:szCs w:val="20"/>
                <w:color w:val="auto"/>
              </w:rPr>
            </w:pPr>
            <w:r>
              <w:rPr>
                <w:rFonts w:ascii="Times New Roman" w:cs="Times New Roman" w:eastAsia="Times New Roman" w:hAnsi="Times New Roman"/>
                <w:sz w:val="20"/>
                <w:szCs w:val="20"/>
                <w:color w:val="auto"/>
                <w:w w:val="98"/>
              </w:rPr>
              <w:t>25%</w:t>
            </w:r>
          </w:p>
        </w:tc>
        <w:tc>
          <w:tcPr>
            <w:tcW w:w="30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1180" w:type="dxa"/>
            <w:vAlign w:val="bottom"/>
            <w:tcBorders>
              <w:bottom w:val="single" w:sz="8" w:color="DDDDDD"/>
            </w:tcBorders>
            <w:shd w:val="clear" w:color="auto" w:fill="DDDDDD"/>
          </w:tcPr>
          <w:p>
            <w:pPr>
              <w:ind w:left="420"/>
              <w:spacing w:after="0"/>
              <w:rPr>
                <w:sz w:val="20"/>
                <w:szCs w:val="20"/>
                <w:color w:val="auto"/>
              </w:rPr>
            </w:pPr>
            <w:r>
              <w:rPr>
                <w:rFonts w:ascii="Times New Roman" w:cs="Times New Roman" w:eastAsia="Times New Roman" w:hAnsi="Times New Roman"/>
                <w:sz w:val="20"/>
                <w:szCs w:val="20"/>
                <w:color w:val="auto"/>
              </w:rPr>
              <w:t>24%</w:t>
            </w:r>
          </w:p>
        </w:tc>
        <w:tc>
          <w:tcPr>
            <w:tcW w:w="8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spacing w:after="0"/>
              <w:rPr>
                <w:sz w:val="24"/>
                <w:szCs w:val="24"/>
                <w:color w:val="auto"/>
              </w:rPr>
            </w:pPr>
          </w:p>
        </w:tc>
        <w:tc>
          <w:tcPr>
            <w:tcW w:w="880" w:type="dxa"/>
            <w:vAlign w:val="bottom"/>
            <w:tcBorders>
              <w:bottom w:val="single" w:sz="8" w:color="DDDDDD"/>
            </w:tcBorders>
            <w:shd w:val="clear" w:color="auto" w:fill="DDDDDD"/>
          </w:tcPr>
          <w:p>
            <w:pPr>
              <w:ind w:left="120"/>
              <w:spacing w:after="0"/>
              <w:rPr>
                <w:sz w:val="20"/>
                <w:szCs w:val="20"/>
                <w:color w:val="auto"/>
              </w:rPr>
            </w:pPr>
            <w:r>
              <w:rPr>
                <w:rFonts w:ascii="Times New Roman" w:cs="Times New Roman" w:eastAsia="Times New Roman" w:hAnsi="Times New Roman"/>
                <w:sz w:val="20"/>
                <w:szCs w:val="20"/>
                <w:color w:val="auto"/>
              </w:rPr>
              <w:t>20%</w:t>
            </w:r>
          </w:p>
        </w:tc>
      </w:tr>
      <w:tr>
        <w:trPr>
          <w:trHeight w:val="330"/>
        </w:trPr>
        <w:tc>
          <w:tcPr>
            <w:tcW w:w="6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Quantek Technology Corporation</w:t>
            </w:r>
          </w:p>
        </w:tc>
        <w:tc>
          <w:tcPr>
            <w:tcW w:w="900" w:type="dxa"/>
            <w:vAlign w:val="bottom"/>
          </w:tcPr>
          <w:p>
            <w:pPr>
              <w:jc w:val="center"/>
              <w:ind w:left="224"/>
              <w:spacing w:after="0"/>
              <w:rPr>
                <w:sz w:val="20"/>
                <w:szCs w:val="20"/>
                <w:color w:val="auto"/>
              </w:rPr>
            </w:pPr>
            <w:r>
              <w:rPr>
                <w:rFonts w:ascii="Times New Roman" w:cs="Times New Roman" w:eastAsia="Times New Roman" w:hAnsi="Times New Roman"/>
                <w:sz w:val="20"/>
                <w:szCs w:val="20"/>
                <w:color w:val="auto"/>
                <w:w w:val="99"/>
              </w:rPr>
              <w:t>*</w:t>
            </w:r>
          </w:p>
        </w:tc>
        <w:tc>
          <w:tcPr>
            <w:tcW w:w="156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auto"/>
              </w:rPr>
              <w:t>13%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13%</w:t>
            </w:r>
          </w:p>
        </w:tc>
      </w:tr>
      <w:tr>
        <w:trPr>
          <w:trHeight w:val="373"/>
        </w:trPr>
        <w:tc>
          <w:tcPr>
            <w:tcW w:w="6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Sabre Technologies Pte. Ltd</w:t>
            </w:r>
          </w:p>
        </w:tc>
        <w:tc>
          <w:tcPr>
            <w:tcW w:w="900" w:type="dxa"/>
            <w:vAlign w:val="bottom"/>
          </w:tcPr>
          <w:p>
            <w:pPr>
              <w:jc w:val="center"/>
              <w:ind w:left="224"/>
              <w:spacing w:after="0"/>
              <w:rPr>
                <w:sz w:val="20"/>
                <w:szCs w:val="20"/>
                <w:color w:val="auto"/>
              </w:rPr>
            </w:pPr>
            <w:r>
              <w:rPr>
                <w:rFonts w:ascii="Times New Roman" w:cs="Times New Roman" w:eastAsia="Times New Roman" w:hAnsi="Times New Roman"/>
                <w:sz w:val="20"/>
                <w:szCs w:val="20"/>
                <w:color w:val="auto"/>
                <w:w w:val="99"/>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-208915</wp:posOffset>
                </wp:positionV>
                <wp:extent cx="3096260" cy="23622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96260" cy="236220"/>
                        </a:xfrm>
                        <a:prstGeom prst="rect">
                          <a:avLst/>
                        </a:prstGeom>
                        <a:solidFill>
                          <a:srgbClr val="DDDDDD"/>
                        </a:solidFill>
                      </wps:spPr>
                      <wps:bodyPr/>
                    </wps:wsp>
                  </a:graphicData>
                </a:graphic>
              </wp:anchor>
            </w:drawing>
          </mc:Choice>
          <mc:Fallback>
            <w:pict>
              <v:rect id="Shape 30" o:spid="_x0000_s1055" style="position:absolute;margin-left:-0.0999pt;margin-top:-16.4499pt;width:243.8pt;height:18.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31750</wp:posOffset>
                </wp:positionH>
                <wp:positionV relativeFrom="paragraph">
                  <wp:posOffset>-178435</wp:posOffset>
                </wp:positionV>
                <wp:extent cx="2272030" cy="20574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2030" cy="205740"/>
                        </a:xfrm>
                        <a:prstGeom prst="rect">
                          <a:avLst/>
                        </a:prstGeom>
                        <a:solidFill>
                          <a:srgbClr val="DDDDDD"/>
                        </a:solidFill>
                      </wps:spPr>
                      <wps:bodyPr/>
                    </wps:wsp>
                  </a:graphicData>
                </a:graphic>
              </wp:anchor>
            </w:drawing>
          </mc:Choice>
          <mc:Fallback>
            <w:pict>
              <v:rect id="Shape 31" o:spid="_x0000_s1056" style="position:absolute;margin-left:2.5pt;margin-top:-14.0499pt;width:178.9pt;height:16.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2370455</wp:posOffset>
                </wp:positionH>
                <wp:positionV relativeFrom="paragraph">
                  <wp:posOffset>-178435</wp:posOffset>
                </wp:positionV>
                <wp:extent cx="715010" cy="20574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5010" cy="205740"/>
                        </a:xfrm>
                        <a:prstGeom prst="rect">
                          <a:avLst/>
                        </a:prstGeom>
                        <a:solidFill>
                          <a:srgbClr val="DDDDDD"/>
                        </a:solidFill>
                      </wps:spPr>
                      <wps:bodyPr/>
                    </wps:wsp>
                  </a:graphicData>
                </a:graphic>
              </wp:anchor>
            </w:drawing>
          </mc:Choice>
          <mc:Fallback>
            <w:pict>
              <v:rect id="Shape 32" o:spid="_x0000_s1057" style="position:absolute;margin-left:186.65pt;margin-top:-14.0499pt;width:56.3pt;height:16.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3094990</wp:posOffset>
                </wp:positionH>
                <wp:positionV relativeFrom="paragraph">
                  <wp:posOffset>-209550</wp:posOffset>
                </wp:positionV>
                <wp:extent cx="1617980" cy="236855"/>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7980" cy="236855"/>
                        </a:xfrm>
                        <a:prstGeom prst="rect">
                          <a:avLst/>
                        </a:prstGeom>
                        <a:solidFill>
                          <a:srgbClr val="DDDDDD"/>
                        </a:solidFill>
                      </wps:spPr>
                      <wps:bodyPr/>
                    </wps:wsp>
                  </a:graphicData>
                </a:graphic>
              </wp:anchor>
            </w:drawing>
          </mc:Choice>
          <mc:Fallback>
            <w:pict>
              <v:rect id="Shape 33" o:spid="_x0000_s1058" style="position:absolute;margin-left:243.7pt;margin-top:-16.4999pt;width:127.4pt;height:18.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3180080</wp:posOffset>
                </wp:positionH>
                <wp:positionV relativeFrom="paragraph">
                  <wp:posOffset>-178435</wp:posOffset>
                </wp:positionV>
                <wp:extent cx="715010" cy="20574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5010" cy="205740"/>
                        </a:xfrm>
                        <a:prstGeom prst="rect">
                          <a:avLst/>
                        </a:prstGeom>
                        <a:solidFill>
                          <a:srgbClr val="DDDDDD"/>
                        </a:solidFill>
                      </wps:spPr>
                      <wps:bodyPr/>
                    </wps:wsp>
                  </a:graphicData>
                </a:graphic>
              </wp:anchor>
            </w:drawing>
          </mc:Choice>
          <mc:Fallback>
            <w:pict>
              <v:rect id="Shape 34" o:spid="_x0000_s1059" style="position:absolute;margin-left:250.4pt;margin-top:-14.0499pt;width:56.3pt;height:16.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3988435</wp:posOffset>
                </wp:positionH>
                <wp:positionV relativeFrom="paragraph">
                  <wp:posOffset>-178435</wp:posOffset>
                </wp:positionV>
                <wp:extent cx="715645" cy="20574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5645" cy="205740"/>
                        </a:xfrm>
                        <a:prstGeom prst="rect">
                          <a:avLst/>
                        </a:prstGeom>
                        <a:solidFill>
                          <a:srgbClr val="DDDDDD"/>
                        </a:solidFill>
                      </wps:spPr>
                      <wps:bodyPr/>
                    </wps:wsp>
                  </a:graphicData>
                </a:graphic>
              </wp:anchor>
            </w:drawing>
          </mc:Choice>
          <mc:Fallback>
            <w:pict>
              <v:rect id="Shape 35" o:spid="_x0000_s1060" style="position:absolute;margin-left:314.05pt;margin-top:-14.0499pt;width:56.35pt;height:16.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780"/>
        <w:spacing w:after="0"/>
        <w:rPr>
          <w:sz w:val="20"/>
          <w:szCs w:val="20"/>
          <w:color w:val="auto"/>
        </w:rPr>
      </w:pPr>
      <w:r>
        <w:rPr>
          <w:rFonts w:ascii="Times New Roman" w:cs="Times New Roman" w:eastAsia="Times New Roman" w:hAnsi="Times New Roman"/>
          <w:sz w:val="16"/>
          <w:szCs w:val="16"/>
          <w:color w:val="auto"/>
        </w:rPr>
        <w:t>* Revenue from this customer was below 10%.</w:t>
      </w:r>
    </w:p>
    <w:p>
      <w:pPr>
        <w:spacing w:after="0" w:line="160" w:lineRule="exact"/>
        <w:rPr>
          <w:sz w:val="20"/>
          <w:szCs w:val="20"/>
          <w:color w:val="auto"/>
        </w:rPr>
      </w:pPr>
    </w:p>
    <w:p>
      <w:pPr>
        <w:ind w:left="60" w:firstLine="720"/>
        <w:spacing w:after="0" w:line="282" w:lineRule="auto"/>
        <w:rPr>
          <w:sz w:val="20"/>
          <w:szCs w:val="20"/>
          <w:color w:val="auto"/>
        </w:rPr>
      </w:pPr>
      <w:r>
        <w:rPr>
          <w:rFonts w:ascii="Times New Roman" w:cs="Times New Roman" w:eastAsia="Times New Roman" w:hAnsi="Times New Roman"/>
          <w:sz w:val="20"/>
          <w:szCs w:val="20"/>
          <w:color w:val="auto"/>
        </w:rPr>
        <w:t>Other than the customers listed in the table above, no other single direct customer accounted for more than 10% of our revenue in the years ended December 31, 2025, 2024, and 2023.</w:t>
      </w:r>
    </w:p>
    <w:p>
      <w:pPr>
        <w:spacing w:after="0" w:line="60" w:lineRule="exact"/>
        <w:rPr>
          <w:sz w:val="20"/>
          <w:szCs w:val="20"/>
          <w:color w:val="auto"/>
        </w:rPr>
      </w:pPr>
    </w:p>
    <w:p>
      <w:pPr>
        <w:ind w:left="60" w:right="300" w:firstLine="720"/>
        <w:spacing w:after="0" w:line="266" w:lineRule="auto"/>
        <w:rPr>
          <w:sz w:val="20"/>
          <w:szCs w:val="20"/>
          <w:color w:val="auto"/>
        </w:rPr>
      </w:pPr>
      <w:r>
        <w:rPr>
          <w:rFonts w:ascii="Times New Roman" w:cs="Times New Roman" w:eastAsia="Times New Roman" w:hAnsi="Times New Roman"/>
          <w:sz w:val="20"/>
          <w:szCs w:val="20"/>
          <w:color w:val="auto"/>
        </w:rPr>
        <w:t>Based on the sell-through information provided to us from distributors who identify end customers, we believe that the majority of our products sold to Pernas Electronics Co. Ltd ("Pernas") and Quantek Technology Corporation ("Quantek") are in turn incorporated into products of Apple Inc. (“Apple”), our largest end customer.</w:t>
      </w:r>
    </w:p>
    <w:p>
      <w:pPr>
        <w:spacing w:after="0" w:line="75" w:lineRule="exact"/>
        <w:rPr>
          <w:sz w:val="20"/>
          <w:szCs w:val="20"/>
          <w:color w:val="auto"/>
        </w:rPr>
      </w:pPr>
    </w:p>
    <w:p>
      <w:pPr>
        <w:ind w:left="60" w:right="200" w:firstLine="720"/>
        <w:spacing w:after="0" w:line="282" w:lineRule="auto"/>
        <w:rPr>
          <w:sz w:val="20"/>
          <w:szCs w:val="20"/>
          <w:color w:val="auto"/>
        </w:rPr>
      </w:pPr>
      <w:r>
        <w:rPr>
          <w:rFonts w:ascii="Times New Roman" w:cs="Times New Roman" w:eastAsia="Times New Roman" w:hAnsi="Times New Roman"/>
          <w:sz w:val="20"/>
          <w:szCs w:val="20"/>
          <w:color w:val="auto"/>
        </w:rPr>
        <w:t>As a result, we believe revenue attributable to our largest end customer accounted for approximately 17%, 22%, and 21% of our revenue for the years ended December 31, 2025, 2024, and 2023, respectively.</w:t>
      </w: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Sales and Marketing</w:t>
      </w:r>
    </w:p>
    <w:p>
      <w:pPr>
        <w:spacing w:after="0" w:line="128" w:lineRule="exact"/>
        <w:rPr>
          <w:sz w:val="20"/>
          <w:szCs w:val="20"/>
          <w:color w:val="auto"/>
        </w:rPr>
      </w:pPr>
    </w:p>
    <w:p>
      <w:pPr>
        <w:ind w:left="60" w:right="20" w:firstLine="720"/>
        <w:spacing w:after="0" w:line="256" w:lineRule="auto"/>
        <w:rPr>
          <w:sz w:val="20"/>
          <w:szCs w:val="20"/>
          <w:color w:val="auto"/>
        </w:rPr>
      </w:pPr>
      <w:r>
        <w:rPr>
          <w:rFonts w:ascii="Times New Roman" w:cs="Times New Roman" w:eastAsia="Times New Roman" w:hAnsi="Times New Roman"/>
          <w:sz w:val="20"/>
          <w:szCs w:val="20"/>
          <w:color w:val="auto"/>
        </w:rPr>
        <w:t>Our customers’ design cycle from initial engagement to volume shipment typically ranges from six months to three years, with product life cycles of up to ten years or more. For many of our products, early engagement with our customers’ technical staff is critical for success. To ensure an adequate level of early engagement, our sales, marketing, and customer and development engineers work closely with our customers and channel partners to understand, identify, and propose solutions to their systems’ challenges. We work closely with our customers, including technology leaders for the communications markets, to anticipate end customer market needs. In some cases, we work with our end customers to better understand the end customers’ market trends and new requirements that are being placed on our customers.</w:t>
      </w:r>
    </w:p>
    <w:p>
      <w:pPr>
        <w:spacing w:after="0" w:line="209" w:lineRule="exact"/>
        <w:rPr>
          <w:sz w:val="20"/>
          <w:szCs w:val="20"/>
          <w:color w:val="auto"/>
        </w:rPr>
      </w:pPr>
    </w:p>
    <w:p>
      <w:pPr>
        <w:ind w:left="60" w:right="500" w:firstLine="720"/>
        <w:spacing w:after="0" w:line="266" w:lineRule="auto"/>
        <w:rPr>
          <w:sz w:val="20"/>
          <w:szCs w:val="20"/>
          <w:color w:val="auto"/>
        </w:rPr>
      </w:pPr>
      <w:r>
        <w:rPr>
          <w:rFonts w:ascii="Times New Roman" w:cs="Times New Roman" w:eastAsia="Times New Roman" w:hAnsi="Times New Roman"/>
          <w:sz w:val="20"/>
          <w:szCs w:val="20"/>
          <w:color w:val="auto"/>
        </w:rPr>
        <w:t>We sell our products worldwide through multiple channels, including our direct sales force and a network of distributors, contract manufacturers, contracted sales representatives, and independent design houses, as well as SiTimeDirect, our self-service online store.</w:t>
      </w:r>
    </w:p>
    <w:p>
      <w:pPr>
        <w:spacing w:after="0" w:line="195" w:lineRule="exact"/>
        <w:rPr>
          <w:sz w:val="20"/>
          <w:szCs w:val="20"/>
          <w:color w:val="auto"/>
        </w:rPr>
      </w:pPr>
    </w:p>
    <w:p>
      <w:pPr>
        <w:ind w:left="60" w:right="200" w:firstLine="720"/>
        <w:spacing w:after="0" w:line="253" w:lineRule="auto"/>
        <w:rPr>
          <w:sz w:val="20"/>
          <w:szCs w:val="20"/>
          <w:color w:val="auto"/>
        </w:rPr>
      </w:pPr>
      <w:r>
        <w:rPr>
          <w:rFonts w:ascii="Times New Roman" w:cs="Times New Roman" w:eastAsia="Times New Roman" w:hAnsi="Times New Roman"/>
          <w:sz w:val="20"/>
          <w:szCs w:val="20"/>
          <w:color w:val="auto"/>
        </w:rPr>
        <w:t>We have a strategic accounts strategy executed by our direct sales force focused on design engineers, system architects and executive decision makers for the world’s leading electronics companies. These customers lead electronics innovation for their segments - from communications and datacenter equipment, to automotive, and IoT - and design in SiTime Precision Timing solutions that deliver the performance required by these devices. Beyond the well-established strategic account portfolio, we target a broad base of small to mid-size electronics original equipment manufacturers ("OEMs") and original design manufacturers that accelerate growth and market expansion for SiTime. We intend to continue to expand our sales and marketing efforts through increased collaboration with our distributors. In addition, SiTimeDirect, which is a self-service online store, supports 24/7 sales of SiTime oscillators. Our expert inside sales team supports a “self-service model” for customers. SiTime’s unique programmability combined with the convenience of an online store, with rapid configuration and fulfillment, makes SiTimeDirect a unique approach in the semiconductor industry for Precision Timing solutions.</w:t>
      </w: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134" w:lineRule="exact"/>
        <w:rPr>
          <w:sz w:val="20"/>
          <w:szCs w:val="20"/>
          <w:color w:val="auto"/>
        </w:rPr>
      </w:pPr>
    </w:p>
    <w:p>
      <w:pPr>
        <w:ind w:left="60" w:right="260" w:firstLine="720"/>
        <w:spacing w:after="0" w:line="266" w:lineRule="auto"/>
        <w:rPr>
          <w:sz w:val="20"/>
          <w:szCs w:val="20"/>
          <w:color w:val="auto"/>
        </w:rPr>
      </w:pPr>
      <w:r>
        <w:rPr>
          <w:rFonts w:ascii="Times New Roman" w:cs="Times New Roman" w:eastAsia="Times New Roman" w:hAnsi="Times New Roman"/>
          <w:sz w:val="20"/>
          <w:szCs w:val="20"/>
          <w:color w:val="auto"/>
        </w:rPr>
        <w:t>Our revenue has historically been subject to some seasonal variation. Based on the production schedules of key customers, our products typically see stronger revenue in the second half of our fiscal year. However, there can be no assurance that this trend will occur in future years.</w:t>
      </w:r>
    </w:p>
    <w:p>
      <w:pPr>
        <w:spacing w:after="0" w:line="3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Manufacturing</w:t>
      </w:r>
    </w:p>
    <w:p>
      <w:pPr>
        <w:spacing w:after="0" w:line="134" w:lineRule="exact"/>
        <w:rPr>
          <w:sz w:val="20"/>
          <w:szCs w:val="20"/>
          <w:color w:val="auto"/>
        </w:rPr>
      </w:pPr>
    </w:p>
    <w:p>
      <w:pPr>
        <w:ind w:left="60" w:right="200" w:firstLine="720"/>
        <w:spacing w:after="0" w:line="286" w:lineRule="auto"/>
        <w:rPr>
          <w:sz w:val="20"/>
          <w:szCs w:val="20"/>
          <w:color w:val="auto"/>
        </w:rPr>
      </w:pPr>
      <w:r>
        <w:rPr>
          <w:rFonts w:ascii="Times New Roman" w:cs="Times New Roman" w:eastAsia="Times New Roman" w:hAnsi="Times New Roman"/>
          <w:sz w:val="19"/>
          <w:szCs w:val="19"/>
          <w:color w:val="auto"/>
        </w:rPr>
        <w:t>We operate a fabless business model and use third-party foundries and assembly and test contractors to manufacture, assemble, and test our semiconductor products. This outsourced manufacturing approach allows us to focus our resources on the design, sale, and marketing of our products. In addition, we believe that outsourcing many of our</w:t>
      </w: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940"/>
          </w:cols>
          <w:pgMar w:left="1120" w:top="1024" w:right="1180" w:bottom="0" w:gutter="0" w:footer="0" w:header="0"/>
        </w:sectPr>
      </w:pPr>
    </w:p>
    <w:bookmarkStart w:id="16" w:name="page17"/>
    <w:bookmarkEnd w:id="16"/>
    <w:p>
      <w:pPr>
        <w:ind w:right="180"/>
        <w:spacing w:after="0" w:line="282" w:lineRule="auto"/>
        <w:rPr>
          <w:sz w:val="20"/>
          <w:szCs w:val="20"/>
          <w:color w:val="auto"/>
        </w:rPr>
      </w:pPr>
      <w:r>
        <w:rPr>
          <w:rFonts w:ascii="Times New Roman" w:cs="Times New Roman" w:eastAsia="Times New Roman" w:hAnsi="Times New Roman"/>
          <w:sz w:val="20"/>
          <w:szCs w:val="20"/>
          <w:color w:val="auto"/>
        </w:rPr>
        <w:t>manufacturing and assembly activities provides us with the flexibility needed to respond to new market opportunities and scale for customer demand, simplifies our operations, and significantly reduces our capital commitments.</w:t>
      </w:r>
    </w:p>
    <w:p>
      <w:pPr>
        <w:spacing w:after="0" w:line="180" w:lineRule="exact"/>
        <w:rPr>
          <w:sz w:val="20"/>
          <w:szCs w:val="20"/>
          <w:color w:val="auto"/>
        </w:rPr>
      </w:pPr>
    </w:p>
    <w:p>
      <w:pPr>
        <w:jc w:val="both"/>
        <w:ind w:right="360" w:firstLine="720"/>
        <w:spacing w:after="0" w:line="261" w:lineRule="auto"/>
        <w:rPr>
          <w:sz w:val="20"/>
          <w:szCs w:val="20"/>
          <w:color w:val="auto"/>
        </w:rPr>
      </w:pPr>
      <w:r>
        <w:rPr>
          <w:rFonts w:ascii="Times New Roman" w:cs="Times New Roman" w:eastAsia="Times New Roman" w:hAnsi="Times New Roman"/>
          <w:sz w:val="20"/>
          <w:szCs w:val="20"/>
          <w:color w:val="auto"/>
        </w:rPr>
        <w:t>We subject our third-party manufacturing contractors to rigorous qualification requirements to meet the high quality and reliability standards required of our products. We carefully qualify each of our partners and their processes before applying the technology to our products. Our engineers work closely with our foundries and other contractors to increase yield, lower manufacturing costs, and improve product quality.</w:t>
      </w:r>
    </w:p>
    <w:p>
      <w:pPr>
        <w:spacing w:after="0" w:line="76" w:lineRule="exact"/>
        <w:rPr>
          <w:sz w:val="20"/>
          <w:szCs w:val="20"/>
          <w:color w:val="auto"/>
        </w:rPr>
      </w:pPr>
    </w:p>
    <w:p>
      <w:pPr>
        <w:ind w:left="1080" w:right="20" w:hanging="550"/>
        <w:spacing w:after="0" w:line="259"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Fabrication</w:t>
      </w:r>
      <w:r>
        <w:rPr>
          <w:rFonts w:ascii="Times New Roman" w:cs="Times New Roman" w:eastAsia="Times New Roman" w:hAnsi="Times New Roman"/>
          <w:sz w:val="20"/>
          <w:szCs w:val="20"/>
          <w:color w:val="auto"/>
        </w:rPr>
        <w:t>. We currently utilize a range of semiconductor process generations to develop and manufacture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products. We use Robert Bosch LLC (“Bosch”) in Germany, Taiwan Semiconductor Manufacturing Company (“TSMC”) and United Microelectronics Corporation ("UMC") in Taiwan, and Teledyne Digital Imaging Inc. ("Teledyne") in Canada as our primary foundries and suppliers for our MEMS timing devices and analog mixed-signal circuit ICs.</w:t>
      </w:r>
    </w:p>
    <w:p>
      <w:pPr>
        <w:spacing w:after="0" w:line="79" w:lineRule="exact"/>
        <w:rPr>
          <w:rFonts w:ascii="Times New Roman" w:cs="Times New Roman" w:eastAsia="Times New Roman" w:hAnsi="Times New Roman"/>
          <w:sz w:val="20"/>
          <w:szCs w:val="20"/>
          <w:color w:val="auto"/>
        </w:rPr>
      </w:pPr>
    </w:p>
    <w:p>
      <w:pPr>
        <w:ind w:left="1080" w:right="300" w:hanging="550"/>
        <w:spacing w:after="0" w:line="259"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Package, Assembly and Testing</w:t>
      </w:r>
      <w:r>
        <w:rPr>
          <w:rFonts w:ascii="Times New Roman" w:cs="Times New Roman" w:eastAsia="Times New Roman" w:hAnsi="Times New Roman"/>
          <w:sz w:val="20"/>
          <w:szCs w:val="20"/>
          <w:color w:val="auto"/>
        </w:rPr>
        <w:t>. Upon the completion of processing at the foundry, we use third-party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contractors for packaging, assembly, and testing, including Advanced Semiconductor Engineering, Inc. (“ASE”) in Taiwan, Carsem (M) Sdn Bhd. (“Carsem”) in Malaysia, United Test and Assembly Center Ltd. (“UTAC”) in Thailand, Hana Semiconductor (Ayutthaya) Co., Ltd in Thailand, Daishinku Corp. (“Daishinku”) in Japan, and STATS ChipPAC Pte Ltd. in Singapore.</w:t>
      </w:r>
    </w:p>
    <w:p>
      <w:pPr>
        <w:spacing w:after="0" w:line="79" w:lineRule="exact"/>
        <w:rPr>
          <w:rFonts w:ascii="Times New Roman" w:cs="Times New Roman" w:eastAsia="Times New Roman" w:hAnsi="Times New Roman"/>
          <w:sz w:val="20"/>
          <w:szCs w:val="20"/>
          <w:color w:val="auto"/>
        </w:rPr>
      </w:pPr>
    </w:p>
    <w:p>
      <w:pPr>
        <w:ind w:left="1080" w:right="100" w:hanging="550"/>
        <w:spacing w:after="0" w:line="286"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Warehousing</w:t>
      </w:r>
      <w:r>
        <w:rPr>
          <w:rFonts w:ascii="Times New Roman" w:cs="Times New Roman" w:eastAsia="Times New Roman" w:hAnsi="Times New Roman"/>
          <w:sz w:val="20"/>
          <w:szCs w:val="20"/>
          <w:color w:val="auto"/>
        </w:rPr>
        <w:t>. Our products are warehoused at our outsourced semiconductor assembly and test facilities located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Malaysia, Taiwan, and Thailand.</w:t>
      </w:r>
    </w:p>
    <w:p>
      <w:pPr>
        <w:spacing w:after="0" w:line="176"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We have a supply agreement with Bosch under which Bosch has agreed to fabricate our MEMS wafers based on purchase orders placed by us. Bosch has discretion whether to accept our purchase orders, and we can terminate purchase orders for convenience by giving written notice prior to shipment. The initial term of the supply agreement is for ten years through February 2027 and automatically renews. Other than Bosch, we do not have long-term supply agreements with most of our third-party manufacturing contractors, and we purchase products on a purchase order basis.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w:t>
      </w:r>
    </w:p>
    <w:p>
      <w:pPr>
        <w:spacing w:after="0" w:line="134"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20"/>
          <w:szCs w:val="20"/>
          <w:color w:val="auto"/>
        </w:rPr>
        <w:t>We believe that our future success depends on our ability to introduce enhancements to our existing products and to develop new products for both existing and new markets. As a result, a significant majority of our operating expenses has been allocated towards this effort. Our research and development efforts are focused primarily on MEMS and advanced clock IC design and advanced system-level integration for Precision Timing solutions.</w:t>
      </w:r>
    </w:p>
    <w:p>
      <w:pPr>
        <w:spacing w:after="0" w:line="200" w:lineRule="exact"/>
        <w:rPr>
          <w:sz w:val="20"/>
          <w:szCs w:val="20"/>
          <w:color w:val="auto"/>
        </w:rPr>
      </w:pPr>
    </w:p>
    <w:p>
      <w:pPr>
        <w:ind w:right="200" w:firstLine="720"/>
        <w:spacing w:after="0" w:line="286" w:lineRule="auto"/>
        <w:rPr>
          <w:sz w:val="20"/>
          <w:szCs w:val="20"/>
          <w:color w:val="auto"/>
        </w:rPr>
      </w:pPr>
      <w:r>
        <w:rPr>
          <w:rFonts w:ascii="Times New Roman" w:cs="Times New Roman" w:eastAsia="Times New Roman" w:hAnsi="Times New Roman"/>
          <w:sz w:val="19"/>
          <w:szCs w:val="19"/>
          <w:color w:val="auto"/>
        </w:rPr>
        <w:t>We have assembled a core team of experienced engineers and systems designers who conduct research and development activities in the United States, the Netherlands, Malaysia, Finland, Japan, Taiwan, Ukraine, and India. As of December 31, 2025, we had 239 full-time equivalent employees supporting research and development efforts worldwide.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34" w:lineRule="exact"/>
        <w:rPr>
          <w:sz w:val="20"/>
          <w:szCs w:val="20"/>
          <w:color w:val="auto"/>
        </w:rPr>
      </w:pPr>
    </w:p>
    <w:p>
      <w:pPr>
        <w:ind w:right="300" w:firstLine="720"/>
        <w:spacing w:after="0" w:line="256" w:lineRule="auto"/>
        <w:rPr>
          <w:sz w:val="20"/>
          <w:szCs w:val="20"/>
          <w:color w:val="auto"/>
        </w:rPr>
      </w:pPr>
      <w:r>
        <w:rPr>
          <w:rFonts w:ascii="Times New Roman" w:cs="Times New Roman" w:eastAsia="Times New Roman" w:hAnsi="Times New Roman"/>
          <w:sz w:val="20"/>
          <w:szCs w:val="20"/>
          <w:color w:val="auto"/>
        </w:rPr>
        <w:t>We rely primarily on patent, copyright, trademark, and trade secret laws, as well as confidentiality and non-disclosure agreements, and other contractual protections, to protect our technologies and proprietary know-how. As of December 31, 2025, we had 147 issued U.S. patents, expiring generally between 2026 and 2043, and 50 pending U.S. patent applications (including 10 provisional applications). We also had five foreign issued patents expiring in 2036 and twelve pending foreign patent applications. Our issued patents and pending patent applications generally relate to our MEMS fabrication process, MEMS resonators, circuits, packaging, and oscillator systems.</w:t>
      </w:r>
    </w:p>
    <w:p>
      <w:pPr>
        <w:spacing w:after="0" w:line="208"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color w:val="auto"/>
        </w:rPr>
        <w:t>In addition to our own intellectual property, we also use third-party licenses for certain technologies, including some that are embedded in our MEMS solutions. For example, we have a license to certain patents from Bosch relating to the design and manufacture of MEMS-based timing applications and a license to certain intellectual property of Aura relating to our clock products. The patent rights obtained under the license agreement with Bosch expire between 2025 and 2029, and the license agreement expires upon expiration of the last patent licensed under the agreement. We do not believe there will be any significant impact upon expiration of these patents.</w:t>
      </w:r>
    </w:p>
    <w:p>
      <w:pPr>
        <w:spacing w:after="0" w:line="209"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19"/>
          <w:szCs w:val="19"/>
          <w:color w:val="auto"/>
        </w:rPr>
        <w:t>We generally control access to and use of our confidential information and trade secrets through the use of internal and external controls, including contractual protections with employees, contractors, and customers. We rely in part on the laws of the United States and international laws to protect our work. All employees and consultants are required to execute confidentiality agreements in connection with their employment and consulting relationships with us. We also require them</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880"/>
          </w:cols>
          <w:pgMar w:left="1180" w:top="856" w:right="1180" w:bottom="0" w:gutter="0" w:footer="0" w:header="0"/>
        </w:sectPr>
      </w:pPr>
    </w:p>
    <w:bookmarkStart w:id="17" w:name="page18"/>
    <w:bookmarkEnd w:id="17"/>
    <w:p>
      <w:pPr>
        <w:spacing w:after="0" w:line="254" w:lineRule="auto"/>
        <w:rPr>
          <w:sz w:val="20"/>
          <w:szCs w:val="20"/>
          <w:color w:val="auto"/>
        </w:rPr>
      </w:pPr>
      <w:r>
        <w:rPr>
          <w:rFonts w:ascii="Times New Roman" w:cs="Times New Roman" w:eastAsia="Times New Roman" w:hAnsi="Times New Roman"/>
          <w:sz w:val="20"/>
          <w:szCs w:val="20"/>
          <w:color w:val="auto"/>
        </w:rPr>
        <w:t>to agree to disclose and assign to us all inventions conceived or made in connection with the employment or consulting relationship. However, we cannot guarantee that we have entered into such agreements with every such party and we may not have adequate remedies in case of a breach of any such agreements. Our trade secrets could be disclosed to our competitors or others may independently develop substantially equivalent technologies or otherwise gain access to our trade secrets. Trade secrets can be difficult to protect and some courts inside and outside of the United States are less willing or unwilling to protect trade secrets. Despite our efforts to protect our intellectual property, unauthorized parties may still copy, misappropriate, or otherwise obtain and use our software, technology, or other information that we regard as our proprietary intellectual property. In addition, we intend to expand our international operations, and effective patent, copyright, trademark, and trade secret, and other intellectual property protection may not be available or may be limited in some foreign countries.</w:t>
      </w:r>
    </w:p>
    <w:p>
      <w:pPr>
        <w:spacing w:after="0" w:line="206" w:lineRule="exact"/>
        <w:rPr>
          <w:sz w:val="20"/>
          <w:szCs w:val="20"/>
          <w:color w:val="auto"/>
        </w:rPr>
      </w:pPr>
    </w:p>
    <w:p>
      <w:pPr>
        <w:ind w:right="40" w:firstLine="720"/>
        <w:spacing w:after="0" w:line="255" w:lineRule="auto"/>
        <w:rPr>
          <w:sz w:val="20"/>
          <w:szCs w:val="20"/>
          <w:color w:val="auto"/>
        </w:rPr>
      </w:pPr>
      <w:r>
        <w:rPr>
          <w:rFonts w:ascii="Times New Roman" w:cs="Times New Roman" w:eastAsia="Times New Roman" w:hAnsi="Times New Roman"/>
          <w:sz w:val="20"/>
          <w:szCs w:val="20"/>
          <w:color w:val="auto"/>
        </w:rPr>
        <w:t>The semiconductor industry is characterized by vigorous protection and pursuit of intellectual property rights and positions, which has resulted in protracted and expensive litigation for many companies. We have in the past received, and we may in the future receive, communications alleging liability for damages or challenging the validity of our intellectual property or proprietary rights.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34" w:lineRule="exact"/>
        <w:rPr>
          <w:sz w:val="20"/>
          <w:szCs w:val="20"/>
          <w:color w:val="auto"/>
        </w:rPr>
      </w:pPr>
    </w:p>
    <w:p>
      <w:pPr>
        <w:ind w:right="40" w:firstLine="720"/>
        <w:spacing w:after="0" w:line="261" w:lineRule="auto"/>
        <w:rPr>
          <w:sz w:val="20"/>
          <w:szCs w:val="20"/>
          <w:color w:val="auto"/>
        </w:rPr>
      </w:pPr>
      <w:r>
        <w:rPr>
          <w:rFonts w:ascii="Times New Roman" w:cs="Times New Roman" w:eastAsia="Times New Roman" w:hAnsi="Times New Roman"/>
          <w:sz w:val="20"/>
          <w:szCs w:val="20"/>
          <w:color w:val="auto"/>
        </w:rPr>
        <w:t>The global semiconductor market in general, and the timing market in particular, is highly competitive. We expect competition to increase and intensify as additional companies enter our markets and as internal resources of large OEMs grow. Increased competition could result in price pressure, reduced gross margins, and loss of market share, any of which could harm our business, financial condition, and results of operations.</w:t>
      </w:r>
    </w:p>
    <w:p>
      <w:pPr>
        <w:spacing w:after="0" w:line="200" w:lineRule="exact"/>
        <w:rPr>
          <w:sz w:val="20"/>
          <w:szCs w:val="20"/>
          <w:color w:val="auto"/>
        </w:rPr>
      </w:pPr>
    </w:p>
    <w:p>
      <w:pPr>
        <w:ind w:right="100" w:firstLine="720"/>
        <w:spacing w:after="0" w:line="258" w:lineRule="auto"/>
        <w:rPr>
          <w:sz w:val="20"/>
          <w:szCs w:val="20"/>
          <w:color w:val="auto"/>
        </w:rPr>
      </w:pPr>
      <w:r>
        <w:rPr>
          <w:rFonts w:ascii="Times New Roman" w:cs="Times New Roman" w:eastAsia="Times New Roman" w:hAnsi="Times New Roman"/>
          <w:sz w:val="20"/>
          <w:szCs w:val="20"/>
          <w:color w:val="auto"/>
        </w:rPr>
        <w:t>Our competitors range from large, international companies offering a wide range of timing products to smaller companies specializing in narrow market verticals. Companies that we primarily compete with include, but are not limited to, Abracon, LLC, Daishinku Corp., Diodes Incorporated, Kyocera Corporation, Microchip Technology Inc., Murata Manufacturing Co., Ltd, Nihon Dempa Kogoyo., Ltd., Rakon Limited, Renesas Electronics Corporation, Seiko Epson Corporation, Skyworks Solutions, Inc., Texas Instruments Incorporated, and TXC Corporation.</w:t>
      </w:r>
    </w:p>
    <w:p>
      <w:pPr>
        <w:spacing w:after="0" w:line="204" w:lineRule="exact"/>
        <w:rPr>
          <w:sz w:val="20"/>
          <w:szCs w:val="20"/>
          <w:color w:val="auto"/>
        </w:rPr>
      </w:pPr>
    </w:p>
    <w:p>
      <w:pPr>
        <w:ind w:right="160" w:firstLine="720"/>
        <w:spacing w:after="0" w:line="255" w:lineRule="auto"/>
        <w:rPr>
          <w:sz w:val="20"/>
          <w:szCs w:val="20"/>
          <w:color w:val="auto"/>
        </w:rPr>
      </w:pPr>
      <w:r>
        <w:rPr>
          <w:rFonts w:ascii="Times New Roman" w:cs="Times New Roman" w:eastAsia="Times New Roman" w:hAnsi="Times New Roman"/>
          <w:sz w:val="20"/>
          <w:szCs w:val="20"/>
          <w:color w:val="auto"/>
        </w:rPr>
        <w:t>Our ability to compete successfully depends on elements both within and outside of our control, including industry and general economic trends. Many of our competitors are substantially larger, have greater financial, technical, marketing, distribution, customer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During past periods of downturns in our industry, competition in the markets in which we operate intensified as our customers reduced their purchase orders. We maintain our competitive position through our ability to successfully design, develop, and market new and existing Precision Timing solutions in a timely manner and to retain existing customers and add new customers.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34" w:lineRule="exact"/>
        <w:rPr>
          <w:sz w:val="20"/>
          <w:szCs w:val="20"/>
          <w:color w:val="auto"/>
        </w:rPr>
      </w:pPr>
    </w:p>
    <w:p>
      <w:pPr>
        <w:jc w:val="both"/>
        <w:ind w:right="200" w:firstLine="720"/>
        <w:spacing w:after="0" w:line="266" w:lineRule="auto"/>
        <w:rPr>
          <w:sz w:val="20"/>
          <w:szCs w:val="20"/>
          <w:color w:val="auto"/>
        </w:rPr>
      </w:pPr>
      <w:r>
        <w:rPr>
          <w:rFonts w:ascii="Times New Roman" w:cs="Times New Roman" w:eastAsia="Times New Roman" w:hAnsi="Times New Roman"/>
          <w:sz w:val="20"/>
          <w:szCs w:val="20"/>
          <w:color w:val="auto"/>
        </w:rPr>
        <w:t>Our business activities are worldwide and subject to various federal, state, local and foreign regulations and our products are governed by a number of rules and regulations. To date, our compliance with these regulations has not had a material impact on our results of operations.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 and Empowerment</w:t>
      </w:r>
    </w:p>
    <w:p>
      <w:pPr>
        <w:spacing w:after="0" w:line="134" w:lineRule="exact"/>
        <w:rPr>
          <w:sz w:val="20"/>
          <w:szCs w:val="20"/>
          <w:color w:val="auto"/>
        </w:rPr>
      </w:pPr>
    </w:p>
    <w:p>
      <w:pPr>
        <w:ind w:right="120" w:firstLine="720"/>
        <w:spacing w:after="0" w:line="255" w:lineRule="auto"/>
        <w:rPr>
          <w:sz w:val="20"/>
          <w:szCs w:val="20"/>
          <w:color w:val="auto"/>
        </w:rPr>
      </w:pPr>
      <w:r>
        <w:rPr>
          <w:rFonts w:ascii="Times New Roman" w:cs="Times New Roman" w:eastAsia="Times New Roman" w:hAnsi="Times New Roman"/>
          <w:sz w:val="20"/>
          <w:szCs w:val="20"/>
          <w:color w:val="auto"/>
        </w:rPr>
        <w:t>We believe that our company culture, which promotes innovation, open communication, and teamwork, has been critical to our success. Our success depends largely upon the continued services of our executive officers and other key employees and on our ability to continue to attract, retain, and motivate qualified employees, particularly highly-skilled engineers involved in the design, development, support, and manufacture of new and existing products and processes, as well as our sales and marketing team, which is critical to achieving design wins, creating our brand awareness and reputation, and building long-lasting relationships with our customers and other industry participants. In order for us to attract the best talent, we aim to offer challenging work in an environment that enables our employees to learn, grow, and reach their full potential.</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880"/>
          </w:cols>
          <w:pgMar w:left="1180" w:top="856" w:right="1180" w:bottom="0" w:gutter="0" w:footer="0" w:header="0"/>
        </w:sectPr>
      </w:pPr>
    </w:p>
    <w:bookmarkStart w:id="18" w:name="page19"/>
    <w:bookmarkEnd w:id="18"/>
    <w:p>
      <w:pPr>
        <w:ind w:firstLine="720"/>
        <w:spacing w:after="0" w:line="253" w:lineRule="auto"/>
        <w:rPr>
          <w:sz w:val="20"/>
          <w:szCs w:val="20"/>
          <w:color w:val="auto"/>
        </w:rPr>
      </w:pPr>
      <w:r>
        <w:rPr>
          <w:rFonts w:ascii="Times New Roman" w:cs="Times New Roman" w:eastAsia="Times New Roman" w:hAnsi="Times New Roman"/>
          <w:sz w:val="20"/>
          <w:szCs w:val="20"/>
          <w:color w:val="auto"/>
        </w:rPr>
        <w:t>Our human capital resource objectives include identifying, recruiting, retaining, incentivizing and integrating our existing and future employees. We strive to attract and retain the most talented employees in the industry and across the globe by offering competitive compensation and benefits that support their health, financial, and emotional well-being. Our compensation philosophy is based on rewarding each employee’s individual contributions. We use a combination of fixed and variable pay including base salary, bonuses, performance awards, and stock-based compensation. The principal purposes of our equity incentive plans are to attract, retain, and motivate selected employees through the granting of stock-based compensation awards. We offer employees benefits that vary by country and are designed to meet or exceed local laws and to be competitive in the marketplace. Examples of benefits offered in the U.S. include: a 401(k) plan with employer contributions; health benefits; life, business travel, and disability insurance; additional voluntary insurance; paid time off and parental leave; and paid counseling assistance. For further information concerning our equity incentive plans, see Note 8, Stock-based Compensation, of the Notes to Consolidated Financial Statements contained in Part II, Item 8 of this Annual Report on Form 10-K.</w:t>
      </w:r>
    </w:p>
    <w:p>
      <w:pPr>
        <w:spacing w:after="0" w:line="211" w:lineRule="exact"/>
        <w:rPr>
          <w:sz w:val="20"/>
          <w:szCs w:val="20"/>
          <w:color w:val="auto"/>
        </w:rPr>
      </w:pPr>
    </w:p>
    <w:p>
      <w:pPr>
        <w:ind w:right="20" w:firstLine="720"/>
        <w:spacing w:after="0" w:line="275" w:lineRule="auto"/>
        <w:rPr>
          <w:sz w:val="20"/>
          <w:szCs w:val="20"/>
          <w:color w:val="auto"/>
        </w:rPr>
      </w:pPr>
      <w:r>
        <w:rPr>
          <w:rFonts w:ascii="Times New Roman" w:cs="Times New Roman" w:eastAsia="Times New Roman" w:hAnsi="Times New Roman"/>
          <w:sz w:val="19"/>
          <w:szCs w:val="19"/>
          <w:color w:val="auto"/>
        </w:rPr>
        <w:t>We are committed to the health, safety, and wellness of our employees. We provide our employees and their families with access to a variety of health and wellness programs, including benefits that support their physical and mental health. We maintain an office in Lviv, Ukraine. In connection with Russia’s invasion of Ukraine in February 2022, we have prioritized the safety and welfare of our employees and their families in Ukraine. We also worked with our employees worldwide to minimize any disruption to our operations and business as a result of Russia’s invasion of Ukraine.</w:t>
      </w:r>
    </w:p>
    <w:p>
      <w:pPr>
        <w:spacing w:after="0" w:line="188" w:lineRule="exact"/>
        <w:rPr>
          <w:sz w:val="20"/>
          <w:szCs w:val="20"/>
          <w:color w:val="auto"/>
        </w:rPr>
      </w:pPr>
    </w:p>
    <w:p>
      <w:pPr>
        <w:ind w:right="20" w:firstLine="720"/>
        <w:spacing w:after="0" w:line="256" w:lineRule="auto"/>
        <w:rPr>
          <w:sz w:val="20"/>
          <w:szCs w:val="20"/>
          <w:color w:val="auto"/>
        </w:rPr>
      </w:pPr>
      <w:r>
        <w:rPr>
          <w:rFonts w:ascii="Times New Roman" w:cs="Times New Roman" w:eastAsia="Times New Roman" w:hAnsi="Times New Roman"/>
          <w:sz w:val="20"/>
          <w:szCs w:val="20"/>
          <w:color w:val="auto"/>
        </w:rPr>
        <w:t>We regularly review our employees and assess the needs of the business to identify our talent needs. We encourage periodic and meaningful conversations between managers and employees, including discussions regarding feedback, alignment of goals, and professional development. We encourage all employees to continue learning and provide learning opportunities as well as internal opportunities for cross functional work to support this. All employees receive training, including in the prevention of sexual harassment and abusive conduct in the workplace. We regularly review succession plans and focus on promoting internal talent to help grow our employees' careers.</w:t>
      </w:r>
    </w:p>
    <w:p>
      <w:pPr>
        <w:spacing w:after="0" w:line="208"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As of December 31, 2025, we had 441 full-time equivalent employees located in locations including the United States, France, Malaysia, the Netherlands, Taiwan, Japan, Finland, Ukraine, Germany, South Korea, India, and Singapore, including 239 in research and development, 162 in sales, general, and administrative, and 40 in operations. We consider relations with our employees to be good and have never experienced a work stoppage.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34" w:lineRule="exact"/>
        <w:rPr>
          <w:sz w:val="20"/>
          <w:szCs w:val="20"/>
          <w:color w:val="auto"/>
        </w:rPr>
      </w:pPr>
    </w:p>
    <w:p>
      <w:pPr>
        <w:ind w:right="200" w:firstLine="720"/>
        <w:spacing w:after="0" w:line="256" w:lineRule="auto"/>
        <w:rPr>
          <w:sz w:val="20"/>
          <w:szCs w:val="20"/>
          <w:color w:val="auto"/>
        </w:rPr>
      </w:pPr>
      <w:r>
        <w:rPr>
          <w:rFonts w:ascii="Times New Roman" w:cs="Times New Roman" w:eastAsia="Times New Roman" w:hAnsi="Times New Roman"/>
          <w:sz w:val="20"/>
          <w:szCs w:val="20"/>
          <w:color w:val="auto"/>
        </w:rPr>
        <w:t>We were incorporated in Delaware on December 3, 2003. Our principal executive offices are located at 5451 Patrick Henry Drive, Santa Clara, California 95054, and our telephone number is (408) 328-4400. Our corporate website address is www.sitime.com. Information found on, or accessible through, our website is not a part of, and is not incorporated into, this Annual Report on Form 10-K. Unless the context requires otherwise, references in this Annual Report on Form 10-K to “SiTime,” “the Company,” “we,” “us” and “our” refer to SiTime Corporation and its wholly-owned subsidiaries on a consolidated basis.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34" w:lineRule="exact"/>
        <w:rPr>
          <w:sz w:val="20"/>
          <w:szCs w:val="20"/>
          <w:color w:val="auto"/>
        </w:rPr>
      </w:pPr>
    </w:p>
    <w:p>
      <w:pPr>
        <w:ind w:firstLine="720"/>
        <w:spacing w:after="0" w:line="275" w:lineRule="auto"/>
        <w:rPr>
          <w:sz w:val="20"/>
          <w:szCs w:val="20"/>
          <w:color w:val="auto"/>
        </w:rPr>
      </w:pPr>
      <w:r>
        <w:rPr>
          <w:rFonts w:ascii="Times New Roman" w:cs="Times New Roman" w:eastAsia="Times New Roman" w:hAnsi="Times New Roman"/>
          <w:sz w:val="19"/>
          <w:szCs w:val="19"/>
          <w:color w:val="auto"/>
        </w:rPr>
        <w:t>Our website is located at https://www.sitime.com. Copies of our Annual Reports on Form 10-K, Quarterly Reports on Form 10-Q, Current Reports on Form 8-K, and amendments to these reports filed or furnished pursuant to Section 13(a) or 15(d) of the Exchange Act, are available, free of charge, on our investor relations website as soon as reasonably practicable after we file such material electronically with or furnish it to the Securities and Exchange Commission (the “SEC”). The SEC also maintains a website that contains our SEC filings. The address of the website is www.sec.gov.</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Our Industry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Global macroeconomic conditions have harmed and may continue to harm our business.</w:t>
      </w:r>
    </w:p>
    <w:p>
      <w:pPr>
        <w:spacing w:after="0" w:line="13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9"/>
          <w:szCs w:val="19"/>
          <w:color w:val="auto"/>
        </w:rPr>
        <w:t>We are a global company and therefore our business, results of operations, and financial condition are impacted by global macroeconomic conditions. Macroeconomic events such as rising inflation, recession, equity market volatility, geopolitical tensions, war, declines in income or asset values, decreased spending, changes to fuel and other energy costs, public health crises, supply chain disruptions, ongoing changes to U.S. trade policies and uncertainty related thereto and responses by foreign governments to such policies, and global banking concerns have caused economic volatility, which has and may</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860"/>
          </w:cols>
          <w:pgMar w:left="1180" w:top="856" w:right="1200" w:bottom="0" w:gutter="0" w:footer="0" w:header="0"/>
        </w:sectPr>
      </w:pPr>
    </w:p>
    <w:bookmarkStart w:id="19" w:name="page20"/>
    <w:bookmarkEnd w:id="19"/>
    <w:p>
      <w:pPr>
        <w:ind w:right="80"/>
        <w:spacing w:after="0" w:line="254" w:lineRule="auto"/>
        <w:rPr>
          <w:sz w:val="20"/>
          <w:szCs w:val="20"/>
          <w:color w:val="auto"/>
        </w:rPr>
      </w:pPr>
      <w:r>
        <w:rPr>
          <w:rFonts w:ascii="Times New Roman" w:cs="Times New Roman" w:eastAsia="Times New Roman" w:hAnsi="Times New Roman"/>
          <w:sz w:val="20"/>
          <w:szCs w:val="20"/>
          <w:color w:val="auto"/>
        </w:rPr>
        <w:t>continue to harm our business, financial condition, and results of operations, and may cause an extended downturn in the worldwide economy, which would further harm our business, financial condition and results of operations. Tariffs and escalations of trade tensions between the U.S. and its trading partners may result in long-term changes to global trade. Economic volatility and adverse economic conditions have affected and may continue to affect the demand for our products and our customers’ products. Reduced demand for our customers’ products may lead to a buildup of inventory at many of our customers, including distributors, and their affiliates, partners, and contract manufacturers, which may adversely affect demand for our products. Reduced demand for our products could result in significant decreases in our sales and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w:t>
      </w:r>
    </w:p>
    <w:p>
      <w:pPr>
        <w:spacing w:after="0" w:line="8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9"/>
          <w:szCs w:val="19"/>
          <w:color w:val="auto"/>
        </w:rPr>
        <w:t>A deterioration in credit markets as a result of macroeconomic events could also limit our ability to obtain external financing to fund our operations and capital expenditures. We may experience losses on our holdings of cash and investments due to failures of financial institutions and other parties. Further, adverse economic conditions may also result in a higher rate of losses on our accounts receivable due to credit defaults. As a result, global macroeconomic conditions have had and may continue to have a material adverse effect on our business, results of operations, and financial condition.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the cyclical nature of the semiconductor industry.</w:t>
      </w:r>
    </w:p>
    <w:p>
      <w:pPr>
        <w:spacing w:after="0" w:line="1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semiconductor industry is highly cyclical and is characterized by constant and rapid technological change, rapid product obsolescence, price erosion, evolving standards, short product life cycles, and wide fluctuations in product supply and demand, such as the current supply constraints related to the memory hardware. From time to time, these factors, together with changes in macroeconomic conditions, can cause significant upturns and downturns in the semiconductor industry, and in our business. Downturns in the semiconductor industry have been characterized by diminished product demand, production overcapacity, high inventory levels for us and our customers, and erosion of average selling prices. For example, in 2023 we experienced, and we may in the future experience, customer inventory adjustments that may adversely affect our results of operations. Any downturns in the semiconductor industry could harm our business, financial condition, and results of operations. Any significant upturn in the semiconductor industry could result in increased competition for access to third-party foundry and assembly capacity. To support our current growth plans,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spacing w:after="0" w:line="8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spacing w:after="0" w:line="7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Historically we have derived a significant portion of our revenue from a limited number of customers. We sell our products primarily through distributors, who in turn sell to our end customers. We also sell directly to our end customers. Our top three distributors by revenue together accounted for approximately 59%, 56%, and 51% of our revenue for the years ended December 31, 2025, 2024, and 2023, respectively. Based on our shipment information, we believe that revenue attributable to our ten largest end customers accounted for 65%, 59%, and 49% of our revenue for the years ended December 31, 2025, 2024, and 2023, respectively. Sales attributable to Apple, our largest end customer accounted for approximately 17%, 22%, and 21% of our revenue for the years ended December 31, 2025, 2024, and 2023, respectively. We anticipate revenue attributable to this end customer will fluctuate from period to period. Although we sell our products to this end customer through distributors on a purchase order basis, including, but not limited to, Pernas, and Quantek,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Precision Timing solutions.</w:t>
      </w:r>
    </w:p>
    <w:p>
      <w:pPr>
        <w:spacing w:after="0" w:line="94"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20"/>
          <w:szCs w:val="20"/>
          <w:color w:val="auto"/>
        </w:rPr>
        <w:t>We believe our operating results for the foreseeable future will continue to depend to a significant extent on sales attributable to a limited number of customers and end customers. If we are unable to expand or further diversify our customer base, it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860"/>
          </w:cols>
          <w:pgMar w:left="1180" w:top="856" w:right="1200" w:bottom="0" w:gutter="0" w:footer="0" w:header="0"/>
        </w:sectPr>
      </w:pPr>
    </w:p>
    <w:bookmarkStart w:id="20" w:name="page21"/>
    <w:bookmarkEnd w:id="20"/>
    <w:p>
      <w:pPr>
        <w:ind w:right="80"/>
        <w:spacing w:after="0" w:line="256" w:lineRule="auto"/>
        <w:rPr>
          <w:sz w:val="20"/>
          <w:szCs w:val="20"/>
          <w:color w:val="auto"/>
        </w:rPr>
      </w:pPr>
      <w:r>
        <w:rPr>
          <w:rFonts w:ascii="Times New Roman" w:cs="Times New Roman" w:eastAsia="Times New Roman" w:hAnsi="Times New Roman"/>
          <w:sz w:val="20"/>
          <w:szCs w:val="20"/>
          <w:color w:val="auto"/>
        </w:rPr>
        <w:t>If our end customers were to choose to work with other manufacturers or our relationships with our end customers are disrupted for any reason, it could have a significant negative impact on our business. Any reduction in sales attributable to our larger customers and end customers, including our largest end customer, would have a significant and disproportionate impact on our business, financial condition, and results of operations. Geopolitical tensions are leading to an increasing trend of customers seeking domestically produced products or reducing the dependence upon, or use of, products from certain countries, which could limit our ability to make sales to these customers.</w:t>
      </w:r>
    </w:p>
    <w:p>
      <w:pPr>
        <w:spacing w:after="0" w:line="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Further,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84"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spacing w:after="0" w:line="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We sell our products primarily through distributors, usually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Precision Timing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forecasts provided by customers, end customers, or their affiliates or contract manufacturers may change or may later prove to have been inaccurate which could make demand for our products difficult for us to predict and could expose us to the risks of inventory shortages or excess inventory and materially harm our results of operations. As we do not intend to acquire inventory to pre-build custom products, we may not be able to fulfill increased demand in the short term. Any of the foregoing events could materially and adversely affect our business, financial condition, and results of operations.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revenue and operating results may fluctuate from period to period, which could cause our stock price to fluctuate.</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("ASP") changes. Factors relating to our business that may contribute to fluctuations in our operating results include the following factors, as well as other factors described elsewhere in this report:</w:t>
      </w:r>
    </w:p>
    <w:p>
      <w:pPr>
        <w:spacing w:after="0" w:line="84" w:lineRule="exact"/>
        <w:rPr>
          <w:sz w:val="20"/>
          <w:szCs w:val="20"/>
          <w:color w:val="auto"/>
        </w:rPr>
      </w:pPr>
    </w:p>
    <w:p>
      <w:pPr>
        <w:ind w:left="2600" w:hanging="1350"/>
        <w:spacing w:after="0"/>
        <w:tabs>
          <w:tab w:leader="none" w:pos="26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macroeconomic conditions;</w:t>
      </w:r>
    </w:p>
    <w:p>
      <w:pPr>
        <w:spacing w:after="0" w:line="130"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cyclical fluctuations in the semiconductor market;</w:t>
      </w:r>
    </w:p>
    <w:p>
      <w:pPr>
        <w:spacing w:after="0" w:line="130"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demand and product life cycles;</w:t>
      </w:r>
    </w:p>
    <w:p>
      <w:pPr>
        <w:spacing w:after="0" w:line="130" w:lineRule="exact"/>
        <w:rPr>
          <w:rFonts w:ascii="Times New Roman" w:cs="Times New Roman" w:eastAsia="Times New Roman" w:hAnsi="Times New Roman"/>
          <w:sz w:val="20"/>
          <w:szCs w:val="20"/>
          <w:color w:val="auto"/>
        </w:rPr>
      </w:pPr>
    </w:p>
    <w:p>
      <w:pPr>
        <w:ind w:left="2600" w:hanging="1350"/>
        <w:spacing w:after="0" w:line="282" w:lineRule="auto"/>
        <w:tabs>
          <w:tab w:leader="none" w:pos="26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reduction, or cancellation of, or changes in the forecasts or timing of, orders by customers;</w:t>
      </w:r>
    </w:p>
    <w:p>
      <w:pPr>
        <w:spacing w:after="0" w:line="59"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the levels of inventories held by our distributors or end customers;</w:t>
      </w:r>
    </w:p>
    <w:p>
      <w:pPr>
        <w:spacing w:after="0" w:line="130"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gain or loss of significant customers;</w:t>
      </w:r>
    </w:p>
    <w:p>
      <w:pPr>
        <w:spacing w:after="0" w:line="130"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our pricing, product cost, and product mix;</w:t>
      </w:r>
    </w:p>
    <w:p>
      <w:pPr>
        <w:spacing w:after="0" w:line="130"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supply chain disruptions, delays, shortages, and capacity limitations;</w:t>
      </w:r>
    </w:p>
    <w:p>
      <w:pPr>
        <w:spacing w:after="0" w:line="124"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acceptance of our products and our customers’ products;</w:t>
      </w:r>
    </w:p>
    <w:p>
      <w:pPr>
        <w:spacing w:after="0" w:line="136" w:lineRule="exact"/>
        <w:rPr>
          <w:rFonts w:ascii="Times New Roman" w:cs="Times New Roman" w:eastAsia="Times New Roman" w:hAnsi="Times New Roman"/>
          <w:sz w:val="20"/>
          <w:szCs w:val="20"/>
          <w:color w:val="auto"/>
        </w:rPr>
      </w:pPr>
    </w:p>
    <w:p>
      <w:pPr>
        <w:ind w:left="2600" w:right="240" w:hanging="1350"/>
        <w:spacing w:after="0" w:line="282" w:lineRule="auto"/>
        <w:tabs>
          <w:tab w:leader="none" w:pos="26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develop, introduce, and market new products and technologies on a timely basis;</w:t>
      </w:r>
    </w:p>
    <w:p>
      <w:pPr>
        <w:spacing w:after="0" w:line="59"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and extent of product development costs;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880"/>
          </w:cols>
          <w:pgMar w:left="1180" w:top="856" w:right="1180" w:bottom="0" w:gutter="0" w:footer="0" w:header="0"/>
        </w:sectPr>
      </w:pPr>
    </w:p>
    <w:bookmarkStart w:id="21" w:name="page22"/>
    <w:bookmarkEnd w:id="21"/>
    <w:p>
      <w:pPr>
        <w:ind w:left="2600" w:hanging="1350"/>
        <w:spacing w:after="0"/>
        <w:tabs>
          <w:tab w:leader="none" w:pos="26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product announcements and introductions by us or our competitors;</w:t>
      </w:r>
    </w:p>
    <w:p>
      <w:pPr>
        <w:spacing w:after="0" w:line="130" w:lineRule="exact"/>
        <w:rPr>
          <w:rFonts w:ascii="Times New Roman" w:cs="Times New Roman" w:eastAsia="Times New Roman" w:hAnsi="Times New Roman"/>
          <w:sz w:val="20"/>
          <w:szCs w:val="20"/>
          <w:color w:val="auto"/>
        </w:rPr>
      </w:pPr>
    </w:p>
    <w:p>
      <w:pPr>
        <w:ind w:left="2600" w:right="140" w:hanging="1350"/>
        <w:spacing w:after="0" w:line="282" w:lineRule="auto"/>
        <w:tabs>
          <w:tab w:leader="none" w:pos="26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research and development costs and related new product expenditures and our ability to achieve cost reductions in a timely or predictable manner;</w:t>
      </w:r>
    </w:p>
    <w:p>
      <w:pPr>
        <w:spacing w:after="0" w:line="59" w:lineRule="exact"/>
        <w:rPr>
          <w:rFonts w:ascii="Times New Roman" w:cs="Times New Roman" w:eastAsia="Times New Roman" w:hAnsi="Times New Roman"/>
          <w:sz w:val="20"/>
          <w:szCs w:val="20"/>
          <w:color w:val="auto"/>
        </w:rPr>
      </w:pPr>
    </w:p>
    <w:p>
      <w:pPr>
        <w:ind w:left="2600" w:right="660" w:hanging="1350"/>
        <w:spacing w:after="0" w:line="282" w:lineRule="auto"/>
        <w:tabs>
          <w:tab w:leader="none" w:pos="26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seasonality and fluctuations in sales by product manufacturers that incorporate our Precision Timing solutions into their products;</w:t>
      </w:r>
    </w:p>
    <w:p>
      <w:pPr>
        <w:spacing w:after="0" w:line="59" w:lineRule="exact"/>
        <w:rPr>
          <w:rFonts w:ascii="Times New Roman" w:cs="Times New Roman" w:eastAsia="Times New Roman" w:hAnsi="Times New Roman"/>
          <w:sz w:val="20"/>
          <w:szCs w:val="20"/>
          <w:color w:val="auto"/>
        </w:rPr>
      </w:pPr>
    </w:p>
    <w:p>
      <w:pPr>
        <w:ind w:left="2600" w:right="100" w:hanging="1350"/>
        <w:spacing w:after="0" w:line="282" w:lineRule="auto"/>
        <w:tabs>
          <w:tab w:leader="none" w:pos="26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end-market demand into which we have limited insight, including cyclicality, seasonality, and the competitive landscape;</w:t>
      </w:r>
    </w:p>
    <w:p>
      <w:pPr>
        <w:spacing w:after="0" w:line="59" w:lineRule="exact"/>
        <w:rPr>
          <w:rFonts w:ascii="Times New Roman" w:cs="Times New Roman" w:eastAsia="Times New Roman" w:hAnsi="Times New Roman"/>
          <w:sz w:val="20"/>
          <w:szCs w:val="20"/>
          <w:color w:val="auto"/>
        </w:rPr>
      </w:pPr>
    </w:p>
    <w:p>
      <w:pPr>
        <w:ind w:left="2600" w:right="440" w:hanging="1350"/>
        <w:spacing w:after="0" w:line="282" w:lineRule="auto"/>
        <w:tabs>
          <w:tab w:leader="none" w:pos="26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socioeconomic or political conditions in the countries where we operate or where our products are sold or used;</w:t>
      </w:r>
    </w:p>
    <w:p>
      <w:pPr>
        <w:spacing w:after="0" w:line="59" w:lineRule="exact"/>
        <w:rPr>
          <w:rFonts w:ascii="Times New Roman" w:cs="Times New Roman" w:eastAsia="Times New Roman" w:hAnsi="Times New Roman"/>
          <w:sz w:val="20"/>
          <w:szCs w:val="20"/>
          <w:color w:val="auto"/>
        </w:rPr>
      </w:pPr>
    </w:p>
    <w:p>
      <w:pPr>
        <w:ind w:left="2600" w:right="120" w:hanging="1350"/>
        <w:spacing w:after="0" w:line="282" w:lineRule="auto"/>
        <w:tabs>
          <w:tab w:leader="none" w:pos="26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impact of any pandemic, epidemic, or outbreak of disease, on our business, suppliers, and customers;</w:t>
      </w:r>
    </w:p>
    <w:p>
      <w:pPr>
        <w:spacing w:after="0" w:line="59"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in our manufacturing yields;</w:t>
      </w:r>
    </w:p>
    <w:p>
      <w:pPr>
        <w:spacing w:after="0" w:line="130"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warranty claims, including those not covered by our suppliers;</w:t>
      </w:r>
    </w:p>
    <w:p>
      <w:pPr>
        <w:spacing w:after="0" w:line="130" w:lineRule="exact"/>
        <w:rPr>
          <w:rFonts w:ascii="Times New Roman" w:cs="Times New Roman" w:eastAsia="Times New Roman" w:hAnsi="Times New Roman"/>
          <w:sz w:val="20"/>
          <w:szCs w:val="20"/>
          <w:color w:val="auto"/>
        </w:rPr>
      </w:pPr>
    </w:p>
    <w:p>
      <w:pPr>
        <w:ind w:left="2600" w:right="60" w:hanging="1350"/>
        <w:spacing w:after="0" w:line="282" w:lineRule="auto"/>
        <w:tabs>
          <w:tab w:leader="none" w:pos="26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production disruptions or delays due to failure of information technology infrastructure or enterprise resource planning systems;</w:t>
      </w:r>
    </w:p>
    <w:p>
      <w:pPr>
        <w:spacing w:after="0" w:line="59"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accounting pronouncements or changes in existing accounting standards; and</w:t>
      </w:r>
    </w:p>
    <w:p>
      <w:pPr>
        <w:spacing w:after="0" w:line="130"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one or more of our executive officers or other key employees;</w:t>
      </w:r>
    </w:p>
    <w:p>
      <w:pPr>
        <w:spacing w:after="0" w:line="1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74"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depend on third parties for our wafer fabrication, assembly, packaging, and testing operations, which exposes us to certain risks that may harm our business.</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operate an outsourced manufacturing business model. As a result, we rely on third parties primarily located outside the U.S. for all of our manufacturing operations, including wafer fabrication, assembly, packaging, and testing. Adverse relations between the U.S. and any country supplying our materials could impact timely availability of our inventory.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which are procured or subcontracted by our third-party suppliers for manufacturing of our products are procured or subcontracted on a single or sole-source basis. Except for our agreement with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9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Many of our products are manufactured by using older semiconductor manufacturing process technologies. The semiconductor industry is characterized by rapid technological change, with many foundries transitioning their production capacity to smaller, more advanced process nodes. The phasing out of production lines for older nodes may create supply chain vulnerability due to potential obsolescence and limited sourcing options.</w:t>
      </w:r>
    </w:p>
    <w:p>
      <w:pPr>
        <w:spacing w:after="0" w:line="8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The initial term of this supply agreement is through February 2027 and renews automatically. We currently rely primarily on Bosch and Teledyne Digital Imaging Inc. ("Teledyne") for our MEMS fabrication, and primarily on TSMC and UMC for our analog circuits fabrication, and any disruption in the supply of wafers or any increases in the wafer or materials prices could adversely affect our gross margins and our ability to meet customer demands in a timely manner, or at all, and lead to reduced revenue. In the past, we have been impacted by a number of industry-wide supply constraints affecting the supply of analog circuits manufactured by certain foundries, including TSMC, and affecting outsourced semiconductor assembly and test providers (“OSATs”), which limited our ability to fully satisfy an increase in demand for some of our products. Moreover, wafers constitute a large portion of our product cost. If we are unable to negotiate volume discounts or otherwise purchase wafers at favorable prices and in</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860"/>
          </w:cols>
          <w:pgMar w:left="1180" w:top="856" w:right="1200" w:bottom="0" w:gutter="0" w:footer="0" w:header="0"/>
        </w:sectPr>
      </w:pPr>
    </w:p>
    <w:bookmarkStart w:id="22" w:name="page23"/>
    <w:bookmarkEnd w:id="22"/>
    <w:p>
      <w:pPr>
        <w:ind w:right="80"/>
        <w:spacing w:after="0" w:line="266" w:lineRule="auto"/>
        <w:rPr>
          <w:sz w:val="20"/>
          <w:szCs w:val="20"/>
          <w:color w:val="auto"/>
        </w:rPr>
      </w:pPr>
      <w:r>
        <w:rPr>
          <w:rFonts w:ascii="Times New Roman" w:cs="Times New Roman" w:eastAsia="Times New Roman" w:hAnsi="Times New Roman"/>
          <w:sz w:val="20"/>
          <w:szCs w:val="20"/>
          <w:color w:val="auto"/>
        </w:rPr>
        <w:t>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To ensure continued wafer supply, we may be required to establish alternative wafer supply sources, which could require significant expenditures and limit our negotiating leverage. We currently rely on Bosch, TSMC, UMC, and Teledyne as our primary foundries and suppliers for our MEMS timing devices and analog circuits, and only a few foundry vendors have the capability to manufacture our most advanced solutions, in particular with respect to our MEMS technology. If we engage alternative supply sources, we may incur additional costs and encounter difficulties and/or delays in qualifying the supply sources. For example, we had a license agreement with Bosch under which Bosch granted us a license to use certain patents. Under this agreement, we were required to pay a royalty fee to Bosch if we engaged third parties to manufacture, or if we decided to manufacture ourselves, certain generations of our MEMS wafers until March 31, 2024. In addition, shipments could be significantly delayed while these sources are qualified for volume production. If we are unable to maintain our relationship with Bosch, TSMC, UMC, or Teledyne, our ability to produce high-quality products could suffer, which in turn could harm our business, financial condition, and results of operations.</w:t>
      </w:r>
    </w:p>
    <w:p>
      <w:pPr>
        <w:spacing w:after="0" w:line="94"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20"/>
          <w:szCs w:val="20"/>
          <w:color w:val="auto"/>
        </w:rPr>
        <w:t>We currently primarily rely on ASE, Carsem, and UTAC for assembly and testing, as well as Daishinku, UTAC, Hana Semiconductor (Ayutthaya) Co., Ltd, and ASE for ceramic packaging for some of our products. We enter into capacity agreements with certain of our OSATs from time to time which may adversely impact our gross margins and results of operations if we do not purchase required minimum quantities.</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Certain of our manufacturing, packaging, assembly, and testing facilities are located outside of the United States, including Malaysia, Taiwan, Thailand, and Singapore,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spacing w:after="0" w:line="9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longer to accomplish.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 Although we maintain business disruption insurance, this insurance may not be adequate to cover any losses we may experience as a result of such difficulties.</w:t>
      </w:r>
    </w:p>
    <w:p>
      <w:pPr>
        <w:spacing w:after="0" w:line="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20"/>
          <w:szCs w:val="20"/>
          <w:color w:val="auto"/>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spacing w:after="0" w:line="74" w:lineRule="exact"/>
        <w:rPr>
          <w:sz w:val="20"/>
          <w:szCs w:val="20"/>
          <w:color w:val="auto"/>
        </w:rPr>
      </w:pPr>
    </w:p>
    <w:p>
      <w:pPr>
        <w:ind w:right="1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International trade policies, including tariffs, sanctions and trade barriers may adversely affect our business, financial condition, results of operations and prospects.</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Substantial new tariffs and other restrictive trade policies have created a dynamic and unpredictable trade landscape, which may adversely impact our business. Laws and regulations regarding tariffs and trade policies are continuously and rapidly evolving, and the scope and interpretation of the laws and regulations that are or may be applicable to us are often uncertain and may be conflicting. As a result, these laws and regulations may be interpreted and applied in a manner inconsistent with our practices or policies and we could face fines, lawsuits, regulatory investigations, and other claims and penalties, and we could be required to fundamentally change our practices, which could adversely affect our business and operating results. Complying with such laws and regulations may be time-consuming and require additional resources, and could therefore adversely affect our business and results of operations.</w:t>
      </w:r>
    </w:p>
    <w:p>
      <w:pPr>
        <w:spacing w:after="0" w:line="8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9"/>
          <w:szCs w:val="19"/>
          <w:color w:val="auto"/>
        </w:rPr>
        <w:t>Current or future tariffs or other restrictive trade measures may significantly raise the costs of raw materials, components or finished goods, which may adversely impact both our product offerings and our operational expenses. Such cost increases may reduce our margins and require us to increase prices, which could harm our competitive position, reduce customer demand and damage customer relationships. Our manufacturers, suppliers and distribution channels are also affected by the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900"/>
          </w:cols>
          <w:pgMar w:left="1180" w:top="856" w:right="1160" w:bottom="0" w:gutter="0" w:footer="0" w:header="0"/>
        </w:sectPr>
      </w:pPr>
    </w:p>
    <w:bookmarkStart w:id="23" w:name="page24"/>
    <w:bookmarkEnd w:id="23"/>
    <w:p>
      <w:pPr>
        <w:ind w:right="20"/>
        <w:spacing w:after="0" w:line="255" w:lineRule="auto"/>
        <w:rPr>
          <w:sz w:val="20"/>
          <w:szCs w:val="20"/>
          <w:color w:val="auto"/>
        </w:rPr>
      </w:pPr>
      <w:r>
        <w:rPr>
          <w:rFonts w:ascii="Times New Roman" w:cs="Times New Roman" w:eastAsia="Times New Roman" w:hAnsi="Times New Roman"/>
          <w:sz w:val="20"/>
          <w:szCs w:val="20"/>
          <w:color w:val="auto"/>
        </w:rPr>
        <w:t>current trade environment, and we may experience supply chain disruptions as a result of increased costs and uncertainty, as well as risks to the long-term viability of key vendors, which may impact our ability to meet customer demand or manage inventory efficiently. Tariff and other trade-related cost pressures and supply chain disruptions may lead to reputational harm if we are unable to deliver products or services on expected timelines or if any price increases are poorly received by customers or business partners. In addition, many of our customers operate businesses that may be impacted by trade policies, which may result in decreased demand for our products or extended sales cycles as customers assess the impact of evolving trade policies on their operations and face increased costs or decreased revenue due to tariffs and trade restrictions.</w:t>
      </w:r>
    </w:p>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Trade disputes, trade restrictions, tariffs and other geopolitical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products, delay purchases, limit expansion opportunities with customers, limit our access to capital, or otherwise negatively impact our business and operations. Ongoing tariff, trade restrictions and macroeconomic uncertainty has and may continue to contribute to volatility in the price of our common stock.</w:t>
      </w:r>
    </w:p>
    <w:p>
      <w:pPr>
        <w:spacing w:after="0" w:line="8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The complexity of announced or future tariffs may also increase the risk that we or our customers or suppliers may be subject to civil or criminal enforcement actions in the U.S. or foreign jurisdictions related to compliance with trade regulations. In addition, retaliatory trade policies or anti-U.S. sentiment in certain regions whether driven by trade tensions, political disagreements, or regulatory concerns may make customers, governments, and investors more hesitant to engage with, purchase from or invest in U.S. firms. This may lead to increased preference for local competitors, changes to government procurement policies, heightened regulatory scrutiny, decreased intellectual property protections, delays in regulatory approvals or other retaliatory regulatory non-tariff policies, which may result in heightened international legal and operational risks and difficulties in attracting and retaining non-U.S. customers, suppliers, employees, partners and investors.</w:t>
      </w:r>
    </w:p>
    <w:p>
      <w:pPr>
        <w:spacing w:after="0" w:line="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20"/>
          <w:szCs w:val="20"/>
          <w:color w:val="auto"/>
        </w:rPr>
        <w:t>Ongoing uncertainty regarding trade policies may also further complicate our short- and long-term strategic planning, and that of our partners and customers, including decisions regarding hiring, product strategy, capital investment, supply chain design and geographic expansion.</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elsewhere in this report.</w:t>
      </w:r>
    </w:p>
    <w:p>
      <w:pPr>
        <w:spacing w:after="0" w:line="78"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 significant portion of our operations is located outside of the United States, which subjects us to additional risks, including increased complexity and costs of managing international operations and geopolitical instability.</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We outsource the fabrication and assembly of all of our products to third parties that are primarily located in Germany and Asia. In addition, we conduct research and development activities in locations including the United States, Japan, the Netherlands, Taiwan, Ukraine, Finland, and India. We also conduct marketing and administrative functions in the United States, Japan, the Netherlands, China, Taiwan, Malaysia, Ukraine, and India. Members of our sales force are located in various locations outside of the United States. Certain of the critical functions for our business are performed in locations outside of the United States. In addition, approximately 93%, 92%, and 86% of our revenue for the years ended December 31, 2025, 2024, and 2023, respectively,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spacing w:after="0" w:line="89" w:lineRule="exact"/>
        <w:rPr>
          <w:sz w:val="20"/>
          <w:szCs w:val="20"/>
          <w:color w:val="auto"/>
        </w:rPr>
      </w:pPr>
    </w:p>
    <w:p>
      <w:pPr>
        <w:ind w:left="2600" w:right="480" w:hanging="1350"/>
        <w:spacing w:after="0" w:line="282" w:lineRule="auto"/>
        <w:tabs>
          <w:tab w:leader="none" w:pos="26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complexity and costs of managing international operations, including manufacturing, assembly, and testing of our products and associated costs;</w:t>
      </w:r>
    </w:p>
    <w:p>
      <w:pPr>
        <w:spacing w:after="0" w:line="53"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geopolitical and military conflicts, including the effects of Russia’s invasion of Ukraine;</w:t>
      </w:r>
    </w:p>
    <w:p>
      <w:pPr>
        <w:spacing w:after="0" w:line="136"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instability, including the effects of rising inflation and increased interest rates;</w:t>
      </w:r>
    </w:p>
    <w:p>
      <w:pPr>
        <w:spacing w:after="0" w:line="130" w:lineRule="exact"/>
        <w:rPr>
          <w:rFonts w:ascii="Times New Roman" w:cs="Times New Roman" w:eastAsia="Times New Roman" w:hAnsi="Times New Roman"/>
          <w:sz w:val="20"/>
          <w:szCs w:val="20"/>
          <w:color w:val="auto"/>
        </w:rPr>
      </w:pPr>
    </w:p>
    <w:p>
      <w:pPr>
        <w:ind w:left="2600" w:right="700" w:hanging="1350"/>
        <w:spacing w:after="0" w:line="282" w:lineRule="auto"/>
        <w:tabs>
          <w:tab w:leader="none" w:pos="26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limited protection for, and vulnerability to theft of, our intellectual property rights, including our trade secrets;</w:t>
      </w:r>
    </w:p>
    <w:p>
      <w:pPr>
        <w:spacing w:after="0" w:line="59" w:lineRule="exact"/>
        <w:rPr>
          <w:rFonts w:ascii="Times New Roman" w:cs="Times New Roman" w:eastAsia="Times New Roman" w:hAnsi="Times New Roman"/>
          <w:sz w:val="20"/>
          <w:szCs w:val="20"/>
          <w:color w:val="auto"/>
        </w:rPr>
      </w:pPr>
    </w:p>
    <w:p>
      <w:pPr>
        <w:ind w:left="2600" w:right="280" w:hanging="1350"/>
        <w:spacing w:after="0" w:line="282" w:lineRule="auto"/>
        <w:tabs>
          <w:tab w:leader="none" w:pos="26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local laws and regulations and unanticipated changes in local laws and regulations, including tax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900"/>
          </w:cols>
          <w:pgMar w:left="1180" w:top="856" w:right="1160" w:bottom="0" w:gutter="0" w:footer="0" w:header="0"/>
        </w:sectPr>
      </w:pPr>
    </w:p>
    <w:bookmarkStart w:id="24" w:name="page25"/>
    <w:bookmarkEnd w:id="24"/>
    <w:p>
      <w:pPr>
        <w:ind w:left="2600" w:right="440" w:hanging="1350"/>
        <w:spacing w:after="0" w:line="266" w:lineRule="auto"/>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trade and foreign exchange restrictions and higher tariffs, including the ongoing trade tensions between the U.S. and China that has resulted in higher tariffs on certain semiconductor products and increased trade restrictions;</w:t>
      </w:r>
    </w:p>
    <w:p>
      <w:pPr>
        <w:spacing w:after="0" w:line="75" w:lineRule="exact"/>
        <w:rPr>
          <w:rFonts w:ascii="Times New Roman" w:cs="Times New Roman" w:eastAsia="Times New Roman" w:hAnsi="Times New Roman"/>
          <w:sz w:val="20"/>
          <w:szCs w:val="20"/>
          <w:color w:val="auto"/>
        </w:rPr>
      </w:pPr>
    </w:p>
    <w:p>
      <w:pPr>
        <w:ind w:left="2600" w:right="260" w:hanging="1350"/>
        <w:spacing w:after="0" w:line="282" w:lineRule="auto"/>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timing and availability of import and export licenses and other governmental approvals, permits, and licenses, including export classification requirements;</w:t>
      </w:r>
    </w:p>
    <w:p>
      <w:pPr>
        <w:spacing w:after="0" w:line="59" w:lineRule="exact"/>
        <w:rPr>
          <w:rFonts w:ascii="Times New Roman" w:cs="Times New Roman" w:eastAsia="Times New Roman" w:hAnsi="Times New Roman"/>
          <w:sz w:val="20"/>
          <w:szCs w:val="20"/>
          <w:color w:val="auto"/>
        </w:rPr>
      </w:pPr>
    </w:p>
    <w:p>
      <w:pPr>
        <w:ind w:left="2600" w:right="240" w:hanging="1350"/>
        <w:spacing w:after="0" w:line="282" w:lineRule="auto"/>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currency fluctuations and exchange losses relating to our international operating activities;</w:t>
      </w:r>
    </w:p>
    <w:p>
      <w:pPr>
        <w:spacing w:after="0" w:line="59" w:lineRule="exact"/>
        <w:rPr>
          <w:rFonts w:ascii="Times New Roman" w:cs="Times New Roman" w:eastAsia="Times New Roman" w:hAnsi="Times New Roman"/>
          <w:sz w:val="20"/>
          <w:szCs w:val="20"/>
          <w:color w:val="auto"/>
        </w:rPr>
      </w:pPr>
    </w:p>
    <w:p>
      <w:pPr>
        <w:ind w:left="2600" w:right="60" w:hanging="1350"/>
        <w:spacing w:after="0" w:line="266" w:lineRule="auto"/>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imposed by the U.S. government or foreign governments on our ability to do business with certain companies or in certain countries as a result of international political conflicts and the complexity of complying with those restrictions;</w:t>
      </w:r>
    </w:p>
    <w:p>
      <w:pPr>
        <w:spacing w:after="0" w:line="75" w:lineRule="exact"/>
        <w:rPr>
          <w:rFonts w:ascii="Times New Roman" w:cs="Times New Roman" w:eastAsia="Times New Roman" w:hAnsi="Times New Roman"/>
          <w:sz w:val="20"/>
          <w:szCs w:val="20"/>
          <w:color w:val="auto"/>
        </w:rPr>
      </w:pPr>
    </w:p>
    <w:p>
      <w:pPr>
        <w:ind w:left="2600" w:right="720" w:hanging="1350"/>
        <w:spacing w:after="0" w:line="266" w:lineRule="auto"/>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transportation delays and other consequences of limited local infrastructure, and disruptions, such as large scale outages or interruptions of service from utilities or telecommunications providers;</w:t>
      </w:r>
    </w:p>
    <w:p>
      <w:pPr>
        <w:spacing w:after="0" w:line="75"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difficulties in staffing international operations;</w:t>
      </w:r>
    </w:p>
    <w:p>
      <w:pPr>
        <w:spacing w:after="0" w:line="130"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immigration policies which may impact our ability to hire personnel;</w:t>
      </w:r>
    </w:p>
    <w:p>
      <w:pPr>
        <w:spacing w:after="0" w:line="130"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local business and cultural factors that differ from our normal standards and practices;</w:t>
      </w:r>
    </w:p>
    <w:p>
      <w:pPr>
        <w:spacing w:after="0" w:line="130"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differing employment practices and labor relations;</w:t>
      </w:r>
    </w:p>
    <w:p>
      <w:pPr>
        <w:spacing w:after="0" w:line="130" w:lineRule="exact"/>
        <w:rPr>
          <w:rFonts w:ascii="Times New Roman" w:cs="Times New Roman" w:eastAsia="Times New Roman" w:hAnsi="Times New Roman"/>
          <w:sz w:val="20"/>
          <w:szCs w:val="20"/>
          <w:color w:val="auto"/>
        </w:rPr>
      </w:pPr>
    </w:p>
    <w:p>
      <w:pPr>
        <w:ind w:left="2600" w:right="420" w:hanging="1350"/>
        <w:spacing w:after="0" w:line="282" w:lineRule="auto"/>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requirements in foreign countries which may impact availability of personnel, such as mandatory military service in countries such as Ukraine, Taiwan, and Finland;</w:t>
      </w:r>
    </w:p>
    <w:p>
      <w:pPr>
        <w:spacing w:after="0" w:line="59"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heightened risk of terrorist acts;</w:t>
      </w:r>
    </w:p>
    <w:p>
      <w:pPr>
        <w:spacing w:after="0" w:line="130" w:lineRule="exact"/>
        <w:rPr>
          <w:rFonts w:ascii="Times New Roman" w:cs="Times New Roman" w:eastAsia="Times New Roman" w:hAnsi="Times New Roman"/>
          <w:sz w:val="20"/>
          <w:szCs w:val="20"/>
          <w:color w:val="auto"/>
        </w:rPr>
      </w:pPr>
    </w:p>
    <w:p>
      <w:pPr>
        <w:ind w:left="2600" w:right="380" w:hanging="1350"/>
        <w:spacing w:after="0" w:line="282" w:lineRule="auto"/>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regional health issues and the impact of public health epidemics on employees and the global economy;</w:t>
      </w:r>
    </w:p>
    <w:p>
      <w:pPr>
        <w:spacing w:after="0" w:line="59"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power outages and natural disasters; and</w:t>
      </w:r>
    </w:p>
    <w:p>
      <w:pPr>
        <w:spacing w:after="0" w:line="130" w:lineRule="exact"/>
        <w:rPr>
          <w:rFonts w:ascii="Times New Roman" w:cs="Times New Roman" w:eastAsia="Times New Roman" w:hAnsi="Times New Roman"/>
          <w:sz w:val="20"/>
          <w:szCs w:val="20"/>
          <w:color w:val="auto"/>
        </w:rPr>
      </w:pPr>
    </w:p>
    <w:p>
      <w:pPr>
        <w:ind w:left="2600" w:right="820" w:hanging="1350"/>
        <w:spacing w:after="0" w:line="282" w:lineRule="auto"/>
        <w:tabs>
          <w:tab w:leader="none" w:pos="26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travel, work-from-home or other restrictions or stoppages, like those imposed by governments around the world as a result of pandemics.</w:t>
      </w:r>
    </w:p>
    <w:p>
      <w:pPr>
        <w:spacing w:after="0" w:line="6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and UMC in Taiwan for the fabrication of our analog circuits and have engineering personnel in Taiwan and sales force personnel in China. If political tensions between China and Taiwan were to increase further, it could disrupt our business and adversely affect our financial condition and results of operations. In addition, given the ongoing political and military conflict in Russia and Ukraine, if the relationship between Russia and the United States worsens further, or we are restricted or precluded from continuing our operations in Ukraine, it could disrupt our business, our costs could increase, and our product development efforts, business, financial condition, and results of operations could be significantly harmed.</w:t>
      </w:r>
    </w:p>
    <w:p>
      <w:pPr>
        <w:spacing w:after="0" w:line="84"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9"/>
          <w:szCs w:val="19"/>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We sell our Precision Timing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84"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20"/>
          <w:szCs w:val="20"/>
          <w:color w:val="auto"/>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may deteriorate.</w:t>
      </w:r>
    </w:p>
    <w:p>
      <w:pPr>
        <w:spacing w:after="0" w:line="7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9"/>
          <w:szCs w:val="19"/>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880"/>
          </w:cols>
          <w:pgMar w:left="1180" w:top="856" w:right="1180" w:bottom="0" w:gutter="0" w:footer="0" w:header="0"/>
        </w:sectPr>
      </w:pPr>
    </w:p>
    <w:bookmarkStart w:id="25" w:name="page26"/>
    <w:bookmarkEnd w:id="25"/>
    <w:p>
      <w:pPr>
        <w:ind w:right="40"/>
        <w:spacing w:after="0" w:line="282" w:lineRule="auto"/>
        <w:rPr>
          <w:sz w:val="20"/>
          <w:szCs w:val="20"/>
          <w:color w:val="auto"/>
        </w:rPr>
      </w:pPr>
      <w:r>
        <w:rPr>
          <w:rFonts w:ascii="Times New Roman" w:cs="Times New Roman" w:eastAsia="Times New Roman" w:hAnsi="Times New Roman"/>
          <w:sz w:val="20"/>
          <w:szCs w:val="20"/>
          <w:color w:val="auto"/>
        </w:rPr>
        <w:t>variety of reasons, and our customers can stop incorporating our products into their product offerings with limited notice to us and suffer little or no penalty.</w:t>
      </w:r>
    </w:p>
    <w:p>
      <w:pPr>
        <w:spacing w:after="0" w:line="6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If we fail to anticipate or respond to technological shifts or market demands, or to develop new or enhanced products or technologies in response to the same in a timely manner,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manner, and our designs do not gain acceptance, we will lose market share and our competitive position.</w:t>
      </w:r>
    </w:p>
    <w:p>
      <w:pPr>
        <w:spacing w:after="0" w:line="9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20"/>
          <w:szCs w:val="20"/>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Times New Roman" w:cs="Times New Roman" w:eastAsia="Times New Roman" w:hAnsi="Times New Roman"/>
          <w:sz w:val="20"/>
          <w:szCs w:val="20"/>
          <w:b w:val="1"/>
          <w:bCs w:val="1"/>
          <w:i w:val="1"/>
          <w:iCs w:val="1"/>
          <w:color w:val="auto"/>
        </w:rPr>
        <w:t>.</w:t>
      </w:r>
    </w:p>
    <w:p>
      <w:pPr>
        <w:spacing w:after="0" w:line="7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82"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w:t>
      </w:r>
    </w:p>
    <w:p>
      <w:pPr>
        <w:spacing w:after="0" w:line="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develop commercially successful products under such arrangements in a timely manner as a result of any of these and other challenges could have a material adverse effect on our business, results of operations, and financial condition.</w:t>
      </w:r>
    </w:p>
    <w:p>
      <w:pPr>
        <w:spacing w:after="0" w:line="84"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success of our Precision Timing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85" w:lineRule="exact"/>
        <w:rPr>
          <w:sz w:val="20"/>
          <w:szCs w:val="20"/>
          <w:color w:val="auto"/>
        </w:rPr>
      </w:pPr>
    </w:p>
    <w:p>
      <w:pPr>
        <w:ind w:right="32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3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9"/>
          <w:szCs w:val="19"/>
          <w:color w:val="auto"/>
        </w:rPr>
        <w:t>Our target markets include the communications, datacenter, and enterprise, automotive, industrial, aerospace, defense, and mobile, IoT, and consumer markets. Substantially all of our revenue to date has been attributable to sales of MEMS oscillators. We have expanded our products to include clock IC and timing synchronization solutions. Any deterioration in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880"/>
          </w:cols>
          <w:pgMar w:left="1180" w:top="856" w:right="1180" w:bottom="0" w:gutter="0" w:footer="0" w:header="0"/>
        </w:sectPr>
      </w:pPr>
    </w:p>
    <w:bookmarkStart w:id="26" w:name="page27"/>
    <w:bookmarkEnd w:id="26"/>
    <w:p>
      <w:pPr>
        <w:spacing w:after="0" w:line="261" w:lineRule="auto"/>
        <w:rPr>
          <w:sz w:val="20"/>
          <w:szCs w:val="20"/>
          <w:color w:val="auto"/>
        </w:rPr>
      </w:pPr>
      <w:r>
        <w:rPr>
          <w:rFonts w:ascii="Times New Roman" w:cs="Times New Roman" w:eastAsia="Times New Roman" w:hAnsi="Times New Roman"/>
          <w:sz w:val="20"/>
          <w:szCs w:val="20"/>
          <w:color w:val="auto"/>
        </w:rPr>
        <w:t>our target customer or product markets or reduction in capital spending to support these markets could lead to a reduction in demand for our products, which would adversely affect our revenue and results of operations. Further, if our target customer markets do not grow or develop in ways that we currently expect, demand for our technology may not materialize as expected, which would also negatively impact our business, financial condition, and results of operations.</w:t>
      </w:r>
    </w:p>
    <w:p>
      <w:pPr>
        <w:spacing w:after="0" w:line="80"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20"/>
          <w:szCs w:val="20"/>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Our future revenue growth, if any, will depend in part on our ability to expand within our existing markets and our ability to enter into new markets. Each of our end markets presents distinct and substantial challenges and risks and, in many cases, requires us to develop new customized solutions to address the particular requirements of that market. Meeting the technical requirements and securing future design wins in any of these new markets will require a substantial investment of our time and resources. We cannot assure you that we will secure future design wins from these or other new markets, or that we will achieve meaningful revenue from sales in these markets. If new markets do not develop as we currently anticipate or if we are unable to penetrate them and scale in them successfully, our revenue could decline.</w:t>
      </w:r>
    </w:p>
    <w:p>
      <w:pPr>
        <w:spacing w:after="0" w:line="84"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Fluctuations in exchange rates between and among the currencies of the countries in which we do business could adversely affect our results of operations.</w:t>
      </w:r>
    </w:p>
    <w:p>
      <w:pPr>
        <w:spacing w:after="0" w:line="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color w:val="auto"/>
        </w:rPr>
        <w:t>Our sales have been historically denominated in U.S. dollars, even when sold to customers located outside of the U.S. An increase in the value of the U.S. dollar relative to the currencies of the countries in which our customers operate could increase the real cost to our customers of our products and impair the ability of our customers to cost-effectively purchase or integrate our solutions into their product offerings, which may materially affect the demand for our solutions and cause these customers to reduce their orders, or may increase pressure on us to lower our product prices, which in each case would adversely affect our revenue and business.</w:t>
      </w:r>
    </w:p>
    <w:p>
      <w:pPr>
        <w:spacing w:after="0" w:line="8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color w:val="auto"/>
        </w:rPr>
        <w:t>If we increase operations in other currencies in the future, we may experience foreign exchange gains or losses due to the volatility of other currencies compared to the U.S. dollar. Certain of our employees are located primarily in Finland, India, Japan, Malaysia, the Netherlands, Taiwan, and Ukraine.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84"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average selling prices of our individual products have fluctuated historically over time and may do so in the future, which could harm our revenue and gross margins.</w:t>
      </w:r>
    </w:p>
    <w:p>
      <w:pPr>
        <w:spacing w:after="0" w:line="5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color w:val="auto"/>
        </w:rPr>
        <w:t>Although on average selling prices of our products have increased over time as we introduce higher end products, the average selling prices of our individual products generally decrease over time.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spacing w:after="0" w:line="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78"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not able to successfully introduce and ship in volume new products in a timely manner, our business and revenue will suffer.</w:t>
      </w:r>
    </w:p>
    <w:p>
      <w:pPr>
        <w:spacing w:after="0" w:line="5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consistently introduce new products that ship in volume, or if our transition to these new products does not successfully occur prior to any decrease in revenue from our prior products, our revenue will likely decline significantly and rapidly.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880"/>
          </w:cols>
          <w:pgMar w:left="1180" w:top="856" w:right="1180" w:bottom="0" w:gutter="0" w:footer="0" w:header="0"/>
        </w:sectPr>
      </w:pPr>
    </w:p>
    <w:bookmarkStart w:id="27" w:name="page28"/>
    <w:bookmarkEnd w:id="27"/>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Pandemics, epidemics, or other outbreaks of disease have had and may in the future have an adverse impact upon our business, results of operations, and financial condition.</w:t>
      </w:r>
    </w:p>
    <w:p>
      <w:pPr>
        <w:spacing w:after="0" w:line="54"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20"/>
          <w:szCs w:val="20"/>
          <w:color w:val="auto"/>
        </w:rPr>
        <w:t>A future pandemic, epidemic, health crisis, or other outbreak of disease, may negatively and materially impact our business, results of operations, and financial condition, due to:</w:t>
      </w:r>
    </w:p>
    <w:p>
      <w:pPr>
        <w:spacing w:after="0" w:line="60" w:lineRule="exact"/>
        <w:rPr>
          <w:sz w:val="20"/>
          <w:szCs w:val="20"/>
          <w:color w:val="auto"/>
        </w:rPr>
      </w:pPr>
    </w:p>
    <w:p>
      <w:pPr>
        <w:ind w:left="2600" w:right="180" w:hanging="1350"/>
        <w:spacing w:after="0" w:line="282" w:lineRule="auto"/>
        <w:tabs>
          <w:tab w:leader="none" w:pos="26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global economic recession or depression that could significantly reduce demand and/or prices for our products;</w:t>
      </w:r>
    </w:p>
    <w:p>
      <w:pPr>
        <w:spacing w:after="0" w:line="59" w:lineRule="exact"/>
        <w:rPr>
          <w:rFonts w:ascii="Times New Roman" w:cs="Times New Roman" w:eastAsia="Times New Roman" w:hAnsi="Times New Roman"/>
          <w:sz w:val="20"/>
          <w:szCs w:val="20"/>
          <w:color w:val="auto"/>
        </w:rPr>
      </w:pPr>
    </w:p>
    <w:p>
      <w:pPr>
        <w:ind w:left="2600" w:right="180" w:hanging="1350"/>
        <w:spacing w:after="0" w:line="282" w:lineRule="auto"/>
        <w:tabs>
          <w:tab w:leader="none" w:pos="26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productivity in our product development, operations, marketing, sales, and other activities;</w:t>
      </w:r>
    </w:p>
    <w:p>
      <w:pPr>
        <w:spacing w:after="0" w:line="59" w:lineRule="exact"/>
        <w:rPr>
          <w:rFonts w:ascii="Times New Roman" w:cs="Times New Roman" w:eastAsia="Times New Roman" w:hAnsi="Times New Roman"/>
          <w:sz w:val="20"/>
          <w:szCs w:val="20"/>
          <w:color w:val="auto"/>
        </w:rPr>
      </w:pPr>
    </w:p>
    <w:p>
      <w:pPr>
        <w:ind w:left="2600" w:right="300" w:hanging="1350"/>
        <w:spacing w:after="0" w:line="282" w:lineRule="auto"/>
        <w:tabs>
          <w:tab w:leader="none" w:pos="26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mandates, guidance, or recommendations regarding shutdown, closures, or other restrictions;</w:t>
      </w:r>
    </w:p>
    <w:p>
      <w:pPr>
        <w:spacing w:after="0" w:line="59"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disruptions to our supply chain;</w:t>
      </w:r>
    </w:p>
    <w:p>
      <w:pPr>
        <w:spacing w:after="0" w:line="130"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rate of losses on our accounts receivable due to credit defaults; or</w:t>
      </w:r>
    </w:p>
    <w:p>
      <w:pPr>
        <w:spacing w:after="0" w:line="130"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volatility in our stock price.</w:t>
      </w:r>
    </w:p>
    <w:p>
      <w:pPr>
        <w:spacing w:after="0" w:line="130"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20"/>
          <w:szCs w:val="20"/>
          <w:color w:val="auto"/>
        </w:rPr>
        <w:t>The potential impact that a future pandemic, epidemic, health crisis, or other outbreak of disease, could have on our business, results of operations, and financial condition, and on the other risk factors described in this “Risk Factors” section, remain unclear and difficult to predict.</w:t>
      </w:r>
    </w:p>
    <w:p>
      <w:pPr>
        <w:spacing w:after="0" w:line="6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gross margins may fluctuate due to a variety of factors, which could negatively impact our results of operations and our financial condition.</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and geographic and market pricing strategies.</w:t>
      </w:r>
    </w:p>
    <w:p>
      <w:pPr>
        <w:spacing w:after="0" w:line="7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0"/>
          <w:szCs w:val="20"/>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Because we do not operate our own manufacturing, assembly, or testing facilities, we may not be able to reduce our costs as rapidly as companies that operate their own facilities, and our costs may even increase, which could further reduce our gross margins. For instance, we continued to see increases in our manufacturing costs in fiscal year 2023 due to industry wide increases in costs.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85"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20"/>
          <w:szCs w:val="20"/>
          <w:color w:val="auto"/>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revenue in previous periods may not be indicative of future performance and our revenue may fluctuate over time.</w:t>
      </w:r>
    </w:p>
    <w:p>
      <w:pPr>
        <w:spacing w:after="0" w:line="13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Our revenue has fluctuated over time. Our revenue was $326.7 million, $202.7 million, and $144.0 million for the years ended December 31, 2025, 2024, and 2023, respectively. You should not rely on our revenue for any previous quarterly or annual periods as any indication of our revenue for future fiscal periods. As we grow our business, our revenue may fluctuate in future periods due to a number of reasons, which may include macroeconomic conditions, slowing demand for our products, increasing competition, a decrease in the growth of our overall market or market saturation, or our failure to capitalize on growth opportunities.</w:t>
      </w:r>
    </w:p>
    <w:p>
      <w:pPr>
        <w:spacing w:after="0" w:line="83"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manage our growth effectively, we may not be able to execute our business plan and our operating results could suffer.</w:t>
      </w:r>
    </w:p>
    <w:p>
      <w:pPr>
        <w:spacing w:after="0" w:line="54" w:lineRule="exact"/>
        <w:rPr>
          <w:sz w:val="20"/>
          <w:szCs w:val="20"/>
          <w:color w:val="auto"/>
        </w:rPr>
      </w:pPr>
    </w:p>
    <w:p>
      <w:pPr>
        <w:ind w:right="180"/>
        <w:spacing w:after="0" w:line="309" w:lineRule="auto"/>
        <w:rPr>
          <w:sz w:val="20"/>
          <w:szCs w:val="20"/>
          <w:color w:val="auto"/>
        </w:rPr>
      </w:pPr>
      <w:r>
        <w:rPr>
          <w:rFonts w:ascii="Times New Roman" w:cs="Times New Roman" w:eastAsia="Times New Roman" w:hAnsi="Times New Roman"/>
          <w:sz w:val="19"/>
          <w:szCs w:val="19"/>
          <w:color w:val="auto"/>
        </w:rPr>
        <w:t>In order to succeed in executing our business plan, we will need to manage our growth effectively as we make significant investments in research and development and sales and marketing, and expand our operations and infrastructure both</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9880"/>
          </w:cols>
          <w:pgMar w:left="1180" w:top="850" w:right="1180" w:bottom="0" w:gutter="0" w:footer="0" w:header="0"/>
        </w:sectPr>
      </w:pPr>
    </w:p>
    <w:bookmarkStart w:id="28" w:name="page29"/>
    <w:bookmarkEnd w:id="28"/>
    <w:p>
      <w:pPr>
        <w:ind w:right="380"/>
        <w:spacing w:after="0" w:line="282" w:lineRule="auto"/>
        <w:rPr>
          <w:sz w:val="20"/>
          <w:szCs w:val="20"/>
          <w:color w:val="auto"/>
        </w:rPr>
      </w:pPr>
      <w:r>
        <w:rPr>
          <w:rFonts w:ascii="Times New Roman" w:cs="Times New Roman" w:eastAsia="Times New Roman" w:hAnsi="Times New Roman"/>
          <w:sz w:val="20"/>
          <w:szCs w:val="20"/>
          <w:color w:val="auto"/>
        </w:rPr>
        <w:t>domestically and internationally. If our revenue does not increase to offset these increases in our expenses, we may not achieve or maintain profitability in future periods.</w:t>
      </w:r>
    </w:p>
    <w:p>
      <w:pPr>
        <w:spacing w:after="0" w:line="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Precision Timing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8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7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Prior to purchasing our Precision Timing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85"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provide a lifetime warranty on our products and may be subject to warranty or product liability claims, which could result in unexpected expenses and loss of market share.</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provide a limited lifetime warranty on our products and generally agree to indemnify our customers for defects in our products or failure of our products to meet our product specifications. Defects in our products could make our products unsafe and create a risk of property damage or personal injury. These risks may increase where our products are incorporated into specialized end products in industries such as automotive, aerospace, defense, and medical device.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Our Precision Timing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87"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Defects in our products or failures to meet product specifications could harm our relationships with our customers and damage our reputation.</w:t>
      </w:r>
    </w:p>
    <w:p>
      <w:pPr>
        <w:spacing w:after="0" w:line="5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color w:val="auto"/>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9880"/>
          </w:cols>
          <w:pgMar w:left="1180" w:top="856" w:right="1180" w:bottom="0" w:gutter="0" w:footer="0" w:header="0"/>
        </w:sectPr>
      </w:pPr>
    </w:p>
    <w:bookmarkStart w:id="29" w:name="page30"/>
    <w:bookmarkEnd w:id="29"/>
    <w:p>
      <w:pPr>
        <w:ind w:right="380"/>
        <w:spacing w:after="0" w:line="282" w:lineRule="auto"/>
        <w:rPr>
          <w:sz w:val="20"/>
          <w:szCs w:val="20"/>
          <w:color w:val="auto"/>
        </w:rPr>
      </w:pPr>
      <w:r>
        <w:rPr>
          <w:rFonts w:ascii="Times New Roman" w:cs="Times New Roman" w:eastAsia="Times New Roman" w:hAnsi="Times New Roman"/>
          <w:sz w:val="20"/>
          <w:szCs w:val="20"/>
          <w:color w:val="auto"/>
        </w:rPr>
        <w:t>contract damage claims from our customers, and our reputation, business, financial condition, and results of operations may be adversely affected.</w:t>
      </w:r>
    </w:p>
    <w:p>
      <w:pPr>
        <w:spacing w:after="0" w:line="6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9"/>
          <w:szCs w:val="19"/>
          <w:color w:val="auto"/>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spacing w:after="0" w:line="63"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We operate in industries characterized by rapidly changing and evolving technologies such as AI, as well as technological obsolescence. The introduction of new products by our competitors, the delay or cancellation of any of our customers’ product offerings for which our Precision Timing solutions are designed, the market acceptance of products based on new or alternative technologies, or the emergence of new industry standards could render our existing or future products uncompetitive, obsolete, and otherwise unmarketable. Our failure to anticipate or develop new or enhanced products or technologies in a timely manner in response to changing market demand, whether due to technological shifts or otherwise, could result in the loss of customers and decreased revenue and have an adverse effect on our business, financial condition, and results of operations.</w:t>
      </w:r>
    </w:p>
    <w:p>
      <w:pPr>
        <w:spacing w:after="0" w:line="79"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Our ability to compete in the future will depend on our ability to identify and ensure compliance with evolving industry standards in our target markets, as well as in the timing semiconductor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unable to make the substantial investments that are required to remain competitive in our business.</w:t>
      </w:r>
    </w:p>
    <w:p>
      <w:pPr>
        <w:spacing w:after="0" w:line="136"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68"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compete effectively, we may lose or fail to gain market share, which could negatively impact our operating results and our business.</w:t>
      </w:r>
    </w:p>
    <w:p>
      <w:pPr>
        <w:spacing w:after="0" w:line="5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auto"/>
        </w:rPr>
        <w:t>The global semiconductor market in general, and the timing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In addition, companies that we compete with may implement AI strategies for products and services. As a result, they may be more successful in their AI strategy and develop superior products and services with the aid of AI. Our competitors range from large, international companies offering a wide range of timing products to smaller companies, including start-ups, specializing in narrow market verticals. Companies that we primarily compete with include, but are not limited to, Abracon LLC, Daishinku Corp., Diodes Incorporated, Kyocera Corporation, Microchip Technology Inc., Murata Manufacturing Co., Ltd., Nihon Dempa Kogyo Co., Ltd., Rakon Limited, Renesas Electronics Corporation, Seiko Epson Corporation, Skyworks Solutions, Inc., Texas Instruments Incorporated, and TXC Corporation. We expect competition in our current markets to</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9880"/>
          </w:cols>
          <w:pgMar w:left="1180" w:top="856" w:right="1180" w:bottom="0" w:gutter="0" w:footer="0" w:header="0"/>
        </w:sectPr>
      </w:pPr>
    </w:p>
    <w:bookmarkStart w:id="30" w:name="page31"/>
    <w:bookmarkEnd w:id="30"/>
    <w:p>
      <w:pPr>
        <w:ind w:right="100"/>
        <w:spacing w:after="0" w:line="258" w:lineRule="auto"/>
        <w:rPr>
          <w:sz w:val="20"/>
          <w:szCs w:val="20"/>
          <w:color w:val="auto"/>
        </w:rPr>
      </w:pPr>
      <w:r>
        <w:rPr>
          <w:rFonts w:ascii="Times New Roman" w:cs="Times New Roman" w:eastAsia="Times New Roman" w:hAnsi="Times New Roman"/>
          <w:sz w:val="20"/>
          <w:szCs w:val="20"/>
          <w:color w:val="auto"/>
        </w:rPr>
        <w:t>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8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Our ability to compete successfully will depend on a number of factors, including:</w:t>
      </w:r>
    </w:p>
    <w:p>
      <w:pPr>
        <w:spacing w:after="0" w:line="89" w:lineRule="exact"/>
        <w:rPr>
          <w:sz w:val="20"/>
          <w:szCs w:val="20"/>
          <w:color w:val="auto"/>
        </w:rPr>
      </w:pPr>
    </w:p>
    <w:p>
      <w:pPr>
        <w:ind w:left="2600" w:right="460" w:hanging="1350"/>
        <w:spacing w:after="0" w:line="266" w:lineRule="auto"/>
        <w:tabs>
          <w:tab w:leader="none" w:pos="26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define, design, and regularly introduce new products that anticipate the functionality and integration needs of our customers’ next-generation products and applications;</w:t>
      </w:r>
    </w:p>
    <w:p>
      <w:pPr>
        <w:spacing w:after="0" w:line="75" w:lineRule="exact"/>
        <w:rPr>
          <w:rFonts w:ascii="Times New Roman" w:cs="Times New Roman" w:eastAsia="Times New Roman" w:hAnsi="Times New Roman"/>
          <w:sz w:val="20"/>
          <w:szCs w:val="20"/>
          <w:color w:val="auto"/>
        </w:rPr>
      </w:pPr>
    </w:p>
    <w:p>
      <w:pPr>
        <w:ind w:left="2600" w:right="380" w:hanging="1350"/>
        <w:spacing w:after="0" w:line="282" w:lineRule="auto"/>
        <w:tabs>
          <w:tab w:leader="none" w:pos="26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build strong and long-lasting relationships with our customers and other industry participants;</w:t>
      </w:r>
    </w:p>
    <w:p>
      <w:pPr>
        <w:spacing w:after="0" w:line="59" w:lineRule="exact"/>
        <w:rPr>
          <w:rFonts w:ascii="Times New Roman" w:cs="Times New Roman" w:eastAsia="Times New Roman" w:hAnsi="Times New Roman"/>
          <w:sz w:val="20"/>
          <w:szCs w:val="20"/>
          <w:color w:val="auto"/>
        </w:rPr>
      </w:pPr>
    </w:p>
    <w:p>
      <w:pPr>
        <w:ind w:left="2600" w:right="240" w:hanging="1350"/>
        <w:spacing w:after="0" w:line="282" w:lineRule="auto"/>
        <w:tabs>
          <w:tab w:leader="none" w:pos="26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capitalize on, and prevent losses due to, vertical integration by significant customers;</w:t>
      </w:r>
    </w:p>
    <w:p>
      <w:pPr>
        <w:spacing w:after="0" w:line="53"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solutions’ performance and cost-effectiveness relative to those of competing products;</w:t>
      </w:r>
    </w:p>
    <w:p>
      <w:pPr>
        <w:spacing w:after="0" w:line="147" w:lineRule="exact"/>
        <w:rPr>
          <w:rFonts w:ascii="Times New Roman" w:cs="Times New Roman" w:eastAsia="Times New Roman" w:hAnsi="Times New Roman"/>
          <w:sz w:val="19"/>
          <w:szCs w:val="19"/>
          <w:color w:val="auto"/>
        </w:rPr>
      </w:pPr>
    </w:p>
    <w:p>
      <w:pPr>
        <w:ind w:left="2600" w:hanging="1350"/>
        <w:spacing w:after="0"/>
        <w:tabs>
          <w:tab w:leader="none" w:pos="26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achieve design wins;</w:t>
      </w:r>
    </w:p>
    <w:p>
      <w:pPr>
        <w:spacing w:after="0" w:line="124" w:lineRule="exact"/>
        <w:rPr>
          <w:rFonts w:ascii="Times New Roman" w:cs="Times New Roman" w:eastAsia="Times New Roman" w:hAnsi="Times New Roman"/>
          <w:sz w:val="20"/>
          <w:szCs w:val="20"/>
          <w:color w:val="auto"/>
        </w:rPr>
      </w:pPr>
    </w:p>
    <w:p>
      <w:pPr>
        <w:ind w:left="2600" w:right="340" w:hanging="1350"/>
        <w:spacing w:after="0" w:line="288" w:lineRule="auto"/>
        <w:tabs>
          <w:tab w:leader="none" w:pos="26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and success of our customers’ products utilizing our solutions within their competitive end markets;</w:t>
      </w:r>
    </w:p>
    <w:p>
      <w:pPr>
        <w:spacing w:after="0" w:line="54" w:lineRule="exact"/>
        <w:rPr>
          <w:rFonts w:ascii="Times New Roman" w:cs="Times New Roman" w:eastAsia="Times New Roman" w:hAnsi="Times New Roman"/>
          <w:sz w:val="20"/>
          <w:szCs w:val="20"/>
          <w:color w:val="auto"/>
        </w:rPr>
      </w:pPr>
    </w:p>
    <w:p>
      <w:pPr>
        <w:ind w:left="2600" w:right="240" w:hanging="1350"/>
        <w:spacing w:after="0" w:line="282" w:lineRule="auto"/>
        <w:tabs>
          <w:tab w:leader="none" w:pos="26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research and development capabilities to provide innovative solutions and maintain our product roadmap;</w:t>
      </w:r>
    </w:p>
    <w:p>
      <w:pPr>
        <w:spacing w:after="0" w:line="59" w:lineRule="exact"/>
        <w:rPr>
          <w:rFonts w:ascii="Times New Roman" w:cs="Times New Roman" w:eastAsia="Times New Roman" w:hAnsi="Times New Roman"/>
          <w:sz w:val="20"/>
          <w:szCs w:val="20"/>
          <w:color w:val="auto"/>
        </w:rPr>
      </w:pPr>
    </w:p>
    <w:p>
      <w:pPr>
        <w:ind w:left="2600" w:right="20" w:hanging="1350"/>
        <w:spacing w:after="0" w:line="282" w:lineRule="auto"/>
        <w:tabs>
          <w:tab w:leader="none" w:pos="26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strength of our sales and marketing efforts, including those of our distributors, and our brand awareness and reputation;</w:t>
      </w:r>
    </w:p>
    <w:p>
      <w:pPr>
        <w:spacing w:after="0" w:line="59" w:lineRule="exact"/>
        <w:rPr>
          <w:rFonts w:ascii="Times New Roman" w:cs="Times New Roman" w:eastAsia="Times New Roman" w:hAnsi="Times New Roman"/>
          <w:sz w:val="20"/>
          <w:szCs w:val="20"/>
          <w:color w:val="auto"/>
        </w:rPr>
      </w:pPr>
    </w:p>
    <w:p>
      <w:pPr>
        <w:ind w:left="2600" w:right="80" w:hanging="1350"/>
        <w:spacing w:after="0" w:line="282" w:lineRule="auto"/>
        <w:tabs>
          <w:tab w:leader="none" w:pos="26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secure capacity with our foundry and assembly partners to manufacture and assemble our products;</w:t>
      </w:r>
    </w:p>
    <w:p>
      <w:pPr>
        <w:spacing w:after="0" w:line="59"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deliver products in volume on a timely basis at competitive prices;</w:t>
      </w:r>
    </w:p>
    <w:p>
      <w:pPr>
        <w:spacing w:after="0" w:line="130"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withstand or respond to significant price competition;</w:t>
      </w:r>
    </w:p>
    <w:p>
      <w:pPr>
        <w:spacing w:after="0" w:line="130"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build and expand international operations in a cost-effective manner;</w:t>
      </w:r>
    </w:p>
    <w:p>
      <w:pPr>
        <w:spacing w:after="0" w:line="130" w:lineRule="exact"/>
        <w:rPr>
          <w:rFonts w:ascii="Times New Roman" w:cs="Times New Roman" w:eastAsia="Times New Roman" w:hAnsi="Times New Roman"/>
          <w:sz w:val="20"/>
          <w:szCs w:val="20"/>
          <w:color w:val="auto"/>
        </w:rPr>
      </w:pPr>
    </w:p>
    <w:p>
      <w:pPr>
        <w:ind w:left="2600" w:hanging="1350"/>
        <w:spacing w:after="0" w:line="266" w:lineRule="auto"/>
        <w:tabs>
          <w:tab w:leader="none" w:pos="26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maintain, protect, and enforce our intellectual property rights, including obtaining intellectual property rights from third-parties that may be necessary to meet the evolving demands of the market;</w:t>
      </w:r>
    </w:p>
    <w:p>
      <w:pPr>
        <w:spacing w:after="0" w:line="75"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defend potential patent infringement claims arising from third-parties;</w:t>
      </w:r>
    </w:p>
    <w:p>
      <w:pPr>
        <w:spacing w:after="0" w:line="124" w:lineRule="exact"/>
        <w:rPr>
          <w:rFonts w:ascii="Times New Roman" w:cs="Times New Roman" w:eastAsia="Times New Roman" w:hAnsi="Times New Roman"/>
          <w:sz w:val="20"/>
          <w:szCs w:val="20"/>
          <w:color w:val="auto"/>
        </w:rPr>
      </w:pPr>
    </w:p>
    <w:p>
      <w:pPr>
        <w:ind w:left="2600" w:right="40" w:hanging="1350"/>
        <w:spacing w:after="0" w:line="288" w:lineRule="auto"/>
        <w:tabs>
          <w:tab w:leader="none" w:pos="26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promote and support our customers’ incorporation of our solutions into their products; and</w:t>
      </w:r>
    </w:p>
    <w:p>
      <w:pPr>
        <w:spacing w:after="0" w:line="54"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high-level talent, including our management team and engineers.</w:t>
      </w:r>
    </w:p>
    <w:p>
      <w:pPr>
        <w:spacing w:after="0" w:line="13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spacing w:after="0" w:line="83"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54" w:lineRule="exact"/>
        <w:rPr>
          <w:sz w:val="20"/>
          <w:szCs w:val="20"/>
          <w:color w:val="auto"/>
        </w:rPr>
      </w:pPr>
    </w:p>
    <w:p>
      <w:pPr>
        <w:ind w:right="40"/>
        <w:spacing w:after="0" w:line="309" w:lineRule="auto"/>
        <w:rPr>
          <w:sz w:val="20"/>
          <w:szCs w:val="20"/>
          <w:color w:val="auto"/>
        </w:rPr>
      </w:pPr>
      <w:r>
        <w:rPr>
          <w:rFonts w:ascii="Times New Roman" w:cs="Times New Roman" w:eastAsia="Times New Roman" w:hAnsi="Times New Roman"/>
          <w:sz w:val="19"/>
          <w:szCs w:val="19"/>
          <w:color w:val="auto"/>
        </w:rPr>
        <w:t>Our success depends largely upon the continued services of our executive officers and other highly skilled key employees, including in engineering, product development, operations, sales, and marketing. From time to time, there may be changes</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9820"/>
          </w:cols>
          <w:pgMar w:left="1180" w:top="856" w:right="1240" w:bottom="0" w:gutter="0" w:footer="0" w:header="0"/>
        </w:sectPr>
      </w:pPr>
    </w:p>
    <w:bookmarkStart w:id="31" w:name="page32"/>
    <w:bookmarkEnd w:id="31"/>
    <w:p>
      <w:pPr>
        <w:ind w:right="20"/>
        <w:spacing w:after="0" w:line="258" w:lineRule="auto"/>
        <w:rPr>
          <w:sz w:val="20"/>
          <w:szCs w:val="20"/>
          <w:color w:val="auto"/>
        </w:rPr>
      </w:pPr>
      <w:r>
        <w:rPr>
          <w:rFonts w:ascii="Times New Roman" w:cs="Times New Roman" w:eastAsia="Times New Roman" w:hAnsi="Times New Roman"/>
          <w:sz w:val="20"/>
          <w:szCs w:val="20"/>
          <w:color w:val="auto"/>
        </w:rPr>
        <w:t>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including due to adverse business conditions, could have an adverse effect on our business.</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In addition, to execute our growth plan, we must attract and retain highly qualified personnel. Competition for these personnel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88"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company culture has contributed to our success and if we cannot maintain this culture, our business could be harmed.</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20"/>
          <w:szCs w:val="20"/>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60" w:lineRule="exact"/>
        <w:rPr>
          <w:sz w:val="20"/>
          <w:szCs w:val="20"/>
          <w:color w:val="auto"/>
        </w:rPr>
      </w:pPr>
    </w:p>
    <w:p>
      <w:pPr>
        <w:ind w:left="2600" w:right="60" w:hanging="1350"/>
        <w:spacing w:after="0" w:line="282" w:lineRule="auto"/>
        <w:tabs>
          <w:tab w:leader="none" w:pos="26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failure to identify, attract, reward, and retain people in leadership positions in our organization who share and further our culture, values, and mission;</w:t>
      </w:r>
    </w:p>
    <w:p>
      <w:pPr>
        <w:spacing w:after="0" w:line="59"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increasing size and geographic diversity of our workforce;</w:t>
      </w:r>
    </w:p>
    <w:p>
      <w:pPr>
        <w:spacing w:after="0" w:line="130" w:lineRule="exact"/>
        <w:rPr>
          <w:rFonts w:ascii="Times New Roman" w:cs="Times New Roman" w:eastAsia="Times New Roman" w:hAnsi="Times New Roman"/>
          <w:sz w:val="20"/>
          <w:szCs w:val="20"/>
          <w:color w:val="auto"/>
        </w:rPr>
      </w:pPr>
    </w:p>
    <w:p>
      <w:pPr>
        <w:ind w:left="2600" w:right="240" w:hanging="1350"/>
        <w:spacing w:after="0" w:line="282" w:lineRule="auto"/>
        <w:tabs>
          <w:tab w:leader="none" w:pos="26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competitive pressures to move in directions that may divert us from our mission, vision, and values;</w:t>
      </w:r>
    </w:p>
    <w:p>
      <w:pPr>
        <w:spacing w:after="0" w:line="59"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continued challenges of a rapidly-evolving industry; and</w:t>
      </w:r>
    </w:p>
    <w:p>
      <w:pPr>
        <w:spacing w:after="0" w:line="130" w:lineRule="exact"/>
        <w:rPr>
          <w:rFonts w:ascii="Times New Roman" w:cs="Times New Roman" w:eastAsia="Times New Roman" w:hAnsi="Times New Roman"/>
          <w:sz w:val="20"/>
          <w:szCs w:val="20"/>
          <w:color w:val="auto"/>
        </w:rPr>
      </w:pPr>
    </w:p>
    <w:p>
      <w:pPr>
        <w:ind w:left="2600" w:hanging="1350"/>
        <w:spacing w:after="0"/>
        <w:tabs>
          <w:tab w:leader="none" w:pos="26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increasing need to develop expertise in new areas of business that affect us.</w:t>
      </w:r>
    </w:p>
    <w:p>
      <w:pPr>
        <w:spacing w:after="0" w:line="13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20"/>
          <w:szCs w:val="20"/>
          <w:color w:val="auto"/>
        </w:rPr>
        <w:t>If we are not able to maintain our culture, our business, financial condition, and results of operations could be adversely affected.</w:t>
      </w:r>
    </w:p>
    <w:p>
      <w:pPr>
        <w:spacing w:after="0" w:line="54"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acquisition of certain assets and an exclusive license to certain intellectual property of Aura involves a number of risks.</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On December 1, 2023, we closed the acquisition of certain assets and an exclusive license to certain intellectual property of Aura. The payment obligations in connection with the acquisition have and will continue to reduce our liquidity, and may limit our flexibility in responding to other business opportunities, as well as increase our vulnerability to adverse economic and industry conditions.</w:t>
      </w:r>
    </w:p>
    <w:p>
      <w:pPr>
        <w:spacing w:after="0" w:line="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entered into the transaction with Aura with the expectation that the transaction would result in various benefits to us, including the expansion of our product portfolio, and growth of our business. To realize the anticipated benefits of the acquisition, the products of Aura must be successfully completed, delivered to us, and then integrated. Product completion can be complex and time consuming, and Aura may not be able to deliver the products on time or deliver products that meet the agreed specified criteria. Further, we may face significant challenges in integrating the technologies and products. If the products are not successfully completed and integrated, the anticipated benefits of the transactions may not be realized fully or may take longer to realize than expected. The acquisition may not further our business strategy as we expect and we may experience unanticipated costs or liabilities associated with the acquisition, which could adversely affect our business or operating results and potentially cause impairment to assets that we recorded as a part of the acquisition including intangible assets and goodwill. In addition, if we are unable to integrate and retain personnel that joined us as part of the transaction with Aura, we may not be able to fully capitalize on the benefits. Any of the above could decrease the benefits we expect to receive from the agreement with Aura and adversely affect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9880"/>
          </w:cols>
          <w:pgMar w:left="1180" w:top="856" w:right="1180" w:bottom="0" w:gutter="0" w:footer="0" w:header="0"/>
        </w:sectPr>
      </w:pPr>
    </w:p>
    <w:bookmarkStart w:id="32" w:name="page33"/>
    <w:bookmarkEnd w:id="32"/>
    <w:p>
      <w:pPr>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make acquisitions in the future that could disrupt our business, cause dilution to our stockholders, reduce our financial resources, and harm our business.</w:t>
      </w:r>
    </w:p>
    <w:p>
      <w:pPr>
        <w:spacing w:after="0" w:line="5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We have in the past, and may in the future, seek to acquire other businesses, products, or technologies. For example, in December 2023, we closed the acquisition of certain assets and an exclusive license to certain intellectual property of Aura. Also, on February 4, 2026, we entered into the Asset Purchase Agreement with Renesas, pursuant to which Renesas will and will cause certain of its affiliates to sell, transfer, assign and convey to SiTime all of their right, title and interest in, to and under certain assets related to the timing business of Renesas Electronics Corporation. Additionally, until the transactions contemplated by the Asset Purchase Agreement are consummated, we are subject to certain restrictions that may limit our ability to pursue other acquisitions. If the transactions contemplated by the Asset Purchase Agreement are delayed or ultimately not completed, we may lose the opportunity to pursue alternative transactions or strategic initiatives that could have enhanced stockholder value. Our ability to make such acquisitions and successfully integrate personnel, technologies, or operations of these acquired businesses is unproven. If we complete acquisitions, we may not achieve the combined revenue, cost synergies, or other benefits from the acquisition that we anticipate, strengthen our competitive position, or achieve our other strategic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cause us to forgo other potential transactions or internal projects,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 Further, acquisitions may result in charges such as acquisition-related expenses, write-offs, restructuring charges, or future impairment of goodwill, as well as contingent liabilities, adverse tax consequences, additional share-based compensation expense, and other charges that could adversely affect our results of operations.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These transactions, including the Acquisition, or parts of any such transactions, may fail to be completed due to factors such as: failure to obtain regulatory or other required approvals, disputes or litigation, or difficulties obtaining financing for the transaction. Even if we fail to complete an acquisition, we may have incurred significant expenses in connection with such transaction and the failure to complete a pending acquisition may result in negative publicity and a negative perception of us among the investment community.</w:t>
      </w:r>
    </w:p>
    <w:p>
      <w:pPr>
        <w:spacing w:after="0" w:line="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20"/>
          <w:szCs w:val="20"/>
          <w:color w:val="auto"/>
        </w:rPr>
        <w:t>For the foregoing reasons, pursuit of an acquisition of other businesses, products, or technologies could adversely impact our business, financial condition, and results of operations.</w:t>
      </w:r>
    </w:p>
    <w:p>
      <w:pPr>
        <w:spacing w:after="0" w:line="54"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If the foundries with which we contract do not achieve satisfactory yields or quality, our reputation and customer relationships could be harmed.</w:t>
      </w:r>
    </w:p>
    <w:p>
      <w:pPr>
        <w:spacing w:after="0" w:line="5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9860"/>
          </w:cols>
          <w:pgMar w:left="1180" w:top="850" w:right="1200" w:bottom="0" w:gutter="0" w:footer="0" w:header="0"/>
        </w:sectPr>
      </w:pPr>
    </w:p>
    <w:bookmarkStart w:id="33" w:name="page34"/>
    <w:bookmarkEnd w:id="33"/>
    <w:p>
      <w:pPr>
        <w:ind w:right="5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Raw material and engineered material availability and price fluctuations have in the past and may in the future increase the cost of our products, impact our ability to meet customer commitments, and may adversely affect our results of operations.</w:t>
      </w:r>
    </w:p>
    <w:p>
      <w:pPr>
        <w:spacing w:after="0" w:line="7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limited or delayed availability, or price increases 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spacing w:after="0" w:line="90"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9"/>
          <w:szCs w:val="19"/>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62"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We develop many of our Precision Timing solutions for applications in systems that are driven by industry and technology leaders in the communications and computing markets. We work with distributors,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Precision Timing solutions could become less desirable to our customers, our sales could suffer and our competitive position could be harmed.</w:t>
      </w:r>
    </w:p>
    <w:p>
      <w:pPr>
        <w:spacing w:after="0" w:line="82"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5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Based on our review of our customers annually and as of December 31, 2025, substantially all of which are large distributors, OEMs, and system manufacturers, we had $0.1 million in allowance for credit losses as of December 31, 2025 and December 31, 2024. However, if our credit losses, were to exceed our current or future allowance for credit losses, our business, financial condition, and results of operations would be adversely affected.</w:t>
      </w:r>
    </w:p>
    <w:p>
      <w:pPr>
        <w:spacing w:after="0" w:line="8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accurately predict our future capital needs, and we may not be able to obtain additional financing to fund our operations.</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may need to raise additional funds in the future. For example, on February 4, 2026, in connection with the Acquisition, we entered into the Commitment Letter with Wells Fargo pursuant to which Wells Fargo has committed to provide us with debt financing to fund a portion of the Cash Consideration in the form of the Bridge Facility. These required or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85"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20"/>
          <w:szCs w:val="20"/>
          <w:b w:val="1"/>
          <w:bCs w:val="1"/>
          <w:i w:val="1"/>
          <w:iCs w:val="1"/>
          <w:color w:val="auto"/>
        </w:rPr>
        <w:t>Our cash and cash equivalents could be adversely affected if the financial institutions in which we hold our cash and cash equivalents fail.</w:t>
      </w:r>
    </w:p>
    <w:p>
      <w:pPr>
        <w:spacing w:after="0" w:line="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We regularly maintain cash balances at third-party financial institutions in excess of the Federal Deposit Insurance Corporation (“FDIC”) insurance limit. If a depository institution fails to return our deposits or if a depository institution is subject to other adverse conditions in the financial or credit markets, there is no guarantee that the U.S. Department of</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9880"/>
          </w:cols>
          <w:pgMar w:left="1180" w:top="850" w:right="1180" w:bottom="0" w:gutter="0" w:footer="0" w:header="0"/>
        </w:sectPr>
      </w:pPr>
    </w:p>
    <w:bookmarkStart w:id="34" w:name="page35"/>
    <w:bookmarkEnd w:id="34"/>
    <w:p>
      <w:pPr>
        <w:ind w:right="40"/>
        <w:spacing w:after="0" w:line="282" w:lineRule="auto"/>
        <w:rPr>
          <w:sz w:val="20"/>
          <w:szCs w:val="20"/>
          <w:color w:val="auto"/>
        </w:rPr>
      </w:pPr>
      <w:r>
        <w:rPr>
          <w:rFonts w:ascii="Times New Roman" w:cs="Times New Roman" w:eastAsia="Times New Roman" w:hAnsi="Times New Roman"/>
          <w:sz w:val="20"/>
          <w:szCs w:val="20"/>
          <w:color w:val="auto"/>
        </w:rPr>
        <w:t>Treasury, FDIC or Federal Reserve Board will provide access to uninsured deposits, which could restrict access to our cash or cash equivalents and could adversely impact our operating liquidity, financial condition, and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seek, or be required to seek, debt financing.</w:t>
      </w:r>
    </w:p>
    <w:p>
      <w:pPr>
        <w:spacing w:after="0" w:line="13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We may seek, or be required to seek, debt financing. For example, on February 4, 2026, in connection with the Acquisition, we entered into the Commitment Letter with Wells Fargo, pursuant to which Wells Fargo has committed to provide us with debt financing to fund a portion of the Cash Consideration in the form of the Bridge Facility. These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spacing w:after="0" w:line="80"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comply with the laws associated with our activities outside of the United States could subject us to penalties and other adverse consequences.</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79"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government regulation, including import, export and economic sanctions laws and regulations that may expose us to liability and increase our costs.</w:t>
      </w:r>
    </w:p>
    <w:p>
      <w:pPr>
        <w:spacing w:after="0" w:line="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These laws and regulations are continuously and rapidly evolving, and the scope and interpretation of the laws and regulations that are or may be applicable to us are often uncertain and may be conflicting.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88"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internal control over financial reporting may not prevent or detect misstatements because of its inherent limitations, including the possibility of human error, failure or interruption of information technology systems, the circumvention or overriding of controls, or fraud.</w:t>
      </w:r>
    </w:p>
    <w:p>
      <w:pPr>
        <w:spacing w:after="0" w:line="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9880"/>
          </w:cols>
          <w:pgMar w:left="1180" w:top="856" w:right="1180" w:bottom="0" w:gutter="0" w:footer="0" w:header="0"/>
        </w:sectPr>
      </w:pPr>
    </w:p>
    <w:bookmarkStart w:id="35" w:name="page36"/>
    <w:bookmarkEnd w:id="35"/>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Changes in environmental laws or regulations, as well as sustainability initiatives, could impose substantial costs and may adversely affect our business.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Our product or manufacturing standards could be impacted by new or revised environmental rules and regulations or other social initiatives. For example, a significant portion of our revenue comes from international sales. Environmental laws or regulations in those countries or in the countries of our end customers may increase our cost of doing business and adversely affect our business and results of operations.</w:t>
      </w:r>
    </w:p>
    <w:p>
      <w:pPr>
        <w:spacing w:after="0" w:line="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Many customers, regulators, investors, employees, and other stakeholders are focusing on sustainability matters. While we have certain sustainability initiatives, there is no assurance that customers, regulators, investors, and employees will determine that these programs are sufficient. Any actual or perceived shortcomings with respect to our sustainability initiatives and reporting can impact our ability to retain certain customers or increase our customer base, reelect our board of directors, attract and retain certain types of investors, or hire and retain employees. Collecting, measuring, and reporting sustainability information and metrics can be costly, difficult and time consuming, is subject to evolving reporting standards, and can present numerous operational, reputational, financial, legal, and other risks, any of which could adversely affect our business as well as on our reputation and stock price.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or future changes to U.S. and non-U.S. tax laws could materially adversely affect us.</w:t>
      </w:r>
    </w:p>
    <w:p>
      <w:pPr>
        <w:spacing w:after="0" w:line="13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fail to comply with government contracting regulations, we could suffer a loss of revenue or other penalties.</w:t>
      </w:r>
    </w:p>
    <w:p>
      <w:pPr>
        <w:spacing w:after="0" w:line="13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Some of our revenue is derived from contracts with agencies of the U.S. government and subcontracts with its prime contractors. As a result, we are subject to federal contracting regulations, including the Federal Acquisition Regulations. In connection with our business with the U.S. government, we are also subject to audits and review and approval of our policies, procedures, and internal controls for compliance with procurement regulations and applicable laws.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which could have an adverse effect on our business.</w:t>
      </w:r>
    </w:p>
    <w:p>
      <w:pPr>
        <w:spacing w:after="0" w:line="79"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A tax authority may disagree with tax positions that we have taken. For example,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Catastrophic events may disrupt our business.</w:t>
      </w:r>
    </w:p>
    <w:p>
      <w:pPr>
        <w:spacing w:after="0" w:line="136"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9"/>
          <w:szCs w:val="19"/>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including with respect to climate change, such as fire, power loss, telecommunications failure, cyber-attack, war, terrorist</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9880"/>
          </w:cols>
          <w:pgMar w:left="1180" w:top="850" w:right="1180" w:bottom="0" w:gutter="0" w:footer="0" w:header="0"/>
        </w:sectPr>
      </w:pPr>
    </w:p>
    <w:bookmarkStart w:id="36" w:name="page37"/>
    <w:bookmarkEnd w:id="36"/>
    <w:p>
      <w:pPr>
        <w:ind w:right="240"/>
        <w:spacing w:after="0" w:line="261" w:lineRule="auto"/>
        <w:rPr>
          <w:sz w:val="20"/>
          <w:szCs w:val="20"/>
          <w:color w:val="auto"/>
        </w:rPr>
      </w:pPr>
      <w:r>
        <w:rPr>
          <w:rFonts w:ascii="Times New Roman" w:cs="Times New Roman" w:eastAsia="Times New Roman" w:hAnsi="Times New Roman"/>
          <w:sz w:val="20"/>
          <w:szCs w:val="20"/>
          <w:color w:val="auto"/>
        </w:rPr>
        <w:t>attack, political, social, or economic unrest, pandemic, epidemic, health crisis,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74"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State, federal, and foreign laws and regulations and other legal obligations related to privacy, data protection, and data security could adversely affect us.</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are subject to a variety of laws and regulations worldwide related to privacy, data protection, and data security, such as the European Union’s General Data Protection Regulation or California’s Consumer Privacy Act of 2018 and Privacy Rights Act of 2020. These laws and regulations are continuously and rapidly evolving, and the scope and interpretation of the laws and regulations that are or may be applicable to us are often uncertain and may be conflicting. As a result, these laws and regulations may be interpreted and applied in a manner inconsistent with our practices or policies and we could face fines, lawsuits, regulatory investigations, and other claims and penalties, and we could be required to fundamentally change our practices, which could adversely affect our business and operating results. Complying with such laws and regulations may be time-consuming and require additional resources, and could therefore adversely affect our business and results of operations. Any failure or perceived failure by us or our third-party service providers to comply with our privacy, data protection, or data security policies, or legal or contractual obligations, even if unfounded, may result in governmental enforcement actions, litigation, liability, or negative publicity, and could adversely affect our business, financial condition, and results of operations.</w:t>
      </w:r>
    </w:p>
    <w:p>
      <w:pPr>
        <w:spacing w:after="0" w:line="8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Security breaches, cyberattacks, and other disruptions to information technology systems owned or maintained by us or third parties, such as vendors or suppliers, could disrupt our operations, compromise the confidentiality of private customer data or our intellectual property, and adversely affect our business, reputation, operations, and financial results.</w:t>
      </w:r>
    </w:p>
    <w:p>
      <w:pPr>
        <w:spacing w:after="0" w:line="7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We rely on our information technology systems, and those of our vendors, suppliers, and customers, including hardware, software, cloud services, infrastructure, networks, and systems, for the effective operation of our business and for secure maintenance and storage of confidential data relating to our business. We also utilize AI tools for process automation and other efficiencies. The use of AI may increase vulnerability to cybersecurity risks, including through unauthorized use or misuse of AI tools or the introduction of malicious code incorporated into AI generated code. AI may also be used for certain cybersecurity attacks. Additionally, in the ordinary course of business we collect and store sensitive data, including intellectual property and proprietary business information as well as personal information of our customers and employees, in data centers and on information technology systems, including systems that may be controlled or maintained by third parties. The secure operation of these information technology systems, and the processing and maintenance of the information processed by these systems, is critical to our business operations. While we and others have implemented various controls and defenses, cybersecurity attacks and threats have continued to become more prevalent and sophisticated. These threats are constantly evolving, making it increasingly difficult to successfully defend against or implement adequate preventive measures. Geopolitical tensions or conflicts have in the past led to, and may in the future lead to, increased risk of cybersecurity attacks. Notwithstanding defensive measures, experienced programmers, hackers, state actors, or others may be able to penetrate our security controls, or those of our vendors, suppliers, or customers, through attacks such as, but not limited to, phishing or other forms of social engineering, impersonating authorized users, ransomware, spyware, viruses, worms and other malicious software programs, software supply chain attacks, exploitation of compromised commercial software, bugs and other security weaknesses and vulnerabilities, and covert introduction of malware to computers and networks. Any attack on the information technology systems of us or one of our vendors, suppliers, or customers may be difficult to detect, designed to remain dormant until a triggering event, or may continue undetected for an extended period of time. In addition, our information technology systems and those of our vendors, suppliers, and customers may be vulnerable to damage, disruptions, or shutdowns due to errors, negligence or malfeasance by employees, contractors, or others who have access to these systems.</w:t>
      </w:r>
    </w:p>
    <w:p>
      <w:pPr>
        <w:spacing w:after="0" w:line="10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Security breaches, cyberattacks, and other disruptions to our information technology systems or those of our vendors, suppliers, or customers could compromise the confidentiality, operational integrity, and accessibility of our information technology systems, or those of our vendors, suppliers, or customers, which could result in the compromise, unauthorized publication, or loss of proprietary data, intellectual property, or personal information, as well as interruptions or delays in our business operations, loss of existing or future customers, and damage to our reputation, which could adversely affect our business, reputation, and financial results. In addition, such events could result in violations of privacy or other laws, increase the risk of litigation or regulatory investigation, or cause us to incur direct losses if attackers initiate wire transfers or access our bank or investment accounts. We expect ongoing and increasing costs related to investments in technology, controls, processes, and practices; however these investments may not be sufficient to shield us from significant losses or liability in the event of security breaches, cyberattacks, or other disruptions to our information technology systems.</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9840"/>
          </w:cols>
          <w:pgMar w:left="1180" w:top="856" w:right="1220" w:bottom="0" w:gutter="0" w:footer="0" w:header="0"/>
        </w:sectPr>
      </w:pPr>
    </w:p>
    <w:bookmarkStart w:id="37" w:name="page38"/>
    <w:bookmarkEnd w:id="37"/>
    <w:p>
      <w:pPr>
        <w:ind w:right="9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may be impacted by information technology system failures or network disruptions, and lack of redundancy.</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Our ability to operate our business depends on the efficient operation of internal and third-party information technology systems, including cloud computing, data centers, hardware, software, and applications, to manage our company. We strive to use quality and secure systems, work with reputable system vendors, and implement procedures intended to enable us to protect our systems.</w:t>
      </w:r>
    </w:p>
    <w:p>
      <w:pPr>
        <w:spacing w:after="0" w:line="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Our information technology systems and operations could be damaged or interrupted due to events such as natural or human-caused disasters, extreme weather, geopolitical events and security issues, computer viruses, cybersecurity incidents, telecommunication failures, and similar events, which could adversely affect our business, financial condition, and results of operations. In addition, our information technology systems may not support new business models and applications, including with respect to AI, and significant investments may be required in order to upgrade such systems. Our systems are not fully redundant and depending on the severity of the damage or interruption, our disaster recovery plans may be inadequate or ineffective. These events could also damage our reputation, and result in increased costs or loss of sales.</w:t>
      </w:r>
    </w:p>
    <w:p>
      <w:pPr>
        <w:spacing w:after="0" w:line="79" w:lineRule="exact"/>
        <w:rPr>
          <w:sz w:val="20"/>
          <w:szCs w:val="20"/>
          <w:color w:val="auto"/>
        </w:rPr>
      </w:pPr>
    </w:p>
    <w:p>
      <w:pPr>
        <w:ind w:right="10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utilize a significant portion of our net operating loss carryforwards and research and development tax credit carryforwards.</w:t>
      </w:r>
    </w:p>
    <w:p>
      <w:pPr>
        <w:spacing w:after="0" w:line="48"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As of December 31, 2025, we had U.S. federal, state and foreign net operating loss (“NOL”) carryforwards of approximately $344.3 million, $85.1 million and $0.2 million, respectively, and U.S. federal and state research and development tax credit carryforwards of approximately $3.9 million and $3.6 million, respectively. The U.S. federal, state, and the foreign NOL carryforwards begin to expire in 2028. The U.S. federal research and development tax credit carryforwards began to expire in 2025, and the state research and development tax credit carryforwards carry forward indefinitely. These NOL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may be limited. We completed a Section 382 analysis and determined an ownership change last occurred in 2014 and concluded that it had no impact on U.S. federal and California NOLs or on U.S. federal research and development credits. Our initial public offering in November 2019 and our follow-on offering on June 27, 2025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updated the Section 382 analysis through December 31, 2025 and concluded there have not been any additional ownership changes as defined under Section 382 since the June 16, 2020 follow-on offering. We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 Under the Coronavirus Aid, Relief, and Economic Security Act, which was signed into law in 2020, an NOL from a tax year beginning in 2018, 2019 or 2020 can be carried back five years and would not be subject to the 80%-of-income limitation if they are exhausted during the five-year carryback period or during 2018, 2019 or 2020. We will not carry back any NOLs as they did not have taxable income in prior years.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128" w:lineRule="exact"/>
        <w:rPr>
          <w:sz w:val="20"/>
          <w:szCs w:val="20"/>
          <w:color w:val="auto"/>
        </w:rPr>
      </w:pPr>
    </w:p>
    <w:p>
      <w:pPr>
        <w:ind w:right="56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3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December 31, 2025, we had 147 issued U.S. patents, expiring generally between 2026 and 2043 and 50 pending U.S. patent applications (including 10 provisional applications). We also had five foreign issued patents expiring in 2036 and twelve pending foreign patent applications. Our issued patents and pending patent applications generally relate to our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9880"/>
          </w:cols>
          <w:pgMar w:left="1180" w:top="850" w:right="1180" w:bottom="0" w:gutter="0" w:footer="0" w:header="0"/>
        </w:sectPr>
      </w:pPr>
    </w:p>
    <w:bookmarkStart w:id="38" w:name="page39"/>
    <w:bookmarkEnd w:id="38"/>
    <w:p>
      <w:pPr>
        <w:spacing w:after="0" w:line="252" w:lineRule="auto"/>
        <w:rPr>
          <w:sz w:val="20"/>
          <w:szCs w:val="20"/>
          <w:color w:val="auto"/>
        </w:rPr>
      </w:pPr>
      <w:r>
        <w:rPr>
          <w:rFonts w:ascii="Times New Roman" w:cs="Times New Roman" w:eastAsia="Times New Roman" w:hAnsi="Times New Roman"/>
          <w:sz w:val="20"/>
          <w:szCs w:val="20"/>
          <w:color w:val="auto"/>
        </w:rPr>
        <w:t>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may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9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20"/>
          <w:szCs w:val="20"/>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80"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20"/>
          <w:szCs w:val="20"/>
          <w:color w:val="auto"/>
        </w:rPr>
        <w:t>We also have a license to certain patents from Bosch relating to the design and manufacture of MEMS-based timing applications. The patent rights obtained under the license agreement expire between 2026 and 2029, and the license agreement expires upon expiration of the last patent licensed under the agreement. We do not believe there will be any significant impact upon expiration of these patents.</w:t>
      </w:r>
    </w:p>
    <w:p>
      <w:pPr>
        <w:spacing w:after="0" w:line="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7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9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79"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7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9880"/>
          </w:cols>
          <w:pgMar w:left="1180" w:top="856" w:right="1180" w:bottom="0" w:gutter="0" w:footer="0" w:header="0"/>
        </w:sectPr>
      </w:pPr>
    </w:p>
    <w:bookmarkStart w:id="39" w:name="page40"/>
    <w:bookmarkEnd w:id="39"/>
    <w:p>
      <w:pPr>
        <w:ind w:right="40"/>
        <w:spacing w:after="0" w:line="258" w:lineRule="auto"/>
        <w:rPr>
          <w:sz w:val="20"/>
          <w:szCs w:val="20"/>
          <w:color w:val="auto"/>
        </w:rPr>
      </w:pPr>
      <w:r>
        <w:rPr>
          <w:rFonts w:ascii="Times New Roman" w:cs="Times New Roman" w:eastAsia="Times New Roman" w:hAnsi="Times New Roman"/>
          <w:sz w:val="20"/>
          <w:szCs w:val="20"/>
          <w:color w:val="auto"/>
        </w:rPr>
        <w:t>are important to our business.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9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80" w:lineRule="exact"/>
        <w:rPr>
          <w:sz w:val="20"/>
          <w:szCs w:val="20"/>
          <w:color w:val="auto"/>
        </w:rPr>
      </w:pPr>
    </w:p>
    <w:p>
      <w:pPr>
        <w:ind w:left="2520" w:hanging="1270"/>
        <w:spacing w:after="0"/>
        <w:tabs>
          <w:tab w:leader="none" w:pos="25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cease the manufacture, use or sale of the applicable products, processes, or technology;</w:t>
      </w:r>
    </w:p>
    <w:p>
      <w:pPr>
        <w:spacing w:after="0" w:line="130" w:lineRule="exact"/>
        <w:rPr>
          <w:rFonts w:ascii="Times New Roman" w:cs="Times New Roman" w:eastAsia="Times New Roman" w:hAnsi="Times New Roman"/>
          <w:sz w:val="20"/>
          <w:szCs w:val="20"/>
          <w:color w:val="auto"/>
        </w:rPr>
      </w:pPr>
    </w:p>
    <w:p>
      <w:pPr>
        <w:ind w:left="2520" w:hanging="1270"/>
        <w:spacing w:after="0"/>
        <w:tabs>
          <w:tab w:leader="none" w:pos="25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substantial damages for infringement by us or our customers;</w:t>
      </w:r>
    </w:p>
    <w:p>
      <w:pPr>
        <w:spacing w:after="0" w:line="130" w:lineRule="exact"/>
        <w:rPr>
          <w:rFonts w:ascii="Times New Roman" w:cs="Times New Roman" w:eastAsia="Times New Roman" w:hAnsi="Times New Roman"/>
          <w:sz w:val="20"/>
          <w:szCs w:val="20"/>
          <w:color w:val="auto"/>
        </w:rPr>
      </w:pPr>
    </w:p>
    <w:p>
      <w:pPr>
        <w:ind w:left="2520" w:right="140" w:hanging="1270"/>
        <w:spacing w:after="0" w:line="282" w:lineRule="auto"/>
        <w:tabs>
          <w:tab w:leader="none" w:pos="25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expend significant resources to develop non-infringing products, processes, or technology, which may not be successful;</w:t>
      </w:r>
    </w:p>
    <w:p>
      <w:pPr>
        <w:spacing w:after="0" w:line="59" w:lineRule="exact"/>
        <w:rPr>
          <w:rFonts w:ascii="Times New Roman" w:cs="Times New Roman" w:eastAsia="Times New Roman" w:hAnsi="Times New Roman"/>
          <w:sz w:val="20"/>
          <w:szCs w:val="20"/>
          <w:color w:val="auto"/>
        </w:rPr>
      </w:pPr>
    </w:p>
    <w:p>
      <w:pPr>
        <w:ind w:left="2520" w:right="260" w:hanging="1270"/>
        <w:spacing w:after="0" w:line="282" w:lineRule="auto"/>
        <w:tabs>
          <w:tab w:leader="none" w:pos="25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license technology from the third-party claiming infringement, which license may not be available on commercially reasonable terms, or at all;</w:t>
      </w:r>
    </w:p>
    <w:p>
      <w:pPr>
        <w:spacing w:after="0" w:line="59" w:lineRule="exact"/>
        <w:rPr>
          <w:rFonts w:ascii="Times New Roman" w:cs="Times New Roman" w:eastAsia="Times New Roman" w:hAnsi="Times New Roman"/>
          <w:sz w:val="20"/>
          <w:szCs w:val="20"/>
          <w:color w:val="auto"/>
        </w:rPr>
      </w:pPr>
    </w:p>
    <w:p>
      <w:pPr>
        <w:ind w:left="2520" w:right="80" w:hanging="1270"/>
        <w:spacing w:after="0" w:line="282" w:lineRule="auto"/>
        <w:tabs>
          <w:tab w:leader="none" w:pos="25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cross-license our technology to a competitor to resolve an infringement claim, which could weaken our ability to compete with that competitor;</w:t>
      </w:r>
    </w:p>
    <w:p>
      <w:pPr>
        <w:spacing w:after="0" w:line="59" w:lineRule="exact"/>
        <w:rPr>
          <w:rFonts w:ascii="Times New Roman" w:cs="Times New Roman" w:eastAsia="Times New Roman" w:hAnsi="Times New Roman"/>
          <w:sz w:val="20"/>
          <w:szCs w:val="20"/>
          <w:color w:val="auto"/>
        </w:rPr>
      </w:pPr>
    </w:p>
    <w:p>
      <w:pPr>
        <w:jc w:val="both"/>
        <w:ind w:left="2520" w:hanging="1270"/>
        <w:spacing w:after="0" w:line="309" w:lineRule="auto"/>
        <w:tabs>
          <w:tab w:leader="none" w:pos="252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lose the opportunity to license our technology to others or to collect royalty payments based upon successful protection and assertion of our intellectual property rights against others; or</w:t>
      </w:r>
    </w:p>
    <w:p>
      <w:pPr>
        <w:spacing w:after="0" w:line="37" w:lineRule="exact"/>
        <w:rPr>
          <w:rFonts w:ascii="Times New Roman" w:cs="Times New Roman" w:eastAsia="Times New Roman" w:hAnsi="Times New Roman"/>
          <w:sz w:val="19"/>
          <w:szCs w:val="19"/>
          <w:color w:val="auto"/>
        </w:rPr>
      </w:pPr>
    </w:p>
    <w:p>
      <w:pPr>
        <w:ind w:left="2520" w:right="380" w:hanging="1270"/>
        <w:spacing w:after="0" w:line="309" w:lineRule="auto"/>
        <w:tabs>
          <w:tab w:leader="none" w:pos="252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 substantial damages to our customers or end users to discontinue their use of or to replace infringing technology sold to them with non-infringing technology, if available.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of the foregoing results could adversely affect our business, financial condition, and results of operations.</w:t>
      </w:r>
    </w:p>
    <w:p>
      <w:pPr>
        <w:spacing w:after="0" w:line="124" w:lineRule="exact"/>
        <w:rPr>
          <w:sz w:val="20"/>
          <w:szCs w:val="20"/>
          <w:color w:val="auto"/>
        </w:rPr>
      </w:pPr>
    </w:p>
    <w:p>
      <w:pPr>
        <w:ind w:right="3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9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9880"/>
          </w:cols>
          <w:pgMar w:left="1180" w:top="856" w:right="1180" w:bottom="0" w:gutter="0" w:footer="0" w:header="0"/>
        </w:sectPr>
      </w:pPr>
    </w:p>
    <w:bookmarkStart w:id="40" w:name="page41"/>
    <w:bookmarkEnd w:id="40"/>
    <w:p>
      <w:pPr>
        <w:ind w:right="40"/>
        <w:spacing w:after="0" w:line="256" w:lineRule="auto"/>
        <w:rPr>
          <w:sz w:val="20"/>
          <w:szCs w:val="20"/>
          <w:color w:val="auto"/>
        </w:rPr>
      </w:pPr>
      <w:r>
        <w:rPr>
          <w:rFonts w:ascii="Times New Roman" w:cs="Times New Roman" w:eastAsia="Times New Roman" w:hAnsi="Times New Roman"/>
          <w:sz w:val="20"/>
          <w:szCs w:val="20"/>
          <w:color w:val="auto"/>
        </w:rPr>
        <w:t>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Concentration of Ownership in Our Common Stock</w:t>
      </w:r>
    </w:p>
    <w:p>
      <w:pPr>
        <w:spacing w:after="0" w:line="128" w:lineRule="exact"/>
        <w:rPr>
          <w:sz w:val="20"/>
          <w:szCs w:val="20"/>
          <w:color w:val="auto"/>
        </w:rPr>
      </w:pPr>
    </w:p>
    <w:p>
      <w:pPr>
        <w:ind w:right="3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As long as a limited number of stockholders hold a significant amount of our stock, our other stockholders’ ability to influence matters requiring stockholder approval will be limited.</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0"/>
          <w:szCs w:val="20"/>
          <w:color w:val="auto"/>
        </w:rPr>
        <w:t>Based on the latest filings with the SEC, holders of 5% or more of our common stock and their affiliates, beneficially owned approximately 45.1% of the outstanding shares of our common stock, based on the number of shares outstanding as of December 31, 2025. As a result, this group of stockholders has the ability to significantly influence us through this ownership position.</w:t>
      </w:r>
    </w:p>
    <w:p>
      <w:pPr>
        <w:spacing w:after="0" w:line="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For example, as long as this group of stockholders continue to hold a significant or the largest ownership position in our outstanding common stock, they may have the ability to affect the outcome of any stockholder vote during this period. As a result, they will have the ability to exert significant influence over many matters affecting us, either through a board representative or as a stockholder, including:</w:t>
      </w:r>
    </w:p>
    <w:p>
      <w:pPr>
        <w:spacing w:after="0" w:line="80" w:lineRule="exact"/>
        <w:rPr>
          <w:sz w:val="20"/>
          <w:szCs w:val="20"/>
          <w:color w:val="auto"/>
        </w:rPr>
      </w:pPr>
    </w:p>
    <w:p>
      <w:pPr>
        <w:ind w:left="2520" w:right="220" w:hanging="1270"/>
        <w:spacing w:after="0" w:line="282" w:lineRule="auto"/>
        <w:tabs>
          <w:tab w:leader="none" w:pos="25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determinations with respect to our business plans and policies, including the appointment and removal of our officers;</w:t>
      </w:r>
    </w:p>
    <w:p>
      <w:pPr>
        <w:spacing w:after="0" w:line="59" w:lineRule="exact"/>
        <w:rPr>
          <w:rFonts w:ascii="Times New Roman" w:cs="Times New Roman" w:eastAsia="Times New Roman" w:hAnsi="Times New Roman"/>
          <w:sz w:val="20"/>
          <w:szCs w:val="20"/>
          <w:color w:val="auto"/>
        </w:rPr>
      </w:pPr>
    </w:p>
    <w:p>
      <w:pPr>
        <w:ind w:left="2520" w:hanging="1270"/>
        <w:spacing w:after="0"/>
        <w:tabs>
          <w:tab w:leader="none" w:pos="25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determinations with respect to mergers and other business combinations;</w:t>
      </w:r>
    </w:p>
    <w:p>
      <w:pPr>
        <w:spacing w:after="0" w:line="130" w:lineRule="exact"/>
        <w:rPr>
          <w:rFonts w:ascii="Times New Roman" w:cs="Times New Roman" w:eastAsia="Times New Roman" w:hAnsi="Times New Roman"/>
          <w:sz w:val="20"/>
          <w:szCs w:val="20"/>
          <w:color w:val="auto"/>
        </w:rPr>
      </w:pPr>
    </w:p>
    <w:p>
      <w:pPr>
        <w:ind w:left="2520" w:hanging="1270"/>
        <w:spacing w:after="0"/>
        <w:tabs>
          <w:tab w:leader="none" w:pos="25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acquisition or disposition of assets;</w:t>
      </w:r>
    </w:p>
    <w:p>
      <w:pPr>
        <w:spacing w:after="0" w:line="130" w:lineRule="exact"/>
        <w:rPr>
          <w:rFonts w:ascii="Times New Roman" w:cs="Times New Roman" w:eastAsia="Times New Roman" w:hAnsi="Times New Roman"/>
          <w:sz w:val="20"/>
          <w:szCs w:val="20"/>
          <w:color w:val="auto"/>
        </w:rPr>
      </w:pPr>
    </w:p>
    <w:p>
      <w:pPr>
        <w:ind w:left="2520" w:hanging="1270"/>
        <w:spacing w:after="0"/>
        <w:tabs>
          <w:tab w:leader="none" w:pos="25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financing activities;</w:t>
      </w:r>
    </w:p>
    <w:p>
      <w:pPr>
        <w:spacing w:after="0" w:line="130" w:lineRule="exact"/>
        <w:rPr>
          <w:rFonts w:ascii="Times New Roman" w:cs="Times New Roman" w:eastAsia="Times New Roman" w:hAnsi="Times New Roman"/>
          <w:sz w:val="20"/>
          <w:szCs w:val="20"/>
          <w:color w:val="auto"/>
        </w:rPr>
      </w:pPr>
    </w:p>
    <w:p>
      <w:pPr>
        <w:ind w:left="2520" w:hanging="1270"/>
        <w:spacing w:after="0"/>
        <w:tabs>
          <w:tab w:leader="none" w:pos="25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dividends on our common stock; and</w:t>
      </w:r>
    </w:p>
    <w:p>
      <w:pPr>
        <w:spacing w:after="0" w:line="130" w:lineRule="exact"/>
        <w:rPr>
          <w:rFonts w:ascii="Times New Roman" w:cs="Times New Roman" w:eastAsia="Times New Roman" w:hAnsi="Times New Roman"/>
          <w:sz w:val="20"/>
          <w:szCs w:val="20"/>
          <w:color w:val="auto"/>
        </w:rPr>
      </w:pPr>
    </w:p>
    <w:p>
      <w:pPr>
        <w:ind w:left="2520" w:hanging="1270"/>
        <w:spacing w:after="0"/>
        <w:tabs>
          <w:tab w:leader="none" w:pos="25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available for issuance under our stock plans.</w:t>
      </w:r>
    </w:p>
    <w:p>
      <w:pPr>
        <w:spacing w:after="0" w:line="1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Significant ownership position of these stockholders may discourage transactions involving a change of control of us, including transactions in which other holders of our common stock might otherwise receive a premium for their shares over the then current market price. In addition, as a result of this significant influence, persons who we would like to invite to join our board of directors may decline to do so.</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Substantial future sales of our common stock could cause the market price of our common stock to decline.</w:t>
      </w:r>
    </w:p>
    <w:p>
      <w:pPr>
        <w:spacing w:after="0" w:line="13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The market price of our common stock could decline as a result of substantial sales of our common stock, particularly sales by our directors, executive officers, and significant stockholders, including MegaChips, or the perception in the market that a large number of stockholders intend to sell their shares.</w:t>
      </w:r>
    </w:p>
    <w:p>
      <w:pPr>
        <w:spacing w:after="0" w:line="69"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73" w:lineRule="exact"/>
        <w:rPr>
          <w:sz w:val="20"/>
          <w:szCs w:val="20"/>
          <w:color w:val="auto"/>
        </w:rPr>
      </w:pPr>
    </w:p>
    <w:p>
      <w:pPr>
        <w:ind w:right="100"/>
        <w:spacing w:after="0" w:line="309" w:lineRule="auto"/>
        <w:rPr>
          <w:sz w:val="20"/>
          <w:szCs w:val="20"/>
          <w:color w:val="auto"/>
        </w:rPr>
      </w:pPr>
      <w:r>
        <w:rPr>
          <w:rFonts w:ascii="Times New Roman" w:cs="Times New Roman" w:eastAsia="Times New Roman" w:hAnsi="Times New Roman"/>
          <w:sz w:val="19"/>
          <w:szCs w:val="19"/>
          <w:color w:val="auto"/>
        </w:rPr>
        <w:t>Provisions in our certificate of incorporation and bylaws may have the effect of delaying or preventing a change of control or changes in our management. Our amended and restated certificate of incorporation and bylaws include provisions that:</w:t>
      </w:r>
    </w:p>
    <w:p>
      <w:pPr>
        <w:spacing w:after="0" w:line="37" w:lineRule="exact"/>
        <w:rPr>
          <w:sz w:val="20"/>
          <w:szCs w:val="20"/>
          <w:color w:val="auto"/>
        </w:rPr>
      </w:pPr>
    </w:p>
    <w:p>
      <w:pPr>
        <w:ind w:left="2520" w:hanging="1270"/>
        <w:spacing w:after="0" w:line="266" w:lineRule="auto"/>
        <w:tabs>
          <w:tab w:leader="none" w:pos="2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75" w:lineRule="exact"/>
        <w:rPr>
          <w:rFonts w:ascii="Times New Roman" w:cs="Times New Roman" w:eastAsia="Times New Roman" w:hAnsi="Times New Roman"/>
          <w:sz w:val="20"/>
          <w:szCs w:val="20"/>
          <w:color w:val="auto"/>
        </w:rPr>
      </w:pPr>
    </w:p>
    <w:p>
      <w:pPr>
        <w:ind w:left="2520" w:right="20" w:hanging="1270"/>
        <w:spacing w:after="0" w:line="282" w:lineRule="auto"/>
        <w:tabs>
          <w:tab w:leader="none" w:pos="2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any action to be taken by our stockholders be effected at a duly called annual or special meeting and not by written consent;</w:t>
      </w:r>
    </w:p>
    <w:p>
      <w:pPr>
        <w:spacing w:after="0" w:line="59" w:lineRule="exact"/>
        <w:rPr>
          <w:rFonts w:ascii="Times New Roman" w:cs="Times New Roman" w:eastAsia="Times New Roman" w:hAnsi="Times New Roman"/>
          <w:sz w:val="20"/>
          <w:szCs w:val="20"/>
          <w:color w:val="auto"/>
        </w:rPr>
      </w:pPr>
    </w:p>
    <w:p>
      <w:pPr>
        <w:ind w:left="2520" w:right="680" w:hanging="1270"/>
        <w:spacing w:after="0" w:line="310" w:lineRule="auto"/>
        <w:tabs>
          <w:tab w:leader="none" w:pos="252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specify that special meetings of our stockholders can be called only by our board of directors, the Chairman of our board of directors, or our Chief Executive Officer;</w:t>
      </w:r>
    </w:p>
    <w:p>
      <w:pPr>
        <w:spacing w:after="0" w:line="36" w:lineRule="exact"/>
        <w:rPr>
          <w:rFonts w:ascii="Times New Roman" w:cs="Times New Roman" w:eastAsia="Times New Roman" w:hAnsi="Times New Roman"/>
          <w:sz w:val="19"/>
          <w:szCs w:val="19"/>
          <w:color w:val="auto"/>
        </w:rPr>
      </w:pPr>
    </w:p>
    <w:p>
      <w:pPr>
        <w:jc w:val="both"/>
        <w:ind w:left="2520" w:right="340" w:hanging="1270"/>
        <w:spacing w:after="0" w:line="266" w:lineRule="auto"/>
        <w:tabs>
          <w:tab w:leader="none" w:pos="2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an advance notice procedure for stockholder proposals to be brought before an annual meeting, including proposed nominations of persons for election to our board of directors;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9880"/>
          </w:cols>
          <w:pgMar w:left="1180" w:top="856" w:right="1180" w:bottom="0" w:gutter="0" w:footer="0" w:header="0"/>
        </w:sectPr>
      </w:pPr>
    </w:p>
    <w:bookmarkStart w:id="41" w:name="page42"/>
    <w:bookmarkEnd w:id="41"/>
    <w:p>
      <w:pPr>
        <w:ind w:left="2520" w:right="320" w:hanging="1270"/>
        <w:spacing w:after="0" w:line="282" w:lineRule="auto"/>
        <w:tabs>
          <w:tab w:leader="none" w:pos="25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that our board of directors is divided into three classes, with each class serving three-year staggered terms;</w:t>
      </w:r>
    </w:p>
    <w:p>
      <w:pPr>
        <w:spacing w:after="0" w:line="59" w:lineRule="exact"/>
        <w:rPr>
          <w:rFonts w:ascii="Times New Roman" w:cs="Times New Roman" w:eastAsia="Times New Roman" w:hAnsi="Times New Roman"/>
          <w:sz w:val="20"/>
          <w:szCs w:val="20"/>
          <w:color w:val="auto"/>
        </w:rPr>
      </w:pPr>
    </w:p>
    <w:p>
      <w:pPr>
        <w:ind w:left="2520" w:hanging="1270"/>
        <w:spacing w:after="0"/>
        <w:tabs>
          <w:tab w:leader="none" w:pos="25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 cumulative voting in the election of directors;</w:t>
      </w:r>
    </w:p>
    <w:p>
      <w:pPr>
        <w:spacing w:after="0" w:line="130" w:lineRule="exact"/>
        <w:rPr>
          <w:rFonts w:ascii="Times New Roman" w:cs="Times New Roman" w:eastAsia="Times New Roman" w:hAnsi="Times New Roman"/>
          <w:sz w:val="20"/>
          <w:szCs w:val="20"/>
          <w:color w:val="auto"/>
        </w:rPr>
      </w:pPr>
    </w:p>
    <w:p>
      <w:pPr>
        <w:ind w:left="2520" w:hanging="1270"/>
        <w:spacing w:after="0"/>
        <w:tabs>
          <w:tab w:leader="none" w:pos="25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our directors may be removed only for cause;</w:t>
      </w:r>
    </w:p>
    <w:p>
      <w:pPr>
        <w:spacing w:after="0" w:line="130" w:lineRule="exact"/>
        <w:rPr>
          <w:rFonts w:ascii="Times New Roman" w:cs="Times New Roman" w:eastAsia="Times New Roman" w:hAnsi="Times New Roman"/>
          <w:sz w:val="20"/>
          <w:szCs w:val="20"/>
          <w:color w:val="auto"/>
        </w:rPr>
      </w:pPr>
    </w:p>
    <w:p>
      <w:pPr>
        <w:ind w:left="2520" w:right="340" w:hanging="1270"/>
        <w:spacing w:after="0" w:line="282" w:lineRule="auto"/>
        <w:tabs>
          <w:tab w:leader="none" w:pos="25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that vacancies on our board of directors may be filled by a majority of directors then in office, even if less than a quorum; and</w:t>
      </w:r>
    </w:p>
    <w:p>
      <w:pPr>
        <w:spacing w:after="0" w:line="59" w:lineRule="exact"/>
        <w:rPr>
          <w:rFonts w:ascii="Times New Roman" w:cs="Times New Roman" w:eastAsia="Times New Roman" w:hAnsi="Times New Roman"/>
          <w:sz w:val="20"/>
          <w:szCs w:val="20"/>
          <w:color w:val="auto"/>
        </w:rPr>
      </w:pPr>
    </w:p>
    <w:p>
      <w:pPr>
        <w:jc w:val="both"/>
        <w:ind w:left="2520" w:right="500" w:hanging="1270"/>
        <w:spacing w:after="0" w:line="266" w:lineRule="auto"/>
        <w:tabs>
          <w:tab w:leader="none" w:pos="25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the approval of our board of directors or the holders of at least 66 2/3% of our outstanding shares of capital stock to amend our bylaws and certain provisions of our certificate of incorporation.</w:t>
      </w:r>
    </w:p>
    <w:p>
      <w:pPr>
        <w:spacing w:after="0" w:line="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84"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7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9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7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Our stock price may be volatile and may decline, resulting in a loss of some or all of our stockholder investment.</w:t>
      </w:r>
    </w:p>
    <w:p>
      <w:pPr>
        <w:spacing w:after="0" w:line="13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20"/>
          <w:szCs w:val="20"/>
          <w:color w:val="auto"/>
        </w:rPr>
        <w:t>The trading price and volume of our common stock is likely to be volatile and could fluctuate significantly in response to numerous factors, many of which are beyond our control, including:</w:t>
      </w:r>
    </w:p>
    <w:p>
      <w:pPr>
        <w:spacing w:after="0" w:line="60" w:lineRule="exact"/>
        <w:rPr>
          <w:sz w:val="20"/>
          <w:szCs w:val="20"/>
          <w:color w:val="auto"/>
        </w:rPr>
      </w:pPr>
    </w:p>
    <w:p>
      <w:pPr>
        <w:ind w:left="2520" w:hanging="1270"/>
        <w:spacing w:after="0"/>
        <w:tabs>
          <w:tab w:leader="none" w:pos="2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macroeconomic conditions;</w:t>
      </w:r>
    </w:p>
    <w:p>
      <w:pPr>
        <w:spacing w:after="0" w:line="130" w:lineRule="exact"/>
        <w:rPr>
          <w:rFonts w:ascii="Times New Roman" w:cs="Times New Roman" w:eastAsia="Times New Roman" w:hAnsi="Times New Roman"/>
          <w:sz w:val="20"/>
          <w:szCs w:val="20"/>
          <w:color w:val="auto"/>
        </w:rPr>
      </w:pPr>
    </w:p>
    <w:p>
      <w:pPr>
        <w:ind w:left="2520" w:right="20" w:hanging="1270"/>
        <w:spacing w:after="0" w:line="266" w:lineRule="auto"/>
        <w:tabs>
          <w:tab w:leader="none" w:pos="2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results of operations due to, among other things, changes in customer demand, product life cycles, pricing, ordering patterns, and unforeseen operating costs;</w:t>
      </w:r>
    </w:p>
    <w:p>
      <w:pPr>
        <w:spacing w:after="0" w:line="75" w:lineRule="exact"/>
        <w:rPr>
          <w:rFonts w:ascii="Times New Roman" w:cs="Times New Roman" w:eastAsia="Times New Roman" w:hAnsi="Times New Roman"/>
          <w:sz w:val="20"/>
          <w:szCs w:val="20"/>
          <w:color w:val="auto"/>
        </w:rPr>
      </w:pPr>
    </w:p>
    <w:p>
      <w:pPr>
        <w:ind w:left="2520" w:right="80" w:hanging="1270"/>
        <w:spacing w:after="0" w:line="282" w:lineRule="auto"/>
        <w:tabs>
          <w:tab w:leader="none" w:pos="2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financial projections we may provide to the public, any changes in these projections, or our failure to meet these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9860"/>
          </w:cols>
          <w:pgMar w:left="1180" w:top="856" w:right="1200" w:bottom="0" w:gutter="0" w:footer="0" w:header="0"/>
        </w:sectPr>
      </w:pPr>
    </w:p>
    <w:bookmarkStart w:id="42" w:name="page43"/>
    <w:bookmarkEnd w:id="42"/>
    <w:p>
      <w:pPr>
        <w:ind w:left="2520" w:right="240" w:hanging="1270"/>
        <w:spacing w:after="0" w:line="266" w:lineRule="auto"/>
        <w:tabs>
          <w:tab w:leader="none" w:pos="2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75" w:lineRule="exact"/>
        <w:rPr>
          <w:rFonts w:ascii="Times New Roman" w:cs="Times New Roman" w:eastAsia="Times New Roman" w:hAnsi="Times New Roman"/>
          <w:sz w:val="20"/>
          <w:szCs w:val="20"/>
          <w:color w:val="auto"/>
        </w:rPr>
      </w:pPr>
    </w:p>
    <w:p>
      <w:pPr>
        <w:ind w:left="2520" w:right="20" w:hanging="1270"/>
        <w:spacing w:after="0" w:line="282" w:lineRule="auto"/>
        <w:tabs>
          <w:tab w:leader="none" w:pos="2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our significant customers of changes to their product offerings, business plans, or strategies;</w:t>
      </w:r>
    </w:p>
    <w:p>
      <w:pPr>
        <w:spacing w:after="0" w:line="59" w:lineRule="exact"/>
        <w:rPr>
          <w:rFonts w:ascii="Times New Roman" w:cs="Times New Roman" w:eastAsia="Times New Roman" w:hAnsi="Times New Roman"/>
          <w:sz w:val="20"/>
          <w:szCs w:val="20"/>
          <w:color w:val="auto"/>
        </w:rPr>
      </w:pPr>
    </w:p>
    <w:p>
      <w:pPr>
        <w:ind w:left="2520" w:right="100" w:hanging="1270"/>
        <w:spacing w:after="0" w:line="282" w:lineRule="auto"/>
        <w:tabs>
          <w:tab w:leader="none" w:pos="2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significant technical innovations, acquisitions, strategic partnerships, joint ventures, or capital commitments;</w:t>
      </w:r>
    </w:p>
    <w:p>
      <w:pPr>
        <w:spacing w:after="0" w:line="59" w:lineRule="exact"/>
        <w:rPr>
          <w:rFonts w:ascii="Times New Roman" w:cs="Times New Roman" w:eastAsia="Times New Roman" w:hAnsi="Times New Roman"/>
          <w:sz w:val="20"/>
          <w:szCs w:val="20"/>
          <w:color w:val="auto"/>
        </w:rPr>
      </w:pPr>
    </w:p>
    <w:p>
      <w:pPr>
        <w:ind w:left="2520" w:right="700" w:hanging="1270"/>
        <w:spacing w:after="0" w:line="282" w:lineRule="auto"/>
        <w:tabs>
          <w:tab w:leader="none" w:pos="2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operating performance and stock market valuations of other technology companies generally, or those in the semiconductor industry;</w:t>
      </w:r>
    </w:p>
    <w:p>
      <w:pPr>
        <w:spacing w:after="0" w:line="59" w:lineRule="exact"/>
        <w:rPr>
          <w:rFonts w:ascii="Times New Roman" w:cs="Times New Roman" w:eastAsia="Times New Roman" w:hAnsi="Times New Roman"/>
          <w:sz w:val="20"/>
          <w:szCs w:val="20"/>
          <w:color w:val="auto"/>
        </w:rPr>
      </w:pPr>
    </w:p>
    <w:p>
      <w:pPr>
        <w:ind w:left="2520" w:hanging="1270"/>
        <w:spacing w:after="0"/>
        <w:tabs>
          <w:tab w:leader="none" w:pos="2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timing and seasonality of the end-market demand;</w:t>
      </w:r>
    </w:p>
    <w:p>
      <w:pPr>
        <w:spacing w:after="0" w:line="130" w:lineRule="exact"/>
        <w:rPr>
          <w:rFonts w:ascii="Times New Roman" w:cs="Times New Roman" w:eastAsia="Times New Roman" w:hAnsi="Times New Roman"/>
          <w:sz w:val="20"/>
          <w:szCs w:val="20"/>
          <w:color w:val="auto"/>
        </w:rPr>
      </w:pPr>
    </w:p>
    <w:p>
      <w:pPr>
        <w:ind w:left="2520" w:hanging="1270"/>
        <w:spacing w:after="0"/>
        <w:tabs>
          <w:tab w:leader="none" w:pos="2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cyclical fluctuations in the semiconductor market;</w:t>
      </w:r>
    </w:p>
    <w:p>
      <w:pPr>
        <w:spacing w:after="0" w:line="130" w:lineRule="exact"/>
        <w:rPr>
          <w:rFonts w:ascii="Times New Roman" w:cs="Times New Roman" w:eastAsia="Times New Roman" w:hAnsi="Times New Roman"/>
          <w:sz w:val="20"/>
          <w:szCs w:val="20"/>
          <w:color w:val="auto"/>
        </w:rPr>
      </w:pPr>
    </w:p>
    <w:p>
      <w:pPr>
        <w:ind w:left="2520" w:right="100" w:hanging="1270"/>
        <w:spacing w:after="0" w:line="282" w:lineRule="auto"/>
        <w:tabs>
          <w:tab w:leader="none" w:pos="2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price and volume fluctuations in the overall stock market from time to time, including as a result of trends in the economy as a whole;</w:t>
      </w:r>
    </w:p>
    <w:p>
      <w:pPr>
        <w:spacing w:after="0" w:line="53" w:lineRule="exact"/>
        <w:rPr>
          <w:rFonts w:ascii="Times New Roman" w:cs="Times New Roman" w:eastAsia="Times New Roman" w:hAnsi="Times New Roman"/>
          <w:sz w:val="20"/>
          <w:szCs w:val="20"/>
          <w:color w:val="auto"/>
        </w:rPr>
      </w:pPr>
    </w:p>
    <w:p>
      <w:pPr>
        <w:ind w:left="2520" w:right="320" w:hanging="1270"/>
        <w:spacing w:after="0" w:line="288" w:lineRule="auto"/>
        <w:tabs>
          <w:tab w:leader="none" w:pos="2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developments in our business or our competitors’ businesses or the competitive landscape generally;</w:t>
      </w:r>
    </w:p>
    <w:p>
      <w:pPr>
        <w:spacing w:after="0" w:line="54" w:lineRule="exact"/>
        <w:rPr>
          <w:rFonts w:ascii="Times New Roman" w:cs="Times New Roman" w:eastAsia="Times New Roman" w:hAnsi="Times New Roman"/>
          <w:sz w:val="20"/>
          <w:szCs w:val="20"/>
          <w:color w:val="auto"/>
        </w:rPr>
      </w:pPr>
    </w:p>
    <w:p>
      <w:pPr>
        <w:ind w:left="2520" w:right="60" w:hanging="1270"/>
        <w:spacing w:after="0" w:line="282" w:lineRule="auto"/>
        <w:tabs>
          <w:tab w:leader="none" w:pos="2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laws or regulations or new interpretations of existing laws or regulations applicable to our business;</w:t>
      </w:r>
    </w:p>
    <w:p>
      <w:pPr>
        <w:spacing w:after="0" w:line="59" w:lineRule="exact"/>
        <w:rPr>
          <w:rFonts w:ascii="Times New Roman" w:cs="Times New Roman" w:eastAsia="Times New Roman" w:hAnsi="Times New Roman"/>
          <w:sz w:val="20"/>
          <w:szCs w:val="20"/>
          <w:color w:val="auto"/>
        </w:rPr>
      </w:pPr>
    </w:p>
    <w:p>
      <w:pPr>
        <w:ind w:left="2520" w:hanging="1270"/>
        <w:spacing w:after="0"/>
        <w:tabs>
          <w:tab w:leader="none" w:pos="2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major change in our management;</w:t>
      </w:r>
    </w:p>
    <w:p>
      <w:pPr>
        <w:spacing w:after="0" w:line="130" w:lineRule="exact"/>
        <w:rPr>
          <w:rFonts w:ascii="Times New Roman" w:cs="Times New Roman" w:eastAsia="Times New Roman" w:hAnsi="Times New Roman"/>
          <w:sz w:val="20"/>
          <w:szCs w:val="20"/>
          <w:color w:val="auto"/>
        </w:rPr>
      </w:pPr>
    </w:p>
    <w:p>
      <w:pPr>
        <w:ind w:left="2520" w:hanging="1270"/>
        <w:spacing w:after="0"/>
        <w:tabs>
          <w:tab w:leader="none" w:pos="2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lawsuits threatened or filed against us; and</w:t>
      </w:r>
    </w:p>
    <w:p>
      <w:pPr>
        <w:spacing w:after="0" w:line="130" w:lineRule="exact"/>
        <w:rPr>
          <w:rFonts w:ascii="Times New Roman" w:cs="Times New Roman" w:eastAsia="Times New Roman" w:hAnsi="Times New Roman"/>
          <w:sz w:val="20"/>
          <w:szCs w:val="20"/>
          <w:color w:val="auto"/>
        </w:rPr>
      </w:pPr>
    </w:p>
    <w:p>
      <w:pPr>
        <w:ind w:left="2520" w:right="60" w:hanging="1270"/>
        <w:spacing w:after="0" w:line="282" w:lineRule="auto"/>
        <w:tabs>
          <w:tab w:leader="none" w:pos="25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events or factors, including those resulting from geopolitical activities, war, incidents of terrorism, natural disasters, pandemics, or responses to these events.</w:t>
      </w:r>
    </w:p>
    <w:p>
      <w:pPr>
        <w:spacing w:after="0" w:line="6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Cybersecurity Risk Management and Strategy</w:t>
      </w:r>
    </w:p>
    <w:p>
      <w:pPr>
        <w:spacing w:after="0" w:line="136"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We have established policies and processes for assessing, identifying, and managing material risks from cybersecurity threats. These policies and processes are intended to protect the confidentiality, integrity, and availability of our critical information systems and our critical data, including intellectual property and confidential information that is proprietary, strategic, or competitive in nature (“Information Systems and Data”).</w:t>
      </w:r>
    </w:p>
    <w:p>
      <w:pPr>
        <w:spacing w:after="0" w:line="74" w:lineRule="exact"/>
        <w:rPr>
          <w:sz w:val="20"/>
          <w:szCs w:val="20"/>
          <w:color w:val="auto"/>
        </w:rPr>
      </w:pPr>
    </w:p>
    <w:p>
      <w:pPr>
        <w:ind w:right="120" w:firstLine="720"/>
        <w:spacing w:after="0" w:line="263" w:lineRule="auto"/>
        <w:rPr>
          <w:sz w:val="20"/>
          <w:szCs w:val="20"/>
          <w:color w:val="auto"/>
        </w:rPr>
      </w:pPr>
      <w:r>
        <w:rPr>
          <w:rFonts w:ascii="Times New Roman" w:cs="Times New Roman" w:eastAsia="Times New Roman" w:hAnsi="Times New Roman"/>
          <w:sz w:val="20"/>
          <w:szCs w:val="20"/>
          <w:color w:val="auto"/>
        </w:rPr>
        <w:t>Our IT management team, with oversight by our board of directors (“Board”) and Audit Committee of the Board (“Audit Committee”), helps identify, assess, and manage risks from cybersecurity threats by monitoring and evaluating threats through our cybersecurity risk management program, which leverages the National Institute of Standards and Technology Cybersecurity Framework.</w:t>
      </w:r>
    </w:p>
    <w:p>
      <w:pPr>
        <w:spacing w:after="0" w:line="78" w:lineRule="exact"/>
        <w:rPr>
          <w:sz w:val="20"/>
          <w:szCs w:val="20"/>
          <w:color w:val="auto"/>
        </w:rPr>
      </w:pPr>
    </w:p>
    <w:p>
      <w:pPr>
        <w:ind w:right="180" w:firstLine="720"/>
        <w:spacing w:after="0" w:line="282" w:lineRule="auto"/>
        <w:rPr>
          <w:sz w:val="20"/>
          <w:szCs w:val="20"/>
          <w:color w:val="auto"/>
        </w:rPr>
      </w:pPr>
      <w:r>
        <w:rPr>
          <w:rFonts w:ascii="Times New Roman" w:cs="Times New Roman" w:eastAsia="Times New Roman" w:hAnsi="Times New Roman"/>
          <w:sz w:val="20"/>
          <w:szCs w:val="20"/>
          <w:color w:val="auto"/>
        </w:rPr>
        <w:t>Our cybersecurity risk management program incorporates a variety of methods to manage and mitigate material risks from cybersecurity threats to our Information Systems and Data, including:</w:t>
      </w:r>
    </w:p>
    <w:p>
      <w:pPr>
        <w:spacing w:after="0" w:line="60" w:lineRule="exact"/>
        <w:rPr>
          <w:sz w:val="20"/>
          <w:szCs w:val="20"/>
          <w:color w:val="auto"/>
        </w:rPr>
      </w:pPr>
    </w:p>
    <w:p>
      <w:pPr>
        <w:ind w:left="2160" w:right="200" w:hanging="730"/>
        <w:spacing w:after="0" w:line="282" w:lineRule="auto"/>
        <w:tabs>
          <w:tab w:leader="none" w:pos="21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 assessments designed to help identify cybersecurity risks to our Information Systems and Data;</w:t>
      </w:r>
    </w:p>
    <w:p>
      <w:pPr>
        <w:spacing w:after="0" w:line="59" w:lineRule="exact"/>
        <w:rPr>
          <w:rFonts w:ascii="Times New Roman" w:cs="Times New Roman" w:eastAsia="Times New Roman" w:hAnsi="Times New Roman"/>
          <w:sz w:val="20"/>
          <w:szCs w:val="20"/>
          <w:color w:val="auto"/>
        </w:rPr>
      </w:pPr>
    </w:p>
    <w:p>
      <w:pPr>
        <w:ind w:left="2160" w:hanging="730"/>
        <w:spacing w:after="0" w:line="282" w:lineRule="auto"/>
        <w:tabs>
          <w:tab w:leader="none" w:pos="21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team principally responsible for managing (1) our cybersecurity risk assessment processes, (2) our security controls, and (3) our response to cybersecurity incidents;</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9840"/>
          </w:cols>
          <w:pgMar w:left="1180" w:top="856" w:right="1220" w:bottom="0" w:gutter="0" w:footer="0" w:header="0"/>
        </w:sectPr>
      </w:pPr>
    </w:p>
    <w:bookmarkStart w:id="43" w:name="page44"/>
    <w:bookmarkEnd w:id="43"/>
    <w:p>
      <w:pPr>
        <w:ind w:left="2160" w:right="380" w:hanging="730"/>
        <w:spacing w:after="0" w:line="282" w:lineRule="auto"/>
        <w:tabs>
          <w:tab w:leader="none" w:pos="21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annual training of our employees at all levels and in all departments regarding cybersecurity awareness and protection of confidential information; and</w:t>
      </w:r>
    </w:p>
    <w:p>
      <w:pPr>
        <w:spacing w:after="0" w:line="59" w:lineRule="exact"/>
        <w:rPr>
          <w:rFonts w:ascii="Times New Roman" w:cs="Times New Roman" w:eastAsia="Times New Roman" w:hAnsi="Times New Roman"/>
          <w:sz w:val="20"/>
          <w:szCs w:val="20"/>
          <w:color w:val="auto"/>
        </w:rPr>
      </w:pPr>
    </w:p>
    <w:p>
      <w:pPr>
        <w:ind w:left="2160" w:right="160" w:hanging="730"/>
        <w:spacing w:after="0" w:line="282" w:lineRule="auto"/>
        <w:tabs>
          <w:tab w:leader="none" w:pos="21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cybersecurity incident response plan that includes procedures for detecting and responding to cybersecurity incidents.</w:t>
      </w:r>
    </w:p>
    <w:p>
      <w:pPr>
        <w:spacing w:after="0" w:line="60" w:lineRule="exact"/>
        <w:rPr>
          <w:sz w:val="20"/>
          <w:szCs w:val="20"/>
          <w:color w:val="auto"/>
        </w:rPr>
      </w:pPr>
    </w:p>
    <w:p>
      <w:pPr>
        <w:ind w:right="280" w:firstLine="720"/>
        <w:spacing w:after="0" w:line="266" w:lineRule="auto"/>
        <w:rPr>
          <w:sz w:val="20"/>
          <w:szCs w:val="20"/>
          <w:color w:val="auto"/>
        </w:rPr>
      </w:pPr>
      <w:r>
        <w:rPr>
          <w:rFonts w:ascii="Times New Roman" w:cs="Times New Roman" w:eastAsia="Times New Roman" w:hAnsi="Times New Roman"/>
          <w:sz w:val="20"/>
          <w:szCs w:val="20"/>
          <w:color w:val="auto"/>
        </w:rPr>
        <w:t>Additionally, our cybersecurity risk management program incorporates a variety of tools and services to assess, identify, and manage material risks from cybersecurity threats, including regular network and endpoint monitoring, vulnerability assessments, and penetration testing.</w:t>
      </w:r>
    </w:p>
    <w:p>
      <w:pPr>
        <w:spacing w:after="0" w:line="76"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20"/>
          <w:szCs w:val="20"/>
          <w:color w:val="auto"/>
        </w:rPr>
        <w:t>Our cybersecurity risk management program is integrated in our overall enterprise risk management program. For example, our IT team works with management to prioritize our risk management processes and mitigate cybersecurity threats that are more likely to lead to a material impact on our business.</w:t>
      </w:r>
    </w:p>
    <w:p>
      <w:pPr>
        <w:spacing w:after="0" w:line="75" w:lineRule="exact"/>
        <w:rPr>
          <w:sz w:val="20"/>
          <w:szCs w:val="20"/>
          <w:color w:val="auto"/>
        </w:rPr>
      </w:pPr>
    </w:p>
    <w:p>
      <w:pPr>
        <w:ind w:right="180" w:firstLine="720"/>
        <w:spacing w:after="0" w:line="282" w:lineRule="auto"/>
        <w:rPr>
          <w:sz w:val="20"/>
          <w:szCs w:val="20"/>
          <w:color w:val="auto"/>
        </w:rPr>
      </w:pPr>
      <w:r>
        <w:rPr>
          <w:rFonts w:ascii="Times New Roman" w:cs="Times New Roman" w:eastAsia="Times New Roman" w:hAnsi="Times New Roman"/>
          <w:sz w:val="20"/>
          <w:szCs w:val="20"/>
          <w:color w:val="auto"/>
        </w:rPr>
        <w:t>Our cybersecurity risk management program also seeks to manage cybersecurity risks associated with our use of third-party service providers through risk assessments and imposition of contractual obligations.</w:t>
      </w:r>
    </w:p>
    <w:p>
      <w:pPr>
        <w:spacing w:after="0" w:line="60" w:lineRule="exact"/>
        <w:rPr>
          <w:sz w:val="20"/>
          <w:szCs w:val="20"/>
          <w:color w:val="auto"/>
        </w:rPr>
      </w:pPr>
    </w:p>
    <w:p>
      <w:pPr>
        <w:ind w:right="40" w:firstLine="720"/>
        <w:spacing w:after="0" w:line="272" w:lineRule="auto"/>
        <w:rPr>
          <w:sz w:val="20"/>
          <w:szCs w:val="20"/>
          <w:color w:val="auto"/>
        </w:rPr>
      </w:pPr>
      <w:r>
        <w:rPr>
          <w:rFonts w:ascii="Times New Roman" w:cs="Times New Roman" w:eastAsia="Times New Roman" w:hAnsi="Times New Roman"/>
          <w:sz w:val="19"/>
          <w:szCs w:val="19"/>
          <w:color w:val="auto"/>
        </w:rPr>
        <w:t>For a description of risks from cybersecurity threats that may materially affect the Company and how they may do so, see Item 1A “Risk Factors” in this Annual Report on Form 10-K, including the risk factors entitled “</w:t>
      </w:r>
      <w:r>
        <w:rPr>
          <w:rFonts w:ascii="Times New Roman" w:cs="Times New Roman" w:eastAsia="Times New Roman" w:hAnsi="Times New Roman"/>
          <w:sz w:val="19"/>
          <w:szCs w:val="19"/>
          <w:i w:val="1"/>
          <w:iCs w:val="1"/>
          <w:color w:val="auto"/>
        </w:rPr>
        <w:t>Security breaches,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cyberattacks, and other disruptions to information technology systems owned or maintained by us or third parties, such as vendors or suppliers, could disrupt our operations, compromise the confidentiality of private customer data or our intellectual property, and adversely affect our business, reputation, operations, and financial results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Our business may be impacted by information technology system failures or network disruptions, and lack of redundancy</w:t>
      </w:r>
      <w:r>
        <w:rPr>
          <w:rFonts w:ascii="Times New Roman" w:cs="Times New Roman" w:eastAsia="Times New Roman" w:hAnsi="Times New Roman"/>
          <w:sz w:val="19"/>
          <w:szCs w:val="19"/>
          <w:color w:val="auto"/>
        </w:rPr>
        <w:t>.”</w:t>
      </w:r>
    </w:p>
    <w:p>
      <w:pPr>
        <w:spacing w:after="0" w:line="6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Cybersecurity Governance</w:t>
      </w:r>
    </w:p>
    <w:p>
      <w:pPr>
        <w:spacing w:after="0" w:line="136" w:lineRule="exact"/>
        <w:rPr>
          <w:sz w:val="20"/>
          <w:szCs w:val="20"/>
          <w:color w:val="auto"/>
        </w:rPr>
      </w:pPr>
    </w:p>
    <w:p>
      <w:pPr>
        <w:jc w:val="both"/>
        <w:ind w:right="100" w:firstLine="720"/>
        <w:spacing w:after="0" w:line="286" w:lineRule="auto"/>
        <w:rPr>
          <w:sz w:val="20"/>
          <w:szCs w:val="20"/>
          <w:color w:val="auto"/>
        </w:rPr>
      </w:pPr>
      <w:r>
        <w:rPr>
          <w:rFonts w:ascii="Times New Roman" w:cs="Times New Roman" w:eastAsia="Times New Roman" w:hAnsi="Times New Roman"/>
          <w:sz w:val="19"/>
          <w:szCs w:val="19"/>
          <w:color w:val="auto"/>
        </w:rPr>
        <w:t>Our Board considers cybersecurity risk as part of its overall risk oversight function and has delegated to the Audit Committee oversight of cybersecurity matters and other policies and internal controls regarding information security risks. The Audit Committee oversees management’s implementation of our cybersecurity risk management program.</w:t>
      </w:r>
    </w:p>
    <w:p>
      <w:pPr>
        <w:spacing w:after="0" w:line="59" w:lineRule="exact"/>
        <w:rPr>
          <w:sz w:val="20"/>
          <w:szCs w:val="20"/>
          <w:color w:val="auto"/>
        </w:rPr>
      </w:pPr>
    </w:p>
    <w:p>
      <w:pPr>
        <w:ind w:right="240" w:firstLine="720"/>
        <w:spacing w:after="0" w:line="261" w:lineRule="auto"/>
        <w:rPr>
          <w:sz w:val="20"/>
          <w:szCs w:val="20"/>
          <w:color w:val="auto"/>
        </w:rPr>
      </w:pPr>
      <w:r>
        <w:rPr>
          <w:rFonts w:ascii="Times New Roman" w:cs="Times New Roman" w:eastAsia="Times New Roman" w:hAnsi="Times New Roman"/>
          <w:sz w:val="20"/>
          <w:szCs w:val="20"/>
          <w:color w:val="auto"/>
        </w:rPr>
        <w:t>The Audit Committee receives quarterly reports from management on our cybersecurity risks. In addition, management will update the Audit Committee, as necessary, regarding any significant cybersecurity incidents. The Audit Committee reports to the full Board regarding its activities, including those related to cybersecurity. The full Board also receives a briefing from management on our cyber risk management program at least annually.</w:t>
      </w:r>
    </w:p>
    <w:p>
      <w:pPr>
        <w:spacing w:after="0" w:line="80"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Our management team, including our Chief Digital Officer and the leaders responsible for information security, are responsible for day-to-day implementation, assessment, and management of our cybersecurity risk assessment and management processes. The IT management team has primary responsibility for our overall cybersecurity risk management program, including monitoring the prevention, detection, mitigation, and remediation of cybersecurity incidents, and works in partnership with our other business leaders, including our Chief Legal Officer. Our IT management team supervises both our internal cybersecurity personnel and any retained external cybersecurity consultants. Our Executive Vice President and Chief Digital Officer has deep experience in driving digital transformation and leading enterprise-wide cybersecurity and technology initiatives.</w:t>
      </w:r>
    </w:p>
    <w:p>
      <w:pPr>
        <w:spacing w:after="0" w:line="85" w:lineRule="exact"/>
        <w:rPr>
          <w:sz w:val="20"/>
          <w:szCs w:val="20"/>
          <w:color w:val="auto"/>
        </w:rPr>
      </w:pPr>
    </w:p>
    <w:p>
      <w:pPr>
        <w:ind w:right="220" w:firstLine="720"/>
        <w:spacing w:after="0" w:line="275" w:lineRule="auto"/>
        <w:rPr>
          <w:sz w:val="20"/>
          <w:szCs w:val="20"/>
          <w:color w:val="auto"/>
        </w:rPr>
      </w:pPr>
      <w:r>
        <w:rPr>
          <w:rFonts w:ascii="Times New Roman" w:cs="Times New Roman" w:eastAsia="Times New Roman" w:hAnsi="Times New Roman"/>
          <w:sz w:val="19"/>
          <w:szCs w:val="19"/>
          <w:color w:val="auto"/>
        </w:rPr>
        <w:t>Our cybersecurity incident response plan is designed to escalate certain cybersecurity incidents to a team of business leaders, including, but not limited to, our Chief Legal Officer, Executive Vice President and Chief Financial Officer, Executive Vice President of Engineering and Operations, and our Executive Vice President and Chief Digital Officer. This team of business leaders works with our incident response team to help determine the severity of the impact of a cybersecurity incident, as well as to help mitigate and remediate cybersecurity incidents of which they are notified.</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34"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auto"/>
        </w:rPr>
        <w:t>Our principal executive offices are located in a leased facility in Santa Clara, California, consisting of approximately 50,400 square feet of office space under lease that expires in March 2027. This facility accommodates our principal engineering, sales, marketing, operations, finance, and administrative activities. Outside of the United States, we also lease facilities in various international locations that are used for research and development, sales, business development, operations, and administrative support. These international facilities are mainly located in Japan, Malaysia, the Netherlands, Taiwan, Finland, India and Ukraine. We do not own any real property. We believe that our leased facilities are adequate to meet our current needs and that additional facilities will be available on commercially reasonable terms for lease to meet future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9900"/>
          </w:cols>
          <w:pgMar w:left="1180" w:top="856" w:right="1160" w:bottom="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34"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arising in the ordinary course of our business. We are not currently a party to any legal proceedings the outcome of which, if determined adversely to us, would individually or in the aggregate have a material adverse effect on our business, financial condition, and results of operations.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9680"/>
          </w:cols>
          <w:pgMar w:left="1180" w:top="1212" w:right="1380" w:bottom="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4" w:lineRule="exact"/>
        <w:rPr>
          <w:sz w:val="20"/>
          <w:szCs w:val="20"/>
          <w:color w:val="auto"/>
        </w:rPr>
      </w:pPr>
    </w:p>
    <w:p>
      <w:pPr>
        <w:ind w:right="460"/>
        <w:spacing w:after="0" w:line="292"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 for Common Stock</w:t>
      </w:r>
    </w:p>
    <w:p>
      <w:pPr>
        <w:spacing w:after="0" w:line="128" w:lineRule="exact"/>
        <w:rPr>
          <w:sz w:val="20"/>
          <w:szCs w:val="20"/>
          <w:color w:val="auto"/>
        </w:rPr>
      </w:pPr>
    </w:p>
    <w:p>
      <w:pPr>
        <w:ind w:right="400" w:firstLine="720"/>
        <w:spacing w:after="0" w:line="289" w:lineRule="auto"/>
        <w:rPr>
          <w:sz w:val="20"/>
          <w:szCs w:val="20"/>
          <w:color w:val="auto"/>
        </w:rPr>
      </w:pPr>
      <w:r>
        <w:rPr>
          <w:rFonts w:ascii="Times New Roman" w:cs="Times New Roman" w:eastAsia="Times New Roman" w:hAnsi="Times New Roman"/>
          <w:sz w:val="20"/>
          <w:szCs w:val="20"/>
          <w:color w:val="auto"/>
        </w:rPr>
        <w:t>Our common stock has been quoted on the Nasdaq Global Market under the symbol “SITM” since our initial public offering in November 2019. Prior to that time, there was no public market for our common stock.</w:t>
      </w:r>
    </w:p>
    <w:p>
      <w:pPr>
        <w:spacing w:after="0" w:line="53" w:lineRule="exact"/>
        <w:rPr>
          <w:sz w:val="20"/>
          <w:szCs w:val="20"/>
          <w:color w:val="auto"/>
        </w:rPr>
      </w:pPr>
    </w:p>
    <w:p>
      <w:pPr>
        <w:ind w:right="240" w:firstLine="720"/>
        <w:spacing w:after="0" w:line="282" w:lineRule="auto"/>
        <w:rPr>
          <w:sz w:val="20"/>
          <w:szCs w:val="20"/>
          <w:color w:val="auto"/>
        </w:rPr>
      </w:pPr>
      <w:r>
        <w:rPr>
          <w:rFonts w:ascii="Times New Roman" w:cs="Times New Roman" w:eastAsia="Times New Roman" w:hAnsi="Times New Roman"/>
          <w:sz w:val="20"/>
          <w:szCs w:val="20"/>
          <w:color w:val="auto"/>
        </w:rPr>
        <w:t>As of February 5, 2026, there were 33 holders of record (not including beneficial holders of stock held in street names) of our common stock.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34" w:lineRule="exact"/>
        <w:rPr>
          <w:sz w:val="20"/>
          <w:szCs w:val="20"/>
          <w:color w:val="auto"/>
        </w:rPr>
      </w:pPr>
    </w:p>
    <w:p>
      <w:pPr>
        <w:ind w:right="80" w:firstLine="720"/>
        <w:spacing w:after="0" w:line="261" w:lineRule="auto"/>
        <w:rPr>
          <w:sz w:val="20"/>
          <w:szCs w:val="20"/>
          <w:color w:val="auto"/>
        </w:rPr>
      </w:pPr>
      <w:r>
        <w:rPr>
          <w:rFonts w:ascii="Times New Roman" w:cs="Times New Roman" w:eastAsia="Times New Roman" w:hAnsi="Times New Roman"/>
          <w:sz w:val="20"/>
          <w:szCs w:val="20"/>
          <w:color w:val="auto"/>
        </w:rPr>
        <w:t>We have never paid any cash dividends on our common stock. Our Board currently intends to retain any future earnings to support operations and to finance the growth and development of our business and does not intend to pay cash dividends on our common stock for the foreseeable future. Any future determination related to our dividend policy will be made at the discretion of our Board.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 Performance Graph</w:t>
      </w:r>
    </w:p>
    <w:p>
      <w:pPr>
        <w:spacing w:after="0" w:line="134" w:lineRule="exact"/>
        <w:rPr>
          <w:sz w:val="20"/>
          <w:szCs w:val="20"/>
          <w:color w:val="auto"/>
        </w:rPr>
      </w:pPr>
    </w:p>
    <w:p>
      <w:pPr>
        <w:ind w:right="80" w:firstLine="720"/>
        <w:spacing w:after="0" w:line="261" w:lineRule="auto"/>
        <w:rPr>
          <w:sz w:val="20"/>
          <w:szCs w:val="20"/>
          <w:color w:val="auto"/>
        </w:rPr>
      </w:pPr>
      <w:r>
        <w:rPr>
          <w:rFonts w:ascii="Times New Roman" w:cs="Times New Roman" w:eastAsia="Times New Roman" w:hAnsi="Times New Roman"/>
          <w:sz w:val="20"/>
          <w:szCs w:val="20"/>
          <w:color w:val="auto"/>
        </w:rPr>
        <w:t>The following information shall not be deemed to be soliciting material or to be filed with the SEC, or subject to Regulations 14A or 14C under the Exchange Act or to the liabilities of Section 18 of the Exchange Act nor shall such information be incorporated by reference into any future filing under the Securities Act or the Exchange Act, except to the extent that we specifically incorporate it by reference into such filing.</w:t>
      </w:r>
    </w:p>
    <w:p>
      <w:pPr>
        <w:spacing w:after="0" w:line="80"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The following line graph compares the cumulative total stockholder return for our common stock, the Nasdaq Composite Index and Philadelphia Semiconductor Index for the five years ending on December 31, 2025. The graph assumes that $100 was invested on January 1, 2021 in our common stock and in each of the Nasdaq 100 Index and Philadelphia Semiconductor Index. Our common stock is a component of each of the presented indices. Total return assumes reinvestment of dividends in each of the indices indicated. The stockholder return shown in the graph below is not necessarily indicative of, nor is it intended to forecast, the potential future performance of our common stock,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160655</wp:posOffset>
            </wp:positionV>
            <wp:extent cx="5143500" cy="3619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
                      <a:extLst>
                        <a:ext uri="{28A0092B-C50C-407E-A947-70E740481C1C}"/>
                      </a:extLst>
                    </a:blip>
                    <a:srcRect/>
                    <a:stretch>
                      <a:fillRect/>
                    </a:stretch>
                  </pic:blipFill>
                  <pic:spPr bwMode="auto">
                    <a:xfrm>
                      <a:off x="0" y="0"/>
                      <a:ext cx="5143500" cy="3619500"/>
                    </a:xfrm>
                    <a:prstGeom prst="rect">
                      <a:avLst/>
                    </a:prstGeom>
                    <a:noFill/>
                  </pic:spPr>
                </pic:pic>
              </a:graphicData>
            </a:graphic>
          </wp:anchor>
        </w:drawing>
      </w:r>
    </w:p>
    <w:p>
      <w:pPr>
        <w:sectPr>
          <w:pgSz w:w="12240" w:h="15840" w:orient="portrait"/>
          <w:cols w:equalWidth="0" w:num="1">
            <w:col w:w="9840"/>
          </w:cols>
          <w:pgMar w:left="1180" w:top="852"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9840"/>
          </w:cols>
          <w:pgMar w:left="1180" w:top="852" w:right="1220" w:bottom="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93"/>
        </w:trPr>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180" w:type="dxa"/>
            <w:vAlign w:val="bottom"/>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1180" w:type="dxa"/>
            <w:vAlign w:val="bottom"/>
          </w:tcPr>
          <w:p>
            <w:pPr>
              <w:jc w:val="right"/>
              <w:ind w:right="2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179"/>
        </w:trPr>
        <w:tc>
          <w:tcPr>
            <w:tcW w:w="40" w:type="dxa"/>
            <w:vAlign w:val="bottom"/>
          </w:tcPr>
          <w:p>
            <w:pPr>
              <w:spacing w:after="0"/>
              <w:rPr>
                <w:sz w:val="15"/>
                <w:szCs w:val="15"/>
                <w:color w:val="auto"/>
              </w:rPr>
            </w:pPr>
          </w:p>
        </w:tc>
        <w:tc>
          <w:tcPr>
            <w:tcW w:w="286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Company Name/Index</w:t>
            </w:r>
          </w:p>
        </w:tc>
        <w:tc>
          <w:tcPr>
            <w:tcW w:w="1240" w:type="dxa"/>
            <w:vAlign w:val="bottom"/>
            <w:gridSpan w:val="2"/>
          </w:tcPr>
          <w:p>
            <w:pPr>
              <w:jc w:val="right"/>
              <w:ind w:right="327"/>
              <w:spacing w:after="0" w:line="179" w:lineRule="exact"/>
              <w:rPr>
                <w:sz w:val="20"/>
                <w:szCs w:val="20"/>
                <w:color w:val="auto"/>
              </w:rPr>
            </w:pPr>
            <w:r>
              <w:rPr>
                <w:rFonts w:ascii="Times New Roman" w:cs="Times New Roman" w:eastAsia="Times New Roman" w:hAnsi="Times New Roman"/>
                <w:sz w:val="16"/>
                <w:szCs w:val="16"/>
                <w:b w:val="1"/>
                <w:bCs w:val="1"/>
                <w:color w:val="auto"/>
              </w:rPr>
              <w:t>2020</w:t>
            </w:r>
          </w:p>
        </w:tc>
        <w:tc>
          <w:tcPr>
            <w:tcW w:w="1280" w:type="dxa"/>
            <w:vAlign w:val="bottom"/>
            <w:gridSpan w:val="2"/>
          </w:tcPr>
          <w:p>
            <w:pPr>
              <w:jc w:val="right"/>
              <w:ind w:right="347"/>
              <w:spacing w:after="0" w:line="179" w:lineRule="exact"/>
              <w:rPr>
                <w:sz w:val="20"/>
                <w:szCs w:val="20"/>
                <w:color w:val="auto"/>
              </w:rPr>
            </w:pPr>
            <w:r>
              <w:rPr>
                <w:rFonts w:ascii="Times New Roman" w:cs="Times New Roman" w:eastAsia="Times New Roman" w:hAnsi="Times New Roman"/>
                <w:sz w:val="16"/>
                <w:szCs w:val="16"/>
                <w:b w:val="1"/>
                <w:bCs w:val="1"/>
                <w:color w:val="auto"/>
              </w:rPr>
              <w:t>2021</w:t>
            </w:r>
          </w:p>
        </w:tc>
        <w:tc>
          <w:tcPr>
            <w:tcW w:w="1260" w:type="dxa"/>
            <w:vAlign w:val="bottom"/>
            <w:gridSpan w:val="2"/>
          </w:tcPr>
          <w:p>
            <w:pPr>
              <w:jc w:val="right"/>
              <w:ind w:right="327"/>
              <w:spacing w:after="0" w:line="179" w:lineRule="exact"/>
              <w:rPr>
                <w:sz w:val="20"/>
                <w:szCs w:val="20"/>
                <w:color w:val="auto"/>
              </w:rPr>
            </w:pPr>
            <w:r>
              <w:rPr>
                <w:rFonts w:ascii="Times New Roman" w:cs="Times New Roman" w:eastAsia="Times New Roman" w:hAnsi="Times New Roman"/>
                <w:sz w:val="16"/>
                <w:szCs w:val="16"/>
                <w:b w:val="1"/>
                <w:bCs w:val="1"/>
                <w:color w:val="auto"/>
              </w:rPr>
              <w:t>2022</w:t>
            </w:r>
          </w:p>
        </w:tc>
        <w:tc>
          <w:tcPr>
            <w:tcW w:w="1260" w:type="dxa"/>
            <w:vAlign w:val="bottom"/>
          </w:tcPr>
          <w:p>
            <w:pPr>
              <w:jc w:val="right"/>
              <w:ind w:right="328"/>
              <w:spacing w:after="0" w:line="179" w:lineRule="exact"/>
              <w:rPr>
                <w:sz w:val="20"/>
                <w:szCs w:val="20"/>
                <w:color w:val="auto"/>
              </w:rPr>
            </w:pPr>
            <w:r>
              <w:rPr>
                <w:rFonts w:ascii="Times New Roman" w:cs="Times New Roman" w:eastAsia="Times New Roman" w:hAnsi="Times New Roman"/>
                <w:sz w:val="16"/>
                <w:szCs w:val="16"/>
                <w:b w:val="1"/>
                <w:bCs w:val="1"/>
                <w:color w:val="auto"/>
              </w:rPr>
              <w:t>2023</w:t>
            </w:r>
          </w:p>
        </w:tc>
        <w:tc>
          <w:tcPr>
            <w:tcW w:w="1260" w:type="dxa"/>
            <w:vAlign w:val="bottom"/>
          </w:tcPr>
          <w:p>
            <w:pPr>
              <w:jc w:val="right"/>
              <w:ind w:right="328"/>
              <w:spacing w:after="0" w:line="179" w:lineRule="exact"/>
              <w:rPr>
                <w:sz w:val="20"/>
                <w:szCs w:val="20"/>
                <w:color w:val="auto"/>
              </w:rPr>
            </w:pPr>
            <w:r>
              <w:rPr>
                <w:rFonts w:ascii="Times New Roman" w:cs="Times New Roman" w:eastAsia="Times New Roman" w:hAnsi="Times New Roman"/>
                <w:sz w:val="16"/>
                <w:szCs w:val="16"/>
                <w:b w:val="1"/>
                <w:bCs w:val="1"/>
                <w:color w:val="auto"/>
              </w:rPr>
              <w:t>2024</w:t>
            </w:r>
          </w:p>
        </w:tc>
        <w:tc>
          <w:tcPr>
            <w:tcW w:w="1300" w:type="dxa"/>
            <w:vAlign w:val="bottom"/>
          </w:tcPr>
          <w:p>
            <w:pPr>
              <w:jc w:val="right"/>
              <w:ind w:right="348"/>
              <w:spacing w:after="0" w:line="179" w:lineRule="exact"/>
              <w:rPr>
                <w:sz w:val="20"/>
                <w:szCs w:val="20"/>
                <w:color w:val="auto"/>
              </w:rPr>
            </w:pPr>
            <w:r>
              <w:rPr>
                <w:rFonts w:ascii="Times New Roman" w:cs="Times New Roman" w:eastAsia="Times New Roman" w:hAnsi="Times New Roman"/>
                <w:sz w:val="16"/>
                <w:szCs w:val="16"/>
                <w:b w:val="1"/>
                <w:bCs w:val="1"/>
                <w:color w:val="auto"/>
              </w:rPr>
              <w:t>2025</w:t>
            </w:r>
          </w:p>
        </w:tc>
      </w:tr>
      <w:tr>
        <w:trPr>
          <w:trHeight w:val="50"/>
        </w:trPr>
        <w:tc>
          <w:tcPr>
            <w:tcW w:w="40" w:type="dxa"/>
            <w:vAlign w:val="bottom"/>
            <w:tcBorders>
              <w:bottom w:val="single" w:sz="8" w:color="DDDDDD"/>
            </w:tcBorders>
          </w:tcPr>
          <w:p>
            <w:pPr>
              <w:spacing w:after="0"/>
              <w:rPr>
                <w:sz w:val="4"/>
                <w:szCs w:val="4"/>
                <w:color w:val="auto"/>
              </w:rPr>
            </w:pPr>
          </w:p>
        </w:tc>
        <w:tc>
          <w:tcPr>
            <w:tcW w:w="1540" w:type="dxa"/>
            <w:vAlign w:val="bottom"/>
            <w:tcBorders>
              <w:top w:val="single" w:sz="8" w:color="auto"/>
              <w:bottom w:val="single" w:sz="8" w:color="DDDDDD"/>
            </w:tcBorders>
          </w:tcPr>
          <w:p>
            <w:pPr>
              <w:spacing w:after="0"/>
              <w:rPr>
                <w:sz w:val="4"/>
                <w:szCs w:val="4"/>
                <w:color w:val="auto"/>
              </w:rPr>
            </w:pPr>
          </w:p>
        </w:tc>
        <w:tc>
          <w:tcPr>
            <w:tcW w:w="1320" w:type="dxa"/>
            <w:vAlign w:val="bottom"/>
            <w:tcBorders>
              <w:bottom w:val="single" w:sz="8" w:color="DDDDDD"/>
            </w:tcBorders>
          </w:tcPr>
          <w:p>
            <w:pPr>
              <w:spacing w:after="0"/>
              <w:rPr>
                <w:sz w:val="4"/>
                <w:szCs w:val="4"/>
                <w:color w:val="auto"/>
              </w:rPr>
            </w:pPr>
          </w:p>
        </w:tc>
        <w:tc>
          <w:tcPr>
            <w:tcW w:w="60" w:type="dxa"/>
            <w:vAlign w:val="bottom"/>
            <w:tcBorders>
              <w:bottom w:val="single" w:sz="8" w:color="DDDDDD"/>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DDDDDD"/>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DDDDDD"/>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333"/>
        </w:trPr>
        <w:tc>
          <w:tcPr>
            <w:tcW w:w="40" w:type="dxa"/>
            <w:vAlign w:val="bottom"/>
            <w:tcBorders>
              <w:bottom w:val="single" w:sz="8" w:color="DDDDDD"/>
            </w:tcBorders>
            <w:shd w:val="clear" w:color="auto" w:fill="DDDDDD"/>
          </w:tcPr>
          <w:p>
            <w:pPr>
              <w:spacing w:after="0"/>
              <w:rPr>
                <w:sz w:val="24"/>
                <w:szCs w:val="24"/>
                <w:color w:val="auto"/>
              </w:rPr>
            </w:pPr>
          </w:p>
        </w:tc>
        <w:tc>
          <w:tcPr>
            <w:tcW w:w="286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SiTime Corporation</w:t>
            </w:r>
          </w:p>
        </w:tc>
        <w:tc>
          <w:tcPr>
            <w:tcW w:w="60" w:type="dxa"/>
            <w:vAlign w:val="bottom"/>
            <w:tcBorders>
              <w:bottom w:val="single" w:sz="8" w:color="DDDDDD"/>
            </w:tcBorders>
            <w:shd w:val="clear" w:color="auto" w:fill="DDDDDD"/>
          </w:tcPr>
          <w:p>
            <w:pPr>
              <w:spacing w:after="0"/>
              <w:rPr>
                <w:sz w:val="24"/>
                <w:szCs w:val="24"/>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00" w:type="dxa"/>
            <w:vAlign w:val="bottom"/>
            <w:tcBorders>
              <w:bottom w:val="single" w:sz="8" w:color="DDDDDD"/>
            </w:tcBorders>
            <w:shd w:val="clear" w:color="auto" w:fill="DDDDDD"/>
          </w:tcPr>
          <w:p>
            <w:pPr>
              <w:spacing w:after="0"/>
              <w:rPr>
                <w:sz w:val="24"/>
                <w:szCs w:val="24"/>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261.36</w:t>
            </w:r>
          </w:p>
        </w:tc>
        <w:tc>
          <w:tcPr>
            <w:tcW w:w="80" w:type="dxa"/>
            <w:vAlign w:val="bottom"/>
            <w:tcBorders>
              <w:bottom w:val="single" w:sz="8" w:color="DDDDDD"/>
            </w:tcBorders>
            <w:shd w:val="clear" w:color="auto" w:fill="DDDDDD"/>
          </w:tcPr>
          <w:p>
            <w:pPr>
              <w:spacing w:after="0"/>
              <w:rPr>
                <w:sz w:val="24"/>
                <w:szCs w:val="24"/>
                <w:color w:val="auto"/>
              </w:rPr>
            </w:pPr>
          </w:p>
        </w:tc>
        <w:tc>
          <w:tcPr>
            <w:tcW w:w="1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90.79</w:t>
            </w:r>
          </w:p>
        </w:tc>
        <w:tc>
          <w:tcPr>
            <w:tcW w:w="12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109.07</w:t>
            </w:r>
          </w:p>
        </w:tc>
        <w:tc>
          <w:tcPr>
            <w:tcW w:w="12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191.66</w:t>
            </w:r>
          </w:p>
        </w:tc>
        <w:tc>
          <w:tcPr>
            <w:tcW w:w="13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315.55</w:t>
            </w:r>
          </w:p>
        </w:tc>
      </w:tr>
      <w:tr>
        <w:trPr>
          <w:trHeight w:val="330"/>
        </w:trPr>
        <w:tc>
          <w:tcPr>
            <w:tcW w:w="40" w:type="dxa"/>
            <w:vAlign w:val="bottom"/>
          </w:tcPr>
          <w:p>
            <w:pPr>
              <w:spacing w:after="0"/>
              <w:rPr>
                <w:sz w:val="24"/>
                <w:szCs w:val="24"/>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Nasdaq composite index</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121.39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81.21</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116.47</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149.83</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180.33</w:t>
            </w:r>
          </w:p>
        </w:tc>
      </w:tr>
      <w:tr>
        <w:trPr>
          <w:trHeight w:val="43"/>
        </w:trPr>
        <w:tc>
          <w:tcPr>
            <w:tcW w:w="40" w:type="dxa"/>
            <w:vAlign w:val="bottom"/>
          </w:tcPr>
          <w:p>
            <w:pPr>
              <w:spacing w:after="0"/>
              <w:rPr>
                <w:sz w:val="3"/>
                <w:szCs w:val="3"/>
                <w:color w:val="auto"/>
              </w:rPr>
            </w:pPr>
          </w:p>
        </w:tc>
        <w:tc>
          <w:tcPr>
            <w:tcW w:w="2860" w:type="dxa"/>
            <w:vAlign w:val="bottom"/>
            <w:gridSpan w:val="2"/>
          </w:tcPr>
          <w:p>
            <w:pPr>
              <w:spacing w:after="0"/>
              <w:rPr>
                <w:sz w:val="3"/>
                <w:szCs w:val="3"/>
                <w:color w:val="auto"/>
              </w:rPr>
            </w:pPr>
          </w:p>
        </w:tc>
        <w:tc>
          <w:tcPr>
            <w:tcW w:w="1240" w:type="dxa"/>
            <w:vAlign w:val="bottom"/>
            <w:gridSpan w:val="2"/>
          </w:tcPr>
          <w:p>
            <w:pPr>
              <w:spacing w:after="0"/>
              <w:rPr>
                <w:sz w:val="3"/>
                <w:szCs w:val="3"/>
                <w:color w:val="auto"/>
              </w:rPr>
            </w:pPr>
          </w:p>
        </w:tc>
        <w:tc>
          <w:tcPr>
            <w:tcW w:w="1280" w:type="dxa"/>
            <w:vAlign w:val="bottom"/>
            <w:gridSpan w:val="2"/>
          </w:tcPr>
          <w:p>
            <w:pPr>
              <w:spacing w:after="0"/>
              <w:rPr>
                <w:sz w:val="3"/>
                <w:szCs w:val="3"/>
                <w:color w:val="auto"/>
              </w:rPr>
            </w:pPr>
          </w:p>
        </w:tc>
        <w:tc>
          <w:tcPr>
            <w:tcW w:w="1260" w:type="dxa"/>
            <w:vAlign w:val="bottom"/>
            <w:gridSpan w:val="2"/>
          </w:tcPr>
          <w:p>
            <w:pPr>
              <w:spacing w:after="0"/>
              <w:rPr>
                <w:sz w:val="3"/>
                <w:szCs w:val="3"/>
                <w:color w:val="auto"/>
              </w:rPr>
            </w:pPr>
          </w:p>
        </w:tc>
        <w:tc>
          <w:tcPr>
            <w:tcW w:w="1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329"/>
        </w:trPr>
        <w:tc>
          <w:tcPr>
            <w:tcW w:w="40" w:type="dxa"/>
            <w:vAlign w:val="bottom"/>
            <w:shd w:val="clear" w:color="auto" w:fill="DDDDDD"/>
          </w:tcPr>
          <w:p>
            <w:pPr>
              <w:spacing w:after="0"/>
              <w:rPr>
                <w:sz w:val="24"/>
                <w:szCs w:val="24"/>
                <w:color w:val="auto"/>
              </w:rPr>
            </w:pPr>
          </w:p>
        </w:tc>
        <w:tc>
          <w:tcPr>
            <w:tcW w:w="286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highlight w:val="lightGray"/>
              </w:rPr>
              <w:t>Philadelphia Semiconductor index</w:t>
            </w:r>
          </w:p>
        </w:tc>
        <w:tc>
          <w:tcPr>
            <w:tcW w:w="6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10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141.16</w:t>
            </w:r>
          </w:p>
        </w:tc>
        <w:tc>
          <w:tcPr>
            <w:tcW w:w="80" w:type="dxa"/>
            <w:vAlign w:val="bottom"/>
            <w:shd w:val="clear" w:color="auto" w:fill="DDDDDD"/>
          </w:tcPr>
          <w:p>
            <w:pPr>
              <w:spacing w:after="0"/>
              <w:rPr>
                <w:sz w:val="24"/>
                <w:szCs w:val="24"/>
                <w:color w:val="auto"/>
              </w:rPr>
            </w:pPr>
          </w:p>
        </w:tc>
        <w:tc>
          <w:tcPr>
            <w:tcW w:w="1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90.58</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149.36</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178.14</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253.38</w:t>
            </w:r>
          </w:p>
        </w:tc>
      </w:tr>
      <w:tr>
        <w:trPr>
          <w:trHeight w:val="43"/>
        </w:trPr>
        <w:tc>
          <w:tcPr>
            <w:tcW w:w="40" w:type="dxa"/>
            <w:vAlign w:val="bottom"/>
            <w:shd w:val="clear" w:color="auto" w:fill="DDDDDD"/>
          </w:tcPr>
          <w:p>
            <w:pPr>
              <w:spacing w:after="0"/>
              <w:rPr>
                <w:sz w:val="3"/>
                <w:szCs w:val="3"/>
                <w:color w:val="auto"/>
              </w:rPr>
            </w:pPr>
          </w:p>
        </w:tc>
        <w:tc>
          <w:tcPr>
            <w:tcW w:w="1540" w:type="dxa"/>
            <w:vAlign w:val="bottom"/>
            <w:shd w:val="clear" w:color="auto" w:fill="DDDDDD"/>
          </w:tcPr>
          <w:p>
            <w:pPr>
              <w:spacing w:after="0"/>
              <w:rPr>
                <w:sz w:val="3"/>
                <w:szCs w:val="3"/>
                <w:color w:val="auto"/>
              </w:rPr>
            </w:pPr>
          </w:p>
        </w:tc>
        <w:tc>
          <w:tcPr>
            <w:tcW w:w="1320" w:type="dxa"/>
            <w:vAlign w:val="bottom"/>
            <w:shd w:val="clear" w:color="auto" w:fill="DDDDDD"/>
          </w:tcPr>
          <w:p>
            <w:pPr>
              <w:spacing w:after="0"/>
              <w:rPr>
                <w:sz w:val="3"/>
                <w:szCs w:val="3"/>
                <w:color w:val="auto"/>
              </w:rPr>
            </w:pPr>
          </w:p>
        </w:tc>
        <w:tc>
          <w:tcPr>
            <w:tcW w:w="60" w:type="dxa"/>
            <w:vAlign w:val="bottom"/>
            <w:shd w:val="clear" w:color="auto" w:fill="DDDDDD"/>
          </w:tcPr>
          <w:p>
            <w:pPr>
              <w:spacing w:after="0"/>
              <w:rPr>
                <w:sz w:val="3"/>
                <w:szCs w:val="3"/>
                <w:color w:val="auto"/>
              </w:rPr>
            </w:pPr>
          </w:p>
        </w:tc>
        <w:tc>
          <w:tcPr>
            <w:tcW w:w="1180" w:type="dxa"/>
            <w:vAlign w:val="bottom"/>
            <w:shd w:val="clear" w:color="auto" w:fill="DDDDDD"/>
          </w:tcPr>
          <w:p>
            <w:pPr>
              <w:spacing w:after="0"/>
              <w:rPr>
                <w:sz w:val="3"/>
                <w:szCs w:val="3"/>
                <w:color w:val="auto"/>
              </w:rPr>
            </w:pPr>
          </w:p>
        </w:tc>
        <w:tc>
          <w:tcPr>
            <w:tcW w:w="100" w:type="dxa"/>
            <w:vAlign w:val="bottom"/>
            <w:shd w:val="clear" w:color="auto" w:fill="DDDDDD"/>
          </w:tcPr>
          <w:p>
            <w:pPr>
              <w:spacing w:after="0"/>
              <w:rPr>
                <w:sz w:val="3"/>
                <w:szCs w:val="3"/>
                <w:color w:val="auto"/>
              </w:rPr>
            </w:pPr>
          </w:p>
        </w:tc>
        <w:tc>
          <w:tcPr>
            <w:tcW w:w="1180" w:type="dxa"/>
            <w:vAlign w:val="bottom"/>
            <w:shd w:val="clear" w:color="auto" w:fill="DDDDDD"/>
          </w:tcPr>
          <w:p>
            <w:pPr>
              <w:spacing w:after="0"/>
              <w:rPr>
                <w:sz w:val="3"/>
                <w:szCs w:val="3"/>
                <w:color w:val="auto"/>
              </w:rPr>
            </w:pPr>
          </w:p>
        </w:tc>
        <w:tc>
          <w:tcPr>
            <w:tcW w:w="80" w:type="dxa"/>
            <w:vAlign w:val="bottom"/>
            <w:shd w:val="clear" w:color="auto" w:fill="DDDDDD"/>
          </w:tcPr>
          <w:p>
            <w:pPr>
              <w:spacing w:after="0"/>
              <w:rPr>
                <w:sz w:val="3"/>
                <w:szCs w:val="3"/>
                <w:color w:val="auto"/>
              </w:rPr>
            </w:pPr>
          </w:p>
        </w:tc>
        <w:tc>
          <w:tcPr>
            <w:tcW w:w="1180" w:type="dxa"/>
            <w:vAlign w:val="bottom"/>
            <w:shd w:val="clear" w:color="auto" w:fill="DDDDDD"/>
          </w:tcPr>
          <w:p>
            <w:pPr>
              <w:spacing w:after="0"/>
              <w:rPr>
                <w:sz w:val="3"/>
                <w:szCs w:val="3"/>
                <w:color w:val="auto"/>
              </w:rPr>
            </w:pPr>
          </w:p>
        </w:tc>
        <w:tc>
          <w:tcPr>
            <w:tcW w:w="1260" w:type="dxa"/>
            <w:vAlign w:val="bottom"/>
            <w:shd w:val="clear" w:color="auto" w:fill="DDDDDD"/>
          </w:tcPr>
          <w:p>
            <w:pPr>
              <w:spacing w:after="0"/>
              <w:rPr>
                <w:sz w:val="3"/>
                <w:szCs w:val="3"/>
                <w:color w:val="auto"/>
              </w:rPr>
            </w:pPr>
          </w:p>
        </w:tc>
        <w:tc>
          <w:tcPr>
            <w:tcW w:w="1260" w:type="dxa"/>
            <w:vAlign w:val="bottom"/>
            <w:shd w:val="clear" w:color="auto" w:fill="DDDDDD"/>
          </w:tcPr>
          <w:p>
            <w:pPr>
              <w:spacing w:after="0"/>
              <w:rPr>
                <w:sz w:val="3"/>
                <w:szCs w:val="3"/>
                <w:color w:val="auto"/>
              </w:rPr>
            </w:pPr>
          </w:p>
        </w:tc>
        <w:tc>
          <w:tcPr>
            <w:tcW w:w="1300" w:type="dxa"/>
            <w:vAlign w:val="bottom"/>
            <w:shd w:val="clear" w:color="auto" w:fill="DDDDDD"/>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500"/>
          </w:cols>
          <w:pgMar w:left="880" w:top="927" w:right="860" w:bottom="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9620"/>
          </w:cols>
          <w:pgMar w:left="1180" w:top="852" w:right="1440" w:bottom="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34" w:lineRule="exact"/>
        <w:rPr>
          <w:sz w:val="20"/>
          <w:szCs w:val="20"/>
          <w:color w:val="auto"/>
        </w:rPr>
      </w:pPr>
    </w:p>
    <w:p>
      <w:pPr>
        <w:ind w:right="100" w:firstLine="720"/>
        <w:spacing w:after="0" w:line="263" w:lineRule="auto"/>
        <w:rPr>
          <w:sz w:val="20"/>
          <w:szCs w:val="20"/>
          <w:color w:val="auto"/>
        </w:rPr>
      </w:pPr>
      <w:r>
        <w:rPr>
          <w:rFonts w:ascii="Times New Roman" w:cs="Times New Roman" w:eastAsia="Times New Roman" w:hAnsi="Times New Roman"/>
          <w:sz w:val="20"/>
          <w:szCs w:val="20"/>
          <w:color w:val="auto"/>
        </w:rPr>
        <w:t>The Management’s Discussion and Analysis of Financial Condition and Results of Operations (“MD&amp;A”) should be read in conjunction with the financial statements and the notes thereto included elsewhere in this Annual Report on Form 10-K. The MD&amp;A contains forward-looking statements within the meaning of Section 27A of the Securities Act and Section 21E of the Exchange Act that involve risks and uncertainties, which are discussed under Part I, Item 1A.</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8"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ability to accurately measure and reference time has been essential to humankind’s greatest inventions and technological advances. Timing technology has continued to evolve over centuries, underpinning broader technological evolution and is the heartbeat of digital electronic systems. Timing ensures that the system runs smoothly and reliably by providing and distributing clock signals to various critical components such as central processing units, communication and interface ICs, and radio frequency components. As electronics evolve to deliver higher performance, connectivity, and intelligence, even in increasingly challenging environments, while also being more complex and size-constrained, we believe they will require more sophisticated semiconductor-based timing solutions that cannot be developed in legacy quartz crystal-based technologies. Precision timing, a category that SiTime created ("Precision Timing") fills this need with the performance, resilience, reliability, power, size, and cost that is required by these applications.</w:t>
      </w:r>
    </w:p>
    <w:p>
      <w:pPr>
        <w:spacing w:after="0" w:line="87"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We are a leading provider of Precision Timing solutions to the global electronics industry. Our Precision Timing products are the heartbeat of our customers’ electronic systems, providing the timing functionality that is needed for electronics to operate reliably and accurately. We provide Precision Timing solutions that are differentiated by high performance, high resilience, and high reliability, along with programmability, small size, and low power consumption. Our products have been designed into over 400 applications across our target markets, including artificial intelligence ("AI") systems, datacenter, communications, enterprise, automotive, industrial, aerospace, defense, mobile, Internet of Things (“IoT”), and consumer. Our current solutions include various types of oscillators, as well as clock integrated circuits (“ICs”), resonators, and synchronization software.</w:t>
      </w:r>
    </w:p>
    <w:p>
      <w:pPr>
        <w:spacing w:after="0" w:line="85" w:lineRule="exact"/>
        <w:rPr>
          <w:sz w:val="20"/>
          <w:szCs w:val="20"/>
          <w:color w:val="auto"/>
        </w:rPr>
      </w:pPr>
    </w:p>
    <w:p>
      <w:pPr>
        <w:jc w:val="both"/>
        <w:ind w:right="160" w:firstLine="720"/>
        <w:spacing w:after="0" w:line="261" w:lineRule="auto"/>
        <w:rPr>
          <w:sz w:val="20"/>
          <w:szCs w:val="20"/>
          <w:color w:val="auto"/>
        </w:rPr>
      </w:pPr>
      <w:r>
        <w:rPr>
          <w:rFonts w:ascii="Times New Roman" w:cs="Times New Roman" w:eastAsia="Times New Roman" w:hAnsi="Times New Roman"/>
          <w:sz w:val="20"/>
          <w:szCs w:val="20"/>
          <w:color w:val="auto"/>
        </w:rPr>
        <w:t>We believe that the total timing market is approximately $11 billion in size and growing. Since our founding, we have focused on the high-end portion of the market, i.e. Precision Timing. Historically, our revenue has been substantially derived from sale of oscillator systems across our target end markets. In 2025, we have benefitted from the strong growth in AI datacenter deployments.</w:t>
      </w:r>
    </w:p>
    <w:p>
      <w:pPr>
        <w:spacing w:after="0" w:line="80"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Our all-silicon solutions are based on four fundamental areas of technical expertise: micro-electro-mechanical systems (“MEMS”), analog mixed-signal design, advanced system-level integration, and software. This expertise, along with the knowledge of our customers' systems, gives our products a significant edge as we address customers’ complex timing problems. In this aspect, we believe we are different than quartz-based oscillator and resonator providers, who typically have expertise in designing and manufacturing resonator components, but usually outsource the analog circuit design and packaging. We also have a deep understanding of the mechanical, electrical, and thermal properties of materials, which is a key requirement for developing our proprietary MEMS processes. To maximize MEMS first-silicon success, we have also developed our own MEMS simulation tools. We are also different in that our MEMS resonators are made using semiconductor technology which has significant benefits in features, performance, manufacturing, and cost, while the quartz resonator and oscillator suppliers use quartz crystal material.</w:t>
      </w:r>
    </w:p>
    <w:p>
      <w:pPr>
        <w:spacing w:after="0" w:line="86" w:lineRule="exact"/>
        <w:rPr>
          <w:sz w:val="20"/>
          <w:szCs w:val="20"/>
          <w:color w:val="auto"/>
        </w:rPr>
      </w:pPr>
    </w:p>
    <w:p>
      <w:pPr>
        <w:ind w:right="100" w:firstLine="720"/>
        <w:spacing w:after="0" w:line="255" w:lineRule="auto"/>
        <w:rPr>
          <w:sz w:val="20"/>
          <w:szCs w:val="20"/>
          <w:color w:val="auto"/>
        </w:rPr>
      </w:pPr>
      <w:r>
        <w:rPr>
          <w:rFonts w:ascii="Times New Roman" w:cs="Times New Roman" w:eastAsia="Times New Roman" w:hAnsi="Times New Roman"/>
          <w:sz w:val="20"/>
          <w:szCs w:val="20"/>
          <w:color w:val="auto"/>
        </w:rPr>
        <w:t>Compared to traditional clock IC suppliers, we are different in that we design the resonator in-house and can integrate it into the clock IC package. Our analog/mixed-signal die are developed using industry-standard processes and deliver high levels of performance using programmable phase-locked loops, temperature sensors, regulators, data converters, drivers and other building blocks. Unlike most clock IC vendors, we do not rely on quartz vendors to provide the quartz resonator clock reference that is required for their clock ICs to function. Our expertise creates supply chain advantages for us and most importantly, enables us to design and build complete timing systems that result in performance advantages, providing a complete solution to the customer.</w:t>
      </w:r>
    </w:p>
    <w:p>
      <w:pPr>
        <w:spacing w:after="0" w:line="90" w:lineRule="exact"/>
        <w:rPr>
          <w:sz w:val="20"/>
          <w:szCs w:val="20"/>
          <w:color w:val="auto"/>
        </w:rPr>
      </w:pPr>
    </w:p>
    <w:p>
      <w:pPr>
        <w:ind w:right="60" w:firstLine="720"/>
        <w:spacing w:after="0" w:line="269" w:lineRule="auto"/>
        <w:rPr>
          <w:sz w:val="20"/>
          <w:szCs w:val="20"/>
          <w:color w:val="auto"/>
        </w:rPr>
      </w:pPr>
      <w:r>
        <w:rPr>
          <w:rFonts w:ascii="Times New Roman" w:cs="Times New Roman" w:eastAsia="Times New Roman" w:hAnsi="Times New Roman"/>
          <w:sz w:val="19"/>
          <w:szCs w:val="19"/>
          <w:color w:val="auto"/>
        </w:rPr>
        <w:t>Today's newer applications are driving the need for faster connectivity and lower latency, even when the electronics is subject to non-ideal conditions. Our Precision Timing solutions are designed to be resilient to such harsh environmental stressors which provides a benefit to our customers. For example, Artificial Intelligence ("AI") Infrastructure equipment is becoming more dense, and is subject to rapid temperature changes within the system, but still needs to deliver maximum performance and reliability. In the communications market, a 5G small cell radio mounted on a pole next to a road or rail line is subject to vibration of passing heavy trucks or trains. These conditions make our Precision Timing solutions a natural choice in such applications. Our solutions are also utilized in automotive electronics, including advanced driver assistance systems (“ADAS”) for self-driving cars, which require increased timing accuracy. For the industrial market, our products offer programmability and high reliability for the diverse operating conditions of industrial</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9900"/>
          </w:cols>
          <w:pgMar w:left="1180" w:top="846" w:right="1160" w:bottom="0" w:gutter="0" w:footer="0" w:header="0"/>
        </w:sectPr>
      </w:pPr>
    </w:p>
    <w:bookmarkStart w:id="49" w:name="page50"/>
    <w:bookmarkEnd w:id="49"/>
    <w:p>
      <w:pPr>
        <w:ind w:right="40"/>
        <w:spacing w:after="0" w:line="261" w:lineRule="auto"/>
        <w:rPr>
          <w:sz w:val="20"/>
          <w:szCs w:val="20"/>
          <w:color w:val="auto"/>
        </w:rPr>
      </w:pPr>
      <w:r>
        <w:rPr>
          <w:rFonts w:ascii="Times New Roman" w:cs="Times New Roman" w:eastAsia="Times New Roman" w:hAnsi="Times New Roman"/>
          <w:sz w:val="20"/>
          <w:szCs w:val="20"/>
          <w:color w:val="auto"/>
        </w:rPr>
        <w:t>equipment, including high temperatures, mechanical shock, and vibration. For the aerospace and defense market, our solutions provide high reliability and lower acceleration sensitivity for end products that operate in rugged conditions. For the mobile, IoT and consumer market, our timing solutions offer high performance at optimal power consumption and size, as our customers fit more functionality into smaller devices.</w:t>
      </w:r>
    </w:p>
    <w:p>
      <w:pPr>
        <w:spacing w:after="0" w:line="80" w:lineRule="exact"/>
        <w:rPr>
          <w:sz w:val="20"/>
          <w:szCs w:val="20"/>
          <w:color w:val="auto"/>
        </w:rPr>
      </w:pPr>
    </w:p>
    <w:p>
      <w:pPr>
        <w:ind w:right="260" w:firstLine="720"/>
        <w:spacing w:after="0" w:line="275" w:lineRule="auto"/>
        <w:rPr>
          <w:sz w:val="20"/>
          <w:szCs w:val="20"/>
          <w:color w:val="auto"/>
        </w:rPr>
      </w:pPr>
      <w:r>
        <w:rPr>
          <w:rFonts w:ascii="Times New Roman" w:cs="Times New Roman" w:eastAsia="Times New Roman" w:hAnsi="Times New Roman"/>
          <w:sz w:val="19"/>
          <w:szCs w:val="19"/>
          <w:color w:val="auto"/>
        </w:rPr>
        <w:t>In all of these markets, the trend for increased data transfer at higher speeds and demand for lower latency continues to grow. This requires higher levels of performance in timing and synchronization. Additionally, as electronics continue to proliferate in all industries and areas of our daily life, digital devices are increasingly subjected to less controlled environments, making resiliency to environmental stressors ever more important. These industry trends place higher demands on timing components, increasing the importance of resilient and reliable Precision Timing.</w:t>
      </w:r>
    </w:p>
    <w:p>
      <w:pPr>
        <w:spacing w:after="0" w:line="69"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SiTime is now a key provider of all differentiated products in timing - oscillators, clocks, and resonators combined synchronization software and deep engineering expertise in Precision Timing solutions.</w:t>
      </w:r>
    </w:p>
    <w:p>
      <w:pPr>
        <w:spacing w:after="0" w:line="60" w:lineRule="exact"/>
        <w:rPr>
          <w:sz w:val="20"/>
          <w:szCs w:val="20"/>
          <w:color w:val="auto"/>
        </w:rPr>
      </w:pPr>
    </w:p>
    <w:p>
      <w:pPr>
        <w:ind w:right="100" w:firstLine="720"/>
        <w:spacing w:after="0" w:line="275" w:lineRule="auto"/>
        <w:rPr>
          <w:sz w:val="20"/>
          <w:szCs w:val="20"/>
          <w:color w:val="auto"/>
        </w:rPr>
      </w:pPr>
      <w:r>
        <w:rPr>
          <w:rFonts w:ascii="Times New Roman" w:cs="Times New Roman" w:eastAsia="Times New Roman" w:hAnsi="Times New Roman"/>
          <w:sz w:val="19"/>
          <w:szCs w:val="19"/>
          <w:color w:val="auto"/>
        </w:rPr>
        <w:t>We sell our products primarily through distributors, who in turn sell to our end customers. We also sell products directly to some of our end customers. We leverage our global network of distributors to address the broad set of end markets we serve. For our largest accounts, dedicated sales personnel work with the end customer to ensure that our solutions fully address the end customer’s timing needs. Our smaller customers can select the optimum timing solution for their needs by working directly with our sales personnel or distributors or by shopping on our online store, SiTimeDirect.</w:t>
      </w:r>
    </w:p>
    <w:p>
      <w:pPr>
        <w:spacing w:after="0" w:line="68"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We operate a fabless business model, where we outsource manufacturing to semiconductor industry suppliers, which allows us to focus on, and excel in, the design, marketing, and sales of our products. A fabless infrastructure gives us production flexibility and the ability to scale capacity up and down to meet demand. While this model allows us to operate with lower capital expenditure investment than other semiconductor companies that own fabrication plants ("fabs"), we may be required to make such investments from time to time primarily to strengthen our supply chain and optimize our costs. These investments could put downward pressure on our gross margins if demand for our products does not materialize as expected. Further, this model could also subject us to supply constraints, when demand for our products is higher than anticipated, resulting in increased costs and impacting our gross margins. Our programmable architecture also plays a key role in ensuring optimal production flexibility. In contrast to products offered by traditional timing device suppliers, our products are batch produced and then custom programmed to customer needs, allowing us to offer shorter lead times and the ability to meet custom requirements more easily.</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Factors Affecting Our Performance</w:t>
      </w:r>
    </w:p>
    <w:p>
      <w:pPr>
        <w:spacing w:after="0" w:line="1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Customer Orders and Forecasts</w:t>
      </w:r>
    </w:p>
    <w:p>
      <w:pPr>
        <w:spacing w:after="0" w:line="136" w:lineRule="exact"/>
        <w:rPr>
          <w:sz w:val="20"/>
          <w:szCs w:val="20"/>
          <w:color w:val="auto"/>
        </w:rPr>
      </w:pPr>
    </w:p>
    <w:p>
      <w:pPr>
        <w:ind w:right="60" w:firstLine="720"/>
        <w:spacing w:after="0" w:line="256" w:lineRule="auto"/>
        <w:rPr>
          <w:sz w:val="20"/>
          <w:szCs w:val="20"/>
          <w:color w:val="auto"/>
        </w:rPr>
      </w:pPr>
      <w:r>
        <w:rPr>
          <w:rFonts w:ascii="Times New Roman" w:cs="Times New Roman" w:eastAsia="Times New Roman" w:hAnsi="Times New Roman"/>
          <w:sz w:val="20"/>
          <w:szCs w:val="20"/>
          <w:color w:val="auto"/>
        </w:rPr>
        <w:t>Because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customers exposes us to the risks of inventory shortages or excess inventory. We may not be able to fulfill increased demand, at least in the short term, as we do not intend to acquire excess inventory to pre-build custom products.</w:t>
      </w:r>
    </w:p>
    <w:p>
      <w:pPr>
        <w:spacing w:after="0" w:line="20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Design Wins with New and Existing Customers</w:t>
      </w:r>
    </w:p>
    <w:p>
      <w:pPr>
        <w:spacing w:after="0" w:line="136" w:lineRule="exact"/>
        <w:rPr>
          <w:sz w:val="20"/>
          <w:szCs w:val="20"/>
          <w:color w:val="auto"/>
        </w:rPr>
      </w:pPr>
    </w:p>
    <w:p>
      <w:pPr>
        <w:ind w:right="80" w:firstLine="720"/>
        <w:spacing w:after="0" w:line="255" w:lineRule="auto"/>
        <w:rPr>
          <w:sz w:val="20"/>
          <w:szCs w:val="20"/>
          <w:color w:val="auto"/>
        </w:rPr>
      </w:pPr>
      <w:r>
        <w:rPr>
          <w:rFonts w:ascii="Times New Roman" w:cs="Times New Roman" w:eastAsia="Times New Roman" w:hAnsi="Times New Roman"/>
          <w:sz w:val="20"/>
          <w:szCs w:val="20"/>
          <w:color w:val="auto"/>
        </w:rPr>
        <w:t>Our solutions enable our customers to differentiate their product offerings and position themselves to gain market share. We work closely with our customers to understand their product roadmaps and strategies. Our end customers continuously develop new products in existing and new application areas. We also consider design wins critical to our future success and anticipate being increasingly dependent on revenue from new design wins for our new higher-end products which have higher ASPs. The selection process is typically lengthy and may require us to incur significant design and development expenditures in pursuit of a design win with no assurance that our solutions will be selected. As a result, the loss of any key design win or any significant delay in the ramp of volume production of the customer’s products into which our product is designed could adversely affect our business.</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Customer Demand and Product Life Cycles</w:t>
      </w:r>
    </w:p>
    <w:p>
      <w:pPr>
        <w:spacing w:after="0" w:line="136" w:lineRule="exact"/>
        <w:rPr>
          <w:sz w:val="20"/>
          <w:szCs w:val="20"/>
          <w:color w:val="auto"/>
        </w:rPr>
      </w:pPr>
    </w:p>
    <w:p>
      <w:pPr>
        <w:ind w:right="40" w:firstLine="720"/>
        <w:spacing w:after="0" w:line="258" w:lineRule="auto"/>
        <w:rPr>
          <w:sz w:val="20"/>
          <w:szCs w:val="20"/>
          <w:color w:val="auto"/>
        </w:rPr>
      </w:pPr>
      <w:r>
        <w:rPr>
          <w:rFonts w:ascii="Times New Roman" w:cs="Times New Roman" w:eastAsia="Times New Roman" w:hAnsi="Times New Roman"/>
          <w:sz w:val="20"/>
          <w:szCs w:val="20"/>
          <w:color w:val="auto"/>
        </w:rPr>
        <w:t>Once customers design our Precision Timing solutions into their products, we closely monitor all aspects of their demand cycle, including the initial design phase, prototype production, volume production, and inventories, as well as end-market demand, including seasonality, cyclicality, and the competitive landscape. Given our customer relationships and the long-term aspects of our solutions, we benefit from visibility into customer demand. This in turn provides an opportunity for us to monitor and refine our business fundamentals.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9880"/>
          </w:cols>
          <w:pgMar w:left="1180" w:top="856" w:right="1180" w:bottom="0" w:gutter="0" w:footer="0" w:header="0"/>
        </w:sectPr>
      </w:pPr>
    </w:p>
    <w:bookmarkStart w:id="50" w:name="page51"/>
    <w:bookmarkEnd w:id="50"/>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Product Adoption within New Markets and Applications</w:t>
      </w:r>
    </w:p>
    <w:p>
      <w:pPr>
        <w:spacing w:after="0" w:line="136"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As we evaluate new market opportunities and bring new products to market, we pay particular attention to forecasts by industry analysts and the adoption curve of technology. We also analyze in detail potential competing forces that could hinder such adoption. If we fail to anticipate or respond to technological shifts or market demands, or to timely develop new or enhanced products or technologies in response to the same, it could result in decreased revenue and the loss of our design wins to our competitors.</w:t>
      </w:r>
    </w:p>
    <w:p>
      <w:pPr>
        <w:spacing w:after="0" w:line="3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Pricing, Product Cost, and Product Mix</w:t>
      </w:r>
    </w:p>
    <w:p>
      <w:pPr>
        <w:spacing w:after="0" w:line="136"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ASPs of our products vary significantly. While the ASP of any individual product generally decreases over time, our average ASPs have historically remained relatively flat as we continue to introduce new higher-end products with higher ASPs. Our pricing and margins depend on customer demand as well as the volumes and the features of the timing devices we provide to our customers. We continually monitor and work to reduce the cost of our products and improve the potential value our solutions provide to our customers as we target new design win opportunities and manage the product life cycles of our existing customer designs. Since we rely on third-party wafer foundries and assembly and test contractors to manufacture, assemble, and test our products, we maintain a close relationship with our suppliers to improve quality and increase yields.</w:t>
      </w:r>
    </w:p>
    <w:p>
      <w:pPr>
        <w:spacing w:after="0" w:line="205"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Gross margin, or gross profit as a percentage of revenue, has been, and will continue to be, affected by a variety of factors, including ASPs, and product mix in a given period, material costs, yields, inventory write-downs and manufacturing operations costs. We believe the primary driver of gross margin is the ASPs negotiated between us and our customers relative to material costs and yield improvement. As our products mature and unit volumes increase, we expect their ASPs to decline. These declines often coincide with improvements in manufacturing yields and lower wafer, assembly, and testing costs, which offset some or all of the margin reduction that results from lower ASPs. However, we expect our gross margin to fluctuate on a quarterly basis as a result of changes in ASPs due to new product introductions, existing product transitions into high-volume manufacturing, manufacturing costs, and our product mix.</w:t>
      </w:r>
    </w:p>
    <w:p>
      <w:pPr>
        <w:spacing w:after="0" w:line="1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Cyclical Nature of the Semiconductor Industry</w:t>
      </w:r>
    </w:p>
    <w:p>
      <w:pPr>
        <w:spacing w:after="0" w:line="136" w:lineRule="exact"/>
        <w:rPr>
          <w:sz w:val="20"/>
          <w:szCs w:val="20"/>
          <w:color w:val="auto"/>
        </w:rPr>
      </w:pPr>
    </w:p>
    <w:p>
      <w:pPr>
        <w:ind w:right="20" w:firstLine="720"/>
        <w:spacing w:after="0" w:line="253" w:lineRule="auto"/>
        <w:rPr>
          <w:sz w:val="20"/>
          <w:szCs w:val="20"/>
          <w:color w:val="auto"/>
        </w:rPr>
      </w:pPr>
      <w:r>
        <w:rPr>
          <w:rFonts w:ascii="Times New Roman" w:cs="Times New Roman" w:eastAsia="Times New Roman" w:hAnsi="Times New Roman"/>
          <w:sz w:val="20"/>
          <w:szCs w:val="20"/>
          <w:color w:val="auto"/>
        </w:rPr>
        <w:t>The semiconductor industry is highly cyclical and is characterized by constant and rapid technological change, rapid product obsolescence, price erosion, evolving standards, short product life cycles, and wide fluctuations in product supply and demand. From time to time, these factors, together with changes in macroeconomic conditions, can cause significant upturns and downturns in the semiconductor industry, and in our business. Downturns in the semiconductor industry have been characterized by diminished product demand, production overcapacity, high inventory levels, and accelerated erosion of ASPs. Any prolonged or significant downturn in the semiconductor industry generally could adversely affect our business and reduce demand for our products and otherwise harm our business, financial condition and results of operations. Any significant upturn in the semiconductor industry could result in increased competition for access to third-party foundry and assembly capacity. To support our current growth plans,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9880"/>
          </w:cols>
          <w:pgMar w:left="1180" w:top="850" w:right="1180" w:bottom="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for the periods presented.</w:t>
      </w:r>
    </w:p>
    <w:p>
      <w:pPr>
        <w:spacing w:after="0" w:line="322"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9"/>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Change 2025 vs 2024</w:t>
            </w:r>
          </w:p>
        </w:tc>
      </w:tr>
      <w:tr>
        <w:trPr>
          <w:trHeight w:val="38"/>
        </w:trPr>
        <w:tc>
          <w:tcPr>
            <w:tcW w:w="3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19"/>
        </w:trPr>
        <w:tc>
          <w:tcPr>
            <w:tcW w:w="3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43"/>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9"/>
        </w:trPr>
        <w:tc>
          <w:tcPr>
            <w:tcW w:w="3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79"/>
        </w:trPr>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8"/>
          </w:tcPr>
          <w:p>
            <w:pPr>
              <w:jc w:val="right"/>
              <w:ind w:right="343"/>
              <w:spacing w:after="0"/>
              <w:rPr>
                <w:sz w:val="20"/>
                <w:szCs w:val="20"/>
                <w:color w:val="auto"/>
              </w:rPr>
            </w:pPr>
            <w:r>
              <w:rPr>
                <w:rFonts w:ascii="Times New Roman" w:cs="Times New Roman" w:eastAsia="Times New Roman" w:hAnsi="Times New Roman"/>
                <w:sz w:val="16"/>
                <w:szCs w:val="16"/>
                <w:b w:val="1"/>
                <w:bCs w:val="1"/>
                <w:color w:val="auto"/>
              </w:rPr>
              <w:t>(in thousands, except percentage)</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
        </w:trPr>
        <w:tc>
          <w:tcPr>
            <w:tcW w:w="3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r>
      <w:tr>
        <w:trPr>
          <w:trHeight w:val="304"/>
        </w:trPr>
        <w:tc>
          <w:tcPr>
            <w:tcW w:w="360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Revenue</w:t>
            </w:r>
          </w:p>
        </w:tc>
        <w:tc>
          <w:tcPr>
            <w:tcW w:w="2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326,660</w:t>
            </w:r>
          </w:p>
        </w:tc>
        <w:tc>
          <w:tcPr>
            <w:tcW w:w="240" w:type="dxa"/>
            <w:vAlign w:val="bottom"/>
            <w:tcBorders>
              <w:bottom w:val="single" w:sz="8" w:color="DDDDDD"/>
            </w:tcBorders>
            <w:gridSpan w:val="3"/>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202,697</w:t>
            </w:r>
          </w:p>
        </w:tc>
        <w:tc>
          <w:tcPr>
            <w:tcW w:w="240" w:type="dxa"/>
            <w:vAlign w:val="bottom"/>
            <w:tcBorders>
              <w:bottom w:val="single" w:sz="8" w:color="DDDDDD"/>
            </w:tcBorders>
            <w:gridSpan w:val="3"/>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143,993</w:t>
            </w:r>
          </w:p>
        </w:tc>
        <w:tc>
          <w:tcPr>
            <w:tcW w:w="280" w:type="dxa"/>
            <w:vAlign w:val="bottom"/>
            <w:tcBorders>
              <w:bottom w:val="single" w:sz="8" w:color="DDDDDD"/>
            </w:tcBorders>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123,963</w:t>
            </w:r>
          </w:p>
        </w:tc>
        <w:tc>
          <w:tcPr>
            <w:tcW w:w="1060" w:type="dxa"/>
            <w:vAlign w:val="bottom"/>
            <w:tcBorders>
              <w:bottom w:val="single" w:sz="8" w:color="DDDDDD"/>
            </w:tcBorders>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61%</w:t>
            </w:r>
          </w:p>
        </w:tc>
      </w:tr>
      <w:tr>
        <w:trPr>
          <w:trHeight w:val="282"/>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Cost of revenue</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151,674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98,203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61,905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53,471</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54%</w:t>
            </w:r>
          </w:p>
        </w:tc>
      </w:tr>
      <w:tr>
        <w:trPr>
          <w:trHeight w:val="43"/>
        </w:trPr>
        <w:tc>
          <w:tcPr>
            <w:tcW w:w="358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220" w:type="dxa"/>
            <w:vAlign w:val="bottom"/>
            <w:tcBorders>
              <w:bottom w:val="single" w:sz="8" w:color="DDDDDD"/>
            </w:tcBorders>
          </w:tcPr>
          <w:p>
            <w:pPr>
              <w:spacing w:after="0"/>
              <w:rPr>
                <w:sz w:val="3"/>
                <w:szCs w:val="3"/>
                <w:color w:val="auto"/>
              </w:rPr>
            </w:pPr>
          </w:p>
        </w:tc>
        <w:tc>
          <w:tcPr>
            <w:tcW w:w="800" w:type="dxa"/>
            <w:vAlign w:val="bottom"/>
            <w:tcBorders>
              <w:bottom w:val="single" w:sz="8" w:color="DDDDDD"/>
            </w:tcBorders>
          </w:tcPr>
          <w:p>
            <w:pPr>
              <w:spacing w:after="0"/>
              <w:rPr>
                <w:sz w:val="3"/>
                <w:szCs w:val="3"/>
                <w:color w:val="auto"/>
              </w:rPr>
            </w:pPr>
          </w:p>
        </w:tc>
        <w:tc>
          <w:tcPr>
            <w:tcW w:w="1060" w:type="dxa"/>
            <w:vAlign w:val="bottom"/>
            <w:tcBorders>
              <w:bottom w:val="single" w:sz="8" w:color="DDDDDD"/>
            </w:tcBorders>
            <w:gridSpan w:val="2"/>
          </w:tcPr>
          <w:p>
            <w:pPr>
              <w:spacing w:after="0"/>
              <w:rPr>
                <w:sz w:val="3"/>
                <w:szCs w:val="3"/>
                <w:color w:val="auto"/>
              </w:rPr>
            </w:pPr>
          </w:p>
        </w:tc>
      </w:tr>
      <w:tr>
        <w:trPr>
          <w:trHeight w:val="285"/>
        </w:trPr>
        <w:tc>
          <w:tcPr>
            <w:tcW w:w="360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Gross profit</w:t>
            </w:r>
          </w:p>
        </w:tc>
        <w:tc>
          <w:tcPr>
            <w:tcW w:w="220" w:type="dxa"/>
            <w:vAlign w:val="bottom"/>
            <w:tcBorders>
              <w:bottom w:val="single" w:sz="8" w:color="DDDDDD"/>
            </w:tcBorders>
            <w:shd w:val="clear" w:color="auto" w:fill="DDDDDD"/>
          </w:tcPr>
          <w:p>
            <w:pPr>
              <w:spacing w:after="0"/>
              <w:rPr>
                <w:sz w:val="24"/>
                <w:szCs w:val="24"/>
                <w:color w:val="auto"/>
              </w:rPr>
            </w:pPr>
          </w:p>
        </w:tc>
        <w:tc>
          <w:tcPr>
            <w:tcW w:w="7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174,986</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104,494</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82,088</w:t>
            </w:r>
          </w:p>
        </w:tc>
        <w:tc>
          <w:tcPr>
            <w:tcW w:w="6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DDDDDD"/>
            </w:tcBorders>
            <w:shd w:val="clear" w:color="auto" w:fill="DDDDDD"/>
          </w:tcPr>
          <w:p>
            <w:pPr>
              <w:spacing w:after="0"/>
              <w:rPr>
                <w:sz w:val="24"/>
                <w:szCs w:val="24"/>
                <w:color w:val="auto"/>
              </w:rPr>
            </w:pPr>
          </w:p>
        </w:tc>
        <w:tc>
          <w:tcPr>
            <w:tcW w:w="8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70,492</w:t>
            </w:r>
          </w:p>
        </w:tc>
        <w:tc>
          <w:tcPr>
            <w:tcW w:w="1060" w:type="dxa"/>
            <w:vAlign w:val="bottom"/>
            <w:tcBorders>
              <w:bottom w:val="single" w:sz="8" w:color="DDDDDD"/>
            </w:tcBorders>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67%</w:t>
            </w:r>
          </w:p>
        </w:tc>
      </w:tr>
      <w:tr>
        <w:trPr>
          <w:trHeight w:val="282"/>
        </w:trPr>
        <w:tc>
          <w:tcPr>
            <w:tcW w:w="36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Operating expenses: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
        </w:trPr>
        <w:tc>
          <w:tcPr>
            <w:tcW w:w="3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r>
      <w:tr>
        <w:trPr>
          <w:trHeight w:val="305"/>
        </w:trPr>
        <w:tc>
          <w:tcPr>
            <w:tcW w:w="3600" w:type="dxa"/>
            <w:vAlign w:val="bottom"/>
            <w:tcBorders>
              <w:bottom w:val="single" w:sz="8" w:color="DDDDDD"/>
            </w:tcBorders>
            <w:gridSpan w:val="2"/>
            <w:shd w:val="clear" w:color="auto" w:fill="DDDDDD"/>
          </w:tcPr>
          <w:p>
            <w:pPr>
              <w:ind w:left="14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20" w:type="dxa"/>
            <w:vAlign w:val="bottom"/>
            <w:tcBorders>
              <w:bottom w:val="single" w:sz="8" w:color="DDDDDD"/>
            </w:tcBorders>
            <w:shd w:val="clear" w:color="auto" w:fill="DDDDDD"/>
          </w:tcPr>
          <w:p>
            <w:pPr>
              <w:spacing w:after="0"/>
              <w:rPr>
                <w:sz w:val="24"/>
                <w:szCs w:val="24"/>
                <w:color w:val="auto"/>
              </w:rPr>
            </w:pPr>
          </w:p>
        </w:tc>
        <w:tc>
          <w:tcPr>
            <w:tcW w:w="780" w:type="dxa"/>
            <w:vAlign w:val="bottom"/>
            <w:tcBorders>
              <w:bottom w:val="single" w:sz="8" w:color="DDDDDD"/>
            </w:tcBorders>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118,893</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106,855</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97,589</w:t>
            </w:r>
          </w:p>
        </w:tc>
        <w:tc>
          <w:tcPr>
            <w:tcW w:w="6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DDDDDD"/>
            </w:tcBorders>
            <w:shd w:val="clear" w:color="auto" w:fill="DDDDDD"/>
          </w:tcPr>
          <w:p>
            <w:pPr>
              <w:spacing w:after="0"/>
              <w:rPr>
                <w:sz w:val="24"/>
                <w:szCs w:val="24"/>
                <w:color w:val="auto"/>
              </w:rPr>
            </w:pPr>
          </w:p>
        </w:tc>
        <w:tc>
          <w:tcPr>
            <w:tcW w:w="8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12,038</w:t>
            </w:r>
          </w:p>
        </w:tc>
        <w:tc>
          <w:tcPr>
            <w:tcW w:w="1060" w:type="dxa"/>
            <w:vAlign w:val="bottom"/>
            <w:tcBorders>
              <w:bottom w:val="single" w:sz="8" w:color="DDDDDD"/>
            </w:tcBorders>
            <w:gridSpan w:val="2"/>
            <w:shd w:val="clear" w:color="auto" w:fill="DDDDDD"/>
          </w:tcPr>
          <w:p>
            <w:pPr>
              <w:jc w:val="right"/>
              <w:ind w:right="100"/>
              <w:spacing w:after="0"/>
              <w:rPr>
                <w:sz w:val="20"/>
                <w:szCs w:val="20"/>
                <w:color w:val="auto"/>
              </w:rPr>
            </w:pPr>
            <w:r>
              <w:rPr>
                <w:rFonts w:ascii="Times New Roman" w:cs="Times New Roman" w:eastAsia="Times New Roman" w:hAnsi="Times New Roman"/>
                <w:sz w:val="20"/>
                <w:szCs w:val="20"/>
                <w:color w:val="auto"/>
              </w:rPr>
              <w:t>11%</w:t>
            </w:r>
          </w:p>
        </w:tc>
      </w:tr>
      <w:tr>
        <w:trPr>
          <w:trHeight w:val="282"/>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20" w:type="dxa"/>
            <w:vAlign w:val="bottom"/>
          </w:tcPr>
          <w:p>
            <w:pPr>
              <w:spacing w:after="0"/>
              <w:rPr>
                <w:sz w:val="24"/>
                <w:szCs w:val="24"/>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116,504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102,157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83,971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14,347</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14%</w:t>
            </w:r>
          </w:p>
        </w:tc>
      </w:tr>
      <w:tr>
        <w:trPr>
          <w:trHeight w:val="43"/>
        </w:trPr>
        <w:tc>
          <w:tcPr>
            <w:tcW w:w="3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r>
      <w:tr>
        <w:trPr>
          <w:trHeight w:val="349"/>
        </w:trPr>
        <w:tc>
          <w:tcPr>
            <w:tcW w:w="3600" w:type="dxa"/>
            <w:vAlign w:val="bottom"/>
            <w:tcBorders>
              <w:bottom w:val="single" w:sz="8" w:color="DDDDDD"/>
            </w:tcBorders>
            <w:gridSpan w:val="2"/>
            <w:shd w:val="clear" w:color="auto" w:fill="DDDDDD"/>
          </w:tcPr>
          <w:p>
            <w:pPr>
              <w:ind w:left="140"/>
              <w:spacing w:after="0"/>
              <w:rPr>
                <w:sz w:val="20"/>
                <w:szCs w:val="20"/>
                <w:color w:val="auto"/>
              </w:rPr>
            </w:pPr>
            <w:r>
              <w:rPr>
                <w:rFonts w:ascii="Times New Roman" w:cs="Times New Roman" w:eastAsia="Times New Roman" w:hAnsi="Times New Roman"/>
                <w:sz w:val="20"/>
                <w:szCs w:val="20"/>
                <w:color w:val="auto"/>
              </w:rPr>
              <w:t>Acquisition related costs</w:t>
            </w:r>
          </w:p>
        </w:tc>
        <w:tc>
          <w:tcPr>
            <w:tcW w:w="220" w:type="dxa"/>
            <w:vAlign w:val="bottom"/>
            <w:tcBorders>
              <w:bottom w:val="single" w:sz="8" w:color="DDDDDD"/>
            </w:tcBorders>
            <w:shd w:val="clear" w:color="auto" w:fill="DDDDDD"/>
          </w:tcPr>
          <w:p>
            <w:pPr>
              <w:spacing w:after="0"/>
              <w:rPr>
                <w:sz w:val="24"/>
                <w:szCs w:val="24"/>
                <w:color w:val="auto"/>
              </w:rPr>
            </w:pPr>
          </w:p>
        </w:tc>
        <w:tc>
          <w:tcPr>
            <w:tcW w:w="7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6,567</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10,722</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7,728</w:t>
            </w:r>
          </w:p>
        </w:tc>
        <w:tc>
          <w:tcPr>
            <w:tcW w:w="6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DDDDDD"/>
            </w:tcBorders>
            <w:shd w:val="clear" w:color="auto" w:fill="DDDDDD"/>
          </w:tcPr>
          <w:p>
            <w:pPr>
              <w:spacing w:after="0"/>
              <w:rPr>
                <w:sz w:val="24"/>
                <w:szCs w:val="24"/>
                <w:color w:val="auto"/>
              </w:rPr>
            </w:pPr>
          </w:p>
        </w:tc>
        <w:tc>
          <w:tcPr>
            <w:tcW w:w="8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(4,155)</w:t>
            </w:r>
          </w:p>
        </w:tc>
        <w:tc>
          <w:tcPr>
            <w:tcW w:w="1060" w:type="dxa"/>
            <w:vAlign w:val="bottom"/>
            <w:tcBorders>
              <w:bottom w:val="single" w:sz="8" w:color="DDDDDD"/>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(39%)</w:t>
            </w:r>
          </w:p>
        </w:tc>
      </w:tr>
      <w:tr>
        <w:trPr>
          <w:trHeight w:val="243"/>
        </w:trPr>
        <w:tc>
          <w:tcPr>
            <w:tcW w:w="3600" w:type="dxa"/>
            <w:vAlign w:val="bottom"/>
            <w:tcBorders>
              <w:top w:val="single" w:sz="8" w:color="DDDDDD"/>
            </w:tcBorders>
            <w:gridSpan w:val="2"/>
          </w:tcPr>
          <w:p>
            <w:pPr>
              <w:ind w:left="22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241,964</w:t>
            </w:r>
          </w:p>
        </w:tc>
        <w:tc>
          <w:tcPr>
            <w:tcW w:w="4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219,734</w:t>
            </w:r>
          </w:p>
        </w:tc>
        <w:tc>
          <w:tcPr>
            <w:tcW w:w="4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189,288</w:t>
            </w:r>
          </w:p>
        </w:tc>
        <w:tc>
          <w:tcPr>
            <w:tcW w:w="60" w:type="dxa"/>
            <w:vAlign w:val="bottom"/>
            <w:tcBorders>
              <w:top w:val="single" w:sz="8" w:color="DDDDDD"/>
            </w:tcBorders>
          </w:tcPr>
          <w:p>
            <w:pPr>
              <w:spacing w:after="0"/>
              <w:rPr>
                <w:sz w:val="21"/>
                <w:szCs w:val="21"/>
                <w:color w:val="auto"/>
              </w:rPr>
            </w:pPr>
          </w:p>
        </w:tc>
        <w:tc>
          <w:tcPr>
            <w:tcW w:w="220" w:type="dxa"/>
            <w:vAlign w:val="bottom"/>
            <w:tcBorders>
              <w:top w:val="single" w:sz="8" w:color="DDDDDD"/>
            </w:tcBorders>
          </w:tcPr>
          <w:p>
            <w:pPr>
              <w:spacing w:after="0"/>
              <w:rPr>
                <w:sz w:val="21"/>
                <w:szCs w:val="21"/>
                <w:color w:val="auto"/>
              </w:rPr>
            </w:pPr>
          </w:p>
        </w:tc>
        <w:tc>
          <w:tcPr>
            <w:tcW w:w="800" w:type="dxa"/>
            <w:vAlign w:val="bottom"/>
            <w:tcBorders>
              <w:top w:val="single" w:sz="8" w:color="DDDDDD"/>
            </w:tcBorders>
          </w:tcPr>
          <w:p>
            <w:pPr>
              <w:jc w:val="right"/>
              <w:spacing w:after="0"/>
              <w:rPr>
                <w:sz w:val="20"/>
                <w:szCs w:val="20"/>
                <w:color w:val="auto"/>
              </w:rPr>
            </w:pPr>
            <w:r>
              <w:rPr>
                <w:rFonts w:ascii="Times New Roman" w:cs="Times New Roman" w:eastAsia="Times New Roman" w:hAnsi="Times New Roman"/>
                <w:sz w:val="20"/>
                <w:szCs w:val="20"/>
                <w:color w:val="auto"/>
              </w:rPr>
              <w:t>22,230</w:t>
            </w:r>
          </w:p>
        </w:tc>
        <w:tc>
          <w:tcPr>
            <w:tcW w:w="1060" w:type="dxa"/>
            <w:vAlign w:val="bottom"/>
            <w:tcBorders>
              <w:top w:val="single" w:sz="8" w:color="DDDDDD"/>
            </w:tcBorders>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10%</w:t>
            </w:r>
          </w:p>
        </w:tc>
      </w:tr>
      <w:tr>
        <w:trPr>
          <w:trHeight w:val="42"/>
        </w:trPr>
        <w:tc>
          <w:tcPr>
            <w:tcW w:w="358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220" w:type="dxa"/>
            <w:vAlign w:val="bottom"/>
            <w:tcBorders>
              <w:bottom w:val="single" w:sz="8" w:color="DDDDDD"/>
            </w:tcBorders>
          </w:tcPr>
          <w:p>
            <w:pPr>
              <w:spacing w:after="0"/>
              <w:rPr>
                <w:sz w:val="3"/>
                <w:szCs w:val="3"/>
                <w:color w:val="auto"/>
              </w:rPr>
            </w:pPr>
          </w:p>
        </w:tc>
        <w:tc>
          <w:tcPr>
            <w:tcW w:w="800" w:type="dxa"/>
            <w:vAlign w:val="bottom"/>
            <w:tcBorders>
              <w:bottom w:val="single" w:sz="8" w:color="DDDDDD"/>
            </w:tcBorders>
          </w:tcPr>
          <w:p>
            <w:pPr>
              <w:spacing w:after="0"/>
              <w:rPr>
                <w:sz w:val="3"/>
                <w:szCs w:val="3"/>
                <w:color w:val="auto"/>
              </w:rPr>
            </w:pPr>
          </w:p>
        </w:tc>
        <w:tc>
          <w:tcPr>
            <w:tcW w:w="1060" w:type="dxa"/>
            <w:vAlign w:val="bottom"/>
            <w:tcBorders>
              <w:bottom w:val="single" w:sz="8" w:color="DDDDDD"/>
            </w:tcBorders>
            <w:gridSpan w:val="2"/>
          </w:tcPr>
          <w:p>
            <w:pPr>
              <w:spacing w:after="0"/>
              <w:rPr>
                <w:sz w:val="3"/>
                <w:szCs w:val="3"/>
                <w:color w:val="auto"/>
              </w:rPr>
            </w:pPr>
          </w:p>
        </w:tc>
      </w:tr>
      <w:tr>
        <w:trPr>
          <w:trHeight w:val="285"/>
        </w:trPr>
        <w:tc>
          <w:tcPr>
            <w:tcW w:w="360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Loss from operations</w:t>
            </w:r>
          </w:p>
        </w:tc>
        <w:tc>
          <w:tcPr>
            <w:tcW w:w="220" w:type="dxa"/>
            <w:vAlign w:val="bottom"/>
            <w:tcBorders>
              <w:bottom w:val="single" w:sz="8" w:color="DDDDDD"/>
            </w:tcBorders>
            <w:shd w:val="clear" w:color="auto" w:fill="DDDDDD"/>
          </w:tcPr>
          <w:p>
            <w:pPr>
              <w:spacing w:after="0"/>
              <w:rPr>
                <w:sz w:val="24"/>
                <w:szCs w:val="24"/>
                <w:color w:val="auto"/>
              </w:rPr>
            </w:pPr>
          </w:p>
        </w:tc>
        <w:tc>
          <w:tcPr>
            <w:tcW w:w="7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(66,978)</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99"/>
              </w:rPr>
              <w:t>(115,240)</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(107,200)</w:t>
            </w:r>
          </w:p>
        </w:tc>
        <w:tc>
          <w:tcPr>
            <w:tcW w:w="6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DDDDDD"/>
            </w:tcBorders>
            <w:shd w:val="clear" w:color="auto" w:fill="DDDDDD"/>
          </w:tcPr>
          <w:p>
            <w:pPr>
              <w:spacing w:after="0"/>
              <w:rPr>
                <w:sz w:val="24"/>
                <w:szCs w:val="24"/>
                <w:color w:val="auto"/>
              </w:rPr>
            </w:pPr>
          </w:p>
        </w:tc>
        <w:tc>
          <w:tcPr>
            <w:tcW w:w="8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48,262</w:t>
            </w:r>
          </w:p>
        </w:tc>
        <w:tc>
          <w:tcPr>
            <w:tcW w:w="1060" w:type="dxa"/>
            <w:vAlign w:val="bottom"/>
            <w:tcBorders>
              <w:bottom w:val="single" w:sz="8" w:color="DDDDDD"/>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(42%)</w:t>
            </w:r>
          </w:p>
        </w:tc>
      </w:tr>
      <w:tr>
        <w:trPr>
          <w:trHeight w:val="282"/>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Interest income</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24,830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22,883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26,958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1,947</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9%</w:t>
            </w:r>
          </w:p>
        </w:tc>
      </w:tr>
      <w:tr>
        <w:trPr>
          <w:trHeight w:val="43"/>
        </w:trPr>
        <w:tc>
          <w:tcPr>
            <w:tcW w:w="3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r>
      <w:tr>
        <w:trPr>
          <w:trHeight w:val="350"/>
        </w:trPr>
        <w:tc>
          <w:tcPr>
            <w:tcW w:w="3600" w:type="dxa"/>
            <w:vAlign w:val="bottom"/>
            <w:tcBorders>
              <w:bottom w:val="single" w:sz="8" w:color="DDDDDD"/>
            </w:tcBorders>
            <w:gridSpan w:val="2"/>
            <w:shd w:val="clear" w:color="auto" w:fill="DDDDDD"/>
          </w:tcPr>
          <w:p>
            <w:pPr>
              <w:ind w:left="140"/>
              <w:spacing w:after="0"/>
              <w:rPr>
                <w:sz w:val="20"/>
                <w:szCs w:val="20"/>
                <w:color w:val="auto"/>
              </w:rPr>
            </w:pPr>
            <w:r>
              <w:rPr>
                <w:rFonts w:ascii="Times New Roman" w:cs="Times New Roman" w:eastAsia="Times New Roman" w:hAnsi="Times New Roman"/>
                <w:sz w:val="20"/>
                <w:szCs w:val="20"/>
                <w:color w:val="auto"/>
              </w:rPr>
              <w:t>Other expense, net</w:t>
            </w:r>
          </w:p>
        </w:tc>
        <w:tc>
          <w:tcPr>
            <w:tcW w:w="220" w:type="dxa"/>
            <w:vAlign w:val="bottom"/>
            <w:tcBorders>
              <w:bottom w:val="single" w:sz="8" w:color="DDDDDD"/>
            </w:tcBorders>
            <w:shd w:val="clear" w:color="auto" w:fill="DDDDDD"/>
          </w:tcPr>
          <w:p>
            <w:pPr>
              <w:spacing w:after="0"/>
              <w:rPr>
                <w:sz w:val="24"/>
                <w:szCs w:val="24"/>
                <w:color w:val="auto"/>
              </w:rPr>
            </w:pPr>
          </w:p>
        </w:tc>
        <w:tc>
          <w:tcPr>
            <w:tcW w:w="7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(758)</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6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DDDDDD"/>
            </w:tcBorders>
            <w:shd w:val="clear" w:color="auto" w:fill="DDDDDD"/>
          </w:tcPr>
          <w:p>
            <w:pPr>
              <w:spacing w:after="0"/>
              <w:rPr>
                <w:sz w:val="24"/>
                <w:szCs w:val="24"/>
                <w:color w:val="auto"/>
              </w:rPr>
            </w:pPr>
          </w:p>
        </w:tc>
        <w:tc>
          <w:tcPr>
            <w:tcW w:w="8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601</w:t>
            </w:r>
          </w:p>
        </w:tc>
        <w:tc>
          <w:tcPr>
            <w:tcW w:w="1060" w:type="dxa"/>
            <w:vAlign w:val="bottom"/>
            <w:tcBorders>
              <w:bottom w:val="single" w:sz="8" w:color="DDDDDD"/>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(79%)</w:t>
            </w:r>
          </w:p>
        </w:tc>
      </w:tr>
      <w:tr>
        <w:trPr>
          <w:trHeight w:val="242"/>
        </w:trPr>
        <w:tc>
          <w:tcPr>
            <w:tcW w:w="3600" w:type="dxa"/>
            <w:vAlign w:val="bottom"/>
            <w:tcBorders>
              <w:top w:val="single" w:sz="8" w:color="DDDDDD"/>
            </w:tcBorders>
            <w:gridSpan w:val="2"/>
          </w:tcPr>
          <w:p>
            <w:pPr>
              <w:ind w:left="40"/>
              <w:spacing w:after="0"/>
              <w:rPr>
                <w:sz w:val="20"/>
                <w:szCs w:val="20"/>
                <w:color w:val="auto"/>
              </w:rPr>
            </w:pPr>
            <w:r>
              <w:rPr>
                <w:rFonts w:ascii="Times New Roman" w:cs="Times New Roman" w:eastAsia="Times New Roman" w:hAnsi="Times New Roman"/>
                <w:sz w:val="20"/>
                <w:szCs w:val="20"/>
                <w:color w:val="auto"/>
              </w:rPr>
              <w:t>Loss before income taxes</w:t>
            </w: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(42,305)</w:t>
            </w:r>
          </w:p>
        </w:tc>
        <w:tc>
          <w:tcPr>
            <w:tcW w:w="4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(93,115)</w:t>
            </w:r>
          </w:p>
        </w:tc>
        <w:tc>
          <w:tcPr>
            <w:tcW w:w="4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(80,383)</w:t>
            </w:r>
          </w:p>
        </w:tc>
        <w:tc>
          <w:tcPr>
            <w:tcW w:w="60" w:type="dxa"/>
            <w:vAlign w:val="bottom"/>
            <w:tcBorders>
              <w:top w:val="single" w:sz="8" w:color="DDDDDD"/>
            </w:tcBorders>
          </w:tcPr>
          <w:p>
            <w:pPr>
              <w:spacing w:after="0"/>
              <w:rPr>
                <w:sz w:val="21"/>
                <w:szCs w:val="21"/>
                <w:color w:val="auto"/>
              </w:rPr>
            </w:pPr>
          </w:p>
        </w:tc>
        <w:tc>
          <w:tcPr>
            <w:tcW w:w="220" w:type="dxa"/>
            <w:vAlign w:val="bottom"/>
            <w:tcBorders>
              <w:top w:val="single" w:sz="8" w:color="DDDDDD"/>
            </w:tcBorders>
          </w:tcPr>
          <w:p>
            <w:pPr>
              <w:spacing w:after="0"/>
              <w:rPr>
                <w:sz w:val="21"/>
                <w:szCs w:val="21"/>
                <w:color w:val="auto"/>
              </w:rPr>
            </w:pPr>
          </w:p>
        </w:tc>
        <w:tc>
          <w:tcPr>
            <w:tcW w:w="800" w:type="dxa"/>
            <w:vAlign w:val="bottom"/>
            <w:tcBorders>
              <w:top w:val="single" w:sz="8" w:color="DDDDDD"/>
            </w:tcBorders>
          </w:tcPr>
          <w:p>
            <w:pPr>
              <w:jc w:val="right"/>
              <w:spacing w:after="0"/>
              <w:rPr>
                <w:sz w:val="20"/>
                <w:szCs w:val="20"/>
                <w:color w:val="auto"/>
              </w:rPr>
            </w:pPr>
            <w:r>
              <w:rPr>
                <w:rFonts w:ascii="Times New Roman" w:cs="Times New Roman" w:eastAsia="Times New Roman" w:hAnsi="Times New Roman"/>
                <w:sz w:val="20"/>
                <w:szCs w:val="20"/>
                <w:color w:val="auto"/>
              </w:rPr>
              <w:t>50,810</w:t>
            </w:r>
          </w:p>
        </w:tc>
        <w:tc>
          <w:tcPr>
            <w:tcW w:w="1060" w:type="dxa"/>
            <w:vAlign w:val="bottom"/>
            <w:tcBorders>
              <w:top w:val="single" w:sz="8" w:color="DDDDDD"/>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(55%)</w:t>
            </w:r>
          </w:p>
        </w:tc>
      </w:tr>
      <w:tr>
        <w:trPr>
          <w:trHeight w:val="43"/>
        </w:trPr>
        <w:tc>
          <w:tcPr>
            <w:tcW w:w="35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r>
      <w:tr>
        <w:trPr>
          <w:trHeight w:val="324"/>
        </w:trPr>
        <w:tc>
          <w:tcPr>
            <w:tcW w:w="360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Income tax expense</w:t>
            </w:r>
          </w:p>
        </w:tc>
        <w:tc>
          <w:tcPr>
            <w:tcW w:w="220" w:type="dxa"/>
            <w:vAlign w:val="bottom"/>
            <w:tcBorders>
              <w:bottom w:val="single" w:sz="8" w:color="DDDDDD"/>
            </w:tcBorders>
            <w:shd w:val="clear" w:color="auto" w:fill="DDDDDD"/>
          </w:tcPr>
          <w:p>
            <w:pPr>
              <w:spacing w:after="0"/>
              <w:rPr>
                <w:sz w:val="24"/>
                <w:szCs w:val="24"/>
                <w:color w:val="auto"/>
              </w:rPr>
            </w:pPr>
          </w:p>
        </w:tc>
        <w:tc>
          <w:tcPr>
            <w:tcW w:w="7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(598)</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(486)</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6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DDDDDD"/>
            </w:tcBorders>
            <w:shd w:val="clear" w:color="auto" w:fill="DDDDDD"/>
          </w:tcPr>
          <w:p>
            <w:pPr>
              <w:spacing w:after="0"/>
              <w:rPr>
                <w:sz w:val="24"/>
                <w:szCs w:val="24"/>
                <w:color w:val="auto"/>
              </w:rPr>
            </w:pPr>
          </w:p>
        </w:tc>
        <w:tc>
          <w:tcPr>
            <w:tcW w:w="8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1060" w:type="dxa"/>
            <w:vAlign w:val="bottom"/>
            <w:tcBorders>
              <w:bottom w:val="single" w:sz="8" w:color="DDDDDD"/>
            </w:tcBorders>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23%</w:t>
            </w:r>
          </w:p>
        </w:tc>
      </w:tr>
      <w:tr>
        <w:trPr>
          <w:trHeight w:val="267"/>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Net loss attributable to common</w:t>
            </w:r>
          </w:p>
        </w:tc>
        <w:tc>
          <w:tcPr>
            <w:tcW w:w="2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62"/>
        </w:trPr>
        <w:tc>
          <w:tcPr>
            <w:tcW w:w="36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stockholders and comprehensive loss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(42,903)</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(93,601)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(80,535)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50,698</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(54%)</w:t>
            </w:r>
          </w:p>
        </w:tc>
      </w:tr>
      <w:tr>
        <w:trPr>
          <w:trHeight w:val="54"/>
        </w:trPr>
        <w:tc>
          <w:tcPr>
            <w:tcW w:w="35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0"/>
        </w:trPr>
        <w:tc>
          <w:tcPr>
            <w:tcW w:w="3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2736850</wp:posOffset>
                </wp:positionH>
                <wp:positionV relativeFrom="paragraph">
                  <wp:posOffset>-1644650</wp:posOffset>
                </wp:positionV>
                <wp:extent cx="63881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81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5pt,-129.4999pt" to="265.8pt,-129.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3413760</wp:posOffset>
                </wp:positionH>
                <wp:positionV relativeFrom="paragraph">
                  <wp:posOffset>-1644650</wp:posOffset>
                </wp:positionV>
                <wp:extent cx="63754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8pt,-129.4999pt" to="319pt,-129.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4089400</wp:posOffset>
                </wp:positionH>
                <wp:positionV relativeFrom="paragraph">
                  <wp:posOffset>-1644650</wp:posOffset>
                </wp:positionV>
                <wp:extent cx="63881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81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pt,-129.4999pt" to="372.3pt,-129.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2736850</wp:posOffset>
                </wp:positionH>
                <wp:positionV relativeFrom="paragraph">
                  <wp:posOffset>-818515</wp:posOffset>
                </wp:positionV>
                <wp:extent cx="63881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81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5pt,-64.4499pt" to="265.8pt,-64.4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3413760</wp:posOffset>
                </wp:positionH>
                <wp:positionV relativeFrom="paragraph">
                  <wp:posOffset>-818515</wp:posOffset>
                </wp:positionV>
                <wp:extent cx="63754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8pt,-64.4499pt" to="319pt,-64.4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4089400</wp:posOffset>
                </wp:positionH>
                <wp:positionV relativeFrom="paragraph">
                  <wp:posOffset>-818515</wp:posOffset>
                </wp:positionV>
                <wp:extent cx="63881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81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pt,-64.4499pt" to="372.3pt,-64.4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2736850</wp:posOffset>
                </wp:positionH>
                <wp:positionV relativeFrom="paragraph">
                  <wp:posOffset>-406400</wp:posOffset>
                </wp:positionV>
                <wp:extent cx="63881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81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5pt,-32pt" to="265.8pt,-32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3413760</wp:posOffset>
                </wp:positionH>
                <wp:positionV relativeFrom="paragraph">
                  <wp:posOffset>-406400</wp:posOffset>
                </wp:positionV>
                <wp:extent cx="637540"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8.8pt,-32pt" to="319pt,-32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4089400</wp:posOffset>
                </wp:positionH>
                <wp:positionV relativeFrom="paragraph">
                  <wp:posOffset>-406400</wp:posOffset>
                </wp:positionV>
                <wp:extent cx="638810"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881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pt,-32pt" to="372.3pt,-32pt" o:allowincell="f" strokecolor="#FFFFFF" strokeweight="0.1399pt"/>
            </w:pict>
          </mc:Fallback>
        </mc:AlternateContent>
      </w:r>
    </w:p>
    <w:p>
      <w:pPr>
        <w:spacing w:after="0" w:line="177" w:lineRule="exact"/>
        <w:rPr>
          <w:sz w:val="20"/>
          <w:szCs w:val="20"/>
          <w:color w:val="auto"/>
        </w:rPr>
      </w:pPr>
    </w:p>
    <w:p>
      <w:pPr>
        <w:ind w:right="40" w:firstLine="720"/>
        <w:spacing w:after="0" w:line="286" w:lineRule="auto"/>
        <w:rPr>
          <w:sz w:val="20"/>
          <w:szCs w:val="20"/>
          <w:color w:val="auto"/>
        </w:rPr>
      </w:pPr>
      <w:r>
        <w:rPr>
          <w:rFonts w:ascii="Times New Roman" w:cs="Times New Roman" w:eastAsia="Times New Roman" w:hAnsi="Times New Roman"/>
          <w:sz w:val="19"/>
          <w:szCs w:val="19"/>
          <w:color w:val="auto"/>
        </w:rPr>
        <w:t>A discussion of changes in our results of operations from fiscal 2023 to fiscal 2024 has been omitted from this Annual Report on Form 10-K, but may be found in “Part II, Item 7. Management’s Discussion and Analysis of Financial Condition and Results of Operations” of our Form 10-K for fiscal 2024 filed with the SEC on February 14,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w:t>
      </w:r>
    </w:p>
    <w:p>
      <w:pPr>
        <w:spacing w:after="0" w:line="135"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We derive revenue primarily from sales of Precision Timing solutions to distributors. We also sell products directly to some of our end customers.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156"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312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60" w:type="dxa"/>
            <w:vAlign w:val="bottom"/>
          </w:tcPr>
          <w:p>
            <w:pPr>
              <w:spacing w:after="0"/>
              <w:rPr>
                <w:sz w:val="18"/>
                <w:szCs w:val="18"/>
                <w:color w:val="auto"/>
              </w:rPr>
            </w:pPr>
          </w:p>
        </w:tc>
        <w:tc>
          <w:tcPr>
            <w:tcW w:w="208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Change 2025 vs 2024</w:t>
            </w:r>
          </w:p>
        </w:tc>
      </w:tr>
      <w:tr>
        <w:trPr>
          <w:trHeight w:val="38"/>
        </w:trPr>
        <w:tc>
          <w:tcPr>
            <w:tcW w:w="36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18"/>
        </w:trPr>
        <w:tc>
          <w:tcPr>
            <w:tcW w:w="3600" w:type="dxa"/>
            <w:vAlign w:val="bottom"/>
          </w:tcPr>
          <w:p>
            <w:pPr>
              <w:spacing w:after="0"/>
              <w:rPr>
                <w:sz w:val="18"/>
                <w:szCs w:val="18"/>
                <w:color w:val="auto"/>
              </w:rPr>
            </w:pPr>
          </w:p>
        </w:tc>
        <w:tc>
          <w:tcPr>
            <w:tcW w:w="100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8"/>
        </w:trPr>
        <w:tc>
          <w:tcPr>
            <w:tcW w:w="36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79"/>
        </w:trPr>
        <w:tc>
          <w:tcPr>
            <w:tcW w:w="3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percentage)</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
        </w:trPr>
        <w:tc>
          <w:tcPr>
            <w:tcW w:w="3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1060" w:type="dxa"/>
            <w:vAlign w:val="bottom"/>
            <w:gridSpan w:val="2"/>
          </w:tcPr>
          <w:p>
            <w:pPr>
              <w:spacing w:after="0"/>
              <w:rPr>
                <w:sz w:val="3"/>
                <w:szCs w:val="3"/>
                <w:color w:val="auto"/>
              </w:rPr>
            </w:pPr>
          </w:p>
        </w:tc>
        <w:tc>
          <w:tcPr>
            <w:tcW w:w="1080" w:type="dxa"/>
            <w:vAlign w:val="bottom"/>
            <w:gridSpan w:val="2"/>
          </w:tcPr>
          <w:p>
            <w:pPr>
              <w:spacing w:after="0"/>
              <w:rPr>
                <w:sz w:val="3"/>
                <w:szCs w:val="3"/>
                <w:color w:val="auto"/>
              </w:rPr>
            </w:pPr>
          </w:p>
        </w:tc>
        <w:tc>
          <w:tcPr>
            <w:tcW w:w="1060" w:type="dxa"/>
            <w:vAlign w:val="bottom"/>
            <w:gridSpan w:val="2"/>
          </w:tcPr>
          <w:p>
            <w:pPr>
              <w:spacing w:after="0"/>
              <w:rPr>
                <w:sz w:val="3"/>
                <w:szCs w:val="3"/>
                <w:color w:val="auto"/>
              </w:rPr>
            </w:pPr>
          </w:p>
        </w:tc>
      </w:tr>
      <w:tr>
        <w:trPr>
          <w:trHeight w:val="282"/>
        </w:trPr>
        <w:tc>
          <w:tcPr>
            <w:tcW w:w="360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Revenue</w:t>
            </w: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$ 326,660</w:t>
            </w:r>
          </w:p>
        </w:tc>
        <w:tc>
          <w:tcPr>
            <w:tcW w:w="1060" w:type="dxa"/>
            <w:vAlign w:val="bottom"/>
            <w:gridSpan w:val="2"/>
            <w:shd w:val="clear" w:color="auto" w:fill="DDDDDD"/>
          </w:tcPr>
          <w:p>
            <w:pPr>
              <w:jc w:val="center"/>
              <w:spacing w:after="0"/>
              <w:rPr>
                <w:sz w:val="20"/>
                <w:szCs w:val="20"/>
                <w:color w:val="auto"/>
              </w:rPr>
            </w:pPr>
            <w:r>
              <w:rPr>
                <w:rFonts w:ascii="Times New Roman" w:cs="Times New Roman" w:eastAsia="Times New Roman" w:hAnsi="Times New Roman"/>
                <w:sz w:val="20"/>
                <w:szCs w:val="20"/>
                <w:color w:val="auto"/>
              </w:rPr>
              <w:t>$ 202,697</w:t>
            </w:r>
          </w:p>
        </w:tc>
        <w:tc>
          <w:tcPr>
            <w:tcW w:w="1060" w:type="dxa"/>
            <w:vAlign w:val="bottom"/>
            <w:gridSpan w:val="2"/>
            <w:shd w:val="clear" w:color="auto" w:fill="DDDDDD"/>
          </w:tcPr>
          <w:p>
            <w:pPr>
              <w:jc w:val="center"/>
              <w:spacing w:after="0"/>
              <w:rPr>
                <w:sz w:val="20"/>
                <w:szCs w:val="20"/>
                <w:color w:val="auto"/>
              </w:rPr>
            </w:pPr>
            <w:r>
              <w:rPr>
                <w:rFonts w:ascii="Times New Roman" w:cs="Times New Roman" w:eastAsia="Times New Roman" w:hAnsi="Times New Roman"/>
                <w:sz w:val="20"/>
                <w:szCs w:val="20"/>
                <w:color w:val="auto"/>
              </w:rPr>
              <w:t>$ 143,993</w:t>
            </w:r>
          </w:p>
        </w:tc>
        <w:tc>
          <w:tcPr>
            <w:tcW w:w="108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$ 123,963</w:t>
            </w:r>
          </w:p>
        </w:tc>
        <w:tc>
          <w:tcPr>
            <w:tcW w:w="106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61%</w:t>
            </w:r>
          </w:p>
        </w:tc>
      </w:tr>
      <w:tr>
        <w:trPr>
          <w:trHeight w:val="43"/>
        </w:trPr>
        <w:tc>
          <w:tcPr>
            <w:tcW w:w="3600" w:type="dxa"/>
            <w:vAlign w:val="bottom"/>
            <w:shd w:val="clear" w:color="auto" w:fill="DDDDDD"/>
          </w:tcPr>
          <w:p>
            <w:pPr>
              <w:spacing w:after="0"/>
              <w:rPr>
                <w:sz w:val="3"/>
                <w:szCs w:val="3"/>
                <w:color w:val="auto"/>
              </w:rPr>
            </w:pPr>
          </w:p>
        </w:tc>
        <w:tc>
          <w:tcPr>
            <w:tcW w:w="1000" w:type="dxa"/>
            <w:vAlign w:val="bottom"/>
            <w:shd w:val="clear" w:color="auto" w:fill="DDDDDD"/>
          </w:tcPr>
          <w:p>
            <w:pPr>
              <w:spacing w:after="0"/>
              <w:rPr>
                <w:sz w:val="3"/>
                <w:szCs w:val="3"/>
                <w:color w:val="auto"/>
              </w:rPr>
            </w:pPr>
          </w:p>
        </w:tc>
        <w:tc>
          <w:tcPr>
            <w:tcW w:w="60" w:type="dxa"/>
            <w:vAlign w:val="bottom"/>
            <w:shd w:val="clear" w:color="auto" w:fill="DDDDDD"/>
          </w:tcPr>
          <w:p>
            <w:pPr>
              <w:spacing w:after="0"/>
              <w:rPr>
                <w:sz w:val="3"/>
                <w:szCs w:val="3"/>
                <w:color w:val="auto"/>
              </w:rPr>
            </w:pPr>
          </w:p>
        </w:tc>
        <w:tc>
          <w:tcPr>
            <w:tcW w:w="1000" w:type="dxa"/>
            <w:vAlign w:val="bottom"/>
            <w:shd w:val="clear" w:color="auto" w:fill="DDDDDD"/>
          </w:tcPr>
          <w:p>
            <w:pPr>
              <w:spacing w:after="0"/>
              <w:rPr>
                <w:sz w:val="3"/>
                <w:szCs w:val="3"/>
                <w:color w:val="auto"/>
              </w:rPr>
            </w:pPr>
          </w:p>
        </w:tc>
        <w:tc>
          <w:tcPr>
            <w:tcW w:w="60" w:type="dxa"/>
            <w:vAlign w:val="bottom"/>
            <w:shd w:val="clear" w:color="auto" w:fill="DDDDDD"/>
          </w:tcPr>
          <w:p>
            <w:pPr>
              <w:spacing w:after="0"/>
              <w:rPr>
                <w:sz w:val="3"/>
                <w:szCs w:val="3"/>
                <w:color w:val="auto"/>
              </w:rPr>
            </w:pPr>
          </w:p>
        </w:tc>
        <w:tc>
          <w:tcPr>
            <w:tcW w:w="1000" w:type="dxa"/>
            <w:vAlign w:val="bottom"/>
            <w:shd w:val="clear" w:color="auto" w:fill="DDDDDD"/>
          </w:tcPr>
          <w:p>
            <w:pPr>
              <w:spacing w:after="0"/>
              <w:rPr>
                <w:sz w:val="3"/>
                <w:szCs w:val="3"/>
                <w:color w:val="auto"/>
              </w:rPr>
            </w:pPr>
          </w:p>
        </w:tc>
        <w:tc>
          <w:tcPr>
            <w:tcW w:w="60" w:type="dxa"/>
            <w:vAlign w:val="bottom"/>
            <w:shd w:val="clear" w:color="auto" w:fill="DDDDDD"/>
          </w:tcPr>
          <w:p>
            <w:pPr>
              <w:spacing w:after="0"/>
              <w:rPr>
                <w:sz w:val="3"/>
                <w:szCs w:val="3"/>
                <w:color w:val="auto"/>
              </w:rPr>
            </w:pPr>
          </w:p>
        </w:tc>
        <w:tc>
          <w:tcPr>
            <w:tcW w:w="1020" w:type="dxa"/>
            <w:vAlign w:val="bottom"/>
            <w:shd w:val="clear" w:color="auto" w:fill="DDDDDD"/>
          </w:tcPr>
          <w:p>
            <w:pPr>
              <w:spacing w:after="0"/>
              <w:rPr>
                <w:sz w:val="3"/>
                <w:szCs w:val="3"/>
                <w:color w:val="auto"/>
              </w:rPr>
            </w:pPr>
          </w:p>
        </w:tc>
        <w:tc>
          <w:tcPr>
            <w:tcW w:w="60" w:type="dxa"/>
            <w:vAlign w:val="bottom"/>
            <w:shd w:val="clear" w:color="auto" w:fill="DDDDDD"/>
          </w:tcPr>
          <w:p>
            <w:pPr>
              <w:spacing w:after="0"/>
              <w:rPr>
                <w:sz w:val="3"/>
                <w:szCs w:val="3"/>
                <w:color w:val="auto"/>
              </w:rPr>
            </w:pPr>
          </w:p>
        </w:tc>
        <w:tc>
          <w:tcPr>
            <w:tcW w:w="1000" w:type="dxa"/>
            <w:vAlign w:val="bottom"/>
            <w:shd w:val="clear" w:color="auto" w:fill="DDDDDD"/>
          </w:tcPr>
          <w:p>
            <w:pPr>
              <w:spacing w:after="0"/>
              <w:rPr>
                <w:sz w:val="3"/>
                <w:szCs w:val="3"/>
                <w:color w:val="auto"/>
              </w:rPr>
            </w:pPr>
          </w:p>
        </w:tc>
      </w:tr>
    </w:tbl>
    <w:p>
      <w:pPr>
        <w:spacing w:after="0" w:line="77"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0"/>
          <w:szCs w:val="20"/>
          <w:color w:val="auto"/>
        </w:rPr>
        <w:t>Revenue increased by $124.0 million, or 61%, for 2025 compared to 2024 primarily driven by demand for our products in AI and datacenter applications. The revenue growth was related to an increase in ASPs of our products due to change in mix of the products we shipped as well as a 14% increase in unit shipment volume.</w:t>
      </w:r>
    </w:p>
    <w:p>
      <w:pPr>
        <w:spacing w:after="0" w:line="75"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auto"/>
        </w:rPr>
        <w:t>Our top ten direct customers, including distributors, accounted for approximately 85%, 84% and 82% of net revenues in 2025, 2024, and 2023, respectively. Two customers in 2025, three customers in 2024 and four customers in 2023, which are distributors of our products, accounted for more than 10% of our net revenues. International sales, identified based upon the ship-to location of the customers who purchased the Company’s products, represented approximately 93%, 92%, and 86% of net revenues in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9680"/>
          </w:cols>
          <w:pgMar w:left="1180" w:top="1212" w:right="1380" w:bottom="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auto"/>
        </w:rPr>
        <w:t>Cost of Revenue, Gross Profit, and Gross Margin</w:t>
      </w:r>
    </w:p>
    <w:p>
      <w:pPr>
        <w:spacing w:after="0" w:line="134"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auto"/>
        </w:rPr>
        <w:t>Cost of revenue consists of wafers acquired from third-party foundries, assembly, packaging, and test cost of our products paid to third-party contract manufacturers, amortization of acquired intangibles, and personnel and other costs associated with our manufacturing operations. Cost of revenue also includes depreciation of production equipment, inventory write-downs, shipping and handling costs, and allocation of overhead and facility costs. We also include credits for rebates received from third-party contract manufacturers in cost of revenue.</w:t>
      </w:r>
    </w:p>
    <w:p>
      <w:pPr>
        <w:spacing w:after="0" w:line="276"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24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Change 2025 vs 2024</w:t>
            </w:r>
          </w:p>
        </w:tc>
      </w:tr>
      <w:tr>
        <w:trPr>
          <w:trHeight w:val="38"/>
        </w:trPr>
        <w:tc>
          <w:tcPr>
            <w:tcW w:w="34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1"/>
        </w:trPr>
        <w:tc>
          <w:tcPr>
            <w:tcW w:w="3480" w:type="dxa"/>
            <w:vAlign w:val="bottom"/>
          </w:tcPr>
          <w:p>
            <w:pPr>
              <w:spacing w:after="0"/>
              <w:rPr>
                <w:sz w:val="20"/>
                <w:szCs w:val="20"/>
                <w:color w:val="auto"/>
              </w:rPr>
            </w:pPr>
          </w:p>
        </w:tc>
        <w:tc>
          <w:tcPr>
            <w:tcW w:w="1020" w:type="dxa"/>
            <w:vAlign w:val="bottom"/>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9"/>
        </w:trPr>
        <w:tc>
          <w:tcPr>
            <w:tcW w:w="348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79"/>
        </w:trPr>
        <w:tc>
          <w:tcPr>
            <w:tcW w:w="3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gridSpan w:val="7"/>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(in thousands except percentage)</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
        </w:trPr>
        <w:tc>
          <w:tcPr>
            <w:tcW w:w="3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gridSpan w:val="2"/>
          </w:tcPr>
          <w:p>
            <w:pPr>
              <w:spacing w:after="0"/>
              <w:rPr>
                <w:sz w:val="3"/>
                <w:szCs w:val="3"/>
                <w:color w:val="auto"/>
              </w:rPr>
            </w:pPr>
          </w:p>
        </w:tc>
        <w:tc>
          <w:tcPr>
            <w:tcW w:w="38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r>
      <w:tr>
        <w:trPr>
          <w:trHeight w:val="300"/>
        </w:trPr>
        <w:tc>
          <w:tcPr>
            <w:tcW w:w="34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Cost of Revenue</w:t>
            </w:r>
          </w:p>
        </w:tc>
        <w:tc>
          <w:tcPr>
            <w:tcW w:w="1020" w:type="dxa"/>
            <w:vAlign w:val="bottom"/>
            <w:shd w:val="clear" w:color="auto" w:fill="DDDDDD"/>
          </w:tcPr>
          <w:p>
            <w:pPr>
              <w:jc w:val="right"/>
              <w:ind w:right="48"/>
              <w:spacing w:after="0"/>
              <w:rPr>
                <w:sz w:val="20"/>
                <w:szCs w:val="20"/>
                <w:color w:val="auto"/>
              </w:rPr>
            </w:pPr>
            <w:r>
              <w:rPr>
                <w:rFonts w:ascii="Times New Roman" w:cs="Times New Roman" w:eastAsia="Times New Roman" w:hAnsi="Times New Roman"/>
                <w:sz w:val="20"/>
                <w:szCs w:val="20"/>
                <w:color w:val="auto"/>
              </w:rPr>
              <w:t>$ 151,674</w:t>
            </w:r>
          </w:p>
        </w:tc>
        <w:tc>
          <w:tcPr>
            <w:tcW w:w="1060" w:type="dxa"/>
            <w:vAlign w:val="bottom"/>
            <w:gridSpan w:val="2"/>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  98,203</w:t>
            </w:r>
          </w:p>
        </w:tc>
        <w:tc>
          <w:tcPr>
            <w:tcW w:w="380" w:type="dxa"/>
            <w:vAlign w:val="bottom"/>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61,905</w:t>
            </w:r>
          </w:p>
        </w:tc>
        <w:tc>
          <w:tcPr>
            <w:tcW w:w="30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53,471</w:t>
            </w:r>
          </w:p>
        </w:tc>
        <w:tc>
          <w:tcPr>
            <w:tcW w:w="108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54%</w:t>
            </w:r>
          </w:p>
        </w:tc>
      </w:tr>
      <w:tr>
        <w:trPr>
          <w:trHeight w:val="296"/>
        </w:trPr>
        <w:tc>
          <w:tcPr>
            <w:tcW w:w="3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Gross Profit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20"/>
                <w:szCs w:val="20"/>
                <w:color w:val="auto"/>
              </w:rPr>
              <w:t>174,986</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104,494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82,088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70,492</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67%</w:t>
            </w:r>
          </w:p>
        </w:tc>
      </w:tr>
      <w:tr>
        <w:trPr>
          <w:trHeight w:val="304"/>
        </w:trPr>
        <w:tc>
          <w:tcPr>
            <w:tcW w:w="34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Gross Margin</w:t>
            </w:r>
          </w:p>
        </w:tc>
        <w:tc>
          <w:tcPr>
            <w:tcW w:w="10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54 %</w:t>
            </w:r>
          </w:p>
        </w:tc>
        <w:tc>
          <w:tcPr>
            <w:tcW w:w="1060" w:type="dxa"/>
            <w:vAlign w:val="bottom"/>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52 %</w:t>
            </w:r>
          </w:p>
        </w:tc>
        <w:tc>
          <w:tcPr>
            <w:tcW w:w="6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57 %</w:t>
            </w:r>
          </w:p>
        </w:tc>
        <w:tc>
          <w:tcPr>
            <w:tcW w:w="6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7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020" w:type="dxa"/>
            <w:vAlign w:val="bottom"/>
            <w:shd w:val="clear" w:color="auto" w:fill="DDDDDD"/>
          </w:tcPr>
          <w:p>
            <w:pPr>
              <w:spacing w:after="0"/>
              <w:rPr>
                <w:sz w:val="24"/>
                <w:szCs w:val="24"/>
                <w:color w:val="auto"/>
              </w:rPr>
            </w:pPr>
          </w:p>
        </w:tc>
      </w:tr>
    </w:tbl>
    <w:p>
      <w:pPr>
        <w:spacing w:after="0" w:line="197"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Gross profit increased by $70.5 million in the year ended December 31, 2025 compared to the same period in 2024. Gross profit increased $90.3 million mainly from higher revenue. This increase was partially offset by higher other manufacturing and overhead costs of $14.8 million, which primarily consists of depreciation and amortization, freight and inventory reserves, higher amortization from acquired intangibles of $3.5 million, and higher stock-based compensation costs of $1.5 million.</w:t>
      </w:r>
    </w:p>
    <w:p>
      <w:pPr>
        <w:spacing w:after="0" w:line="204" w:lineRule="exact"/>
        <w:rPr>
          <w:sz w:val="20"/>
          <w:szCs w:val="20"/>
          <w:color w:val="auto"/>
        </w:rPr>
      </w:pPr>
    </w:p>
    <w:p>
      <w:pPr>
        <w:ind w:right="140" w:firstLine="720"/>
        <w:spacing w:after="0" w:line="266" w:lineRule="auto"/>
        <w:rPr>
          <w:sz w:val="20"/>
          <w:szCs w:val="20"/>
          <w:color w:val="auto"/>
        </w:rPr>
      </w:pPr>
      <w:r>
        <w:rPr>
          <w:rFonts w:ascii="Times New Roman" w:cs="Times New Roman" w:eastAsia="Times New Roman" w:hAnsi="Times New Roman"/>
          <w:sz w:val="20"/>
          <w:szCs w:val="20"/>
          <w:color w:val="auto"/>
        </w:rPr>
        <w:t>Gross margin was higher by 2% in the year ended December 31, 2025 compared to the same period in 2024. The gross margins increased by 1% primarily due to a change in the mix of products shipped, and due to improvement of overhead costs as a percentage of revenue by 1% as a result of higher volumes achieved in 2025.</w:t>
      </w:r>
    </w:p>
    <w:p>
      <w:pPr>
        <w:spacing w:after="0" w:line="195" w:lineRule="exact"/>
        <w:rPr>
          <w:sz w:val="20"/>
          <w:szCs w:val="20"/>
          <w:color w:val="auto"/>
        </w:rPr>
      </w:pPr>
    </w:p>
    <w:p>
      <w:pPr>
        <w:ind w:right="60" w:firstLine="720"/>
        <w:spacing w:after="0" w:line="286" w:lineRule="auto"/>
        <w:rPr>
          <w:sz w:val="20"/>
          <w:szCs w:val="20"/>
          <w:color w:val="auto"/>
        </w:rPr>
      </w:pPr>
      <w:r>
        <w:rPr>
          <w:rFonts w:ascii="Times New Roman" w:cs="Times New Roman" w:eastAsia="Times New Roman" w:hAnsi="Times New Roman"/>
          <w:sz w:val="19"/>
          <w:szCs w:val="19"/>
          <w:color w:val="auto"/>
        </w:rPr>
        <w:t>Gross margin may fluctuate from time to time due to a variety of factors. For additional discussion please see Part I, Item 1A "Risk Factors" of this Annual Report on Form 10-K, especially the risk factor titled “Our gross margins may fluctuate due to a variety of factors, which could negatively impact our results of operations and our financial condition.”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pacing w:after="0" w:line="134" w:lineRule="exact"/>
        <w:rPr>
          <w:sz w:val="20"/>
          <w:szCs w:val="20"/>
          <w:color w:val="auto"/>
        </w:rPr>
      </w:pPr>
    </w:p>
    <w:p>
      <w:pPr>
        <w:ind w:right="160" w:firstLine="720"/>
        <w:spacing w:after="0" w:line="261" w:lineRule="auto"/>
        <w:rPr>
          <w:sz w:val="20"/>
          <w:szCs w:val="20"/>
          <w:color w:val="auto"/>
        </w:rPr>
      </w:pPr>
      <w:r>
        <w:rPr>
          <w:rFonts w:ascii="Times New Roman" w:cs="Times New Roman" w:eastAsia="Times New Roman" w:hAnsi="Times New Roman"/>
          <w:sz w:val="20"/>
          <w:szCs w:val="20"/>
          <w:color w:val="auto"/>
        </w:rPr>
        <w:t>Our operating expenses consist of research and development, sales and marketing, general and administrative expenses, and acquisition related costs.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w:t>
      </w:r>
    </w:p>
    <w:p>
      <w:pPr>
        <w:spacing w:after="0" w:line="272"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9"/>
          </w:tcPr>
          <w:p>
            <w:pPr>
              <w:jc w:val="right"/>
              <w:ind w:right="58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Change 2025 vs 2024</w:t>
            </w:r>
          </w:p>
        </w:tc>
      </w:tr>
      <w:tr>
        <w:trPr>
          <w:trHeight w:val="38"/>
        </w:trPr>
        <w:tc>
          <w:tcPr>
            <w:tcW w:w="34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18"/>
        </w:trPr>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4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8"/>
        </w:trPr>
        <w:tc>
          <w:tcPr>
            <w:tcW w:w="34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79"/>
        </w:trPr>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20" w:type="dxa"/>
            <w:vAlign w:val="bottom"/>
            <w:gridSpan w:val="9"/>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(in thousands except percentage)</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
        </w:trPr>
        <w:tc>
          <w:tcPr>
            <w:tcW w:w="3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86"/>
        </w:trPr>
        <w:tc>
          <w:tcPr>
            <w:tcW w:w="34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Operating Expenses:</w:t>
            </w:r>
          </w:p>
        </w:tc>
        <w:tc>
          <w:tcPr>
            <w:tcW w:w="220" w:type="dxa"/>
            <w:vAlign w:val="bottom"/>
            <w:shd w:val="clear" w:color="auto" w:fill="DDDDDD"/>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80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780" w:type="dxa"/>
            <w:vAlign w:val="bottom"/>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760" w:type="dxa"/>
            <w:vAlign w:val="bottom"/>
            <w:shd w:val="clear" w:color="auto" w:fill="DDDDDD"/>
          </w:tcPr>
          <w:p>
            <w:pPr>
              <w:spacing w:after="0"/>
              <w:rPr>
                <w:sz w:val="24"/>
                <w:szCs w:val="24"/>
                <w:color w:val="auto"/>
              </w:rPr>
            </w:pPr>
          </w:p>
        </w:tc>
        <w:tc>
          <w:tcPr>
            <w:tcW w:w="60" w:type="dxa"/>
            <w:vAlign w:val="bottom"/>
            <w:shd w:val="clear" w:color="auto" w:fill="DDDDDD"/>
          </w:tcPr>
          <w:p>
            <w:pPr>
              <w:spacing w:after="0"/>
              <w:rPr>
                <w:sz w:val="24"/>
                <w:szCs w:val="24"/>
                <w:color w:val="auto"/>
              </w:rPr>
            </w:pPr>
          </w:p>
        </w:tc>
        <w:tc>
          <w:tcPr>
            <w:tcW w:w="1020" w:type="dxa"/>
            <w:vAlign w:val="bottom"/>
            <w:shd w:val="clear" w:color="auto" w:fill="DDDDDD"/>
          </w:tcPr>
          <w:p>
            <w:pPr>
              <w:spacing w:after="0"/>
              <w:rPr>
                <w:sz w:val="24"/>
                <w:szCs w:val="24"/>
                <w:color w:val="auto"/>
              </w:rPr>
            </w:pPr>
          </w:p>
        </w:tc>
      </w:tr>
      <w:tr>
        <w:trPr>
          <w:trHeight w:val="284"/>
        </w:trPr>
        <w:tc>
          <w:tcPr>
            <w:tcW w:w="34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118,893</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106,855</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97,589</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12,038</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11 %</w:t>
            </w:r>
          </w:p>
        </w:tc>
      </w:tr>
      <w:tr>
        <w:trPr>
          <w:trHeight w:val="286"/>
        </w:trPr>
        <w:tc>
          <w:tcPr>
            <w:tcW w:w="3480" w:type="dxa"/>
            <w:vAlign w:val="bottom"/>
            <w:shd w:val="clear" w:color="auto" w:fill="DDDDDD"/>
          </w:tcPr>
          <w:p>
            <w:pPr>
              <w:ind w:left="22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20" w:type="dxa"/>
            <w:vAlign w:val="bottom"/>
            <w:shd w:val="clear" w:color="auto" w:fill="DDDDDD"/>
          </w:tcPr>
          <w:p>
            <w:pPr>
              <w:spacing w:after="0"/>
              <w:rPr>
                <w:sz w:val="24"/>
                <w:szCs w:val="24"/>
                <w:color w:val="auto"/>
              </w:rPr>
            </w:pPr>
          </w:p>
        </w:tc>
        <w:tc>
          <w:tcPr>
            <w:tcW w:w="8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116,504</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00" w:type="dxa"/>
            <w:vAlign w:val="bottom"/>
            <w:shd w:val="clear" w:color="auto" w:fill="DDDDDD"/>
          </w:tcPr>
          <w:p>
            <w:pPr>
              <w:spacing w:after="0"/>
              <w:rPr>
                <w:sz w:val="24"/>
                <w:szCs w:val="24"/>
                <w:color w:val="auto"/>
              </w:rPr>
            </w:pP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102,157</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20" w:type="dxa"/>
            <w:vAlign w:val="bottom"/>
            <w:shd w:val="clear" w:color="auto" w:fill="DDDDDD"/>
          </w:tcPr>
          <w:p>
            <w:pPr>
              <w:spacing w:after="0"/>
              <w:rPr>
                <w:sz w:val="24"/>
                <w:szCs w:val="24"/>
                <w:color w:val="auto"/>
              </w:rPr>
            </w:pP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83,971</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14,347</w:t>
            </w:r>
          </w:p>
        </w:tc>
        <w:tc>
          <w:tcPr>
            <w:tcW w:w="108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14 %</w:t>
            </w:r>
          </w:p>
        </w:tc>
      </w:tr>
      <w:tr>
        <w:trPr>
          <w:trHeight w:val="282"/>
        </w:trPr>
        <w:tc>
          <w:tcPr>
            <w:tcW w:w="34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Acquisition related costs</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10,722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(4,154)</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(39)%</w:t>
            </w:r>
          </w:p>
        </w:tc>
      </w:tr>
      <w:tr>
        <w:trPr>
          <w:trHeight w:val="43"/>
        </w:trPr>
        <w:tc>
          <w:tcPr>
            <w:tcW w:w="3480" w:type="dxa"/>
            <w:vAlign w:val="bottom"/>
            <w:tcBorders>
              <w:bottom w:val="single" w:sz="8" w:color="DDDDDD"/>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20" w:type="dxa"/>
            <w:vAlign w:val="bottom"/>
            <w:tcBorders>
              <w:bottom w:val="single" w:sz="8" w:color="DDDDDD"/>
            </w:tcBorders>
          </w:tcPr>
          <w:p>
            <w:pPr>
              <w:spacing w:after="0"/>
              <w:rPr>
                <w:sz w:val="3"/>
                <w:szCs w:val="3"/>
                <w:color w:val="auto"/>
              </w:rPr>
            </w:pPr>
          </w:p>
        </w:tc>
      </w:tr>
      <w:tr>
        <w:trPr>
          <w:trHeight w:val="266"/>
        </w:trPr>
        <w:tc>
          <w:tcPr>
            <w:tcW w:w="34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241,964</w:t>
            </w:r>
          </w:p>
        </w:tc>
        <w:tc>
          <w:tcPr>
            <w:tcW w:w="260" w:type="dxa"/>
            <w:vAlign w:val="bottom"/>
            <w:gridSpan w:val="3"/>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219,734</w:t>
            </w:r>
          </w:p>
        </w:tc>
        <w:tc>
          <w:tcPr>
            <w:tcW w:w="280" w:type="dxa"/>
            <w:vAlign w:val="bottom"/>
            <w:gridSpan w:val="3"/>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189,288</w:t>
            </w:r>
          </w:p>
        </w:tc>
        <w:tc>
          <w:tcPr>
            <w:tcW w:w="300" w:type="dxa"/>
            <w:vAlign w:val="bottom"/>
            <w:gridSpan w:val="3"/>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22,231</w:t>
            </w:r>
          </w:p>
        </w:tc>
        <w:tc>
          <w:tcPr>
            <w:tcW w:w="1080" w:type="dxa"/>
            <w:vAlign w:val="bottom"/>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10 %</w:t>
            </w:r>
          </w:p>
        </w:tc>
      </w:tr>
      <w:tr>
        <w:trPr>
          <w:trHeight w:val="20"/>
        </w:trPr>
        <w:tc>
          <w:tcPr>
            <w:tcW w:w="3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3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36" w:lineRule="exact"/>
        <w:rPr>
          <w:sz w:val="20"/>
          <w:szCs w:val="20"/>
          <w:color w:val="auto"/>
        </w:rPr>
      </w:pPr>
    </w:p>
    <w:p>
      <w:pPr>
        <w:ind w:firstLine="720"/>
        <w:spacing w:after="0" w:line="271" w:lineRule="auto"/>
        <w:rPr>
          <w:sz w:val="20"/>
          <w:szCs w:val="20"/>
          <w:color w:val="auto"/>
        </w:rPr>
      </w:pPr>
      <w:r>
        <w:rPr>
          <w:rFonts w:ascii="Times New Roman" w:cs="Times New Roman" w:eastAsia="Times New Roman" w:hAnsi="Times New Roman"/>
          <w:sz w:val="19"/>
          <w:szCs w:val="19"/>
          <w:color w:val="auto"/>
        </w:rPr>
        <w:t>Our research and development efforts are focused on the design and development of Precision Timing solutions. Our research and development expense consists primarily of personnel costs, pre-production engineering mask costs, software license expenses, intellectual property expenses, design tools and prototype-related expenses, facility costs, supplies, professional and consulting fees, and allocated overhead costs, which may be offset by non-recurring engineering reimbursements provided by third parties recorded in certain periods. There is no assurance that we will have non-recurring engineering reimbursements provided by third parties from period to period. We expense research and development costs as incurred. We believe that continued investment in our products is important for our future growth and acquisition of new</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880"/>
          </w:cols>
          <w:pgMar w:left="1180" w:top="1212" w:right="1180" w:bottom="0" w:gutter="0" w:footer="0" w:header="0"/>
        </w:sectPr>
      </w:pPr>
    </w:p>
    <w:bookmarkStart w:id="53" w:name="page54"/>
    <w:bookmarkEnd w:id="53"/>
    <w:p>
      <w:pPr>
        <w:jc w:val="both"/>
        <w:ind w:right="220"/>
        <w:spacing w:after="0" w:line="266" w:lineRule="auto"/>
        <w:rPr>
          <w:sz w:val="20"/>
          <w:szCs w:val="20"/>
          <w:color w:val="auto"/>
        </w:rPr>
      </w:pPr>
      <w:r>
        <w:rPr>
          <w:rFonts w:ascii="Times New Roman" w:cs="Times New Roman" w:eastAsia="Times New Roman" w:hAnsi="Times New Roman"/>
          <w:sz w:val="20"/>
          <w:szCs w:val="20"/>
          <w:color w:val="auto"/>
        </w:rPr>
        <w:t>customers and, as a result, we expect our research and development expenses to continue to increase in absolute dollars. However, we expect our research and development expense to fluctuate as a percentage of revenue from period to period depending on the timing of these expenses.</w:t>
      </w:r>
    </w:p>
    <w:p>
      <w:pPr>
        <w:spacing w:after="0" w:line="75"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Research and development expense increased by $12.0 million, or 11%, for the year ended December 31, 2025 compared to the same period in 2024, primarily due to an increase in stock-based compensation costs of $4.6 million, higher personnel costs of $4.5 million due to increase in headcount, higher engineering spend towards ongoing new product development of $3.4 million, offset by an increase in non-recurring engineering reimbursements provided by third parties recognized of $0.5 million.</w:t>
      </w:r>
    </w:p>
    <w:p>
      <w:pPr>
        <w:spacing w:after="0" w:line="84" w:lineRule="exact"/>
        <w:rPr>
          <w:sz w:val="20"/>
          <w:szCs w:val="20"/>
          <w:color w:val="auto"/>
        </w:rPr>
      </w:pPr>
    </w:p>
    <w:p>
      <w:pPr>
        <w:jc w:val="both"/>
        <w:ind w:right="1100" w:firstLine="720"/>
        <w:spacing w:after="0" w:line="266" w:lineRule="auto"/>
        <w:rPr>
          <w:sz w:val="20"/>
          <w:szCs w:val="20"/>
          <w:color w:val="auto"/>
        </w:rPr>
      </w:pPr>
      <w:r>
        <w:rPr>
          <w:rFonts w:ascii="Times New Roman" w:cs="Times New Roman" w:eastAsia="Times New Roman" w:hAnsi="Times New Roman"/>
          <w:sz w:val="20"/>
          <w:szCs w:val="20"/>
          <w:color w:val="auto"/>
        </w:rPr>
        <w:t>There is no guarantee we will enter into a non-recurring engineering arrangement or recognize such reimbursements in any future period. Based on our current contracts, we expect the non-recurring engineering reimbursements to decline in future periods.</w:t>
      </w:r>
    </w:p>
    <w:p>
      <w:pPr>
        <w:spacing w:after="0" w:line="3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Sales, General and Administrative</w:t>
      </w:r>
    </w:p>
    <w:p>
      <w:pPr>
        <w:spacing w:after="0" w:line="136"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Sales, general and administrative expense consists of personnel costs, professional and consulting fees, accounting and audit fees, legal costs, field application engineering support, travel costs, advertising expenses, and allocated overhead costs. We expect sales, general and administrative expense to continue to increase in absolute dollars as we increase our personnel and grow our operations, although it may fluctuate as a percentage of revenue from period to period depending on the timing of these expenses.</w:t>
      </w:r>
    </w:p>
    <w:p>
      <w:pPr>
        <w:spacing w:after="0" w:line="84" w:lineRule="exact"/>
        <w:rPr>
          <w:sz w:val="20"/>
          <w:szCs w:val="20"/>
          <w:color w:val="auto"/>
        </w:rPr>
      </w:pPr>
    </w:p>
    <w:p>
      <w:pPr>
        <w:ind w:right="100" w:firstLine="720"/>
        <w:spacing w:after="0" w:line="261" w:lineRule="auto"/>
        <w:rPr>
          <w:sz w:val="20"/>
          <w:szCs w:val="20"/>
          <w:color w:val="auto"/>
        </w:rPr>
      </w:pPr>
      <w:r>
        <w:rPr>
          <w:rFonts w:ascii="Times New Roman" w:cs="Times New Roman" w:eastAsia="Times New Roman" w:hAnsi="Times New Roman"/>
          <w:sz w:val="20"/>
          <w:szCs w:val="20"/>
          <w:color w:val="auto"/>
        </w:rPr>
        <w:t>Selling, general and administrative expense increased by $14.3 million, or 14%, for the year ended December 31, 2025 compared to the same period in 2024, primarily due to higher stock-based compensation expense of $4.9 million, higher consulting costs of $2.9 million, higher personnel costs of $3.0 million related to increased headcount, higher sales commission payouts of $2.7 million due to higher sales, and higher travel costs of $0.5 million.</w:t>
      </w:r>
    </w:p>
    <w:p>
      <w:pPr>
        <w:spacing w:after="0" w:line="3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Acquisition related costs</w:t>
      </w:r>
    </w:p>
    <w:p>
      <w:pPr>
        <w:spacing w:after="0" w:line="136" w:lineRule="exact"/>
        <w:rPr>
          <w:sz w:val="20"/>
          <w:szCs w:val="20"/>
          <w:color w:val="auto"/>
        </w:rPr>
      </w:pPr>
    </w:p>
    <w:p>
      <w:pPr>
        <w:ind w:right="120" w:firstLine="720"/>
        <w:spacing w:after="0" w:line="255" w:lineRule="auto"/>
        <w:rPr>
          <w:sz w:val="20"/>
          <w:szCs w:val="20"/>
          <w:color w:val="auto"/>
        </w:rPr>
      </w:pPr>
      <w:r>
        <w:rPr>
          <w:rFonts w:ascii="Times New Roman" w:cs="Times New Roman" w:eastAsia="Times New Roman" w:hAnsi="Times New Roman"/>
          <w:sz w:val="20"/>
          <w:szCs w:val="20"/>
          <w:color w:val="auto"/>
        </w:rPr>
        <w:t>Acquisition related costs include legal, regulatory, consulting, and other costs incurred towards the acquisition closed during the year ended December 31, 2023 and changes in the fair value of the sales-based earnout liability and interest accretion related to the acquisition consideration payable. Acquisition related costs decreased by $4.2 million, or 39%, for the year ended December 31, 2025, primarily due to lower accretion of acquisition consideration payable of $3.1 million as the liability was fully paid during the year, and lower accretion of the fair value of sales-based earnout liability of $2.0 million due to lower interest rates and payment, offset by an increase in one-time acquisition costs of $0.9 million. We will continue to incur incremental costs beyond 2025 related to the Aura transaction arising from changes in the fair value of the sales-based earnout liability.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Interest Income and Other Expense, net</w:t>
      </w:r>
    </w:p>
    <w:p>
      <w:pPr>
        <w:spacing w:after="0" w:line="134" w:lineRule="exact"/>
        <w:rPr>
          <w:sz w:val="20"/>
          <w:szCs w:val="20"/>
          <w:color w:val="auto"/>
        </w:rPr>
      </w:pPr>
    </w:p>
    <w:p>
      <w:pPr>
        <w:ind w:right="740" w:firstLine="720"/>
        <w:spacing w:after="0" w:line="282" w:lineRule="auto"/>
        <w:rPr>
          <w:sz w:val="20"/>
          <w:szCs w:val="20"/>
          <w:color w:val="auto"/>
        </w:rPr>
      </w:pPr>
      <w:r>
        <w:rPr>
          <w:rFonts w:ascii="Times New Roman" w:cs="Times New Roman" w:eastAsia="Times New Roman" w:hAnsi="Times New Roman"/>
          <w:sz w:val="20"/>
          <w:szCs w:val="20"/>
          <w:color w:val="auto"/>
        </w:rPr>
        <w:t>Interest income and other expense consists primarily of interest income on our cash balances, and foreign exchange gains and losses.</w:t>
      </w:r>
    </w:p>
    <w:p>
      <w:pPr>
        <w:spacing w:after="0" w:line="252"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Change 2025 vs 2024</w:t>
            </w:r>
          </w:p>
        </w:tc>
      </w:tr>
      <w:tr>
        <w:trPr>
          <w:trHeight w:val="38"/>
        </w:trPr>
        <w:tc>
          <w:tcPr>
            <w:tcW w:w="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19"/>
        </w:trPr>
        <w:tc>
          <w:tcPr>
            <w:tcW w:w="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48"/>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ind w:right="24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8"/>
        </w:trPr>
        <w:tc>
          <w:tcPr>
            <w:tcW w:w="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79"/>
        </w:trPr>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9"/>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(in thousands except percentage)</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
        </w:trPr>
        <w:tc>
          <w:tcPr>
            <w:tcW w:w="40" w:type="dxa"/>
            <w:vAlign w:val="bottom"/>
          </w:tcPr>
          <w:p>
            <w:pPr>
              <w:spacing w:after="0"/>
              <w:rPr>
                <w:sz w:val="3"/>
                <w:szCs w:val="3"/>
                <w:color w:val="auto"/>
              </w:rPr>
            </w:pPr>
          </w:p>
        </w:tc>
        <w:tc>
          <w:tcPr>
            <w:tcW w:w="34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r>
      <w:tr>
        <w:trPr>
          <w:trHeight w:val="304"/>
        </w:trPr>
        <w:tc>
          <w:tcPr>
            <w:tcW w:w="40" w:type="dxa"/>
            <w:vAlign w:val="bottom"/>
            <w:tcBorders>
              <w:bottom w:val="single" w:sz="8" w:color="DDDDDD"/>
            </w:tcBorders>
            <w:shd w:val="clear" w:color="auto" w:fill="DDDDDD"/>
          </w:tcPr>
          <w:p>
            <w:pPr>
              <w:spacing w:after="0"/>
              <w:rPr>
                <w:sz w:val="24"/>
                <w:szCs w:val="24"/>
                <w:color w:val="auto"/>
              </w:rPr>
            </w:pPr>
          </w:p>
        </w:tc>
        <w:tc>
          <w:tcPr>
            <w:tcW w:w="344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2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20"/>
                <w:szCs w:val="20"/>
                <w:color w:val="auto"/>
              </w:rPr>
              <w:t>24,830</w:t>
            </w:r>
          </w:p>
        </w:tc>
        <w:tc>
          <w:tcPr>
            <w:tcW w:w="300" w:type="dxa"/>
            <w:vAlign w:val="bottom"/>
            <w:tcBorders>
              <w:bottom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22,883</w:t>
            </w:r>
          </w:p>
        </w:tc>
        <w:tc>
          <w:tcPr>
            <w:tcW w:w="380" w:type="dxa"/>
            <w:vAlign w:val="bottom"/>
            <w:tcBorders>
              <w:bottom w:val="single" w:sz="8" w:color="DDDDDD"/>
            </w:tcBorders>
            <w:gridSpan w:val="3"/>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26,958</w:t>
            </w:r>
          </w:p>
        </w:tc>
        <w:tc>
          <w:tcPr>
            <w:tcW w:w="300" w:type="dxa"/>
            <w:vAlign w:val="bottom"/>
            <w:tcBorders>
              <w:bottom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1,947</w:t>
            </w:r>
          </w:p>
        </w:tc>
        <w:tc>
          <w:tcPr>
            <w:tcW w:w="1080" w:type="dxa"/>
            <w:vAlign w:val="bottom"/>
            <w:tcBorders>
              <w:bottom w:val="single" w:sz="8" w:color="DDDDDD"/>
            </w:tcBorders>
            <w:gridSpan w:val="2"/>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9%</w:t>
            </w:r>
          </w:p>
        </w:tc>
      </w:tr>
      <w:tr>
        <w:trPr>
          <w:trHeight w:val="282"/>
        </w:trPr>
        <w:tc>
          <w:tcPr>
            <w:tcW w:w="40" w:type="dxa"/>
            <w:vAlign w:val="bottom"/>
          </w:tcPr>
          <w:p>
            <w:pPr>
              <w:spacing w:after="0"/>
              <w:rPr>
                <w:sz w:val="24"/>
                <w:szCs w:val="24"/>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expense, net</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43"/>
        </w:trPr>
        <w:tc>
          <w:tcPr>
            <w:tcW w:w="40" w:type="dxa"/>
            <w:vAlign w:val="bottom"/>
            <w:tcBorders>
              <w:bottom w:val="single" w:sz="8" w:color="DDDDDD"/>
            </w:tcBorders>
          </w:tcPr>
          <w:p>
            <w:pPr>
              <w:spacing w:after="0"/>
              <w:rPr>
                <w:sz w:val="3"/>
                <w:szCs w:val="3"/>
                <w:color w:val="auto"/>
              </w:rPr>
            </w:pPr>
          </w:p>
        </w:tc>
        <w:tc>
          <w:tcPr>
            <w:tcW w:w="3400" w:type="dxa"/>
            <w:vAlign w:val="bottom"/>
            <w:tcBorders>
              <w:bottom w:val="single" w:sz="8" w:color="DDDDDD"/>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1020" w:type="dxa"/>
            <w:vAlign w:val="bottom"/>
            <w:tcBorders>
              <w:bottom w:val="single" w:sz="8" w:color="DDDDDD"/>
            </w:tcBorders>
          </w:tcPr>
          <w:p>
            <w:pPr>
              <w:spacing w:after="0"/>
              <w:rPr>
                <w:sz w:val="3"/>
                <w:szCs w:val="3"/>
                <w:color w:val="auto"/>
              </w:rPr>
            </w:pPr>
          </w:p>
        </w:tc>
      </w:tr>
      <w:tr>
        <w:trPr>
          <w:trHeight w:val="240"/>
        </w:trPr>
        <w:tc>
          <w:tcPr>
            <w:tcW w:w="40" w:type="dxa"/>
            <w:vAlign w:val="bottom"/>
            <w:shd w:val="clear" w:color="auto" w:fill="DDDDDD"/>
          </w:tcPr>
          <w:p>
            <w:pPr>
              <w:spacing w:after="0"/>
              <w:rPr>
                <w:sz w:val="20"/>
                <w:szCs w:val="20"/>
                <w:color w:val="auto"/>
              </w:rPr>
            </w:pPr>
          </w:p>
        </w:tc>
        <w:tc>
          <w:tcPr>
            <w:tcW w:w="340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Total interest income and other expense,</w:t>
            </w:r>
          </w:p>
        </w:tc>
        <w:tc>
          <w:tcPr>
            <w:tcW w:w="4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20" w:type="dxa"/>
            <w:vAlign w:val="bottom"/>
            <w:shd w:val="clear" w:color="auto" w:fill="DDDDDD"/>
          </w:tcPr>
          <w:p>
            <w:pPr>
              <w:spacing w:after="0"/>
              <w:rPr>
                <w:sz w:val="20"/>
                <w:szCs w:val="20"/>
                <w:color w:val="auto"/>
              </w:rPr>
            </w:pPr>
          </w:p>
        </w:tc>
        <w:tc>
          <w:tcPr>
            <w:tcW w:w="68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1020" w:type="dxa"/>
            <w:vAlign w:val="bottom"/>
            <w:shd w:val="clear" w:color="auto" w:fill="DDDDDD"/>
          </w:tcPr>
          <w:p>
            <w:pPr>
              <w:spacing w:after="0"/>
              <w:rPr>
                <w:sz w:val="20"/>
                <w:szCs w:val="20"/>
                <w:color w:val="auto"/>
              </w:rPr>
            </w:pPr>
          </w:p>
        </w:tc>
      </w:tr>
      <w:tr>
        <w:trPr>
          <w:trHeight w:val="306"/>
        </w:trPr>
        <w:tc>
          <w:tcPr>
            <w:tcW w:w="40" w:type="dxa"/>
            <w:vAlign w:val="bottom"/>
            <w:tcBorders>
              <w:bottom w:val="single" w:sz="8" w:color="DDDDDD"/>
            </w:tcBorders>
            <w:shd w:val="clear" w:color="auto" w:fill="DDDDDD"/>
          </w:tcPr>
          <w:p>
            <w:pPr>
              <w:spacing w:after="0"/>
              <w:rPr>
                <w:sz w:val="24"/>
                <w:szCs w:val="24"/>
                <w:color w:val="auto"/>
              </w:rPr>
            </w:pPr>
          </w:p>
        </w:tc>
        <w:tc>
          <w:tcPr>
            <w:tcW w:w="340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net</w:t>
            </w:r>
          </w:p>
        </w:tc>
        <w:tc>
          <w:tcPr>
            <w:tcW w:w="40" w:type="dxa"/>
            <w:vAlign w:val="bottom"/>
            <w:tcBorders>
              <w:bottom w:val="single" w:sz="8" w:color="DDDDDD"/>
            </w:tcBorders>
            <w:shd w:val="clear" w:color="auto" w:fill="DDDDDD"/>
          </w:tcPr>
          <w:p>
            <w:pPr>
              <w:spacing w:after="0"/>
              <w:rPr>
                <w:sz w:val="24"/>
                <w:szCs w:val="24"/>
                <w:color w:val="auto"/>
              </w:rPr>
            </w:pPr>
          </w:p>
        </w:tc>
        <w:tc>
          <w:tcPr>
            <w:tcW w:w="2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DDDDDD"/>
            </w:tcBorders>
            <w:shd w:val="clear" w:color="auto" w:fill="DDDDDD"/>
          </w:tcPr>
          <w:p>
            <w:pPr>
              <w:jc w:val="right"/>
              <w:ind w:right="8"/>
              <w:spacing w:after="0"/>
              <w:rPr>
                <w:sz w:val="20"/>
                <w:szCs w:val="20"/>
                <w:color w:val="auto"/>
              </w:rPr>
            </w:pPr>
            <w:r>
              <w:rPr>
                <w:rFonts w:ascii="Times New Roman" w:cs="Times New Roman" w:eastAsia="Times New Roman" w:hAnsi="Times New Roman"/>
                <w:sz w:val="20"/>
                <w:szCs w:val="20"/>
                <w:color w:val="auto"/>
              </w:rPr>
              <w:t>24,673</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22,125</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26,817</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2,548</w:t>
            </w:r>
          </w:p>
        </w:tc>
        <w:tc>
          <w:tcPr>
            <w:tcW w:w="60" w:type="dxa"/>
            <w:vAlign w:val="bottom"/>
            <w:tcBorders>
              <w:bottom w:val="single" w:sz="8" w:color="DDDDDD"/>
            </w:tcBorders>
            <w:shd w:val="clear" w:color="auto" w:fill="DDDDDD"/>
          </w:tcPr>
          <w:p>
            <w:pPr>
              <w:spacing w:after="0"/>
              <w:rPr>
                <w:sz w:val="24"/>
                <w:szCs w:val="24"/>
                <w:color w:val="auto"/>
              </w:rPr>
            </w:pPr>
          </w:p>
        </w:tc>
        <w:tc>
          <w:tcPr>
            <w:tcW w:w="1020" w:type="dxa"/>
            <w:vAlign w:val="bottom"/>
            <w:tcBorders>
              <w:bottom w:val="single" w:sz="8" w:color="DDDDDD"/>
            </w:tcBorders>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12%</w:t>
            </w:r>
          </w:p>
        </w:tc>
      </w:tr>
      <w:tr>
        <w:trPr>
          <w:trHeight w:val="20"/>
        </w:trPr>
        <w:tc>
          <w:tcPr>
            <w:tcW w:w="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00" w:firstLine="720"/>
        <w:spacing w:after="0" w:line="266" w:lineRule="auto"/>
        <w:rPr>
          <w:sz w:val="20"/>
          <w:szCs w:val="20"/>
          <w:color w:val="auto"/>
        </w:rPr>
      </w:pPr>
      <w:r>
        <w:rPr>
          <w:rFonts w:ascii="Times New Roman" w:cs="Times New Roman" w:eastAsia="Times New Roman" w:hAnsi="Times New Roman"/>
          <w:sz w:val="20"/>
          <w:szCs w:val="20"/>
          <w:color w:val="auto"/>
        </w:rPr>
        <w:t>Interest income and other expense, net increased $2.5 million for the year ended December 31, 2025 compared to the same period in 2024 due to increase in average investment balance during the period, primarily due to funds raised through the follow-on public offering in June 2025, partially offset by lower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9880"/>
          </w:cols>
          <w:pgMar w:left="1180" w:top="856" w:right="1180" w:bottom="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134" w:lineRule="exact"/>
        <w:rPr>
          <w:sz w:val="20"/>
          <w:szCs w:val="20"/>
          <w:color w:val="auto"/>
        </w:rPr>
      </w:pPr>
    </w:p>
    <w:p>
      <w:pPr>
        <w:ind w:right="60" w:firstLine="720"/>
        <w:spacing w:after="0" w:line="253" w:lineRule="auto"/>
        <w:rPr>
          <w:sz w:val="20"/>
          <w:szCs w:val="20"/>
          <w:color w:val="auto"/>
        </w:rPr>
      </w:pPr>
      <w:r>
        <w:rPr>
          <w:rFonts w:ascii="Times New Roman" w:cs="Times New Roman" w:eastAsia="Times New Roman" w:hAnsi="Times New Roman"/>
          <w:sz w:val="20"/>
          <w:szCs w:val="20"/>
          <w:color w:val="auto"/>
        </w:rPr>
        <w:t>Income tax expense consists primarily of state income taxes and income taxes in certain foreign jurisdictions in which we conduct business. The income tax expense in foreign jurisdictions was higher due to increased operational activities in our foreign entities. We have a full valuation allowance for deferred tax assets as the realization of the full amount of our deferred tax asset is uncertain, including net operating losses ("NOL") carryforwards, and tax credits related primarily to research and development. We expect to maintain this full valuation allowance until realization of the deferred tax assets becomes more likely than not. At December 31, 2025 and 2024, we had federal NOL carryforwards of approximately $344.3 million and $250.7 million, respectively, state NOL carryforwards of approximately $85.1 million and $84.5 million, respectively, and foreign NOL carryforwards of approximately $0.2 million and $2.0 million, respectively. These federal, state, and foreign NOL carryforwards will expire beginning in 2028. At December 31, 2025 and 2024, we had research and development tax credit carryforwards of approximately $3.9 million and $3.9 million, respectively for U.S. federal income tax purposes and $3.6 million and $3.6 million, respectively for state income tax purposes. The research and development credit carryforwards for federal tax purposes began to expire in 2025, and state tax credits carry forward indefinitely.</w:t>
      </w:r>
    </w:p>
    <w:p>
      <w:pPr>
        <w:spacing w:after="0" w:line="83" w:lineRule="exact"/>
        <w:rPr>
          <w:sz w:val="20"/>
          <w:szCs w:val="20"/>
          <w:color w:val="auto"/>
        </w:rPr>
      </w:pPr>
    </w:p>
    <w:p>
      <w:pPr>
        <w:ind w:right="40" w:firstLine="720"/>
        <w:spacing w:after="0" w:line="260" w:lineRule="auto"/>
        <w:rPr>
          <w:sz w:val="20"/>
          <w:szCs w:val="20"/>
          <w:color w:val="auto"/>
        </w:rPr>
      </w:pPr>
      <w:r>
        <w:rPr>
          <w:rFonts w:ascii="Times New Roman" w:cs="Times New Roman" w:eastAsia="Times New Roman" w:hAnsi="Times New Roman"/>
          <w:sz w:val="20"/>
          <w:szCs w:val="20"/>
          <w:color w:val="auto"/>
        </w:rPr>
        <w:t>On July 4, 2025, the One Big Beautiful Bill Act (the “Act”) was enacted into law. The Company has evaluated the impact of the Act and determined that, due to its full valuation allowance, full-year taxable loss position, absence of Foreign-Derived Intangible Income and Global Intangible Low-Taxed Income, limitations under IRC Section 163(j), and the availability of pre-2017 net operating loss carryforwards, the Act does not have a material impact on the Company’s effective tax rate for the year.</w:t>
      </w:r>
    </w:p>
    <w:p>
      <w:pPr>
        <w:spacing w:after="0" w:line="272"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6"/>
          </w:tcPr>
          <w:p>
            <w:pPr>
              <w:jc w:val="center"/>
              <w:ind w:left="333"/>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Change 2025 vs 2024</w:t>
            </w:r>
          </w:p>
        </w:tc>
      </w:tr>
      <w:tr>
        <w:trPr>
          <w:trHeight w:val="38"/>
        </w:trPr>
        <w:tc>
          <w:tcPr>
            <w:tcW w:w="34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19"/>
        </w:trPr>
        <w:tc>
          <w:tcPr>
            <w:tcW w:w="3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8"/>
        </w:trPr>
        <w:tc>
          <w:tcPr>
            <w:tcW w:w="34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79"/>
        </w:trPr>
        <w:tc>
          <w:tcPr>
            <w:tcW w:w="3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7"/>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(in thousands except percentage)</w:t>
            </w: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8"/>
        </w:trPr>
        <w:tc>
          <w:tcPr>
            <w:tcW w:w="3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1140" w:type="dxa"/>
            <w:vAlign w:val="bottom"/>
            <w:gridSpan w:val="3"/>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r>
      <w:tr>
        <w:trPr>
          <w:trHeight w:val="282"/>
        </w:trPr>
        <w:tc>
          <w:tcPr>
            <w:tcW w:w="348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Income tax expense</w:t>
            </w:r>
          </w:p>
        </w:tc>
        <w:tc>
          <w:tcPr>
            <w:tcW w:w="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(598)</w:t>
            </w:r>
          </w:p>
        </w:tc>
        <w:tc>
          <w:tcPr>
            <w:tcW w:w="30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3"/>
            <w:shd w:val="clear" w:color="auto" w:fill="DDDDDD"/>
          </w:tcPr>
          <w:p>
            <w:pPr>
              <w:jc w:val="right"/>
              <w:ind w:right="160"/>
              <w:spacing w:after="0"/>
              <w:rPr>
                <w:sz w:val="20"/>
                <w:szCs w:val="20"/>
                <w:color w:val="auto"/>
              </w:rPr>
            </w:pPr>
            <w:r>
              <w:rPr>
                <w:rFonts w:ascii="Times New Roman" w:cs="Times New Roman" w:eastAsia="Times New Roman" w:hAnsi="Times New Roman"/>
                <w:sz w:val="20"/>
                <w:szCs w:val="20"/>
                <w:color w:val="auto"/>
              </w:rPr>
              <w:t>(486)  $</w:t>
            </w:r>
          </w:p>
        </w:tc>
        <w:tc>
          <w:tcPr>
            <w:tcW w:w="6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320" w:type="dxa"/>
            <w:vAlign w:val="bottom"/>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1080" w:type="dxa"/>
            <w:vAlign w:val="bottom"/>
            <w:gridSpan w:val="2"/>
            <w:shd w:val="clear" w:color="auto" w:fill="DDDDDD"/>
          </w:tcPr>
          <w:p>
            <w:pPr>
              <w:jc w:val="right"/>
              <w:ind w:right="300"/>
              <w:spacing w:after="0"/>
              <w:rPr>
                <w:sz w:val="20"/>
                <w:szCs w:val="20"/>
                <w:color w:val="auto"/>
              </w:rPr>
            </w:pPr>
            <w:r>
              <w:rPr>
                <w:rFonts w:ascii="Times New Roman" w:cs="Times New Roman" w:eastAsia="Times New Roman" w:hAnsi="Times New Roman"/>
                <w:sz w:val="20"/>
                <w:szCs w:val="20"/>
                <w:color w:val="auto"/>
              </w:rPr>
              <w:t>23%</w:t>
            </w:r>
          </w:p>
        </w:tc>
      </w:tr>
      <w:tr>
        <w:trPr>
          <w:trHeight w:val="42"/>
        </w:trPr>
        <w:tc>
          <w:tcPr>
            <w:tcW w:w="3480" w:type="dxa"/>
            <w:vAlign w:val="bottom"/>
            <w:shd w:val="clear" w:color="auto" w:fill="DDDDDD"/>
          </w:tcPr>
          <w:p>
            <w:pPr>
              <w:spacing w:after="0"/>
              <w:rPr>
                <w:sz w:val="3"/>
                <w:szCs w:val="3"/>
                <w:color w:val="auto"/>
              </w:rPr>
            </w:pPr>
          </w:p>
        </w:tc>
        <w:tc>
          <w:tcPr>
            <w:tcW w:w="260" w:type="dxa"/>
            <w:vAlign w:val="bottom"/>
            <w:shd w:val="clear" w:color="auto" w:fill="DDDDDD"/>
          </w:tcPr>
          <w:p>
            <w:pPr>
              <w:spacing w:after="0"/>
              <w:rPr>
                <w:sz w:val="3"/>
                <w:szCs w:val="3"/>
                <w:color w:val="auto"/>
              </w:rPr>
            </w:pPr>
          </w:p>
        </w:tc>
        <w:tc>
          <w:tcPr>
            <w:tcW w:w="760" w:type="dxa"/>
            <w:vAlign w:val="bottom"/>
            <w:shd w:val="clear" w:color="auto" w:fill="DDDDDD"/>
          </w:tcPr>
          <w:p>
            <w:pPr>
              <w:spacing w:after="0"/>
              <w:rPr>
                <w:sz w:val="3"/>
                <w:szCs w:val="3"/>
                <w:color w:val="auto"/>
              </w:rPr>
            </w:pPr>
          </w:p>
        </w:tc>
        <w:tc>
          <w:tcPr>
            <w:tcW w:w="60" w:type="dxa"/>
            <w:vAlign w:val="bottom"/>
            <w:shd w:val="clear" w:color="auto" w:fill="DDDDDD"/>
          </w:tcPr>
          <w:p>
            <w:pPr>
              <w:spacing w:after="0"/>
              <w:rPr>
                <w:sz w:val="3"/>
                <w:szCs w:val="3"/>
                <w:color w:val="auto"/>
              </w:rPr>
            </w:pPr>
          </w:p>
        </w:tc>
        <w:tc>
          <w:tcPr>
            <w:tcW w:w="240" w:type="dxa"/>
            <w:vAlign w:val="bottom"/>
            <w:shd w:val="clear" w:color="auto" w:fill="DDDDDD"/>
          </w:tcPr>
          <w:p>
            <w:pPr>
              <w:spacing w:after="0"/>
              <w:rPr>
                <w:sz w:val="3"/>
                <w:szCs w:val="3"/>
                <w:color w:val="auto"/>
              </w:rPr>
            </w:pPr>
          </w:p>
        </w:tc>
        <w:tc>
          <w:tcPr>
            <w:tcW w:w="760" w:type="dxa"/>
            <w:vAlign w:val="bottom"/>
            <w:shd w:val="clear" w:color="auto" w:fill="DDDDDD"/>
          </w:tcPr>
          <w:p>
            <w:pPr>
              <w:spacing w:after="0"/>
              <w:rPr>
                <w:sz w:val="3"/>
                <w:szCs w:val="3"/>
                <w:color w:val="auto"/>
              </w:rPr>
            </w:pPr>
          </w:p>
        </w:tc>
        <w:tc>
          <w:tcPr>
            <w:tcW w:w="60" w:type="dxa"/>
            <w:vAlign w:val="bottom"/>
            <w:shd w:val="clear" w:color="auto" w:fill="DDDDDD"/>
          </w:tcPr>
          <w:p>
            <w:pPr>
              <w:spacing w:after="0"/>
              <w:rPr>
                <w:sz w:val="3"/>
                <w:szCs w:val="3"/>
                <w:color w:val="auto"/>
              </w:rPr>
            </w:pPr>
          </w:p>
        </w:tc>
        <w:tc>
          <w:tcPr>
            <w:tcW w:w="320" w:type="dxa"/>
            <w:vAlign w:val="bottom"/>
            <w:shd w:val="clear" w:color="auto" w:fill="DDDDDD"/>
          </w:tcPr>
          <w:p>
            <w:pPr>
              <w:spacing w:after="0"/>
              <w:rPr>
                <w:sz w:val="3"/>
                <w:szCs w:val="3"/>
                <w:color w:val="auto"/>
              </w:rPr>
            </w:pPr>
          </w:p>
        </w:tc>
        <w:tc>
          <w:tcPr>
            <w:tcW w:w="680" w:type="dxa"/>
            <w:vAlign w:val="bottom"/>
            <w:shd w:val="clear" w:color="auto" w:fill="DDDDDD"/>
          </w:tcPr>
          <w:p>
            <w:pPr>
              <w:spacing w:after="0"/>
              <w:rPr>
                <w:sz w:val="3"/>
                <w:szCs w:val="3"/>
                <w:color w:val="auto"/>
              </w:rPr>
            </w:pPr>
          </w:p>
        </w:tc>
        <w:tc>
          <w:tcPr>
            <w:tcW w:w="60" w:type="dxa"/>
            <w:vAlign w:val="bottom"/>
            <w:shd w:val="clear" w:color="auto" w:fill="DDDDDD"/>
          </w:tcPr>
          <w:p>
            <w:pPr>
              <w:spacing w:after="0"/>
              <w:rPr>
                <w:sz w:val="3"/>
                <w:szCs w:val="3"/>
                <w:color w:val="auto"/>
              </w:rPr>
            </w:pPr>
          </w:p>
        </w:tc>
        <w:tc>
          <w:tcPr>
            <w:tcW w:w="260" w:type="dxa"/>
            <w:vAlign w:val="bottom"/>
            <w:shd w:val="clear" w:color="auto" w:fill="DDDDDD"/>
          </w:tcPr>
          <w:p>
            <w:pPr>
              <w:spacing w:after="0"/>
              <w:rPr>
                <w:sz w:val="3"/>
                <w:szCs w:val="3"/>
                <w:color w:val="auto"/>
              </w:rPr>
            </w:pPr>
          </w:p>
        </w:tc>
        <w:tc>
          <w:tcPr>
            <w:tcW w:w="740" w:type="dxa"/>
            <w:vAlign w:val="bottom"/>
            <w:shd w:val="clear" w:color="auto" w:fill="DDDDDD"/>
          </w:tcPr>
          <w:p>
            <w:pPr>
              <w:spacing w:after="0"/>
              <w:rPr>
                <w:sz w:val="3"/>
                <w:szCs w:val="3"/>
                <w:color w:val="auto"/>
              </w:rPr>
            </w:pPr>
          </w:p>
        </w:tc>
        <w:tc>
          <w:tcPr>
            <w:tcW w:w="60" w:type="dxa"/>
            <w:vAlign w:val="bottom"/>
            <w:shd w:val="clear" w:color="auto" w:fill="DDDDDD"/>
          </w:tcPr>
          <w:p>
            <w:pPr>
              <w:spacing w:after="0"/>
              <w:rPr>
                <w:sz w:val="3"/>
                <w:szCs w:val="3"/>
                <w:color w:val="auto"/>
              </w:rPr>
            </w:pPr>
          </w:p>
        </w:tc>
        <w:tc>
          <w:tcPr>
            <w:tcW w:w="1020" w:type="dxa"/>
            <w:vAlign w:val="bottom"/>
            <w:shd w:val="clear" w:color="auto" w:fill="DDDDDD"/>
          </w:tcPr>
          <w:p>
            <w:pPr>
              <w:spacing w:after="0"/>
              <w:rPr>
                <w:sz w:val="3"/>
                <w:szCs w:val="3"/>
                <w:color w:val="auto"/>
              </w:rPr>
            </w:pP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34"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As of December 31, 2025 and 2024 we held short-term investments in held-to-maturity securities of $791.6 million and $412.7 million, respectively, which consisted of Treasury Bills. As of December 31, 2025 and 2024, we also had cash and cash equivalents of $16.8 million and $6.1 million, respectively. Our principal use of cash is to fund our operations, to support growth through capital investments, and to acquire complementary businesses, products, services, or technologies in the future.</w:t>
      </w:r>
    </w:p>
    <w:p>
      <w:pPr>
        <w:spacing w:after="0" w:line="84" w:lineRule="exact"/>
        <w:rPr>
          <w:sz w:val="20"/>
          <w:szCs w:val="20"/>
          <w:color w:val="auto"/>
        </w:rPr>
      </w:pPr>
    </w:p>
    <w:p>
      <w:pPr>
        <w:ind w:right="140" w:firstLine="720"/>
        <w:spacing w:after="0" w:line="255" w:lineRule="auto"/>
        <w:rPr>
          <w:sz w:val="20"/>
          <w:szCs w:val="20"/>
          <w:color w:val="auto"/>
        </w:rPr>
      </w:pPr>
      <w:r>
        <w:rPr>
          <w:rFonts w:ascii="Times New Roman" w:cs="Times New Roman" w:eastAsia="Times New Roman" w:hAnsi="Times New Roman"/>
          <w:sz w:val="20"/>
          <w:szCs w:val="20"/>
          <w:color w:val="auto"/>
        </w:rPr>
        <w:t>In February 2024, we entered into a Sales Agreement ("Sales Agreement") with Stifel, Nicolaus &amp; Company, Incorporated ("Stifel"), under which we may offer and sell from time to time at our sole discretion, up to an aggregate of 1,200,000 shares of our common stock, par value $0.0001 per share, through Stifel as our sales agent. The Company used the net proceeds from the shares of common stock offered and sold to replenish funds expended to satisfy tax withholding and remittance obligations related to the net settlement upon vesting of restricted stock unit awards (“RSU”) granted to employees under the equity incentive plans. During the year ended December 31, 2025, we sold 263,400 shares of our common stock under the Sales Agreement at a weighted average price of $251.26 per share resulting in net proceeds to us of $64.3 million, after deducting underwriting discounts and commissions and offering costs.</w:t>
      </w:r>
    </w:p>
    <w:p>
      <w:pPr>
        <w:spacing w:after="0" w:line="85"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On June 27, 2025, we completed a follow-on public offering, in which we issued and sold 2,012,500 shares of our common stock, resulting in net proceeds to us of $387.3 million after deducting underwriting discounts and commissions of $14.1 million and deferred offering costs of $1.1 million.</w:t>
      </w:r>
    </w:p>
    <w:p>
      <w:pPr>
        <w:spacing w:after="0" w:line="75"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Also on February 4, 2026, in connection with our entry into the Asset Purchase Agreement, we entered into the Commitment Letter with Wells Fargo, pursuant to which Wells Fargo has committed to provide us with debt financing to fund a portion of the Cash Consideration in an aggregate principal amount of up to $900.0 million in the form of the Bridge Facility. Subject to market conditions and other factors, in lieu of all or a portion of the Bridge Facility, we may fund a portion of the Acquisition consideration through one or more bank financing or capital markets transactions.</w:t>
      </w:r>
    </w:p>
    <w:p>
      <w:pPr>
        <w:spacing w:after="0" w:line="84" w:lineRule="exact"/>
        <w:rPr>
          <w:sz w:val="20"/>
          <w:szCs w:val="20"/>
          <w:color w:val="auto"/>
        </w:rPr>
      </w:pPr>
    </w:p>
    <w:p>
      <w:pPr>
        <w:ind w:right="260" w:firstLine="720"/>
        <w:spacing w:after="0" w:line="286" w:lineRule="auto"/>
        <w:rPr>
          <w:sz w:val="20"/>
          <w:szCs w:val="20"/>
          <w:color w:val="auto"/>
        </w:rPr>
      </w:pPr>
      <w:r>
        <w:rPr>
          <w:rFonts w:ascii="Times New Roman" w:cs="Times New Roman" w:eastAsia="Times New Roman" w:hAnsi="Times New Roman"/>
          <w:sz w:val="19"/>
          <w:szCs w:val="19"/>
          <w:color w:val="auto"/>
        </w:rPr>
        <w:t>Our purchase obligations primarily include non-cancelable purchase commitments from agreements with our contract manufacturers as well as a multi-year purchase agreement with commitment to purchase minimum quantities of MEMS wafers and research and development, tooling and sample cost under the agreement, and design and simulation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9880"/>
          </w:cols>
          <w:pgMar w:left="1180" w:top="1212" w:right="1180" w:bottom="0" w:gutter="0" w:footer="0" w:header="0"/>
        </w:sectPr>
      </w:pPr>
    </w:p>
    <w:bookmarkStart w:id="55" w:name="page56"/>
    <w:bookmarkEnd w:id="55"/>
    <w:p>
      <w:pPr>
        <w:ind w:right="460"/>
        <w:spacing w:after="0" w:line="288" w:lineRule="auto"/>
        <w:rPr>
          <w:sz w:val="20"/>
          <w:szCs w:val="20"/>
          <w:color w:val="auto"/>
        </w:rPr>
      </w:pPr>
      <w:r>
        <w:rPr>
          <w:rFonts w:ascii="Times New Roman" w:cs="Times New Roman" w:eastAsia="Times New Roman" w:hAnsi="Times New Roman"/>
          <w:sz w:val="20"/>
          <w:szCs w:val="20"/>
          <w:color w:val="auto"/>
        </w:rPr>
        <w:t>licenses. For information about our contractual obligations refer to "Note 5 - Lease" and “Note 6 – Commitments and Contingencies” of the Notes to Consolidated Financial Statements.</w:t>
      </w:r>
    </w:p>
    <w:p>
      <w:pPr>
        <w:spacing w:after="0" w:line="54" w:lineRule="exact"/>
        <w:rPr>
          <w:sz w:val="20"/>
          <w:szCs w:val="20"/>
          <w:color w:val="auto"/>
        </w:rPr>
      </w:pPr>
    </w:p>
    <w:p>
      <w:pPr>
        <w:ind w:right="180" w:firstLine="720"/>
        <w:spacing w:after="0" w:line="266" w:lineRule="auto"/>
        <w:rPr>
          <w:sz w:val="20"/>
          <w:szCs w:val="20"/>
          <w:color w:val="auto"/>
        </w:rPr>
      </w:pPr>
      <w:r>
        <w:rPr>
          <w:rFonts w:ascii="Times New Roman" w:cs="Times New Roman" w:eastAsia="Times New Roman" w:hAnsi="Times New Roman"/>
          <w:sz w:val="20"/>
          <w:szCs w:val="20"/>
          <w:color w:val="auto"/>
        </w:rPr>
        <w:t>We expect to continue our investing activities to support growth, primarily through the purchase of property and equipment, intellectual property licenses, and capitalized software, to support research and development, sales and marketing, product support, and administrative staff.</w:t>
      </w:r>
    </w:p>
    <w:p>
      <w:pPr>
        <w:spacing w:after="0" w:line="75"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auto"/>
        </w:rPr>
        <w:t>We believe that our existing cash and cash equivalents and our short-term investments, along with the funds we may plan to raise for our Asset Purchase Agreement, will be sufficient to meet our cash needs for at least the next 12 months. Over the longer term, our future capital requirements will depend on many factors, including our growth rate, the timing and extent of our sales and marketing and research and development expenditures, costs to acquire or invest in complementary businesses and technologies, payment obligations associated with our completed acquisitions based on achievement of certain milestones, and the continuing market acceptance of our solutions. 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our cash flows for the periods indicated:</w:t>
      </w:r>
    </w:p>
    <w:p>
      <w:pPr>
        <w:spacing w:after="0" w:line="322"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Pr>
          <w:p>
            <w:pPr>
              <w:spacing w:after="0"/>
              <w:rPr>
                <w:sz w:val="18"/>
                <w:szCs w:val="18"/>
                <w:color w:val="auto"/>
              </w:rPr>
            </w:pPr>
          </w:p>
        </w:tc>
      </w:tr>
      <w:tr>
        <w:trPr>
          <w:trHeight w:val="38"/>
        </w:trPr>
        <w:tc>
          <w:tcPr>
            <w:tcW w:w="4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19"/>
        </w:trPr>
        <w:tc>
          <w:tcPr>
            <w:tcW w:w="4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8"/>
        </w:trPr>
        <w:tc>
          <w:tcPr>
            <w:tcW w:w="4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79"/>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8"/>
        </w:trPr>
        <w:tc>
          <w:tcPr>
            <w:tcW w:w="4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304"/>
        </w:trPr>
        <w:tc>
          <w:tcPr>
            <w:tcW w:w="432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2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87,154</w:t>
            </w:r>
          </w:p>
        </w:tc>
        <w:tc>
          <w:tcPr>
            <w:tcW w:w="340" w:type="dxa"/>
            <w:vAlign w:val="bottom"/>
            <w:tcBorders>
              <w:bottom w:val="single" w:sz="8" w:color="DDDDDD"/>
            </w:tcBorders>
            <w:gridSpan w:val="2"/>
            <w:shd w:val="clear" w:color="auto" w:fill="DDDDDD"/>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23,190</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8,056</w:t>
            </w:r>
          </w:p>
        </w:tc>
      </w:tr>
      <w:tr>
        <w:trPr>
          <w:trHeight w:val="282"/>
        </w:trPr>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Net cash (used in) provided by investing activities</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(427,866)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64,759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(36,660)</w:t>
            </w:r>
          </w:p>
        </w:tc>
      </w:tr>
      <w:tr>
        <w:trPr>
          <w:trHeight w:val="43"/>
        </w:trPr>
        <w:tc>
          <w:tcPr>
            <w:tcW w:w="43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325"/>
        </w:trPr>
        <w:tc>
          <w:tcPr>
            <w:tcW w:w="432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220" w:type="dxa"/>
            <w:vAlign w:val="bottom"/>
            <w:tcBorders>
              <w:bottom w:val="single" w:sz="8" w:color="DDDDDD"/>
            </w:tcBorders>
            <w:shd w:val="clear" w:color="auto" w:fill="DDDDDD"/>
          </w:tcPr>
          <w:p>
            <w:pPr>
              <w:spacing w:after="0"/>
              <w:rPr>
                <w:sz w:val="24"/>
                <w:szCs w:val="24"/>
                <w:color w:val="auto"/>
              </w:rPr>
            </w:pP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351,365</w:t>
            </w:r>
          </w:p>
        </w:tc>
        <w:tc>
          <w:tcPr>
            <w:tcW w:w="6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DDDDDD"/>
            </w:tcBorders>
            <w:shd w:val="clear" w:color="auto" w:fill="DDDDDD"/>
          </w:tcPr>
          <w:p>
            <w:pPr>
              <w:spacing w:after="0"/>
              <w:rPr>
                <w:sz w:val="24"/>
                <w:szCs w:val="24"/>
                <w:color w:val="auto"/>
              </w:rPr>
            </w:pP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(91,311)</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7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3,469</w:t>
            </w:r>
          </w:p>
        </w:tc>
      </w:tr>
      <w:tr>
        <w:trPr>
          <w:trHeight w:val="263"/>
        </w:trPr>
        <w:tc>
          <w:tcPr>
            <w:tcW w:w="43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Net increase (decrease) in cash and cash equivalents</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10,653</w:t>
            </w:r>
          </w:p>
        </w:tc>
        <w:tc>
          <w:tcPr>
            <w:tcW w:w="60" w:type="dxa"/>
            <w:vAlign w:val="bottom"/>
          </w:tcPr>
          <w:p>
            <w:pPr>
              <w:spacing w:after="0"/>
              <w:rPr>
                <w:sz w:val="22"/>
                <w:szCs w:val="22"/>
                <w:color w:val="auto"/>
              </w:rPr>
            </w:pPr>
          </w:p>
        </w:tc>
        <w:tc>
          <w:tcPr>
            <w:tcW w:w="2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(3,362)</w:t>
            </w:r>
          </w:p>
        </w:tc>
        <w:tc>
          <w:tcPr>
            <w:tcW w:w="60" w:type="dxa"/>
            <w:vAlign w:val="bottom"/>
            <w:gridSpan w:val="2"/>
          </w:tcPr>
          <w:p>
            <w:pPr>
              <w:spacing w:after="0"/>
              <w:rPr>
                <w:sz w:val="22"/>
                <w:szCs w:val="22"/>
                <w:color w:val="auto"/>
              </w:rPr>
            </w:pPr>
          </w:p>
        </w:tc>
        <w:tc>
          <w:tcPr>
            <w:tcW w:w="3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(25,135)</w:t>
            </w:r>
          </w:p>
        </w:tc>
      </w:tr>
      <w:tr>
        <w:trPr>
          <w:trHeight w:val="44"/>
        </w:trPr>
        <w:tc>
          <w:tcPr>
            <w:tcW w:w="43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3422650</wp:posOffset>
                </wp:positionH>
                <wp:positionV relativeFrom="paragraph">
                  <wp:posOffset>-231775</wp:posOffset>
                </wp:positionV>
                <wp:extent cx="695960"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96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9.5pt,-18.2499pt" to="324.3pt,-18.2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4156710</wp:posOffset>
                </wp:positionH>
                <wp:positionV relativeFrom="paragraph">
                  <wp:posOffset>-231775</wp:posOffset>
                </wp:positionV>
                <wp:extent cx="694690"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69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7.3pt,-18.2499pt" to="382pt,-18.2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4889500</wp:posOffset>
                </wp:positionH>
                <wp:positionV relativeFrom="paragraph">
                  <wp:posOffset>-231775</wp:posOffset>
                </wp:positionV>
                <wp:extent cx="69596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96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pt,-18.2499pt" to="439.8pt,-18.2499pt" o:allowincell="f" strokecolor="#FFFFFF" strokeweight="0.14pt"/>
            </w:pict>
          </mc:Fallback>
        </mc:AlternateContent>
      </w:r>
    </w:p>
    <w:p>
      <w:pPr>
        <w:spacing w:after="0" w:line="29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136"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In 2025, net cash provided by operating activities of $87.2 million was primarily due to net loss of $42.9 million and a change in operating assets and liabilities of $21.8 million, offset by non-cash expenses of $151.9 million. Non-cash expenses were mainly related to stock-based compensation expense, depreciation and amortization, change in fair value of sales based earnout liability and acquisition consideration payable, inventory write-downs and net changes in unrealized interest on held to maturity investments. The changes in operating assets and liabilities resulted in cash used for operations primarily due to higher accounts receivable due to timing of shipments, increase in inventories as we managed our inventory levels, higher prepaid expenses and other assets, and lower accounts payable due to timing of payments, partially offset by higher accrued expenses and other liabilities.</w:t>
      </w:r>
    </w:p>
    <w:p>
      <w:pPr>
        <w:spacing w:after="0" w:line="85"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auto"/>
        </w:rPr>
        <w:t>In 2024, net cash provided by operating activities of $23.2 million was primarily due to net loss of $93.6 million and a change in operating assets and liabilities of $25.0 million, offset by non-cash expenses of $141.8 million. Non-cash expenses were mainly related to stock-based compensation expense, depreciation and amortization, change in fair value of sales based earnout liability and acquisition consideration payable, inventory write-downs and net changes in unrealized interest on held to maturity investments. The changes in operating assets and liabilities resulted in cash used for operations primarily due to higher accounts receivable due to timing of shipments, increase in inventories due to timing of shipments, higher prepaid expenses and other assets, partially offset by lower accrued expenses and other liabilities and lower accounts payable due to timing of payments.</w:t>
      </w:r>
    </w:p>
    <w:p>
      <w:pPr>
        <w:spacing w:after="0" w:line="3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136" w:lineRule="exact"/>
        <w:rPr>
          <w:sz w:val="20"/>
          <w:szCs w:val="20"/>
          <w:color w:val="auto"/>
        </w:rPr>
      </w:pPr>
    </w:p>
    <w:p>
      <w:pPr>
        <w:ind w:right="120" w:firstLine="720"/>
        <w:spacing w:after="0" w:line="261" w:lineRule="auto"/>
        <w:rPr>
          <w:sz w:val="20"/>
          <w:szCs w:val="20"/>
          <w:color w:val="auto"/>
        </w:rPr>
      </w:pPr>
      <w:r>
        <w:rPr>
          <w:rFonts w:ascii="Times New Roman" w:cs="Times New Roman" w:eastAsia="Times New Roman" w:hAnsi="Times New Roman"/>
          <w:sz w:val="20"/>
          <w:szCs w:val="20"/>
          <w:color w:val="auto"/>
        </w:rPr>
        <w:t>Our investing activities consist primarily of the purchase of short-term investments and capital expenditures for property and equipment purchases. Our capital expenditures for property and equipment have primarily been for general business purposes, including machinery and equipment, leasehold improvements, acquired software, computer equipment used internally, and production masks to manufacture our products.</w:t>
      </w:r>
    </w:p>
    <w:p>
      <w:pPr>
        <w:spacing w:after="0" w:line="80" w:lineRule="exact"/>
        <w:rPr>
          <w:sz w:val="20"/>
          <w:szCs w:val="20"/>
          <w:color w:val="auto"/>
        </w:rPr>
      </w:pPr>
    </w:p>
    <w:p>
      <w:pPr>
        <w:ind w:right="180" w:firstLine="720"/>
        <w:spacing w:after="0" w:line="266" w:lineRule="auto"/>
        <w:rPr>
          <w:sz w:val="20"/>
          <w:szCs w:val="20"/>
          <w:color w:val="auto"/>
        </w:rPr>
      </w:pPr>
      <w:r>
        <w:rPr>
          <w:rFonts w:ascii="Times New Roman" w:cs="Times New Roman" w:eastAsia="Times New Roman" w:hAnsi="Times New Roman"/>
          <w:sz w:val="20"/>
          <w:szCs w:val="20"/>
          <w:color w:val="auto"/>
        </w:rPr>
        <w:t>In 2025, cash used in investing activities was $427.9 million. We received proceeds from the maturity of held to maturity investments of $993.4 million. This was partially offset by purchases of $1,368.8 million of short-term investments in held-to-maturity securities, $52.0 million largely to purchase test and other manufacturing equipment to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9860"/>
          </w:cols>
          <w:pgMar w:left="1180" w:top="850" w:right="1200" w:bottom="0" w:gutter="0" w:footer="0" w:header="0"/>
        </w:sectPr>
      </w:pPr>
    </w:p>
    <w:bookmarkStart w:id="56" w:name="page57"/>
    <w:bookmarkEnd w:id="56"/>
    <w:p>
      <w:pPr>
        <w:ind w:right="540"/>
        <w:spacing w:after="0" w:line="282" w:lineRule="auto"/>
        <w:rPr>
          <w:sz w:val="20"/>
          <w:szCs w:val="20"/>
          <w:color w:val="auto"/>
        </w:rPr>
      </w:pPr>
      <w:r>
        <w:rPr>
          <w:rFonts w:ascii="Times New Roman" w:cs="Times New Roman" w:eastAsia="Times New Roman" w:hAnsi="Times New Roman"/>
          <w:sz w:val="20"/>
          <w:szCs w:val="20"/>
          <w:color w:val="auto"/>
        </w:rPr>
        <w:t>support our operations and other property and equipment for general business purposes, and $0.4 million to purchase intangible assets in software licenses.</w:t>
      </w:r>
    </w:p>
    <w:p>
      <w:pPr>
        <w:spacing w:after="0" w:line="60" w:lineRule="exact"/>
        <w:rPr>
          <w:sz w:val="20"/>
          <w:szCs w:val="20"/>
          <w:color w:val="auto"/>
        </w:rPr>
      </w:pPr>
    </w:p>
    <w:p>
      <w:pPr>
        <w:ind w:right="120" w:firstLine="720"/>
        <w:spacing w:after="0" w:line="258" w:lineRule="auto"/>
        <w:rPr>
          <w:sz w:val="20"/>
          <w:szCs w:val="20"/>
          <w:color w:val="auto"/>
        </w:rPr>
      </w:pPr>
      <w:r>
        <w:rPr>
          <w:rFonts w:ascii="Times New Roman" w:cs="Times New Roman" w:eastAsia="Times New Roman" w:hAnsi="Times New Roman"/>
          <w:sz w:val="20"/>
          <w:szCs w:val="20"/>
          <w:color w:val="auto"/>
        </w:rPr>
        <w:t>In 2024, cash provided by investing activities was $64.8 million. We received proceeds from the maturity of held to maturity investments of $909.3 million. This was partially offset by purchases of $807.8 million of short-term investments in held-to-maturity securities, $36.2 million largely to purchase test and other manufacturing equipment to support our operations and other property and equipment for general business purposes, and $0.5 million to purchase intangible assets in software licenses.</w:t>
      </w:r>
    </w:p>
    <w:p>
      <w:pPr>
        <w:spacing w:after="0" w:line="31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136" w:lineRule="exact"/>
        <w:rPr>
          <w:sz w:val="20"/>
          <w:szCs w:val="20"/>
          <w:color w:val="auto"/>
        </w:rPr>
      </w:pPr>
    </w:p>
    <w:p>
      <w:pPr>
        <w:ind w:right="120" w:firstLine="720"/>
        <w:spacing w:after="0" w:line="282" w:lineRule="auto"/>
        <w:rPr>
          <w:sz w:val="20"/>
          <w:szCs w:val="20"/>
          <w:color w:val="auto"/>
        </w:rPr>
      </w:pPr>
      <w:r>
        <w:rPr>
          <w:rFonts w:ascii="Times New Roman" w:cs="Times New Roman" w:eastAsia="Times New Roman" w:hAnsi="Times New Roman"/>
          <w:sz w:val="20"/>
          <w:szCs w:val="20"/>
          <w:color w:val="auto"/>
        </w:rPr>
        <w:t>Our financing activities have primarily consisted of proceeds from issuance of shares, payment of withholding of taxes on RSUs and payment of acquisition related consideration and earnouts.</w:t>
      </w:r>
    </w:p>
    <w:p>
      <w:pPr>
        <w:spacing w:after="0" w:line="6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During the year ended December 31, 2025, we sold 263,400 shares of our common stock under the 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resulting in net proceeds to us of $64.3 million, after deducting underwriting discounts and commissions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$1.3 million and offering costs of $0.6 million. The net proceeds from the Sales Agreement were offset by tax withholdings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paid on behalf of employees for net share settlement of $54.6 million, payment towards the Aura transaction of $32.7</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million and related payment of earnouts of $12.9 million.</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During the year ended December 31, 2024, we sold 332,500 shares of our common stock under the 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resulting in net proceeds to us of $48.8 million, after deducting underwriting discounts and commissions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 million and offering costs of $0.7 million. The net proceeds from the Sales Agreement were offset by tax withholdings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paid on behalf of employees for net share settlement of $52.6 million, payment towards the Aura transaction of $75.2</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million and related payment of earnouts of $12.3 million.</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34" w:lineRule="exact"/>
        <w:rPr>
          <w:sz w:val="20"/>
          <w:szCs w:val="20"/>
          <w:color w:val="auto"/>
        </w:rPr>
      </w:pPr>
    </w:p>
    <w:p>
      <w:pPr>
        <w:ind w:right="120" w:firstLine="720"/>
        <w:spacing w:after="0" w:line="255" w:lineRule="auto"/>
        <w:rPr>
          <w:sz w:val="20"/>
          <w:szCs w:val="20"/>
          <w:color w:val="auto"/>
        </w:rPr>
      </w:pPr>
      <w:r>
        <w:rPr>
          <w:rFonts w:ascii="Times New Roman" w:cs="Times New Roman" w:eastAsia="Times New Roman" w:hAnsi="Times New Roman"/>
          <w:sz w:val="20"/>
          <w:szCs w:val="20"/>
          <w:color w:val="auto"/>
        </w:rPr>
        <w:t>Our consolidated financial statements have been prepared in accordance with U.S. generally accepted accounting principles.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90" w:lineRule="exact"/>
        <w:rPr>
          <w:sz w:val="20"/>
          <w:szCs w:val="20"/>
          <w:color w:val="auto"/>
        </w:rPr>
      </w:pPr>
    </w:p>
    <w:p>
      <w:pPr>
        <w:ind w:right="300" w:firstLine="720"/>
        <w:spacing w:after="0" w:line="282" w:lineRule="auto"/>
        <w:rPr>
          <w:sz w:val="20"/>
          <w:szCs w:val="20"/>
          <w:color w:val="auto"/>
        </w:rPr>
      </w:pPr>
      <w:r>
        <w:rPr>
          <w:rFonts w:ascii="Times New Roman" w:cs="Times New Roman" w:eastAsia="Times New Roman" w:hAnsi="Times New Roman"/>
          <w:sz w:val="20"/>
          <w:szCs w:val="20"/>
          <w:color w:val="auto"/>
        </w:rPr>
        <w:t>The critical accounting policies requiring estimates, assumptions, and judgments that we believe have the most significant impact on our consolidated financial statements are described below.</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36" w:lineRule="exact"/>
        <w:rPr>
          <w:sz w:val="20"/>
          <w:szCs w:val="20"/>
          <w:color w:val="auto"/>
        </w:rPr>
      </w:pPr>
    </w:p>
    <w:p>
      <w:pPr>
        <w:ind w:firstLine="720"/>
        <w:spacing w:after="0" w:line="253" w:lineRule="auto"/>
        <w:rPr>
          <w:sz w:val="20"/>
          <w:szCs w:val="20"/>
          <w:color w:val="auto"/>
        </w:rPr>
      </w:pPr>
      <w:r>
        <w:rPr>
          <w:rFonts w:ascii="Times New Roman" w:cs="Times New Roman" w:eastAsia="Times New Roman" w:hAnsi="Times New Roman"/>
          <w:sz w:val="20"/>
          <w:szCs w:val="20"/>
          <w:color w:val="auto"/>
        </w:rPr>
        <w:t>We derive our revenue from product sales primarily to distributors, who are our customers. We recognize product revenue, at a point in time, upon shipment when we satisfy our performance obligations as evidenced by the transfer of control of our products to customers. We measure revenue based on the amount of consideration we expect to be entitled to in exchange for products. Variable consideration is estimated and reflected as an adjustment to the transaction price. Depending on the terms of the contract, variable consideration is estimated using either the expected value approach or the most likely value approach. We determine variable consideration at the end of each reporting period, which consists primarily of price adjustments and product returns by estimating the amount of consideration we expect to be entitled to from our customers based on historical experience. Adjustments for the variable consideration has been in the range of 1% to 3% on a quarterly basis for the current year. Our customers have limited return rights under our contracts with them. If variable considerations are anticipated to exceed historical experience, we may adjust our sales returns allowance accordingly to properly reflect our net revenue. Since our performance obligations relate to contracts with a duration of less than one year, we do not disclose the aggregate amount of the transaction price allocated to performance obligations that are unsatisfied or partially unsatisfied at the end of the reporting period.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w:t>
      </w:r>
    </w:p>
    <w:p>
      <w:pPr>
        <w:spacing w:after="0" w:line="136" w:lineRule="exact"/>
        <w:rPr>
          <w:sz w:val="20"/>
          <w:szCs w:val="20"/>
          <w:color w:val="auto"/>
        </w:rPr>
      </w:pPr>
    </w:p>
    <w:p>
      <w:pPr>
        <w:jc w:val="both"/>
        <w:ind w:right="40" w:firstLine="720"/>
        <w:spacing w:after="0" w:line="286" w:lineRule="auto"/>
        <w:rPr>
          <w:sz w:val="20"/>
          <w:szCs w:val="20"/>
          <w:color w:val="auto"/>
        </w:rPr>
      </w:pPr>
      <w:r>
        <w:rPr>
          <w:rFonts w:ascii="Times New Roman" w:cs="Times New Roman" w:eastAsia="Times New Roman" w:hAnsi="Times New Roman"/>
          <w:sz w:val="19"/>
          <w:szCs w:val="19"/>
          <w:color w:val="auto"/>
        </w:rPr>
        <w:t>We apply the provisions of ASC 805, Business Combinations (ASC 805), in accounting for our acquisitions. ASC 805 requires that we evaluate whether a transaction pertains to an acquisition of assets, or to an acquisition of a business. A business is defined as an integrated set of assets and activities that is capable of being conducted and managed for the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9880"/>
          </w:cols>
          <w:pgMar w:left="1180" w:top="856" w:right="1180" w:bottom="0" w:gutter="0" w:footer="0" w:header="0"/>
        </w:sectPr>
      </w:pPr>
    </w:p>
    <w:bookmarkStart w:id="57" w:name="page58"/>
    <w:bookmarkEnd w:id="57"/>
    <w:p>
      <w:pPr>
        <w:ind w:right="80"/>
        <w:spacing w:after="0" w:line="258" w:lineRule="auto"/>
        <w:rPr>
          <w:sz w:val="20"/>
          <w:szCs w:val="20"/>
          <w:color w:val="auto"/>
        </w:rPr>
      </w:pPr>
      <w:r>
        <w:rPr>
          <w:rFonts w:ascii="Times New Roman" w:cs="Times New Roman" w:eastAsia="Times New Roman" w:hAnsi="Times New Roman"/>
          <w:sz w:val="20"/>
          <w:szCs w:val="20"/>
          <w:color w:val="auto"/>
        </w:rPr>
        <w:t>purpose of providing a return to investors. Asset acquisitions are accounted for by allocating the cost of the acquisition to the individual assets and liabilities assumed on a relative fair value basis; whereas the acquisition of a business requires us to recognize separately from goodwill the assets acquired and the liabilities assumed at the acquisition date fair values, including in-process research and development. Goodwill as of the acquisition date is measured as the excess of consideration transferred over the net of the acquisition date fair values of the assets acquired and the liabilities assumed.</w:t>
      </w:r>
    </w:p>
    <w:p>
      <w:pPr>
        <w:spacing w:after="0" w:line="84"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Our valuation of acquired assets and assumed liabilities requires significant estimates, especially with respect to intangible assets, that were derived using valuation techniques and models such as the income approach. Such models require use of significant estimates including future expected revenue, expenses, capital expenditures, and other costs, and discount rates. The approach to estimating an initial contingent consideration associated with the purchase price also uses similar unobservable factors such as revenue projections over the term of the contingent earn-out period, discounted for the period over which the initial contingent consideration is measured, and expected volatility. Based upon these assumptions, the initial contingent consideration is then valued using a Monte Carlo simulation.</w:t>
      </w:r>
    </w:p>
    <w:p>
      <w:pPr>
        <w:spacing w:after="0" w:line="90"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20"/>
          <w:szCs w:val="20"/>
          <w:color w:val="auto"/>
        </w:rPr>
        <w:t>We have used third-party qualified specialists to assist management in determining the fair value of assets acquired and liabilities assumed. This includes assistance with the determination of economic useful lives and valuation of identifiable intangibles.</w:t>
      </w:r>
    </w:p>
    <w:p>
      <w:pPr>
        <w:spacing w:after="0" w:line="75" w:lineRule="exact"/>
        <w:rPr>
          <w:sz w:val="20"/>
          <w:szCs w:val="20"/>
          <w:color w:val="auto"/>
        </w:rPr>
      </w:pPr>
    </w:p>
    <w:p>
      <w:pPr>
        <w:ind w:firstLine="720"/>
        <w:spacing w:after="0" w:line="256" w:lineRule="auto"/>
        <w:rPr>
          <w:sz w:val="20"/>
          <w:szCs w:val="20"/>
          <w:color w:val="auto"/>
        </w:rPr>
      </w:pPr>
      <w:r>
        <w:rPr>
          <w:rFonts w:ascii="Times New Roman" w:cs="Times New Roman" w:eastAsia="Times New Roman" w:hAnsi="Times New Roman"/>
          <w:sz w:val="20"/>
          <w:szCs w:val="20"/>
          <w:color w:val="auto"/>
        </w:rPr>
        <w:t>We estimate the fair value based upon assumptions we believe to be reasonable, but which are inherently uncertain and unpredictable and, as a result, actual results may differ from our estimates. Estimates associated with the accounting for acquisitions may change as additional information becomes available regarding the assets acquired and liabilities assumed. As a result, during the measurement period, which may be up to one year from the business acquisition date, we record certain adjustments to the assets acquired and liabilities assumed with the corresponding offset to goodwill. Contingent consideration which are compensatory will be expensed over the required service period.</w:t>
      </w:r>
    </w:p>
    <w:p>
      <w:pPr>
        <w:spacing w:after="0" w:line="88" w:lineRule="exact"/>
        <w:rPr>
          <w:sz w:val="20"/>
          <w:szCs w:val="20"/>
          <w:color w:val="auto"/>
        </w:rPr>
      </w:pPr>
    </w:p>
    <w:p>
      <w:pPr>
        <w:ind w:right="240" w:firstLine="720"/>
        <w:spacing w:after="0" w:line="261" w:lineRule="auto"/>
        <w:rPr>
          <w:sz w:val="20"/>
          <w:szCs w:val="20"/>
          <w:color w:val="auto"/>
        </w:rPr>
      </w:pPr>
      <w:r>
        <w:rPr>
          <w:rFonts w:ascii="Times New Roman" w:cs="Times New Roman" w:eastAsia="Times New Roman" w:hAnsi="Times New Roman"/>
          <w:sz w:val="20"/>
          <w:szCs w:val="20"/>
          <w:color w:val="auto"/>
        </w:rPr>
        <w:t>All acquisition-related costs are accounted for as expenses in the period in which they are incurred. Contingent consideration is remeasured each reporting period using Level 3 inputs, and the change in fair value, including accretion for the passage of time, is recognized in acquisition related costs in the consolidated statements of operations and comprehensive loss.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Inventories</w:t>
      </w:r>
    </w:p>
    <w:p>
      <w:pPr>
        <w:spacing w:after="0" w:line="136" w:lineRule="exact"/>
        <w:rPr>
          <w:sz w:val="20"/>
          <w:szCs w:val="20"/>
          <w:color w:val="auto"/>
        </w:rPr>
      </w:pPr>
    </w:p>
    <w:p>
      <w:pPr>
        <w:ind w:right="60" w:firstLine="720"/>
        <w:spacing w:after="0" w:line="258" w:lineRule="auto"/>
        <w:rPr>
          <w:sz w:val="20"/>
          <w:szCs w:val="20"/>
          <w:color w:val="auto"/>
        </w:rPr>
      </w:pPr>
      <w:r>
        <w:rPr>
          <w:rFonts w:ascii="Times New Roman" w:cs="Times New Roman" w:eastAsia="Times New Roman" w:hAnsi="Times New Roman"/>
          <w:sz w:val="20"/>
          <w:szCs w:val="20"/>
          <w:color w:val="auto"/>
        </w:rPr>
        <w:t>Inventories consist of raw materials, work-in-process, and finished goods and are stated at the lower of standard cost, (which approximates actual cost on a first-in first out basis) or net realizable value. The Company reduces excess and obsolete inventories to their estimated net realizable value based on management's assessment of future demand, historical usage of by product, and market conditions. Once written down, inventory write-downs are not reversed until the inventory is sold or scrapped.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34"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See Note 1 to our consolidated financial statements under Part II, Item 8 for information regarding recently issued accounting pronouncements.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Risk</w:t>
      </w:r>
    </w:p>
    <w:p>
      <w:pPr>
        <w:spacing w:after="0" w:line="136" w:lineRule="exact"/>
        <w:rPr>
          <w:sz w:val="20"/>
          <w:szCs w:val="20"/>
          <w:color w:val="auto"/>
        </w:rPr>
      </w:pPr>
    </w:p>
    <w:p>
      <w:pPr>
        <w:ind w:right="60" w:firstLine="720"/>
        <w:spacing w:after="0" w:line="255" w:lineRule="auto"/>
        <w:rPr>
          <w:sz w:val="20"/>
          <w:szCs w:val="20"/>
          <w:color w:val="auto"/>
        </w:rPr>
      </w:pPr>
      <w:r>
        <w:rPr>
          <w:rFonts w:ascii="Times New Roman" w:cs="Times New Roman" w:eastAsia="Times New Roman" w:hAnsi="Times New Roman"/>
          <w:sz w:val="20"/>
          <w:szCs w:val="20"/>
          <w:color w:val="auto"/>
        </w:rPr>
        <w:t>Substantially all of our revenue is denominated in U.S. dollars. Our expenses are generally denominated in the currencies in which our operations are located, which is primarily in the United States and, to a lesser extent, in Malaysia, the Netherlands, France, Taiwan, Japan, Finland, Korea, Germany, Ukraine, India and Singapore. Our results of operations and cash flows are, therefore, subject to fluctuations due to changes in foreign currency exchange rates and may be adversely affected in the future due to changes in foreign exchange rates. As of December 31, 2025, the effect of a hypothetical 10% change in foreign currency exchanges rates applicable to our business would not have had a material impact on our historical consolidated financial statements. We do not currently have a hedging policy with respect to foreign currency exchange risk.</w:t>
      </w:r>
    </w:p>
    <w:p>
      <w:pPr>
        <w:spacing w:after="0" w:line="3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36" w:lineRule="exact"/>
        <w:rPr>
          <w:sz w:val="20"/>
          <w:szCs w:val="20"/>
          <w:color w:val="auto"/>
        </w:rPr>
      </w:pPr>
    </w:p>
    <w:p>
      <w:pPr>
        <w:ind w:right="20" w:firstLine="720"/>
        <w:spacing w:after="0" w:line="286" w:lineRule="auto"/>
        <w:rPr>
          <w:sz w:val="20"/>
          <w:szCs w:val="20"/>
          <w:color w:val="auto"/>
        </w:rPr>
      </w:pPr>
      <w:r>
        <w:rPr>
          <w:rFonts w:ascii="Times New Roman" w:cs="Times New Roman" w:eastAsia="Times New Roman" w:hAnsi="Times New Roman"/>
          <w:sz w:val="19"/>
          <w:szCs w:val="19"/>
          <w:color w:val="auto"/>
        </w:rPr>
        <w:t>We had cash and cash equivalents of $16.8 million as of December 31, 2025 consisting of bank deposits, money market funds, and Treasury Bills. We also had short-term investments in held-to-maturity securities of $791.6 million consisting of Treasury Bills as of December 31, 2025. Such interest-earning instruments carry a degree of interest rate risk.</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9860"/>
          </w:cols>
          <w:pgMar w:left="1180" w:top="856" w:right="1200" w:bottom="0" w:gutter="0" w:footer="0" w:header="0"/>
        </w:sectPr>
      </w:pPr>
    </w:p>
    <w:bookmarkStart w:id="58" w:name="page59"/>
    <w:bookmarkEnd w:id="58"/>
    <w:p>
      <w:pPr>
        <w:ind w:right="860"/>
        <w:spacing w:after="0" w:line="282" w:lineRule="auto"/>
        <w:rPr>
          <w:sz w:val="20"/>
          <w:szCs w:val="20"/>
          <w:color w:val="auto"/>
        </w:rPr>
      </w:pPr>
      <w:r>
        <w:rPr>
          <w:rFonts w:ascii="Times New Roman" w:cs="Times New Roman" w:eastAsia="Times New Roman" w:hAnsi="Times New Roman"/>
          <w:sz w:val="20"/>
          <w:szCs w:val="20"/>
          <w:color w:val="auto"/>
        </w:rPr>
        <w:t>During the year ended December 31, 2025 we generated $24.8 million in interest income through our cash, cash equivalents and short-term investment balances.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do not enter into investments for trading or speculative purposes and have not used any derivative financial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instruments to manage our interest rate risk exposure. As of December 31, 2025, a hypothetical 10% increase or decrease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market interest rates would change the fair value and related interest income on our interest-earning instruments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$791.6 million, by an increase or decrease of approximately $3.1 million for the twelve months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9820"/>
          </w:cols>
          <w:pgMar w:left="1180" w:top="856" w:right="1240" w:bottom="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 and Financial Statement Schedule</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0" w:type="dxa"/>
            <w:vAlign w:val="bottom"/>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38"/>
        </w:trPr>
        <w:tc>
          <w:tcPr>
            <w:tcW w:w="2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464"/>
        </w:trPr>
        <w:tc>
          <w:tcPr>
            <w:tcW w:w="6100" w:type="dxa"/>
            <w:vAlign w:val="bottom"/>
            <w:tcBorders>
              <w:bottom w:val="single" w:sz="8" w:color="282828"/>
            </w:tcBorders>
            <w:gridSpan w:val="7"/>
          </w:tcPr>
          <w:p>
            <w:pPr>
              <w:spacing w:after="0"/>
              <w:rPr>
                <w:sz w:val="20"/>
                <w:szCs w:val="20"/>
                <w:color w:val="auto"/>
              </w:rPr>
            </w:pPr>
            <w:r>
              <w:rPr>
                <w:rFonts w:ascii="Times New Roman" w:cs="Times New Roman" w:eastAsia="Times New Roman" w:hAnsi="Times New Roman"/>
                <w:sz w:val="20"/>
                <w:szCs w:val="20"/>
                <w:color w:val="282828"/>
                <w:w w:val="99"/>
              </w:rPr>
              <w:t>Report of Independent Registered Public Accounting Firm (PCAOB ID#34)</w:t>
            </w:r>
          </w:p>
        </w:tc>
        <w:tc>
          <w:tcPr>
            <w:tcW w:w="2560" w:type="dxa"/>
            <w:vAlign w:val="bottom"/>
            <w:gridSpan w:val="3"/>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w:t>
            </w:r>
          </w:p>
        </w:tc>
      </w:tr>
      <w:tr>
        <w:trPr>
          <w:trHeight w:val="545"/>
        </w:trPr>
        <w:tc>
          <w:tcPr>
            <w:tcW w:w="8660" w:type="dxa"/>
            <w:vAlign w:val="bottom"/>
            <w:gridSpan w:val="10"/>
          </w:tcPr>
          <w:p>
            <w:pPr>
              <w:spacing w:after="0"/>
              <w:rPr>
                <w:sz w:val="20"/>
                <w:szCs w:val="20"/>
                <w:color w:val="auto"/>
              </w:rPr>
            </w:pPr>
            <w:r>
              <w:rPr>
                <w:rFonts w:ascii="Times New Roman" w:cs="Times New Roman" w:eastAsia="Times New Roman" w:hAnsi="Times New Roman"/>
                <w:sz w:val="20"/>
                <w:szCs w:val="20"/>
                <w:color w:val="282828"/>
              </w:rPr>
              <w:t>Report of Independent Registered Public Accounting Firm (PCAOB ID#</w:t>
            </w:r>
            <w:r>
              <w:rPr>
                <w:rFonts w:ascii="Times New Roman" w:cs="Times New Roman" w:eastAsia="Times New Roman" w:hAnsi="Times New Roman"/>
                <w:sz w:val="20"/>
                <w:szCs w:val="20"/>
                <w:color w:val="000000"/>
              </w:rPr>
              <w:t>243</w:t>
            </w:r>
            <w:r>
              <w:rPr>
                <w:rFonts w:ascii="Times New Roman" w:cs="Times New Roman" w:eastAsia="Times New Roman" w:hAnsi="Times New Roman"/>
                <w:sz w:val="20"/>
                <w:szCs w:val="20"/>
                <w:color w:val="28282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r>
      <w:tr>
        <w:trPr>
          <w:trHeight w:val="545"/>
        </w:trPr>
        <w:tc>
          <w:tcPr>
            <w:tcW w:w="5820" w:type="dxa"/>
            <w:vAlign w:val="bottom"/>
            <w:tcBorders>
              <w:top w:val="single" w:sz="8" w:color="282828"/>
            </w:tcBorders>
            <w:gridSpan w:val="6"/>
          </w:tcPr>
          <w:p>
            <w:pPr>
              <w:spacing w:after="0"/>
              <w:rPr>
                <w:sz w:val="20"/>
                <w:szCs w:val="20"/>
                <w:color w:val="auto"/>
              </w:rPr>
            </w:pPr>
            <w:r>
              <w:rPr>
                <w:rFonts w:ascii="Times New Roman" w:cs="Times New Roman" w:eastAsia="Times New Roman" w:hAnsi="Times New Roman"/>
                <w:sz w:val="20"/>
                <w:szCs w:val="20"/>
                <w:color w:val="282828"/>
              </w:rPr>
              <w:t>Consolidated Balance Sheets</w:t>
            </w:r>
          </w:p>
        </w:tc>
        <w:tc>
          <w:tcPr>
            <w:tcW w:w="300" w:type="dxa"/>
            <w:vAlign w:val="bottom"/>
            <w:gridSpan w:val="2"/>
          </w:tcPr>
          <w:p>
            <w:pPr>
              <w:spacing w:after="0"/>
              <w:rPr>
                <w:sz w:val="24"/>
                <w:szCs w:val="24"/>
                <w:color w:val="auto"/>
              </w:rPr>
            </w:pPr>
          </w:p>
        </w:tc>
        <w:tc>
          <w:tcPr>
            <w:tcW w:w="80" w:type="dxa"/>
            <w:vAlign w:val="bottom"/>
            <w:tcBorders>
              <w:top w:val="single" w:sz="8" w:color="282828"/>
            </w:tcBorders>
          </w:tcPr>
          <w:p>
            <w:pPr>
              <w:spacing w:after="0"/>
              <w:rPr>
                <w:sz w:val="24"/>
                <w:szCs w:val="24"/>
                <w:color w:val="auto"/>
              </w:rPr>
            </w:pPr>
          </w:p>
        </w:tc>
        <w:tc>
          <w:tcPr>
            <w:tcW w:w="24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20"/>
        </w:trPr>
        <w:tc>
          <w:tcPr>
            <w:tcW w:w="2320" w:type="dxa"/>
            <w:vAlign w:val="bottom"/>
            <w:shd w:val="clear" w:color="auto" w:fill="28282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544"/>
        </w:trPr>
        <w:tc>
          <w:tcPr>
            <w:tcW w:w="8660" w:type="dxa"/>
            <w:vAlign w:val="bottom"/>
            <w:gridSpan w:val="10"/>
          </w:tcPr>
          <w:p>
            <w:pPr>
              <w:spacing w:after="0"/>
              <w:rPr>
                <w:sz w:val="20"/>
                <w:szCs w:val="20"/>
                <w:color w:val="auto"/>
              </w:rPr>
            </w:pPr>
            <w:r>
              <w:rPr>
                <w:rFonts w:ascii="Times New Roman" w:cs="Times New Roman" w:eastAsia="Times New Roman" w:hAnsi="Times New Roman"/>
                <w:sz w:val="20"/>
                <w:szCs w:val="20"/>
                <w:color w:val="282828"/>
              </w:rPr>
              <w:t>Consolidated Statements of Operations and Comprehensive Loss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545"/>
        </w:trPr>
        <w:tc>
          <w:tcPr>
            <w:tcW w:w="3940" w:type="dxa"/>
            <w:vAlign w:val="bottom"/>
            <w:tcBorders>
              <w:top w:val="single" w:sz="8" w:color="282828"/>
              <w:bottom w:val="single" w:sz="8" w:color="282828"/>
            </w:tcBorders>
            <w:gridSpan w:val="4"/>
          </w:tcPr>
          <w:p>
            <w:pPr>
              <w:spacing w:after="0"/>
              <w:rPr>
                <w:sz w:val="20"/>
                <w:szCs w:val="20"/>
                <w:color w:val="auto"/>
              </w:rPr>
            </w:pPr>
            <w:r>
              <w:rPr>
                <w:rFonts w:ascii="Times New Roman" w:cs="Times New Roman" w:eastAsia="Times New Roman" w:hAnsi="Times New Roman"/>
                <w:sz w:val="20"/>
                <w:szCs w:val="20"/>
                <w:color w:val="282828"/>
                <w:w w:val="99"/>
              </w:rPr>
              <w:t>Consolidated Statements of Stockholders’ Equity</w:t>
            </w:r>
          </w:p>
        </w:tc>
        <w:tc>
          <w:tcPr>
            <w:tcW w:w="1260" w:type="dxa"/>
            <w:vAlign w:val="bottom"/>
            <w:tcBorders>
              <w:top w:val="single" w:sz="8" w:color="282828"/>
            </w:tcBorders>
          </w:tcPr>
          <w:p>
            <w:pPr>
              <w:spacing w:after="0"/>
              <w:rPr>
                <w:sz w:val="24"/>
                <w:szCs w:val="24"/>
                <w:color w:val="auto"/>
              </w:rPr>
            </w:pPr>
          </w:p>
        </w:tc>
        <w:tc>
          <w:tcPr>
            <w:tcW w:w="3460" w:type="dxa"/>
            <w:vAlign w:val="bottom"/>
            <w:gridSpan w:val="5"/>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545"/>
        </w:trPr>
        <w:tc>
          <w:tcPr>
            <w:tcW w:w="3200" w:type="dxa"/>
            <w:vAlign w:val="bottom"/>
            <w:tcBorders>
              <w:bottom w:val="single" w:sz="8" w:color="282828"/>
            </w:tcBorders>
            <w:gridSpan w:val="2"/>
          </w:tcPr>
          <w:p>
            <w:pPr>
              <w:spacing w:after="0"/>
              <w:rPr>
                <w:sz w:val="20"/>
                <w:szCs w:val="20"/>
                <w:color w:val="auto"/>
              </w:rPr>
            </w:pPr>
            <w:r>
              <w:rPr>
                <w:rFonts w:ascii="Times New Roman" w:cs="Times New Roman" w:eastAsia="Times New Roman" w:hAnsi="Times New Roman"/>
                <w:sz w:val="20"/>
                <w:szCs w:val="20"/>
                <w:color w:val="282828"/>
                <w:w w:val="99"/>
              </w:rPr>
              <w:t>Consolidated Statements of Cash Flows</w:t>
            </w:r>
          </w:p>
        </w:tc>
        <w:tc>
          <w:tcPr>
            <w:tcW w:w="5460" w:type="dxa"/>
            <w:vAlign w:val="bottom"/>
            <w:gridSpan w:val="8"/>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545"/>
        </w:trPr>
        <w:tc>
          <w:tcPr>
            <w:tcW w:w="8660" w:type="dxa"/>
            <w:vAlign w:val="bottom"/>
            <w:gridSpan w:val="10"/>
          </w:tcPr>
          <w:p>
            <w:pPr>
              <w:spacing w:after="0"/>
              <w:rPr>
                <w:sz w:val="20"/>
                <w:szCs w:val="20"/>
                <w:color w:val="auto"/>
              </w:rPr>
            </w:pPr>
            <w:r>
              <w:rPr>
                <w:rFonts w:ascii="Times New Roman" w:cs="Times New Roman" w:eastAsia="Times New Roman" w:hAnsi="Times New Roman"/>
                <w:sz w:val="20"/>
                <w:szCs w:val="20"/>
                <w:color w:val="282828"/>
              </w:rPr>
              <w:t>Notes to Consolidated Financial Statements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0"/>
        </w:trPr>
        <w:tc>
          <w:tcPr>
            <w:tcW w:w="3500" w:type="dxa"/>
            <w:vAlign w:val="bottom"/>
            <w:gridSpan w:val="3"/>
            <w:shd w:val="clear" w:color="auto" w:fill="28282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545"/>
        </w:trPr>
        <w:tc>
          <w:tcPr>
            <w:tcW w:w="3940" w:type="dxa"/>
            <w:vAlign w:val="bottom"/>
            <w:tcBorders>
              <w:bottom w:val="single" w:sz="8" w:color="282828"/>
            </w:tcBorders>
            <w:gridSpan w:val="4"/>
          </w:tcPr>
          <w:p>
            <w:pPr>
              <w:spacing w:after="0"/>
              <w:rPr>
                <w:sz w:val="20"/>
                <w:szCs w:val="20"/>
                <w:color w:val="auto"/>
              </w:rPr>
            </w:pPr>
            <w:r>
              <w:rPr>
                <w:rFonts w:ascii="Times New Roman" w:cs="Times New Roman" w:eastAsia="Times New Roman" w:hAnsi="Times New Roman"/>
                <w:sz w:val="20"/>
                <w:szCs w:val="20"/>
                <w:color w:val="282828"/>
                <w:w w:val="98"/>
              </w:rPr>
              <w:t>Schedule II – Valuation and Qualifying Accounts</w:t>
            </w:r>
          </w:p>
        </w:tc>
        <w:tc>
          <w:tcPr>
            <w:tcW w:w="4720" w:type="dxa"/>
            <w:vAlign w:val="bottom"/>
            <w:gridSpan w:val="6"/>
          </w:tcPr>
          <w:p>
            <w:pPr>
              <w:spacing w:after="0"/>
              <w:rPr>
                <w:sz w:val="24"/>
                <w:szCs w:val="24"/>
                <w:color w:val="auto"/>
              </w:rPr>
            </w:pPr>
          </w:p>
        </w:tc>
        <w:tc>
          <w:tcPr>
            <w:tcW w:w="1200" w:type="dxa"/>
            <w:vAlign w:val="bottom"/>
          </w:tcPr>
          <w:p>
            <w:pPr>
              <w:jc w:val="right"/>
              <w:spacing w:after="0" w:line="244" w:lineRule="exact"/>
              <w:rPr>
                <w:sz w:val="20"/>
                <w:szCs w:val="20"/>
                <w:color w:val="auto"/>
              </w:rPr>
            </w:pPr>
            <w:r>
              <w:rPr>
                <w:rFonts w:ascii="Times New Roman" w:cs="Times New Roman" w:eastAsia="Times New Roman" w:hAnsi="Times New Roman"/>
                <w:sz w:val="20"/>
                <w:szCs w:val="20"/>
                <w:color w:val="auto"/>
              </w:rPr>
              <w:t>10</w:t>
            </w:r>
            <w:r>
              <w:rPr>
                <w:rFonts w:ascii="PMingLiU" w:cs="PMingLiU" w:eastAsia="PMingLiU" w:hAnsi="PMingLiU"/>
                <w:sz w:val="20"/>
                <w:szCs w:val="20"/>
                <w:color w:val="auto"/>
              </w:rPr>
              <w:t/>
            </w:r>
          </w:p>
        </w:tc>
      </w:tr>
    </w:tbl>
    <w:p>
      <w:pPr>
        <w:spacing w:after="0" w:line="200" w:lineRule="exact"/>
        <w:rPr>
          <w:sz w:val="20"/>
          <w:szCs w:val="20"/>
          <w:color w:val="auto"/>
        </w:rPr>
      </w:pPr>
    </w:p>
    <w:p>
      <w:pPr>
        <w:sectPr>
          <w:pgSz w:w="12240" w:h="15840" w:orient="portrait"/>
          <w:cols w:equalWidth="0" w:num="1">
            <w:col w:w="9900"/>
          </w:cols>
          <w:pgMar w:left="1180" w:top="852"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9900"/>
          </w:cols>
          <w:pgMar w:left="1180" w:top="852" w:right="1160" w:bottom="0" w:gutter="0" w:footer="0" w:header="0"/>
          <w:type w:val="continuous"/>
        </w:sectPr>
      </w:pPr>
    </w:p>
    <w:bookmarkStart w:id="60" w:name="page61"/>
    <w:bookmarkEnd w:id="60"/>
    <w:p>
      <w:pPr>
        <w:ind w:right="3060"/>
        <w:spacing w:after="0" w:line="377"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shareholders and the Board of Directors of SiTime Corporation </w:t>
      </w:r>
      <w:r>
        <w:rPr>
          <w:rFonts w:ascii="Times New Roman" w:cs="Times New Roman" w:eastAsia="Times New Roman" w:hAnsi="Times New Roman"/>
          <w:sz w:val="20"/>
          <w:szCs w:val="20"/>
          <w:b w:val="1"/>
          <w:bCs w:val="1"/>
          <w:color w:val="auto"/>
        </w:rPr>
        <w:t>Opinion on the Financial Statements</w:t>
      </w:r>
    </w:p>
    <w:p>
      <w:pPr>
        <w:spacing w:after="0" w:line="25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SiTime Corporation and subsidiaries (the "Company") as of December 31, 2025 and 2024, the related consolidated statements of operations and comprehensive loss, stockholders' equity, and cash flows, for each of the two years in the period ended December 31, 2025, and the related notes and schedule II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9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Integrated Framework (2013)</w:t>
      </w:r>
      <w:r>
        <w:rPr>
          <w:rFonts w:ascii="Times New Roman" w:cs="Times New Roman" w:eastAsia="Times New Roman" w:hAnsi="Times New Roman"/>
          <w:sz w:val="20"/>
          <w:szCs w:val="20"/>
          <w:color w:val="auto"/>
        </w:rPr>
        <w:t xml:space="preserve"> issued by the Committee of Sponsoring Organizations of the Treadway Commission and our report dated February 11, 2026, expressed an unqualified opinion on the Company's internal control over financial reporting.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3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82" w:lineRule="exact"/>
        <w:rPr>
          <w:sz w:val="20"/>
          <w:szCs w:val="20"/>
          <w:color w:val="auto"/>
        </w:rPr>
      </w:pPr>
    </w:p>
    <w:p>
      <w:pPr>
        <w:ind w:right="1720"/>
        <w:spacing w:after="0" w:line="378" w:lineRule="auto"/>
        <w:rPr>
          <w:sz w:val="20"/>
          <w:szCs w:val="20"/>
          <w:color w:val="auto"/>
        </w:rPr>
      </w:pPr>
      <w:r>
        <w:rPr>
          <w:rFonts w:ascii="Times New Roman" w:cs="Times New Roman" w:eastAsia="Times New Roman" w:hAnsi="Times New Roman"/>
          <w:sz w:val="20"/>
          <w:szCs w:val="20"/>
          <w:b w:val="1"/>
          <w:bCs w:val="1"/>
          <w:i w:val="1"/>
          <w:iCs w:val="1"/>
          <w:color w:val="auto"/>
        </w:rPr>
        <w:t xml:space="preserve">Inventories – Excess and Obsolete Inventories — Refer to Notes 1 and 4 to the financial statements </w:t>
      </w:r>
      <w:r>
        <w:rPr>
          <w:rFonts w:ascii="Times New Roman" w:cs="Times New Roman" w:eastAsia="Times New Roman" w:hAnsi="Times New Roman"/>
          <w:sz w:val="20"/>
          <w:szCs w:val="20"/>
          <w:i w:val="1"/>
          <w:iCs w:val="1"/>
          <w:color w:val="auto"/>
        </w:rPr>
        <w:t>Critical Audit Matter Description</w:t>
      </w:r>
    </w:p>
    <w:p>
      <w:pPr>
        <w:spacing w:after="0" w:line="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Inventories consist of raw materials, work-in-process, and finished goods and are stated at the lower of standard cost, (which approximates actual cost on a first-in first out basis) or net realizable value. Management reduces excess and obsolete inventories to their estimated net realizable value based on management’s assessment of future demand, historical usage by product, and market conditions.</w:t>
      </w:r>
    </w:p>
    <w:p>
      <w:pPr>
        <w:spacing w:after="0" w:line="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We identified the estimated net realizable value of excess and obsolete inventories as a critical audit matter because of the significant estimates management makes with regards to estimating certain elements of the excess and obsolete write downs. Specifically, performing audit procedures to evaluate the reasonableness of management’s estimates of future demand required a high degree of auditor judgment and increased audit effort.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the Critical Audit Matter Was Addressed in the Audit</w:t>
      </w:r>
    </w:p>
    <w:p>
      <w:pPr>
        <w:spacing w:after="0" w:line="128"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20"/>
          <w:szCs w:val="20"/>
          <w:color w:val="auto"/>
        </w:rPr>
        <w:t>Our audit procedures related to management’s estimates of forecasted demand used in the estimate of the net realizable value of excess and obsolete inventories included the following, among others:</w:t>
      </w:r>
    </w:p>
    <w:p>
      <w:pPr>
        <w:sectPr>
          <w:pgSz w:w="12240" w:h="15840" w:orient="portrait"/>
          <w:cols w:equalWidth="0" w:num="1">
            <w:col w:w="9880"/>
          </w:cols>
          <w:pgMar w:left="1180" w:top="852"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9880"/>
          </w:cols>
          <w:pgMar w:left="1180" w:top="852" w:right="1180" w:bottom="0" w:gutter="0" w:footer="0" w:header="0"/>
          <w:type w:val="continuous"/>
        </w:sectPr>
      </w:pPr>
    </w:p>
    <w:bookmarkStart w:id="61" w:name="page62"/>
    <w:bookmarkEnd w:id="61"/>
    <w:p>
      <w:pPr>
        <w:ind w:left="720" w:right="260" w:hanging="370"/>
        <w:spacing w:after="0" w:line="266"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tested the effectiveness of controls over the review and approval of estimated net realizable value of excess and obsolete inventories, including controls designed to review the assumptions regarding the future demand, historical usage by product and market conditions.</w:t>
      </w:r>
    </w:p>
    <w:p>
      <w:pPr>
        <w:spacing w:after="0" w:line="75" w:lineRule="exact"/>
        <w:rPr>
          <w:rFonts w:ascii="Times New Roman" w:cs="Times New Roman" w:eastAsia="Times New Roman" w:hAnsi="Times New Roman"/>
          <w:sz w:val="20"/>
          <w:szCs w:val="20"/>
          <w:color w:val="auto"/>
        </w:rPr>
      </w:pPr>
    </w:p>
    <w:p>
      <w:pPr>
        <w:ind w:left="720" w:right="20" w:hanging="370"/>
        <w:spacing w:after="0" w:line="266"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made inquiries of business unit managers as well as executives, sales and marketing personnel, and operations personnel about their assessment of future demand, product life cycles, historical usage, and market conditions and compared their expectations to actual developments over the period.</w:t>
      </w:r>
    </w:p>
    <w:p>
      <w:pPr>
        <w:spacing w:after="0" w:line="75" w:lineRule="exact"/>
        <w:rPr>
          <w:rFonts w:ascii="Times New Roman" w:cs="Times New Roman" w:eastAsia="Times New Roman" w:hAnsi="Times New Roman"/>
          <w:sz w:val="20"/>
          <w:szCs w:val="20"/>
          <w:color w:val="auto"/>
        </w:rPr>
      </w:pPr>
    </w:p>
    <w:p>
      <w:pPr>
        <w:ind w:left="720" w:right="120" w:hanging="370"/>
        <w:spacing w:after="0" w:line="266"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selected a sample of inventory products and tested the forecasted demand by comparing internal and external information such as historical usage, contracts, communications with customers and macroeconomic conditions with the Company’s forecast.</w:t>
      </w:r>
    </w:p>
    <w:p>
      <w:pPr>
        <w:spacing w:after="0" w:line="75" w:lineRule="exact"/>
        <w:rPr>
          <w:rFonts w:ascii="Times New Roman" w:cs="Times New Roman" w:eastAsia="Times New Roman" w:hAnsi="Times New Roman"/>
          <w:sz w:val="20"/>
          <w:szCs w:val="20"/>
          <w:color w:val="auto"/>
        </w:rPr>
      </w:pPr>
    </w:p>
    <w:p>
      <w:pPr>
        <w:ind w:left="720" w:hanging="370"/>
        <w:spacing w:after="0" w:line="256"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selected a sample of inventory product groups and evaluated management's ability to accurately estimate forecasted demand by comparing current usage by product to estimates made in prior year. We considered, when relevant, the existence of contradictory evidence based on reading of internal financial and operational information used by Management and the Board of Directors, Company press releases, and analysts' reports, as well as our observations and inquiries as to changes within the business and evidence obtained through other areas of the audit.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11, 2026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2024.</w:t>
      </w:r>
    </w:p>
    <w:p>
      <w:pPr>
        <w:sectPr>
          <w:pgSz w:w="12240" w:h="15840" w:orient="portrait"/>
          <w:cols w:equalWidth="0" w:num="1">
            <w:col w:w="9860"/>
          </w:cols>
          <w:pgMar w:left="1180" w:top="856"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9860"/>
          </w:cols>
          <w:pgMar w:left="1180" w:top="856" w:right="120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Shareholders and Board of Directors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SiTime Corporation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Santa Clara, California</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Consolidated Financial Statements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have audited the accompanying consolidated statements of operations and comprehensive income (loss), stockholders’ equity, and cash flows of SiTime Corporation (the “Company”) for the year ended December 31, 2023, and the related notes and financial statement schedule listed in the accompanying index (collectively referred to as the “consolidated financial statements”). In our opinion, the consolidated financial statements present fairly, in all material respects, the results of its operations and its cash flows for the year then ended, in conformity with accounting principles generally accepted in the United States of America.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2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7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P.C.</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served as the Company's auditor from 2019 to 2024.</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2024, except for Note 11, as to which date is February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9900"/>
          </w:cols>
          <w:pgMar w:left="1180" w:top="852" w:right="1160" w:bottom="0" w:gutter="0" w:footer="0" w:header="0"/>
        </w:sectPr>
      </w:pPr>
    </w:p>
    <w:bookmarkStart w:id="63" w:name="page64"/>
    <w:bookmarkEnd w:id="63"/>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SiTime Corporation</w:t>
      </w: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gridSpan w:val="4"/>
          </w:tcPr>
          <w:p>
            <w:pPr>
              <w:jc w:val="right"/>
              <w:ind w:right="187"/>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80" w:type="dxa"/>
            <w:vAlign w:val="bottom"/>
          </w:tcPr>
          <w:p>
            <w:pPr>
              <w:spacing w:after="0"/>
              <w:rPr>
                <w:sz w:val="18"/>
                <w:szCs w:val="18"/>
                <w:color w:val="auto"/>
              </w:rPr>
            </w:pPr>
          </w:p>
        </w:tc>
      </w:tr>
      <w:tr>
        <w:trPr>
          <w:trHeight w:val="38"/>
        </w:trPr>
        <w:tc>
          <w:tcPr>
            <w:tcW w:w="6820" w:type="dxa"/>
            <w:vAlign w:val="bottom"/>
          </w:tcPr>
          <w:p>
            <w:pPr>
              <w:spacing w:after="0"/>
              <w:rPr>
                <w:sz w:val="3"/>
                <w:szCs w:val="3"/>
                <w:color w:val="auto"/>
              </w:rPr>
            </w:pPr>
          </w:p>
        </w:tc>
        <w:tc>
          <w:tcPr>
            <w:tcW w:w="20" w:type="dxa"/>
            <w:vAlign w:val="bottom"/>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r>
      <w:tr>
        <w:trPr>
          <w:trHeight w:val="219"/>
        </w:trPr>
        <w:tc>
          <w:tcPr>
            <w:tcW w:w="6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9"/>
        </w:trPr>
        <w:tc>
          <w:tcPr>
            <w:tcW w:w="682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85"/>
        </w:trPr>
        <w:tc>
          <w:tcPr>
            <w:tcW w:w="684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DDDDDD"/>
            </w:tcBorders>
            <w:shd w:val="clear" w:color="auto" w:fill="DDDDDD"/>
          </w:tcPr>
          <w:p>
            <w:pPr>
              <w:spacing w:after="0"/>
              <w:rPr>
                <w:sz w:val="24"/>
                <w:szCs w:val="24"/>
                <w:color w:val="auto"/>
              </w:rPr>
            </w:pPr>
          </w:p>
        </w:tc>
        <w:tc>
          <w:tcPr>
            <w:tcW w:w="1080" w:type="dxa"/>
            <w:vAlign w:val="bottom"/>
            <w:tcBorders>
              <w:bottom w:val="single" w:sz="8" w:color="DDDDDD"/>
            </w:tcBorders>
            <w:shd w:val="clear" w:color="auto" w:fill="DDDDDD"/>
          </w:tcPr>
          <w:p>
            <w:pPr>
              <w:spacing w:after="0"/>
              <w:rPr>
                <w:sz w:val="24"/>
                <w:szCs w:val="24"/>
                <w:color w:val="auto"/>
              </w:rPr>
            </w:pPr>
          </w:p>
        </w:tc>
      </w:tr>
      <w:tr>
        <w:trPr>
          <w:trHeight w:val="282"/>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Current assets: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2"/>
        </w:trPr>
        <w:tc>
          <w:tcPr>
            <w:tcW w:w="682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r>
      <w:tr>
        <w:trPr>
          <w:trHeight w:val="305"/>
        </w:trPr>
        <w:tc>
          <w:tcPr>
            <w:tcW w:w="6840" w:type="dxa"/>
            <w:vAlign w:val="bottom"/>
            <w:tcBorders>
              <w:bottom w:val="single" w:sz="8" w:color="DDDDDD"/>
            </w:tcBorders>
            <w:gridSpan w:val="2"/>
            <w:shd w:val="clear" w:color="auto" w:fill="DDDDDD"/>
          </w:tcPr>
          <w:p>
            <w:pPr>
              <w:ind w:left="2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80" w:type="dxa"/>
            <w:vAlign w:val="bottom"/>
            <w:tcBorders>
              <w:bottom w:val="single" w:sz="8" w:color="DDDDDD"/>
            </w:tcBorders>
            <w:shd w:val="clear" w:color="auto" w:fill="DDDDDD"/>
          </w:tcPr>
          <w:p>
            <w:pPr>
              <w:jc w:val="right"/>
              <w:ind w:right="144"/>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16,759</w:t>
            </w:r>
          </w:p>
        </w:tc>
        <w:tc>
          <w:tcPr>
            <w:tcW w:w="480" w:type="dxa"/>
            <w:vAlign w:val="bottom"/>
            <w:tcBorders>
              <w:bottom w:val="single" w:sz="8" w:color="DDDDDD"/>
            </w:tcBorders>
            <w:gridSpan w:val="3"/>
            <w:shd w:val="clear" w:color="auto" w:fill="DDDDDD"/>
          </w:tcPr>
          <w:p>
            <w:pPr>
              <w:jc w:val="right"/>
              <w:ind w:right="187"/>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6,106</w:t>
            </w:r>
          </w:p>
        </w:tc>
      </w:tr>
      <w:tr>
        <w:trPr>
          <w:trHeight w:val="282"/>
        </w:trPr>
        <w:tc>
          <w:tcPr>
            <w:tcW w:w="68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Short-term investments in held-to-maturity securities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791,648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412,728</w:t>
            </w:r>
          </w:p>
        </w:tc>
      </w:tr>
      <w:tr>
        <w:trPr>
          <w:trHeight w:val="43"/>
        </w:trPr>
        <w:tc>
          <w:tcPr>
            <w:tcW w:w="682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305"/>
        </w:trPr>
        <w:tc>
          <w:tcPr>
            <w:tcW w:w="6840" w:type="dxa"/>
            <w:vAlign w:val="bottom"/>
            <w:tcBorders>
              <w:bottom w:val="single" w:sz="8" w:color="DDDDDD"/>
            </w:tcBorders>
            <w:gridSpan w:val="2"/>
            <w:shd w:val="clear" w:color="auto" w:fill="DDDDDD"/>
          </w:tcPr>
          <w:p>
            <w:pPr>
              <w:ind w:left="220"/>
              <w:spacing w:after="0"/>
              <w:rPr>
                <w:sz w:val="20"/>
                <w:szCs w:val="20"/>
                <w:color w:val="auto"/>
              </w:rPr>
            </w:pPr>
            <w:r>
              <w:rPr>
                <w:rFonts w:ascii="Times New Roman" w:cs="Times New Roman" w:eastAsia="Times New Roman" w:hAnsi="Times New Roman"/>
                <w:sz w:val="20"/>
                <w:szCs w:val="20"/>
                <w:color w:val="auto"/>
              </w:rPr>
              <w:t>Accounts receivable, net</w:t>
            </w:r>
          </w:p>
        </w:tc>
        <w:tc>
          <w:tcPr>
            <w:tcW w:w="3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45,040</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DDDDDD"/>
            </w:tcBorders>
            <w:shd w:val="clear" w:color="auto" w:fill="DDDDDD"/>
          </w:tcPr>
          <w:p>
            <w:pPr>
              <w:spacing w:after="0"/>
              <w:rPr>
                <w:sz w:val="24"/>
                <w:szCs w:val="24"/>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38,209</w:t>
            </w:r>
          </w:p>
        </w:tc>
      </w:tr>
      <w:tr>
        <w:trPr>
          <w:trHeight w:val="282"/>
        </w:trPr>
        <w:tc>
          <w:tcPr>
            <w:tcW w:w="68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Inventories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81,557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76,741</w:t>
            </w:r>
          </w:p>
        </w:tc>
      </w:tr>
      <w:tr>
        <w:trPr>
          <w:trHeight w:val="43"/>
        </w:trPr>
        <w:tc>
          <w:tcPr>
            <w:tcW w:w="682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325"/>
        </w:trPr>
        <w:tc>
          <w:tcPr>
            <w:tcW w:w="6840" w:type="dxa"/>
            <w:vAlign w:val="bottom"/>
            <w:tcBorders>
              <w:bottom w:val="single" w:sz="8" w:color="DDDDDD"/>
            </w:tcBorders>
            <w:gridSpan w:val="2"/>
            <w:shd w:val="clear" w:color="auto" w:fill="DDDDDD"/>
          </w:tcPr>
          <w:p>
            <w:pPr>
              <w:ind w:left="22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3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14,275</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DDDDDD"/>
            </w:tcBorders>
            <w:shd w:val="clear" w:color="auto" w:fill="DDDDDD"/>
          </w:tcPr>
          <w:p>
            <w:pPr>
              <w:spacing w:after="0"/>
              <w:rPr>
                <w:sz w:val="24"/>
                <w:szCs w:val="24"/>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10,276</w:t>
            </w:r>
          </w:p>
        </w:tc>
      </w:tr>
      <w:tr>
        <w:trPr>
          <w:trHeight w:val="262"/>
        </w:trPr>
        <w:tc>
          <w:tcPr>
            <w:tcW w:w="68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Total current assets</w:t>
            </w:r>
          </w:p>
        </w:tc>
        <w:tc>
          <w:tcPr>
            <w:tcW w:w="3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949,279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544,060</w:t>
            </w:r>
          </w:p>
        </w:tc>
      </w:tr>
      <w:tr>
        <w:trPr>
          <w:trHeight w:val="42"/>
        </w:trPr>
        <w:tc>
          <w:tcPr>
            <w:tcW w:w="682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305"/>
        </w:trPr>
        <w:tc>
          <w:tcPr>
            <w:tcW w:w="684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3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105,114</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DDDDDD"/>
            </w:tcBorders>
            <w:shd w:val="clear" w:color="auto" w:fill="DDDDDD"/>
          </w:tcPr>
          <w:p>
            <w:pPr>
              <w:spacing w:after="0"/>
              <w:rPr>
                <w:sz w:val="24"/>
                <w:szCs w:val="24"/>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82,475</w:t>
            </w:r>
          </w:p>
        </w:tc>
      </w:tr>
      <w:tr>
        <w:trPr>
          <w:trHeight w:val="282"/>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Intangible assets, net</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147,366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163,558</w:t>
            </w:r>
          </w:p>
        </w:tc>
      </w:tr>
      <w:tr>
        <w:trPr>
          <w:trHeight w:val="43"/>
        </w:trPr>
        <w:tc>
          <w:tcPr>
            <w:tcW w:w="682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305"/>
        </w:trPr>
        <w:tc>
          <w:tcPr>
            <w:tcW w:w="684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Right-of-use assets, net</w:t>
            </w:r>
          </w:p>
        </w:tc>
        <w:tc>
          <w:tcPr>
            <w:tcW w:w="3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4,089</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DDDDDD"/>
            </w:tcBorders>
            <w:shd w:val="clear" w:color="auto" w:fill="DDDDDD"/>
          </w:tcPr>
          <w:p>
            <w:pPr>
              <w:spacing w:after="0"/>
              <w:rPr>
                <w:sz w:val="24"/>
                <w:szCs w:val="24"/>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6,569</w:t>
            </w:r>
          </w:p>
        </w:tc>
      </w:tr>
      <w:tr>
        <w:trPr>
          <w:trHeight w:val="282"/>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Goodwill</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87,098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87,098</w:t>
            </w:r>
          </w:p>
        </w:tc>
      </w:tr>
      <w:tr>
        <w:trPr>
          <w:trHeight w:val="43"/>
        </w:trPr>
        <w:tc>
          <w:tcPr>
            <w:tcW w:w="682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350"/>
        </w:trPr>
        <w:tc>
          <w:tcPr>
            <w:tcW w:w="684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Other assets</w:t>
            </w:r>
          </w:p>
        </w:tc>
        <w:tc>
          <w:tcPr>
            <w:tcW w:w="3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1,753</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DDDDDD"/>
            </w:tcBorders>
            <w:shd w:val="clear" w:color="auto" w:fill="DDDDDD"/>
          </w:tcPr>
          <w:p>
            <w:pPr>
              <w:spacing w:after="0"/>
              <w:rPr>
                <w:sz w:val="24"/>
                <w:szCs w:val="24"/>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1,199</w:t>
            </w:r>
          </w:p>
        </w:tc>
      </w:tr>
      <w:tr>
        <w:trPr>
          <w:trHeight w:val="242"/>
        </w:trPr>
        <w:tc>
          <w:tcPr>
            <w:tcW w:w="6840" w:type="dxa"/>
            <w:vAlign w:val="bottom"/>
            <w:tcBorders>
              <w:top w:val="single" w:sz="8" w:color="DDDDDD"/>
            </w:tcBorders>
            <w:gridSpan w:val="2"/>
          </w:tcPr>
          <w:p>
            <w:pPr>
              <w:ind w:left="400"/>
              <w:spacing w:after="0"/>
              <w:rPr>
                <w:sz w:val="20"/>
                <w:szCs w:val="20"/>
                <w:color w:val="auto"/>
              </w:rPr>
            </w:pPr>
            <w:r>
              <w:rPr>
                <w:rFonts w:ascii="Times New Roman" w:cs="Times New Roman" w:eastAsia="Times New Roman" w:hAnsi="Times New Roman"/>
                <w:sz w:val="20"/>
                <w:szCs w:val="20"/>
                <w:color w:val="auto"/>
              </w:rPr>
              <w:t>Total assets</w:t>
            </w:r>
          </w:p>
        </w:tc>
        <w:tc>
          <w:tcPr>
            <w:tcW w:w="38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1,294,699</w:t>
            </w:r>
          </w:p>
        </w:tc>
        <w:tc>
          <w:tcPr>
            <w:tcW w:w="60" w:type="dxa"/>
            <w:vAlign w:val="bottom"/>
            <w:tcBorders>
              <w:top w:val="single" w:sz="8" w:color="DDDDDD"/>
            </w:tcBorders>
            <w:gridSpan w:val="2"/>
          </w:tcPr>
          <w:p>
            <w:pPr>
              <w:spacing w:after="0"/>
              <w:rPr>
                <w:sz w:val="21"/>
                <w:szCs w:val="21"/>
                <w:color w:val="auto"/>
              </w:rPr>
            </w:pPr>
          </w:p>
        </w:tc>
        <w:tc>
          <w:tcPr>
            <w:tcW w:w="420" w:type="dxa"/>
            <w:vAlign w:val="bottom"/>
            <w:tcBorders>
              <w:top w:val="single" w:sz="8" w:color="auto"/>
            </w:tcBorders>
          </w:tcPr>
          <w:p>
            <w:pPr>
              <w:jc w:val="right"/>
              <w:ind w:right="187"/>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884,959</w:t>
            </w:r>
          </w:p>
        </w:tc>
      </w:tr>
      <w:tr>
        <w:trPr>
          <w:trHeight w:val="82"/>
        </w:trPr>
        <w:tc>
          <w:tcPr>
            <w:tcW w:w="6820" w:type="dxa"/>
            <w:vAlign w:val="bottom"/>
            <w:tcBorders>
              <w:bottom w:val="single" w:sz="8" w:color="DDDDDD"/>
            </w:tcBorders>
          </w:tcPr>
          <w:p>
            <w:pPr>
              <w:spacing w:after="0"/>
              <w:rPr>
                <w:sz w:val="7"/>
                <w:szCs w:val="7"/>
                <w:color w:val="auto"/>
              </w:rPr>
            </w:pPr>
          </w:p>
        </w:tc>
        <w:tc>
          <w:tcPr>
            <w:tcW w:w="20" w:type="dxa"/>
            <w:vAlign w:val="bottom"/>
            <w:tcBorders>
              <w:bottom w:val="single" w:sz="8" w:color="DDDDDD"/>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0" w:type="dxa"/>
            <w:vAlign w:val="bottom"/>
            <w:tcBorders>
              <w:bottom w:val="single" w:sz="8" w:color="DDDDDD"/>
            </w:tcBorders>
          </w:tcPr>
          <w:p>
            <w:pPr>
              <w:spacing w:after="0"/>
              <w:rPr>
                <w:sz w:val="7"/>
                <w:szCs w:val="7"/>
                <w:color w:val="auto"/>
              </w:rPr>
            </w:pPr>
          </w:p>
        </w:tc>
        <w:tc>
          <w:tcPr>
            <w:tcW w:w="20" w:type="dxa"/>
            <w:vAlign w:val="bottom"/>
            <w:tcBorders>
              <w:bottom w:val="single" w:sz="8" w:color="DDDDDD"/>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r>
      <w:tr>
        <w:trPr>
          <w:trHeight w:val="245"/>
        </w:trPr>
        <w:tc>
          <w:tcPr>
            <w:tcW w:w="6840" w:type="dxa"/>
            <w:vAlign w:val="bottom"/>
            <w:tcBorders>
              <w:bottom w:val="single" w:sz="8" w:color="DDDDDD"/>
            </w:tcBorders>
            <w:gridSpan w:val="2"/>
            <w:shd w:val="clear" w:color="auto" w:fill="DDDDDD"/>
          </w:tcPr>
          <w:p>
            <w:pPr>
              <w:ind w:left="40"/>
              <w:spacing w:after="0" w:line="222" w:lineRule="exact"/>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380" w:type="dxa"/>
            <w:vAlign w:val="bottom"/>
            <w:tcBorders>
              <w:bottom w:val="single" w:sz="8" w:color="DDDDDD"/>
            </w:tcBorders>
            <w:shd w:val="clear" w:color="auto" w:fill="DDDDDD"/>
          </w:tcPr>
          <w:p>
            <w:pPr>
              <w:spacing w:after="0"/>
              <w:rPr>
                <w:sz w:val="21"/>
                <w:szCs w:val="21"/>
                <w:color w:val="auto"/>
              </w:rPr>
            </w:pPr>
          </w:p>
        </w:tc>
        <w:tc>
          <w:tcPr>
            <w:tcW w:w="1120" w:type="dxa"/>
            <w:vAlign w:val="bottom"/>
            <w:tcBorders>
              <w:bottom w:val="single" w:sz="8" w:color="DDDDDD"/>
            </w:tcBorders>
            <w:shd w:val="clear" w:color="auto" w:fill="DDDDDD"/>
          </w:tcPr>
          <w:p>
            <w:pPr>
              <w:spacing w:after="0"/>
              <w:rPr>
                <w:sz w:val="21"/>
                <w:szCs w:val="21"/>
                <w:color w:val="auto"/>
              </w:rPr>
            </w:pPr>
          </w:p>
        </w:tc>
        <w:tc>
          <w:tcPr>
            <w:tcW w:w="40" w:type="dxa"/>
            <w:vAlign w:val="bottom"/>
            <w:tcBorders>
              <w:bottom w:val="single" w:sz="8" w:color="DDDDDD"/>
            </w:tcBorders>
            <w:shd w:val="clear" w:color="auto" w:fill="DDDDDD"/>
          </w:tcPr>
          <w:p>
            <w:pPr>
              <w:spacing w:after="0"/>
              <w:rPr>
                <w:sz w:val="21"/>
                <w:szCs w:val="21"/>
                <w:color w:val="auto"/>
              </w:rPr>
            </w:pPr>
          </w:p>
        </w:tc>
        <w:tc>
          <w:tcPr>
            <w:tcW w:w="20" w:type="dxa"/>
            <w:vAlign w:val="bottom"/>
            <w:tcBorders>
              <w:bottom w:val="single" w:sz="8" w:color="DDDDDD"/>
            </w:tcBorders>
            <w:shd w:val="clear" w:color="auto" w:fill="DDDDDD"/>
          </w:tcPr>
          <w:p>
            <w:pPr>
              <w:spacing w:after="0"/>
              <w:rPr>
                <w:sz w:val="21"/>
                <w:szCs w:val="21"/>
                <w:color w:val="auto"/>
              </w:rPr>
            </w:pPr>
          </w:p>
        </w:tc>
        <w:tc>
          <w:tcPr>
            <w:tcW w:w="420" w:type="dxa"/>
            <w:vAlign w:val="bottom"/>
            <w:tcBorders>
              <w:bottom w:val="single" w:sz="8" w:color="DDDDDD"/>
            </w:tcBorders>
            <w:shd w:val="clear" w:color="auto" w:fill="DDDDDD"/>
          </w:tcPr>
          <w:p>
            <w:pPr>
              <w:spacing w:after="0"/>
              <w:rPr>
                <w:sz w:val="21"/>
                <w:szCs w:val="21"/>
                <w:color w:val="auto"/>
              </w:rPr>
            </w:pPr>
          </w:p>
        </w:tc>
        <w:tc>
          <w:tcPr>
            <w:tcW w:w="1080" w:type="dxa"/>
            <w:vAlign w:val="bottom"/>
            <w:tcBorders>
              <w:bottom w:val="single" w:sz="8" w:color="DDDDDD"/>
            </w:tcBorders>
            <w:shd w:val="clear" w:color="auto" w:fill="DDDDDD"/>
          </w:tcPr>
          <w:p>
            <w:pPr>
              <w:spacing w:after="0"/>
              <w:rPr>
                <w:sz w:val="21"/>
                <w:szCs w:val="21"/>
                <w:color w:val="auto"/>
              </w:rPr>
            </w:pPr>
          </w:p>
        </w:tc>
      </w:tr>
      <w:tr>
        <w:trPr>
          <w:trHeight w:val="282"/>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Current liabilities:</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
        </w:trPr>
        <w:tc>
          <w:tcPr>
            <w:tcW w:w="682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r>
      <w:tr>
        <w:trPr>
          <w:trHeight w:val="305"/>
        </w:trPr>
        <w:tc>
          <w:tcPr>
            <w:tcW w:w="6840" w:type="dxa"/>
            <w:vAlign w:val="bottom"/>
            <w:tcBorders>
              <w:bottom w:val="single" w:sz="8" w:color="DDDDDD"/>
            </w:tcBorders>
            <w:gridSpan w:val="2"/>
            <w:shd w:val="clear" w:color="auto" w:fill="DDDDDD"/>
          </w:tcPr>
          <w:p>
            <w:pPr>
              <w:ind w:left="220"/>
              <w:spacing w:after="0"/>
              <w:rPr>
                <w:sz w:val="20"/>
                <w:szCs w:val="20"/>
                <w:color w:val="auto"/>
              </w:rPr>
            </w:pPr>
            <w:r>
              <w:rPr>
                <w:rFonts w:ascii="Times New Roman" w:cs="Times New Roman" w:eastAsia="Times New Roman" w:hAnsi="Times New Roman"/>
                <w:sz w:val="20"/>
                <w:szCs w:val="20"/>
                <w:color w:val="auto"/>
              </w:rPr>
              <w:t>Accounts payable</w:t>
            </w:r>
          </w:p>
        </w:tc>
        <w:tc>
          <w:tcPr>
            <w:tcW w:w="380" w:type="dxa"/>
            <w:vAlign w:val="bottom"/>
            <w:tcBorders>
              <w:bottom w:val="single" w:sz="8" w:color="DDDDDD"/>
            </w:tcBorders>
            <w:shd w:val="clear" w:color="auto" w:fill="DDDDDD"/>
          </w:tcPr>
          <w:p>
            <w:pPr>
              <w:jc w:val="right"/>
              <w:ind w:right="144"/>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21,327</w:t>
            </w:r>
          </w:p>
        </w:tc>
        <w:tc>
          <w:tcPr>
            <w:tcW w:w="480" w:type="dxa"/>
            <w:vAlign w:val="bottom"/>
            <w:tcBorders>
              <w:bottom w:val="single" w:sz="8" w:color="DDDDDD"/>
            </w:tcBorders>
            <w:gridSpan w:val="3"/>
            <w:shd w:val="clear" w:color="auto" w:fill="DDDDDD"/>
          </w:tcPr>
          <w:p>
            <w:pPr>
              <w:jc w:val="right"/>
              <w:ind w:right="187"/>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22,894</w:t>
            </w:r>
          </w:p>
        </w:tc>
      </w:tr>
      <w:tr>
        <w:trPr>
          <w:trHeight w:val="282"/>
        </w:trPr>
        <w:tc>
          <w:tcPr>
            <w:tcW w:w="68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62,678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85,555</w:t>
            </w:r>
          </w:p>
        </w:tc>
      </w:tr>
      <w:tr>
        <w:trPr>
          <w:trHeight w:val="43"/>
        </w:trPr>
        <w:tc>
          <w:tcPr>
            <w:tcW w:w="682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85"/>
        </w:trPr>
        <w:tc>
          <w:tcPr>
            <w:tcW w:w="6840" w:type="dxa"/>
            <w:vAlign w:val="bottom"/>
            <w:tcBorders>
              <w:bottom w:val="single" w:sz="8" w:color="DDDDDD"/>
            </w:tcBorders>
            <w:gridSpan w:val="2"/>
            <w:shd w:val="clear" w:color="auto" w:fill="DDDDDD"/>
          </w:tcPr>
          <w:p>
            <w:pPr>
              <w:ind w:left="40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3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84,005</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DDDDDD"/>
            </w:tcBorders>
            <w:shd w:val="clear" w:color="auto" w:fill="DDDDDD"/>
          </w:tcPr>
          <w:p>
            <w:pPr>
              <w:spacing w:after="0"/>
              <w:rPr>
                <w:sz w:val="24"/>
                <w:szCs w:val="24"/>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108,449</w:t>
            </w:r>
          </w:p>
        </w:tc>
      </w:tr>
      <w:tr>
        <w:trPr>
          <w:trHeight w:val="282"/>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54,512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76,791</w:t>
            </w:r>
          </w:p>
        </w:tc>
      </w:tr>
      <w:tr>
        <w:trPr>
          <w:trHeight w:val="42"/>
        </w:trPr>
        <w:tc>
          <w:tcPr>
            <w:tcW w:w="682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305"/>
        </w:trPr>
        <w:tc>
          <w:tcPr>
            <w:tcW w:w="6840" w:type="dxa"/>
            <w:vAlign w:val="bottom"/>
            <w:tcBorders>
              <w:bottom w:val="single" w:sz="8" w:color="DDDDDD"/>
            </w:tcBorders>
            <w:gridSpan w:val="2"/>
            <w:shd w:val="clear" w:color="auto" w:fill="DDDDDD"/>
          </w:tcPr>
          <w:p>
            <w:pPr>
              <w:ind w:left="400"/>
              <w:spacing w:after="0"/>
              <w:rPr>
                <w:sz w:val="20"/>
                <w:szCs w:val="20"/>
                <w:color w:val="auto"/>
              </w:rPr>
            </w:pPr>
            <w:r>
              <w:rPr>
                <w:rFonts w:ascii="Times New Roman" w:cs="Times New Roman" w:eastAsia="Times New Roman" w:hAnsi="Times New Roman"/>
                <w:sz w:val="20"/>
                <w:szCs w:val="20"/>
                <w:color w:val="auto"/>
              </w:rPr>
              <w:t>Total liabilities</w:t>
            </w:r>
          </w:p>
        </w:tc>
        <w:tc>
          <w:tcPr>
            <w:tcW w:w="3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138,517</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DDDDDD"/>
            </w:tcBorders>
            <w:shd w:val="clear" w:color="auto" w:fill="DDDDDD"/>
          </w:tcPr>
          <w:p>
            <w:pPr>
              <w:spacing w:after="0"/>
              <w:rPr>
                <w:sz w:val="24"/>
                <w:szCs w:val="24"/>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185,240</w:t>
            </w:r>
          </w:p>
        </w:tc>
      </w:tr>
      <w:tr>
        <w:trPr>
          <w:trHeight w:val="311"/>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Commitments and contingencies (Note 6)</w:t>
            </w:r>
          </w:p>
        </w:tc>
        <w:tc>
          <w:tcPr>
            <w:tcW w:w="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42"/>
        </w:trPr>
        <w:tc>
          <w:tcPr>
            <w:tcW w:w="682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305"/>
        </w:trPr>
        <w:tc>
          <w:tcPr>
            <w:tcW w:w="684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Stockholders’ equity:</w:t>
            </w:r>
          </w:p>
        </w:tc>
        <w:tc>
          <w:tcPr>
            <w:tcW w:w="3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DDDDDD"/>
            </w:tcBorders>
            <w:shd w:val="clear" w:color="auto" w:fill="DDDDDD"/>
          </w:tcPr>
          <w:p>
            <w:pPr>
              <w:spacing w:after="0"/>
              <w:rPr>
                <w:sz w:val="24"/>
                <w:szCs w:val="24"/>
                <w:color w:val="auto"/>
              </w:rPr>
            </w:pPr>
          </w:p>
        </w:tc>
        <w:tc>
          <w:tcPr>
            <w:tcW w:w="1080" w:type="dxa"/>
            <w:vAlign w:val="bottom"/>
            <w:tcBorders>
              <w:bottom w:val="single" w:sz="8" w:color="DDDDDD"/>
            </w:tcBorders>
            <w:shd w:val="clear" w:color="auto" w:fill="DDDDDD"/>
          </w:tcPr>
          <w:p>
            <w:pPr>
              <w:spacing w:after="0"/>
              <w:rPr>
                <w:sz w:val="24"/>
                <w:szCs w:val="24"/>
                <w:color w:val="auto"/>
              </w:rPr>
            </w:pPr>
          </w:p>
        </w:tc>
      </w:tr>
      <w:tr>
        <w:trPr>
          <w:trHeight w:val="261"/>
        </w:trPr>
        <w:tc>
          <w:tcPr>
            <w:tcW w:w="684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Common stock, $0.0001 par value - 200,000 shares authorized; 26,299 and</w:t>
            </w: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61"/>
        </w:trPr>
        <w:tc>
          <w:tcPr>
            <w:tcW w:w="68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23,598 shares issued and outstanding at December 31, 2025 and 2024</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r>
      <w:tr>
        <w:trPr>
          <w:trHeight w:val="43"/>
        </w:trPr>
        <w:tc>
          <w:tcPr>
            <w:tcW w:w="682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305"/>
        </w:trPr>
        <w:tc>
          <w:tcPr>
            <w:tcW w:w="684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3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1,381,083</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DDDDDD"/>
            </w:tcBorders>
            <w:shd w:val="clear" w:color="auto" w:fill="DDDDDD"/>
          </w:tcPr>
          <w:p>
            <w:pPr>
              <w:spacing w:after="0"/>
              <w:rPr>
                <w:sz w:val="24"/>
                <w:szCs w:val="24"/>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881,718</w:t>
            </w:r>
          </w:p>
        </w:tc>
      </w:tr>
      <w:tr>
        <w:trPr>
          <w:trHeight w:val="282"/>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Accumulated deficit</w:t>
            </w:r>
          </w:p>
        </w:tc>
        <w:tc>
          <w:tcPr>
            <w:tcW w:w="3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(224,904)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(182,001)</w:t>
            </w:r>
          </w:p>
        </w:tc>
      </w:tr>
      <w:tr>
        <w:trPr>
          <w:trHeight w:val="42"/>
        </w:trPr>
        <w:tc>
          <w:tcPr>
            <w:tcW w:w="682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305"/>
        </w:trPr>
        <w:tc>
          <w:tcPr>
            <w:tcW w:w="6840" w:type="dxa"/>
            <w:vAlign w:val="bottom"/>
            <w:tcBorders>
              <w:bottom w:val="single" w:sz="8" w:color="DDDDDD"/>
            </w:tcBorders>
            <w:gridSpan w:val="2"/>
            <w:shd w:val="clear" w:color="auto" w:fill="DDDDDD"/>
          </w:tcPr>
          <w:p>
            <w:pPr>
              <w:ind w:left="40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3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1,156,182</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420" w:type="dxa"/>
            <w:vAlign w:val="bottom"/>
            <w:tcBorders>
              <w:bottom w:val="single" w:sz="8" w:color="DDDDDD"/>
            </w:tcBorders>
            <w:shd w:val="clear" w:color="auto" w:fill="DDDDDD"/>
          </w:tcPr>
          <w:p>
            <w:pPr>
              <w:spacing w:after="0"/>
              <w:rPr>
                <w:sz w:val="24"/>
                <w:szCs w:val="24"/>
                <w:color w:val="auto"/>
              </w:rPr>
            </w:pP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699,719</w:t>
            </w:r>
          </w:p>
        </w:tc>
      </w:tr>
      <w:tr>
        <w:trPr>
          <w:trHeight w:val="263"/>
        </w:trPr>
        <w:tc>
          <w:tcPr>
            <w:tcW w:w="68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38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1,294,699</w:t>
            </w:r>
          </w:p>
        </w:tc>
        <w:tc>
          <w:tcPr>
            <w:tcW w:w="60" w:type="dxa"/>
            <w:vAlign w:val="bottom"/>
            <w:gridSpan w:val="2"/>
          </w:tcPr>
          <w:p>
            <w:pPr>
              <w:spacing w:after="0"/>
              <w:rPr>
                <w:sz w:val="22"/>
                <w:szCs w:val="22"/>
                <w:color w:val="auto"/>
              </w:rPr>
            </w:pPr>
          </w:p>
        </w:tc>
        <w:tc>
          <w:tcPr>
            <w:tcW w:w="420" w:type="dxa"/>
            <w:vAlign w:val="bottom"/>
            <w:tcBorders>
              <w:top w:val="single" w:sz="8" w:color="auto"/>
            </w:tcBorders>
          </w:tcPr>
          <w:p>
            <w:pPr>
              <w:jc w:val="right"/>
              <w:ind w:right="187"/>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884,959</w:t>
            </w:r>
          </w:p>
        </w:tc>
      </w:tr>
      <w:tr>
        <w:trPr>
          <w:trHeight w:val="44"/>
        </w:trPr>
        <w:tc>
          <w:tcPr>
            <w:tcW w:w="68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4337050</wp:posOffset>
                </wp:positionH>
                <wp:positionV relativeFrom="paragraph">
                  <wp:posOffset>-4542155</wp:posOffset>
                </wp:positionV>
                <wp:extent cx="952500"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5pt,-357.6499pt" to="416.5pt,-357.6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5327650</wp:posOffset>
                </wp:positionH>
                <wp:positionV relativeFrom="paragraph">
                  <wp:posOffset>-4542155</wp:posOffset>
                </wp:positionV>
                <wp:extent cx="95313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313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5pt,-357.6499pt" to="494.55pt,-357.6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4337050</wp:posOffset>
                </wp:positionH>
                <wp:positionV relativeFrom="paragraph">
                  <wp:posOffset>-3303270</wp:posOffset>
                </wp:positionV>
                <wp:extent cx="95250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5pt,-260.0999pt" to="416.5pt,-260.0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5327650</wp:posOffset>
                </wp:positionH>
                <wp:positionV relativeFrom="paragraph">
                  <wp:posOffset>-3303270</wp:posOffset>
                </wp:positionV>
                <wp:extent cx="95313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313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5pt,-260.0999pt" to="494.55pt,-260.0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4337050</wp:posOffset>
                </wp:positionH>
                <wp:positionV relativeFrom="paragraph">
                  <wp:posOffset>-231775</wp:posOffset>
                </wp:positionV>
                <wp:extent cx="952500"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5pt,-18.2499pt" to="416.5pt,-18.2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5327650</wp:posOffset>
                </wp:positionH>
                <wp:positionV relativeFrom="paragraph">
                  <wp:posOffset>-231775</wp:posOffset>
                </wp:positionV>
                <wp:extent cx="95313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313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5pt,-18.2499pt" to="494.55pt,-18.2499pt" o:allowincell="f" strokecolor="#FFFFFF" strokeweight="0.1399pt"/>
            </w:pict>
          </mc:Fallback>
        </mc:AlternateConten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2240" w:h="15840" w:orient="portrait"/>
          <w:cols w:equalWidth="0" w:num="1">
            <w:col w:w="9900"/>
          </w:cols>
          <w:pgMar w:left="1180" w:top="852"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9900"/>
          </w:cols>
          <w:pgMar w:left="1180" w:top="852" w:right="1160" w:bottom="0" w:gutter="0" w:footer="0" w:header="0"/>
          <w:type w:val="continuous"/>
        </w:sectPr>
      </w:pPr>
    </w:p>
    <w:bookmarkStart w:id="64" w:name="page65"/>
    <w:bookmarkEnd w:id="6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SiTime Corporation</w:t>
      </w: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6"/>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Pr>
          <w:p>
            <w:pPr>
              <w:spacing w:after="0"/>
              <w:rPr>
                <w:sz w:val="18"/>
                <w:szCs w:val="18"/>
                <w:color w:val="auto"/>
              </w:rPr>
            </w:pPr>
          </w:p>
        </w:tc>
      </w:tr>
      <w:tr>
        <w:trPr>
          <w:trHeight w:val="38"/>
        </w:trPr>
        <w:tc>
          <w:tcPr>
            <w:tcW w:w="40" w:type="dxa"/>
            <w:vAlign w:val="bottom"/>
          </w:tcPr>
          <w:p>
            <w:pPr>
              <w:spacing w:after="0"/>
              <w:rPr>
                <w:sz w:val="3"/>
                <w:szCs w:val="3"/>
                <w:color w:val="auto"/>
              </w:rPr>
            </w:pPr>
          </w:p>
        </w:tc>
        <w:tc>
          <w:tcPr>
            <w:tcW w:w="58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19"/>
        </w:trPr>
        <w:tc>
          <w:tcPr>
            <w:tcW w:w="4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9"/>
        </w:trPr>
        <w:tc>
          <w:tcPr>
            <w:tcW w:w="40" w:type="dxa"/>
            <w:vAlign w:val="bottom"/>
            <w:tcBorders>
              <w:bottom w:val="single" w:sz="8" w:color="DDDDDD"/>
            </w:tcBorders>
          </w:tcPr>
          <w:p>
            <w:pPr>
              <w:spacing w:after="0"/>
              <w:rPr>
                <w:sz w:val="3"/>
                <w:szCs w:val="3"/>
                <w:color w:val="auto"/>
              </w:rPr>
            </w:pPr>
          </w:p>
        </w:tc>
        <w:tc>
          <w:tcPr>
            <w:tcW w:w="5820" w:type="dxa"/>
            <w:vAlign w:val="bottom"/>
            <w:tcBorders>
              <w:bottom w:val="single" w:sz="8" w:color="DDDDDD"/>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85"/>
        </w:trPr>
        <w:tc>
          <w:tcPr>
            <w:tcW w:w="40" w:type="dxa"/>
            <w:vAlign w:val="bottom"/>
            <w:tcBorders>
              <w:bottom w:val="single" w:sz="8" w:color="DDDDDD"/>
            </w:tcBorders>
            <w:shd w:val="clear" w:color="auto" w:fill="DDDDDD"/>
          </w:tcPr>
          <w:p>
            <w:pPr>
              <w:spacing w:after="0"/>
              <w:rPr>
                <w:sz w:val="24"/>
                <w:szCs w:val="24"/>
                <w:color w:val="auto"/>
              </w:rPr>
            </w:pPr>
          </w:p>
        </w:tc>
        <w:tc>
          <w:tcPr>
            <w:tcW w:w="582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Revenue</w:t>
            </w:r>
          </w:p>
        </w:tc>
        <w:tc>
          <w:tcPr>
            <w:tcW w:w="320" w:type="dxa"/>
            <w:vAlign w:val="bottom"/>
            <w:tcBorders>
              <w:bottom w:val="single" w:sz="8" w:color="DDDDDD"/>
            </w:tcBorders>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326,660</w:t>
            </w:r>
          </w:p>
        </w:tc>
        <w:tc>
          <w:tcPr>
            <w:tcW w:w="400" w:type="dxa"/>
            <w:vAlign w:val="bottom"/>
            <w:tcBorders>
              <w:bottom w:val="single" w:sz="8" w:color="DDDDDD"/>
            </w:tcBorders>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202,697</w:t>
            </w:r>
          </w:p>
        </w:tc>
        <w:tc>
          <w:tcPr>
            <w:tcW w:w="400" w:type="dxa"/>
            <w:vAlign w:val="bottom"/>
            <w:tcBorders>
              <w:bottom w:val="single" w:sz="8" w:color="DDDDDD"/>
            </w:tcBorders>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143,993</w:t>
            </w:r>
          </w:p>
        </w:tc>
      </w:tr>
      <w:tr>
        <w:trPr>
          <w:trHeight w:val="282"/>
        </w:trPr>
        <w:tc>
          <w:tcPr>
            <w:tcW w:w="4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151,674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98,203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61,905</w:t>
            </w:r>
          </w:p>
        </w:tc>
      </w:tr>
      <w:tr>
        <w:trPr>
          <w:trHeight w:val="42"/>
        </w:trPr>
        <w:tc>
          <w:tcPr>
            <w:tcW w:w="40" w:type="dxa"/>
            <w:vAlign w:val="bottom"/>
            <w:tcBorders>
              <w:bottom w:val="single" w:sz="8" w:color="DDDDDD"/>
            </w:tcBorders>
          </w:tcPr>
          <w:p>
            <w:pPr>
              <w:spacing w:after="0"/>
              <w:rPr>
                <w:sz w:val="3"/>
                <w:szCs w:val="3"/>
                <w:color w:val="auto"/>
              </w:rPr>
            </w:pPr>
          </w:p>
        </w:tc>
        <w:tc>
          <w:tcPr>
            <w:tcW w:w="5820" w:type="dxa"/>
            <w:vAlign w:val="bottom"/>
            <w:tcBorders>
              <w:bottom w:val="single" w:sz="8" w:color="DDDDDD"/>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85"/>
        </w:trPr>
        <w:tc>
          <w:tcPr>
            <w:tcW w:w="40" w:type="dxa"/>
            <w:vAlign w:val="bottom"/>
            <w:tcBorders>
              <w:bottom w:val="single" w:sz="8" w:color="DDDDDD"/>
            </w:tcBorders>
            <w:shd w:val="clear" w:color="auto" w:fill="DDDDDD"/>
          </w:tcPr>
          <w:p>
            <w:pPr>
              <w:spacing w:after="0"/>
              <w:rPr>
                <w:sz w:val="24"/>
                <w:szCs w:val="24"/>
                <w:color w:val="auto"/>
              </w:rPr>
            </w:pPr>
          </w:p>
        </w:tc>
        <w:tc>
          <w:tcPr>
            <w:tcW w:w="582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174,986</w:t>
            </w:r>
          </w:p>
        </w:tc>
        <w:tc>
          <w:tcPr>
            <w:tcW w:w="6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104,494</w:t>
            </w:r>
          </w:p>
        </w:tc>
        <w:tc>
          <w:tcPr>
            <w:tcW w:w="6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82,088</w:t>
            </w:r>
          </w:p>
        </w:tc>
      </w:tr>
      <w:tr>
        <w:trPr>
          <w:trHeight w:val="282"/>
        </w:trPr>
        <w:tc>
          <w:tcPr>
            <w:tcW w:w="4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
        </w:trPr>
        <w:tc>
          <w:tcPr>
            <w:tcW w:w="40" w:type="dxa"/>
            <w:vAlign w:val="bottom"/>
          </w:tcPr>
          <w:p>
            <w:pPr>
              <w:spacing w:after="0"/>
              <w:rPr>
                <w:sz w:val="3"/>
                <w:szCs w:val="3"/>
                <w:color w:val="auto"/>
              </w:rPr>
            </w:pPr>
          </w:p>
        </w:tc>
        <w:tc>
          <w:tcPr>
            <w:tcW w:w="5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5"/>
        </w:trPr>
        <w:tc>
          <w:tcPr>
            <w:tcW w:w="40" w:type="dxa"/>
            <w:vAlign w:val="bottom"/>
            <w:tcBorders>
              <w:bottom w:val="single" w:sz="8" w:color="DDDDDD"/>
            </w:tcBorders>
            <w:shd w:val="clear" w:color="auto" w:fill="DDDDDD"/>
          </w:tcPr>
          <w:p>
            <w:pPr>
              <w:spacing w:after="0"/>
              <w:rPr>
                <w:sz w:val="24"/>
                <w:szCs w:val="24"/>
                <w:color w:val="auto"/>
              </w:rPr>
            </w:pPr>
          </w:p>
        </w:tc>
        <w:tc>
          <w:tcPr>
            <w:tcW w:w="582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118,893</w:t>
            </w:r>
          </w:p>
        </w:tc>
        <w:tc>
          <w:tcPr>
            <w:tcW w:w="6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106,855</w:t>
            </w:r>
          </w:p>
        </w:tc>
        <w:tc>
          <w:tcPr>
            <w:tcW w:w="6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97,589</w:t>
            </w:r>
          </w:p>
        </w:tc>
      </w:tr>
      <w:tr>
        <w:trPr>
          <w:trHeight w:val="282"/>
        </w:trPr>
        <w:tc>
          <w:tcPr>
            <w:tcW w:w="40" w:type="dxa"/>
            <w:vAlign w:val="bottom"/>
          </w:tcPr>
          <w:p>
            <w:pPr>
              <w:spacing w:after="0"/>
              <w:rPr>
                <w:sz w:val="24"/>
                <w:szCs w:val="24"/>
                <w:color w:val="auto"/>
              </w:rPr>
            </w:pPr>
          </w:p>
        </w:tc>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116,504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102,157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83,971</w:t>
            </w:r>
          </w:p>
        </w:tc>
      </w:tr>
      <w:tr>
        <w:trPr>
          <w:trHeight w:val="43"/>
        </w:trPr>
        <w:tc>
          <w:tcPr>
            <w:tcW w:w="40" w:type="dxa"/>
            <w:vAlign w:val="bottom"/>
          </w:tcPr>
          <w:p>
            <w:pPr>
              <w:spacing w:after="0"/>
              <w:rPr>
                <w:sz w:val="3"/>
                <w:szCs w:val="3"/>
                <w:color w:val="auto"/>
              </w:rPr>
            </w:pPr>
          </w:p>
        </w:tc>
        <w:tc>
          <w:tcPr>
            <w:tcW w:w="5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25"/>
        </w:trPr>
        <w:tc>
          <w:tcPr>
            <w:tcW w:w="40" w:type="dxa"/>
            <w:vAlign w:val="bottom"/>
            <w:tcBorders>
              <w:bottom w:val="single" w:sz="8" w:color="DDDDDD"/>
            </w:tcBorders>
            <w:shd w:val="clear" w:color="auto" w:fill="DDDDDD"/>
          </w:tcPr>
          <w:p>
            <w:pPr>
              <w:spacing w:after="0"/>
              <w:rPr>
                <w:sz w:val="24"/>
                <w:szCs w:val="24"/>
                <w:color w:val="auto"/>
              </w:rPr>
            </w:pPr>
          </w:p>
        </w:tc>
        <w:tc>
          <w:tcPr>
            <w:tcW w:w="582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Acquisition related costs</w:t>
            </w: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6,567</w:t>
            </w:r>
          </w:p>
        </w:tc>
        <w:tc>
          <w:tcPr>
            <w:tcW w:w="6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10,722</w:t>
            </w:r>
          </w:p>
        </w:tc>
        <w:tc>
          <w:tcPr>
            <w:tcW w:w="6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7,728</w:t>
            </w:r>
          </w:p>
        </w:tc>
      </w:tr>
      <w:tr>
        <w:trPr>
          <w:trHeight w:val="262"/>
        </w:trPr>
        <w:tc>
          <w:tcPr>
            <w:tcW w:w="40" w:type="dxa"/>
            <w:vAlign w:val="bottom"/>
          </w:tcPr>
          <w:p>
            <w:pPr>
              <w:spacing w:after="0"/>
              <w:rPr>
                <w:sz w:val="22"/>
                <w:szCs w:val="22"/>
                <w:color w:val="auto"/>
              </w:rPr>
            </w:pPr>
          </w:p>
        </w:tc>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Total operating expenses</w:t>
            </w: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241,964</w:t>
            </w: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219,734</w:t>
            </w: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189,288</w:t>
            </w:r>
          </w:p>
        </w:tc>
      </w:tr>
      <w:tr>
        <w:trPr>
          <w:trHeight w:val="42"/>
        </w:trPr>
        <w:tc>
          <w:tcPr>
            <w:tcW w:w="40" w:type="dxa"/>
            <w:vAlign w:val="bottom"/>
            <w:tcBorders>
              <w:bottom w:val="single" w:sz="8" w:color="DDDDDD"/>
            </w:tcBorders>
          </w:tcPr>
          <w:p>
            <w:pPr>
              <w:spacing w:after="0"/>
              <w:rPr>
                <w:sz w:val="3"/>
                <w:szCs w:val="3"/>
                <w:color w:val="auto"/>
              </w:rPr>
            </w:pPr>
          </w:p>
        </w:tc>
        <w:tc>
          <w:tcPr>
            <w:tcW w:w="5820" w:type="dxa"/>
            <w:vAlign w:val="bottom"/>
            <w:tcBorders>
              <w:bottom w:val="single" w:sz="8" w:color="DDDDDD"/>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85"/>
        </w:trPr>
        <w:tc>
          <w:tcPr>
            <w:tcW w:w="40" w:type="dxa"/>
            <w:vAlign w:val="bottom"/>
            <w:tcBorders>
              <w:bottom w:val="single" w:sz="8" w:color="DDDDDD"/>
            </w:tcBorders>
            <w:shd w:val="clear" w:color="auto" w:fill="DDDDDD"/>
          </w:tcPr>
          <w:p>
            <w:pPr>
              <w:spacing w:after="0"/>
              <w:rPr>
                <w:sz w:val="24"/>
                <w:szCs w:val="24"/>
                <w:color w:val="auto"/>
              </w:rPr>
            </w:pPr>
          </w:p>
        </w:tc>
        <w:tc>
          <w:tcPr>
            <w:tcW w:w="582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(66,978)</w:t>
            </w:r>
          </w:p>
        </w:tc>
        <w:tc>
          <w:tcPr>
            <w:tcW w:w="6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(115,240)</w:t>
            </w:r>
          </w:p>
        </w:tc>
        <w:tc>
          <w:tcPr>
            <w:tcW w:w="6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(107,200)</w:t>
            </w:r>
          </w:p>
        </w:tc>
      </w:tr>
      <w:tr>
        <w:trPr>
          <w:trHeight w:val="282"/>
        </w:trPr>
        <w:tc>
          <w:tcPr>
            <w:tcW w:w="40" w:type="dxa"/>
            <w:vAlign w:val="bottom"/>
          </w:tcPr>
          <w:p>
            <w:pPr>
              <w:spacing w:after="0"/>
              <w:rPr>
                <w:sz w:val="24"/>
                <w:szCs w:val="24"/>
                <w:color w:val="auto"/>
              </w:rPr>
            </w:pPr>
          </w:p>
        </w:tc>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income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24,830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22,883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26,958</w:t>
            </w:r>
          </w:p>
        </w:tc>
      </w:tr>
      <w:tr>
        <w:trPr>
          <w:trHeight w:val="43"/>
        </w:trPr>
        <w:tc>
          <w:tcPr>
            <w:tcW w:w="40" w:type="dxa"/>
            <w:vAlign w:val="bottom"/>
          </w:tcPr>
          <w:p>
            <w:pPr>
              <w:spacing w:after="0"/>
              <w:rPr>
                <w:sz w:val="3"/>
                <w:szCs w:val="3"/>
                <w:color w:val="auto"/>
              </w:rPr>
            </w:pPr>
          </w:p>
        </w:tc>
        <w:tc>
          <w:tcPr>
            <w:tcW w:w="5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25"/>
        </w:trPr>
        <w:tc>
          <w:tcPr>
            <w:tcW w:w="40" w:type="dxa"/>
            <w:vAlign w:val="bottom"/>
            <w:tcBorders>
              <w:bottom w:val="single" w:sz="8" w:color="DDDDDD"/>
            </w:tcBorders>
            <w:shd w:val="clear" w:color="auto" w:fill="DDDDDD"/>
          </w:tcPr>
          <w:p>
            <w:pPr>
              <w:spacing w:after="0"/>
              <w:rPr>
                <w:sz w:val="24"/>
                <w:szCs w:val="24"/>
                <w:color w:val="auto"/>
              </w:rPr>
            </w:pPr>
          </w:p>
        </w:tc>
        <w:tc>
          <w:tcPr>
            <w:tcW w:w="582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Other expense, net</w:t>
            </w: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(157)</w:t>
            </w:r>
          </w:p>
        </w:tc>
        <w:tc>
          <w:tcPr>
            <w:tcW w:w="6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(758)</w:t>
            </w:r>
          </w:p>
        </w:tc>
        <w:tc>
          <w:tcPr>
            <w:tcW w:w="6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63"/>
        </w:trPr>
        <w:tc>
          <w:tcPr>
            <w:tcW w:w="40" w:type="dxa"/>
            <w:vAlign w:val="bottom"/>
          </w:tcPr>
          <w:p>
            <w:pPr>
              <w:spacing w:after="0"/>
              <w:rPr>
                <w:sz w:val="22"/>
                <w:szCs w:val="22"/>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Loss before income taxes</w:t>
            </w: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(42,305)</w:t>
            </w: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(93,115)</w:t>
            </w: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(80,383)</w:t>
            </w:r>
          </w:p>
        </w:tc>
      </w:tr>
      <w:tr>
        <w:trPr>
          <w:trHeight w:val="42"/>
        </w:trPr>
        <w:tc>
          <w:tcPr>
            <w:tcW w:w="40" w:type="dxa"/>
            <w:vAlign w:val="bottom"/>
          </w:tcPr>
          <w:p>
            <w:pPr>
              <w:spacing w:after="0"/>
              <w:rPr>
                <w:sz w:val="3"/>
                <w:szCs w:val="3"/>
                <w:color w:val="auto"/>
              </w:rPr>
            </w:pPr>
          </w:p>
        </w:tc>
        <w:tc>
          <w:tcPr>
            <w:tcW w:w="5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50"/>
        </w:trPr>
        <w:tc>
          <w:tcPr>
            <w:tcW w:w="40" w:type="dxa"/>
            <w:vAlign w:val="bottom"/>
            <w:tcBorders>
              <w:bottom w:val="single" w:sz="8" w:color="DDDDDD"/>
            </w:tcBorders>
            <w:shd w:val="clear" w:color="auto" w:fill="DDDDDD"/>
          </w:tcPr>
          <w:p>
            <w:pPr>
              <w:spacing w:after="0"/>
              <w:rPr>
                <w:sz w:val="24"/>
                <w:szCs w:val="24"/>
                <w:color w:val="auto"/>
              </w:rPr>
            </w:pPr>
          </w:p>
        </w:tc>
        <w:tc>
          <w:tcPr>
            <w:tcW w:w="582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(598)</w:t>
            </w:r>
          </w:p>
        </w:tc>
        <w:tc>
          <w:tcPr>
            <w:tcW w:w="6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(486)</w:t>
            </w:r>
          </w:p>
        </w:tc>
        <w:tc>
          <w:tcPr>
            <w:tcW w:w="6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242"/>
        </w:trPr>
        <w:tc>
          <w:tcPr>
            <w:tcW w:w="40" w:type="dxa"/>
            <w:vAlign w:val="bottom"/>
            <w:tcBorders>
              <w:top w:val="single" w:sz="8" w:color="DDDDDD"/>
            </w:tcBorders>
          </w:tcPr>
          <w:p>
            <w:pPr>
              <w:spacing w:after="0"/>
              <w:rPr>
                <w:sz w:val="21"/>
                <w:szCs w:val="21"/>
                <w:color w:val="auto"/>
              </w:rPr>
            </w:pPr>
          </w:p>
        </w:tc>
        <w:tc>
          <w:tcPr>
            <w:tcW w:w="5820" w:type="dxa"/>
            <w:vAlign w:val="bottom"/>
            <w:tcBorders>
              <w:top w:val="single" w:sz="8" w:color="DDDDDD"/>
            </w:tcBorders>
          </w:tcPr>
          <w:p>
            <w:pPr>
              <w:spacing w:after="0"/>
              <w:rPr>
                <w:sz w:val="20"/>
                <w:szCs w:val="20"/>
                <w:color w:val="auto"/>
              </w:rPr>
            </w:pPr>
            <w:r>
              <w:rPr>
                <w:rFonts w:ascii="Times New Roman" w:cs="Times New Roman" w:eastAsia="Times New Roman" w:hAnsi="Times New Roman"/>
                <w:sz w:val="20"/>
                <w:szCs w:val="20"/>
                <w:color w:val="auto"/>
              </w:rPr>
              <w:t>Net loss</w:t>
            </w:r>
          </w:p>
        </w:tc>
        <w:tc>
          <w:tcPr>
            <w:tcW w:w="32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(42,903)</w:t>
            </w:r>
          </w:p>
        </w:tc>
        <w:tc>
          <w:tcPr>
            <w:tcW w:w="60" w:type="dxa"/>
            <w:vAlign w:val="bottom"/>
            <w:tcBorders>
              <w:top w:val="single" w:sz="8" w:color="DDDDDD"/>
            </w:tcBorders>
          </w:tcPr>
          <w:p>
            <w:pPr>
              <w:spacing w:after="0"/>
              <w:rPr>
                <w:sz w:val="21"/>
                <w:szCs w:val="21"/>
                <w:color w:val="auto"/>
              </w:rPr>
            </w:pPr>
          </w:p>
        </w:tc>
        <w:tc>
          <w:tcPr>
            <w:tcW w:w="3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(93,601)</w:t>
            </w:r>
          </w:p>
        </w:tc>
        <w:tc>
          <w:tcPr>
            <w:tcW w:w="60" w:type="dxa"/>
            <w:vAlign w:val="bottom"/>
            <w:tcBorders>
              <w:top w:val="single" w:sz="8" w:color="DDDDDD"/>
            </w:tcBorders>
          </w:tcPr>
          <w:p>
            <w:pPr>
              <w:spacing w:after="0"/>
              <w:rPr>
                <w:sz w:val="21"/>
                <w:szCs w:val="21"/>
                <w:color w:val="auto"/>
              </w:rPr>
            </w:pPr>
          </w:p>
        </w:tc>
        <w:tc>
          <w:tcPr>
            <w:tcW w:w="3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(80,535)</w:t>
            </w:r>
          </w:p>
        </w:tc>
      </w:tr>
      <w:tr>
        <w:trPr>
          <w:trHeight w:val="82"/>
        </w:trPr>
        <w:tc>
          <w:tcPr>
            <w:tcW w:w="40" w:type="dxa"/>
            <w:vAlign w:val="bottom"/>
          </w:tcPr>
          <w:p>
            <w:pPr>
              <w:spacing w:after="0"/>
              <w:rPr>
                <w:sz w:val="7"/>
                <w:szCs w:val="7"/>
                <w:color w:val="auto"/>
              </w:rPr>
            </w:pPr>
          </w:p>
        </w:tc>
        <w:tc>
          <w:tcPr>
            <w:tcW w:w="5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0" w:type="dxa"/>
            <w:vAlign w:val="bottom"/>
            <w:gridSpan w:val="2"/>
          </w:tcPr>
          <w:p>
            <w:pPr>
              <w:spacing w:after="0"/>
              <w:rPr>
                <w:sz w:val="7"/>
                <w:szCs w:val="7"/>
                <w:color w:val="auto"/>
              </w:rPr>
            </w:pPr>
          </w:p>
        </w:tc>
        <w:tc>
          <w:tcPr>
            <w:tcW w:w="960" w:type="dxa"/>
            <w:vAlign w:val="bottom"/>
          </w:tcPr>
          <w:p>
            <w:pPr>
              <w:spacing w:after="0"/>
              <w:rPr>
                <w:sz w:val="7"/>
                <w:szCs w:val="7"/>
                <w:color w:val="auto"/>
              </w:rPr>
            </w:pPr>
          </w:p>
        </w:tc>
        <w:tc>
          <w:tcPr>
            <w:tcW w:w="400" w:type="dxa"/>
            <w:vAlign w:val="bottom"/>
            <w:gridSpan w:val="2"/>
          </w:tcPr>
          <w:p>
            <w:pPr>
              <w:spacing w:after="0"/>
              <w:rPr>
                <w:sz w:val="7"/>
                <w:szCs w:val="7"/>
                <w:color w:val="auto"/>
              </w:rPr>
            </w:pPr>
          </w:p>
        </w:tc>
        <w:tc>
          <w:tcPr>
            <w:tcW w:w="980" w:type="dxa"/>
            <w:vAlign w:val="bottom"/>
          </w:tcPr>
          <w:p>
            <w:pPr>
              <w:spacing w:after="0"/>
              <w:rPr>
                <w:sz w:val="7"/>
                <w:szCs w:val="7"/>
                <w:color w:val="auto"/>
              </w:rPr>
            </w:pPr>
          </w:p>
        </w:tc>
      </w:tr>
      <w:tr>
        <w:trPr>
          <w:trHeight w:val="265"/>
        </w:trPr>
        <w:tc>
          <w:tcPr>
            <w:tcW w:w="40" w:type="dxa"/>
            <w:vAlign w:val="bottom"/>
            <w:tcBorders>
              <w:top w:val="single" w:sz="8" w:color="DDDDDD"/>
            </w:tcBorders>
            <w:shd w:val="clear" w:color="auto" w:fill="DDDDDD"/>
          </w:tcPr>
          <w:p>
            <w:pPr>
              <w:spacing w:after="0"/>
              <w:rPr>
                <w:sz w:val="23"/>
                <w:szCs w:val="23"/>
                <w:color w:val="auto"/>
              </w:rPr>
            </w:pPr>
          </w:p>
        </w:tc>
        <w:tc>
          <w:tcPr>
            <w:tcW w:w="5820" w:type="dxa"/>
            <w:vAlign w:val="bottom"/>
            <w:tcBorders>
              <w:top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Net loss attributable to common stockholders and comprehensive loss</w:t>
            </w:r>
          </w:p>
        </w:tc>
        <w:tc>
          <w:tcPr>
            <w:tcW w:w="320" w:type="dxa"/>
            <w:vAlign w:val="bottom"/>
            <w:tcBorders>
              <w:top w:val="single" w:sz="8" w:color="auto"/>
            </w:tcBorders>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(42,903)</w:t>
            </w:r>
          </w:p>
        </w:tc>
        <w:tc>
          <w:tcPr>
            <w:tcW w:w="60" w:type="dxa"/>
            <w:vAlign w:val="bottom"/>
            <w:tcBorders>
              <w:top w:val="single" w:sz="8" w:color="DDDDDD"/>
            </w:tcBorders>
            <w:shd w:val="clear" w:color="auto" w:fill="DDDDDD"/>
          </w:tcPr>
          <w:p>
            <w:pPr>
              <w:spacing w:after="0"/>
              <w:rPr>
                <w:sz w:val="23"/>
                <w:szCs w:val="23"/>
                <w:color w:val="auto"/>
              </w:rPr>
            </w:pPr>
          </w:p>
        </w:tc>
        <w:tc>
          <w:tcPr>
            <w:tcW w:w="340" w:type="dxa"/>
            <w:vAlign w:val="bottom"/>
            <w:tcBorders>
              <w:top w:val="single" w:sz="8" w:color="auto"/>
            </w:tcBorders>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(93,601)</w:t>
            </w:r>
          </w:p>
        </w:tc>
        <w:tc>
          <w:tcPr>
            <w:tcW w:w="60" w:type="dxa"/>
            <w:vAlign w:val="bottom"/>
            <w:tcBorders>
              <w:top w:val="single" w:sz="8" w:color="DDDDDD"/>
            </w:tcBorders>
            <w:shd w:val="clear" w:color="auto" w:fill="DDDDDD"/>
          </w:tcPr>
          <w:p>
            <w:pPr>
              <w:spacing w:after="0"/>
              <w:rPr>
                <w:sz w:val="23"/>
                <w:szCs w:val="23"/>
                <w:color w:val="auto"/>
              </w:rPr>
            </w:pPr>
          </w:p>
        </w:tc>
        <w:tc>
          <w:tcPr>
            <w:tcW w:w="340" w:type="dxa"/>
            <w:vAlign w:val="bottom"/>
            <w:tcBorders>
              <w:top w:val="single" w:sz="8" w:color="auto"/>
            </w:tcBorders>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(80,535)</w:t>
            </w:r>
          </w:p>
        </w:tc>
      </w:tr>
      <w:tr>
        <w:trPr>
          <w:trHeight w:val="261"/>
        </w:trPr>
        <w:tc>
          <w:tcPr>
            <w:tcW w:w="40" w:type="dxa"/>
            <w:vAlign w:val="bottom"/>
          </w:tcPr>
          <w:p>
            <w:pPr>
              <w:spacing w:after="0"/>
              <w:rPr>
                <w:sz w:val="22"/>
                <w:szCs w:val="22"/>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 attributable to common stockholders, basic and</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61"/>
        </w:trPr>
        <w:tc>
          <w:tcPr>
            <w:tcW w:w="40" w:type="dxa"/>
            <w:vAlign w:val="bottom"/>
          </w:tcPr>
          <w:p>
            <w:pPr>
              <w:spacing w:after="0"/>
              <w:rPr>
                <w:sz w:val="22"/>
                <w:szCs w:val="22"/>
                <w:color w:val="auto"/>
              </w:rPr>
            </w:pPr>
          </w:p>
        </w:tc>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diluted</w:t>
            </w: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w:t>
            </w:r>
          </w:p>
        </w:tc>
      </w:tr>
      <w:tr>
        <w:trPr>
          <w:trHeight w:val="43"/>
        </w:trPr>
        <w:tc>
          <w:tcPr>
            <w:tcW w:w="40" w:type="dxa"/>
            <w:vAlign w:val="bottom"/>
          </w:tcPr>
          <w:p>
            <w:pPr>
              <w:spacing w:after="0"/>
              <w:rPr>
                <w:sz w:val="3"/>
                <w:szCs w:val="3"/>
                <w:color w:val="auto"/>
              </w:rPr>
            </w:pPr>
          </w:p>
        </w:tc>
        <w:tc>
          <w:tcPr>
            <w:tcW w:w="58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0"/>
        </w:trPr>
        <w:tc>
          <w:tcPr>
            <w:tcW w:w="40" w:type="dxa"/>
            <w:vAlign w:val="bottom"/>
            <w:shd w:val="clear" w:color="auto" w:fill="DDDDDD"/>
          </w:tcPr>
          <w:p>
            <w:pPr>
              <w:spacing w:after="0"/>
              <w:rPr>
                <w:sz w:val="20"/>
                <w:szCs w:val="20"/>
                <w:color w:val="auto"/>
              </w:rPr>
            </w:pPr>
          </w:p>
        </w:tc>
        <w:tc>
          <w:tcPr>
            <w:tcW w:w="58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highlight w:val="lightGray"/>
              </w:rPr>
              <w:t>Weighted-average shares used to compute basic and diluted net loss per</w:t>
            </w:r>
          </w:p>
        </w:tc>
        <w:tc>
          <w:tcPr>
            <w:tcW w:w="320" w:type="dxa"/>
            <w:vAlign w:val="bottom"/>
            <w:shd w:val="clear" w:color="auto" w:fill="DDDDDD"/>
          </w:tcPr>
          <w:p>
            <w:pPr>
              <w:spacing w:after="0"/>
              <w:rPr>
                <w:sz w:val="20"/>
                <w:szCs w:val="20"/>
                <w:color w:val="auto"/>
              </w:rPr>
            </w:pPr>
          </w:p>
        </w:tc>
        <w:tc>
          <w:tcPr>
            <w:tcW w:w="98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34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340" w:type="dxa"/>
            <w:vAlign w:val="bottom"/>
            <w:shd w:val="clear" w:color="auto" w:fill="DDDDDD"/>
          </w:tcPr>
          <w:p>
            <w:pPr>
              <w:spacing w:after="0"/>
              <w:rPr>
                <w:sz w:val="20"/>
                <w:szCs w:val="20"/>
                <w:color w:val="auto"/>
              </w:rPr>
            </w:pPr>
          </w:p>
        </w:tc>
        <w:tc>
          <w:tcPr>
            <w:tcW w:w="980" w:type="dxa"/>
            <w:vAlign w:val="bottom"/>
            <w:shd w:val="clear" w:color="auto" w:fill="DDDDDD"/>
          </w:tcPr>
          <w:p>
            <w:pPr>
              <w:spacing w:after="0"/>
              <w:rPr>
                <w:sz w:val="20"/>
                <w:szCs w:val="20"/>
                <w:color w:val="auto"/>
              </w:rPr>
            </w:pPr>
          </w:p>
        </w:tc>
      </w:tr>
      <w:tr>
        <w:trPr>
          <w:trHeight w:val="282"/>
        </w:trPr>
        <w:tc>
          <w:tcPr>
            <w:tcW w:w="40" w:type="dxa"/>
            <w:vAlign w:val="bottom"/>
            <w:shd w:val="clear" w:color="auto" w:fill="DDDDDD"/>
          </w:tcPr>
          <w:p>
            <w:pPr>
              <w:spacing w:after="0"/>
              <w:rPr>
                <w:sz w:val="24"/>
                <w:szCs w:val="24"/>
                <w:color w:val="auto"/>
              </w:rPr>
            </w:pPr>
          </w:p>
        </w:tc>
        <w:tc>
          <w:tcPr>
            <w:tcW w:w="582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share</w:t>
            </w:r>
          </w:p>
        </w:tc>
        <w:tc>
          <w:tcPr>
            <w:tcW w:w="32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24,967</w:t>
            </w:r>
          </w:p>
        </w:tc>
        <w:tc>
          <w:tcPr>
            <w:tcW w:w="6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9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23,118</w:t>
            </w:r>
          </w:p>
        </w:tc>
        <w:tc>
          <w:tcPr>
            <w:tcW w:w="60" w:type="dxa"/>
            <w:vAlign w:val="bottom"/>
            <w:shd w:val="clear" w:color="auto" w:fill="DDDDDD"/>
          </w:tcPr>
          <w:p>
            <w:pPr>
              <w:spacing w:after="0"/>
              <w:rPr>
                <w:sz w:val="24"/>
                <w:szCs w:val="24"/>
                <w:color w:val="auto"/>
              </w:rPr>
            </w:pPr>
          </w:p>
        </w:tc>
        <w:tc>
          <w:tcPr>
            <w:tcW w:w="340" w:type="dxa"/>
            <w:vAlign w:val="bottom"/>
            <w:shd w:val="clear" w:color="auto" w:fill="DDDDDD"/>
          </w:tcPr>
          <w:p>
            <w:pPr>
              <w:spacing w:after="0"/>
              <w:rPr>
                <w:sz w:val="24"/>
                <w:szCs w:val="24"/>
                <w:color w:val="auto"/>
              </w:rPr>
            </w:pPr>
          </w:p>
        </w:tc>
        <w:tc>
          <w:tcPr>
            <w:tcW w:w="9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22,188</w:t>
            </w:r>
          </w:p>
        </w:tc>
      </w:tr>
      <w:tr>
        <w:trPr>
          <w:trHeight w:val="43"/>
        </w:trPr>
        <w:tc>
          <w:tcPr>
            <w:tcW w:w="40" w:type="dxa"/>
            <w:vAlign w:val="bottom"/>
            <w:shd w:val="clear" w:color="auto" w:fill="DDDDDD"/>
          </w:tcPr>
          <w:p>
            <w:pPr>
              <w:spacing w:after="0"/>
              <w:rPr>
                <w:sz w:val="3"/>
                <w:szCs w:val="3"/>
                <w:color w:val="auto"/>
              </w:rPr>
            </w:pPr>
          </w:p>
        </w:tc>
        <w:tc>
          <w:tcPr>
            <w:tcW w:w="5820" w:type="dxa"/>
            <w:vAlign w:val="bottom"/>
            <w:shd w:val="clear" w:color="auto" w:fill="DDDDDD"/>
          </w:tcPr>
          <w:p>
            <w:pPr>
              <w:spacing w:after="0"/>
              <w:rPr>
                <w:sz w:val="3"/>
                <w:szCs w:val="3"/>
                <w:color w:val="auto"/>
              </w:rPr>
            </w:pPr>
          </w:p>
        </w:tc>
        <w:tc>
          <w:tcPr>
            <w:tcW w:w="320" w:type="dxa"/>
            <w:vAlign w:val="bottom"/>
            <w:shd w:val="clear" w:color="auto" w:fill="DDDDDD"/>
          </w:tcPr>
          <w:p>
            <w:pPr>
              <w:spacing w:after="0"/>
              <w:rPr>
                <w:sz w:val="3"/>
                <w:szCs w:val="3"/>
                <w:color w:val="auto"/>
              </w:rPr>
            </w:pPr>
          </w:p>
        </w:tc>
        <w:tc>
          <w:tcPr>
            <w:tcW w:w="980" w:type="dxa"/>
            <w:vAlign w:val="bottom"/>
            <w:shd w:val="clear" w:color="auto" w:fill="DDDDDD"/>
          </w:tcPr>
          <w:p>
            <w:pPr>
              <w:spacing w:after="0"/>
              <w:rPr>
                <w:sz w:val="3"/>
                <w:szCs w:val="3"/>
                <w:color w:val="auto"/>
              </w:rPr>
            </w:pPr>
          </w:p>
        </w:tc>
        <w:tc>
          <w:tcPr>
            <w:tcW w:w="60" w:type="dxa"/>
            <w:vAlign w:val="bottom"/>
            <w:shd w:val="clear" w:color="auto" w:fill="DDDDDD"/>
          </w:tcPr>
          <w:p>
            <w:pPr>
              <w:spacing w:after="0"/>
              <w:rPr>
                <w:sz w:val="3"/>
                <w:szCs w:val="3"/>
                <w:color w:val="auto"/>
              </w:rPr>
            </w:pPr>
          </w:p>
        </w:tc>
        <w:tc>
          <w:tcPr>
            <w:tcW w:w="340" w:type="dxa"/>
            <w:vAlign w:val="bottom"/>
            <w:shd w:val="clear" w:color="auto" w:fill="DDDDDD"/>
          </w:tcPr>
          <w:p>
            <w:pPr>
              <w:spacing w:after="0"/>
              <w:rPr>
                <w:sz w:val="3"/>
                <w:szCs w:val="3"/>
                <w:color w:val="auto"/>
              </w:rPr>
            </w:pPr>
          </w:p>
        </w:tc>
        <w:tc>
          <w:tcPr>
            <w:tcW w:w="960" w:type="dxa"/>
            <w:vAlign w:val="bottom"/>
            <w:shd w:val="clear" w:color="auto" w:fill="DDDDDD"/>
          </w:tcPr>
          <w:p>
            <w:pPr>
              <w:spacing w:after="0"/>
              <w:rPr>
                <w:sz w:val="3"/>
                <w:szCs w:val="3"/>
                <w:color w:val="auto"/>
              </w:rPr>
            </w:pPr>
          </w:p>
        </w:tc>
        <w:tc>
          <w:tcPr>
            <w:tcW w:w="60" w:type="dxa"/>
            <w:vAlign w:val="bottom"/>
            <w:shd w:val="clear" w:color="auto" w:fill="DDDDDD"/>
          </w:tcPr>
          <w:p>
            <w:pPr>
              <w:spacing w:after="0"/>
              <w:rPr>
                <w:sz w:val="3"/>
                <w:szCs w:val="3"/>
                <w:color w:val="auto"/>
              </w:rPr>
            </w:pPr>
          </w:p>
        </w:tc>
        <w:tc>
          <w:tcPr>
            <w:tcW w:w="340" w:type="dxa"/>
            <w:vAlign w:val="bottom"/>
            <w:shd w:val="clear" w:color="auto" w:fill="DDDDDD"/>
          </w:tcPr>
          <w:p>
            <w:pPr>
              <w:spacing w:after="0"/>
              <w:rPr>
                <w:sz w:val="3"/>
                <w:szCs w:val="3"/>
                <w:color w:val="auto"/>
              </w:rPr>
            </w:pPr>
          </w:p>
        </w:tc>
        <w:tc>
          <w:tcPr>
            <w:tcW w:w="980" w:type="dxa"/>
            <w:vAlign w:val="bottom"/>
            <w:shd w:val="clear" w:color="auto" w:fill="DDDDDD"/>
          </w:tcPr>
          <w:p>
            <w:pPr>
              <w:spacing w:after="0"/>
              <w:rPr>
                <w:sz w:val="3"/>
                <w:szCs w:val="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3718560</wp:posOffset>
                </wp:positionH>
                <wp:positionV relativeFrom="paragraph">
                  <wp:posOffset>-2355850</wp:posOffset>
                </wp:positionV>
                <wp:extent cx="828040"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8pt,-185.4999pt" to="358pt,-185.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-2355850</wp:posOffset>
                </wp:positionV>
                <wp:extent cx="829310"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31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85.4999pt" to="426.3pt,-185.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5452110</wp:posOffset>
                </wp:positionH>
                <wp:positionV relativeFrom="paragraph">
                  <wp:posOffset>-2355850</wp:posOffset>
                </wp:positionV>
                <wp:extent cx="82867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3pt,-185.4999pt" to="494.55pt,-185.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3718560</wp:posOffset>
                </wp:positionH>
                <wp:positionV relativeFrom="paragraph">
                  <wp:posOffset>-1530350</wp:posOffset>
                </wp:positionV>
                <wp:extent cx="82804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8pt,-120.4999pt" to="358pt,-120.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-1530350</wp:posOffset>
                </wp:positionV>
                <wp:extent cx="829310"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31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120.4999pt" to="426.3pt,-120.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5452110</wp:posOffset>
                </wp:positionH>
                <wp:positionV relativeFrom="paragraph">
                  <wp:posOffset>-1530350</wp:posOffset>
                </wp:positionV>
                <wp:extent cx="82867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3pt,-120.4999pt" to="494.55pt,-120.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3718560</wp:posOffset>
                </wp:positionH>
                <wp:positionV relativeFrom="paragraph">
                  <wp:posOffset>-1117600</wp:posOffset>
                </wp:positionV>
                <wp:extent cx="82804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8pt,-88pt" to="358pt,-88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4584700</wp:posOffset>
                </wp:positionH>
                <wp:positionV relativeFrom="paragraph">
                  <wp:posOffset>-1117600</wp:posOffset>
                </wp:positionV>
                <wp:extent cx="82931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31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1pt,-88pt" to="426.3pt,-88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5452110</wp:posOffset>
                </wp:positionH>
                <wp:positionV relativeFrom="paragraph">
                  <wp:posOffset>-1117600</wp:posOffset>
                </wp:positionV>
                <wp:extent cx="82867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3pt,-88pt" to="494.55pt,-88pt" o:allowincell="f" strokecolor="#FFFFFF" strokeweight="0.1399pt"/>
            </w:pict>
          </mc:Fallback>
        </mc:AlternateConten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9900"/>
          </w:cols>
          <w:pgMar w:left="1180" w:top="852" w:right="1160" w:bottom="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0"/>
          <w:szCs w:val="20"/>
          <w:b w:val="1"/>
          <w:bCs w:val="1"/>
          <w:color w:val="auto"/>
        </w:rPr>
        <w:t>SiTime Corporation</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r>
        <w:rPr>
          <w:rFonts w:ascii="Times New Roman" w:cs="Times New Roman" w:eastAsia="Times New Roman" w:hAnsi="Times New Roman"/>
          <w:sz w:val="20"/>
          <w:szCs w:val="20"/>
          <w:color w:val="auto"/>
        </w:rPr>
        <w:t>)</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6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6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86"/>
        </w:trPr>
        <w:tc>
          <w:tcPr>
            <w:tcW w:w="60" w:type="dxa"/>
            <w:vAlign w:val="bottom"/>
          </w:tcPr>
          <w:p>
            <w:pPr>
              <w:spacing w:after="0"/>
              <w:rPr>
                <w:sz w:val="7"/>
                <w:szCs w:val="7"/>
                <w:color w:val="auto"/>
              </w:rPr>
            </w:pPr>
          </w:p>
        </w:tc>
        <w:tc>
          <w:tcPr>
            <w:tcW w:w="6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vMerge w:val="restart"/>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restart"/>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87"/>
        </w:trPr>
        <w:tc>
          <w:tcPr>
            <w:tcW w:w="60" w:type="dxa"/>
            <w:vAlign w:val="bottom"/>
          </w:tcPr>
          <w:p>
            <w:pPr>
              <w:spacing w:after="0"/>
              <w:rPr>
                <w:sz w:val="7"/>
                <w:szCs w:val="7"/>
                <w:color w:val="auto"/>
              </w:rPr>
            </w:pPr>
          </w:p>
        </w:tc>
        <w:tc>
          <w:tcPr>
            <w:tcW w:w="6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66"/>
        </w:trPr>
        <w:tc>
          <w:tcPr>
            <w:tcW w:w="60" w:type="dxa"/>
            <w:vAlign w:val="bottom"/>
          </w:tcPr>
          <w:p>
            <w:pPr>
              <w:spacing w:after="0"/>
              <w:rPr>
                <w:sz w:val="5"/>
                <w:szCs w:val="5"/>
                <w:color w:val="auto"/>
              </w:rPr>
            </w:pPr>
          </w:p>
        </w:tc>
        <w:tc>
          <w:tcPr>
            <w:tcW w:w="6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 w:type="dxa"/>
            <w:vAlign w:val="bottom"/>
            <w:shd w:val="clear" w:color="auto" w:fill="DDDDDD"/>
          </w:tcPr>
          <w:p>
            <w:pPr>
              <w:spacing w:after="0"/>
              <w:rPr>
                <w:sz w:val="20"/>
                <w:szCs w:val="20"/>
                <w:color w:val="auto"/>
              </w:rPr>
            </w:pPr>
          </w:p>
        </w:tc>
        <w:tc>
          <w:tcPr>
            <w:tcW w:w="66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2022</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21,702</w:t>
            </w:r>
          </w:p>
        </w:tc>
        <w:tc>
          <w:tcPr>
            <w:tcW w:w="1060" w:type="dxa"/>
            <w:vAlign w:val="bottom"/>
            <w:gridSpan w:val="3"/>
            <w:shd w:val="clear" w:color="auto" w:fill="DDDDDD"/>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716,343</w:t>
            </w:r>
          </w:p>
        </w:tc>
        <w:tc>
          <w:tcPr>
            <w:tcW w:w="20" w:type="dxa"/>
            <w:vAlign w:val="bottom"/>
            <w:vMerge w:val="continue"/>
          </w:tcPr>
          <w:p>
            <w:pPr>
              <w:spacing w:after="0"/>
              <w:rPr>
                <w:sz w:val="20"/>
                <w:szCs w:val="20"/>
                <w:color w:val="auto"/>
              </w:rPr>
            </w:pPr>
          </w:p>
        </w:tc>
        <w:tc>
          <w:tcPr>
            <w:tcW w:w="240" w:type="dxa"/>
            <w:vAlign w:val="bottom"/>
            <w:tcBorders>
              <w:left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(7,865)</w:t>
            </w:r>
          </w:p>
        </w:tc>
        <w:tc>
          <w:tcPr>
            <w:tcW w:w="240" w:type="dxa"/>
            <w:vAlign w:val="bottom"/>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708,480</w:t>
            </w:r>
          </w:p>
        </w:tc>
        <w:tc>
          <w:tcPr>
            <w:tcW w:w="0" w:type="dxa"/>
            <w:vAlign w:val="bottom"/>
          </w:tcPr>
          <w:p>
            <w:pPr>
              <w:spacing w:after="0"/>
              <w:rPr>
                <w:sz w:val="1"/>
                <w:szCs w:val="1"/>
                <w:color w:val="auto"/>
              </w:rPr>
            </w:pPr>
          </w:p>
        </w:tc>
      </w:tr>
      <w:tr>
        <w:trPr>
          <w:trHeight w:val="63"/>
        </w:trPr>
        <w:tc>
          <w:tcPr>
            <w:tcW w:w="60" w:type="dxa"/>
            <w:vAlign w:val="bottom"/>
            <w:shd w:val="clear" w:color="auto" w:fill="DDDDDD"/>
          </w:tcPr>
          <w:p>
            <w:pPr>
              <w:spacing w:after="0"/>
              <w:rPr>
                <w:sz w:val="5"/>
                <w:szCs w:val="5"/>
                <w:color w:val="auto"/>
              </w:rPr>
            </w:pPr>
          </w:p>
        </w:tc>
        <w:tc>
          <w:tcPr>
            <w:tcW w:w="6620" w:type="dxa"/>
            <w:vAlign w:val="bottom"/>
            <w:shd w:val="clear" w:color="auto" w:fill="DDDDDD"/>
          </w:tcPr>
          <w:p>
            <w:pPr>
              <w:spacing w:after="0"/>
              <w:rPr>
                <w:sz w:val="5"/>
                <w:szCs w:val="5"/>
                <w:color w:val="auto"/>
              </w:rPr>
            </w:pPr>
          </w:p>
        </w:tc>
        <w:tc>
          <w:tcPr>
            <w:tcW w:w="20" w:type="dxa"/>
            <w:vAlign w:val="bottom"/>
            <w:shd w:val="clear" w:color="auto" w:fill="DDDDDD"/>
          </w:tcPr>
          <w:p>
            <w:pPr>
              <w:spacing w:after="0"/>
              <w:rPr>
                <w:sz w:val="5"/>
                <w:szCs w:val="5"/>
                <w:color w:val="auto"/>
              </w:rPr>
            </w:pPr>
          </w:p>
        </w:tc>
        <w:tc>
          <w:tcPr>
            <w:tcW w:w="1300" w:type="dxa"/>
            <w:vAlign w:val="bottom"/>
            <w:shd w:val="clear" w:color="auto" w:fill="DDDDDD"/>
          </w:tcPr>
          <w:p>
            <w:pPr>
              <w:spacing w:after="0"/>
              <w:rPr>
                <w:sz w:val="5"/>
                <w:szCs w:val="5"/>
                <w:color w:val="auto"/>
              </w:rPr>
            </w:pPr>
          </w:p>
        </w:tc>
        <w:tc>
          <w:tcPr>
            <w:tcW w:w="60" w:type="dxa"/>
            <w:vAlign w:val="bottom"/>
            <w:shd w:val="clear" w:color="auto" w:fill="DDDDDD"/>
          </w:tcPr>
          <w:p>
            <w:pPr>
              <w:spacing w:after="0"/>
              <w:rPr>
                <w:sz w:val="5"/>
                <w:szCs w:val="5"/>
                <w:color w:val="auto"/>
              </w:rPr>
            </w:pPr>
          </w:p>
        </w:tc>
        <w:tc>
          <w:tcPr>
            <w:tcW w:w="20" w:type="dxa"/>
            <w:vAlign w:val="bottom"/>
            <w:shd w:val="clear" w:color="auto" w:fill="DDDDDD"/>
          </w:tcPr>
          <w:p>
            <w:pPr>
              <w:spacing w:after="0"/>
              <w:rPr>
                <w:sz w:val="5"/>
                <w:szCs w:val="5"/>
                <w:color w:val="auto"/>
              </w:rPr>
            </w:pPr>
          </w:p>
        </w:tc>
        <w:tc>
          <w:tcPr>
            <w:tcW w:w="980" w:type="dxa"/>
            <w:vAlign w:val="bottom"/>
            <w:shd w:val="clear" w:color="auto" w:fill="DDDDDD"/>
          </w:tcPr>
          <w:p>
            <w:pPr>
              <w:spacing w:after="0"/>
              <w:rPr>
                <w:sz w:val="5"/>
                <w:szCs w:val="5"/>
                <w:color w:val="auto"/>
              </w:rPr>
            </w:pPr>
          </w:p>
        </w:tc>
        <w:tc>
          <w:tcPr>
            <w:tcW w:w="320" w:type="dxa"/>
            <w:vAlign w:val="bottom"/>
            <w:shd w:val="clear" w:color="auto" w:fill="DDDDDD"/>
          </w:tcPr>
          <w:p>
            <w:pPr>
              <w:spacing w:after="0"/>
              <w:rPr>
                <w:sz w:val="5"/>
                <w:szCs w:val="5"/>
                <w:color w:val="auto"/>
              </w:rPr>
            </w:pPr>
          </w:p>
        </w:tc>
        <w:tc>
          <w:tcPr>
            <w:tcW w:w="60" w:type="dxa"/>
            <w:vAlign w:val="bottom"/>
            <w:shd w:val="clear" w:color="auto" w:fill="DDDDDD"/>
          </w:tcPr>
          <w:p>
            <w:pPr>
              <w:spacing w:after="0"/>
              <w:rPr>
                <w:sz w:val="5"/>
                <w:szCs w:val="5"/>
                <w:color w:val="auto"/>
              </w:rPr>
            </w:pPr>
          </w:p>
        </w:tc>
        <w:tc>
          <w:tcPr>
            <w:tcW w:w="20" w:type="dxa"/>
            <w:vAlign w:val="bottom"/>
            <w:shd w:val="clear" w:color="auto" w:fill="DDDDDD"/>
          </w:tcPr>
          <w:p>
            <w:pPr>
              <w:spacing w:after="0"/>
              <w:rPr>
                <w:sz w:val="5"/>
                <w:szCs w:val="5"/>
                <w:color w:val="auto"/>
              </w:rPr>
            </w:pPr>
          </w:p>
        </w:tc>
        <w:tc>
          <w:tcPr>
            <w:tcW w:w="200" w:type="dxa"/>
            <w:vAlign w:val="bottom"/>
            <w:shd w:val="clear" w:color="auto" w:fill="DDDDDD"/>
          </w:tcPr>
          <w:p>
            <w:pPr>
              <w:spacing w:after="0"/>
              <w:rPr>
                <w:sz w:val="5"/>
                <w:szCs w:val="5"/>
                <w:color w:val="auto"/>
              </w:rPr>
            </w:pPr>
          </w:p>
        </w:tc>
        <w:tc>
          <w:tcPr>
            <w:tcW w:w="1100" w:type="dxa"/>
            <w:vAlign w:val="bottom"/>
            <w:shd w:val="clear" w:color="auto" w:fill="DDDDDD"/>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left w:val="single" w:sz="8" w:color="DDDDDD"/>
            </w:tcBorders>
            <w:shd w:val="clear" w:color="auto" w:fill="DDDDDD"/>
          </w:tcPr>
          <w:p>
            <w:pPr>
              <w:spacing w:after="0"/>
              <w:rPr>
                <w:sz w:val="5"/>
                <w:szCs w:val="5"/>
                <w:color w:val="auto"/>
              </w:rPr>
            </w:pPr>
          </w:p>
        </w:tc>
        <w:tc>
          <w:tcPr>
            <w:tcW w:w="1120" w:type="dxa"/>
            <w:vAlign w:val="bottom"/>
            <w:shd w:val="clear" w:color="auto" w:fill="DDDDDD"/>
          </w:tcPr>
          <w:p>
            <w:pPr>
              <w:spacing w:after="0"/>
              <w:rPr>
                <w:sz w:val="5"/>
                <w:szCs w:val="5"/>
                <w:color w:val="auto"/>
              </w:rPr>
            </w:pPr>
          </w:p>
        </w:tc>
        <w:tc>
          <w:tcPr>
            <w:tcW w:w="60" w:type="dxa"/>
            <w:vAlign w:val="bottom"/>
            <w:shd w:val="clear" w:color="auto" w:fill="DDDDDD"/>
          </w:tcPr>
          <w:p>
            <w:pPr>
              <w:spacing w:after="0"/>
              <w:rPr>
                <w:sz w:val="5"/>
                <w:szCs w:val="5"/>
                <w:color w:val="auto"/>
              </w:rPr>
            </w:pPr>
          </w:p>
        </w:tc>
        <w:tc>
          <w:tcPr>
            <w:tcW w:w="20" w:type="dxa"/>
            <w:vAlign w:val="bottom"/>
            <w:shd w:val="clear" w:color="auto" w:fill="DDDDDD"/>
          </w:tcPr>
          <w:p>
            <w:pPr>
              <w:spacing w:after="0"/>
              <w:rPr>
                <w:sz w:val="5"/>
                <w:szCs w:val="5"/>
                <w:color w:val="auto"/>
              </w:rPr>
            </w:pPr>
          </w:p>
        </w:tc>
        <w:tc>
          <w:tcPr>
            <w:tcW w:w="160" w:type="dxa"/>
            <w:vAlign w:val="bottom"/>
            <w:shd w:val="clear" w:color="auto" w:fill="DDDDDD"/>
          </w:tcPr>
          <w:p>
            <w:pPr>
              <w:spacing w:after="0"/>
              <w:rPr>
                <w:sz w:val="5"/>
                <w:szCs w:val="5"/>
                <w:color w:val="auto"/>
              </w:rPr>
            </w:pPr>
          </w:p>
        </w:tc>
        <w:tc>
          <w:tcPr>
            <w:tcW w:w="1140" w:type="dxa"/>
            <w:vAlign w:val="bottom"/>
            <w:shd w:val="clear" w:color="auto" w:fill="DDDDDD"/>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76,638</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6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DDDDDD"/>
            </w:tcBorders>
            <w:shd w:val="clear" w:color="auto" w:fill="DDDDDD"/>
          </w:tcPr>
          <w:p>
            <w:pPr>
              <w:spacing w:after="0"/>
              <w:rPr>
                <w:sz w:val="24"/>
                <w:szCs w:val="24"/>
                <w:color w:val="auto"/>
              </w:rPr>
            </w:pPr>
          </w:p>
        </w:tc>
        <w:tc>
          <w:tcPr>
            <w:tcW w:w="664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DDDDDD"/>
            </w:tcBorders>
            <w:shd w:val="clear" w:color="auto" w:fill="DDDDDD"/>
          </w:tcPr>
          <w:p>
            <w:pPr>
              <w:spacing w:after="0"/>
              <w:rPr>
                <w:sz w:val="24"/>
                <w:szCs w:val="24"/>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40" w:type="dxa"/>
            <w:vAlign w:val="bottom"/>
            <w:tcBorders>
              <w:left w:val="single" w:sz="8" w:color="DDDDDD"/>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(80,535)</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(80,535)</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 At-The-Market offering net of underwriting</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44,815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44,815</w:t>
            </w: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discounts and commissions and other offering costs</w:t>
            </w:r>
          </w:p>
        </w:tc>
        <w:tc>
          <w:tcPr>
            <w:tcW w:w="13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9"/>
        </w:trPr>
        <w:tc>
          <w:tcPr>
            <w:tcW w:w="60" w:type="dxa"/>
            <w:vAlign w:val="bottom"/>
          </w:tcPr>
          <w:p>
            <w:pPr>
              <w:spacing w:after="0"/>
              <w:rPr>
                <w:sz w:val="5"/>
                <w:szCs w:val="5"/>
                <w:color w:val="auto"/>
              </w:rPr>
            </w:pPr>
          </w:p>
        </w:tc>
        <w:tc>
          <w:tcPr>
            <w:tcW w:w="6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60" w:type="dxa"/>
            <w:vAlign w:val="bottom"/>
            <w:shd w:val="clear" w:color="auto" w:fill="DDDDDD"/>
          </w:tcPr>
          <w:p>
            <w:pPr>
              <w:spacing w:after="0"/>
              <w:rPr>
                <w:sz w:val="20"/>
                <w:szCs w:val="20"/>
                <w:color w:val="auto"/>
              </w:rPr>
            </w:pPr>
          </w:p>
        </w:tc>
        <w:tc>
          <w:tcPr>
            <w:tcW w:w="66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Issuance of shares upon vesting of restricted stock units, net of tax withholdings</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980" w:type="dxa"/>
            <w:vAlign w:val="bottom"/>
            <w:shd w:val="clear" w:color="auto" w:fill="DDDDDD"/>
          </w:tcPr>
          <w:p>
            <w:pPr>
              <w:spacing w:after="0"/>
              <w:rPr>
                <w:sz w:val="20"/>
                <w:szCs w:val="20"/>
                <w:color w:val="auto"/>
              </w:rPr>
            </w:pPr>
          </w:p>
        </w:tc>
        <w:tc>
          <w:tcPr>
            <w:tcW w:w="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(41,346)</w:t>
            </w:r>
          </w:p>
        </w:tc>
        <w:tc>
          <w:tcPr>
            <w:tcW w:w="20" w:type="dxa"/>
            <w:vAlign w:val="bottom"/>
          </w:tcPr>
          <w:p>
            <w:pPr>
              <w:spacing w:after="0"/>
              <w:rPr>
                <w:sz w:val="20"/>
                <w:szCs w:val="20"/>
                <w:color w:val="auto"/>
              </w:rPr>
            </w:pPr>
          </w:p>
        </w:tc>
        <w:tc>
          <w:tcPr>
            <w:tcW w:w="240" w:type="dxa"/>
            <w:vAlign w:val="bottom"/>
            <w:tcBorders>
              <w:left w:val="single" w:sz="8" w:color="DDDDDD"/>
            </w:tcBorders>
            <w:shd w:val="clear" w:color="auto" w:fill="DDDDDD"/>
          </w:tcPr>
          <w:p>
            <w:pPr>
              <w:spacing w:after="0"/>
              <w:rPr>
                <w:sz w:val="20"/>
                <w:szCs w:val="20"/>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(41,346)</w:t>
            </w:r>
          </w:p>
        </w:tc>
        <w:tc>
          <w:tcPr>
            <w:tcW w:w="0" w:type="dxa"/>
            <w:vAlign w:val="bottom"/>
          </w:tcPr>
          <w:p>
            <w:pPr>
              <w:spacing w:after="0"/>
              <w:rPr>
                <w:sz w:val="1"/>
                <w:szCs w:val="1"/>
                <w:color w:val="auto"/>
              </w:rPr>
            </w:pPr>
          </w:p>
        </w:tc>
      </w:tr>
      <w:tr>
        <w:trPr>
          <w:trHeight w:val="61"/>
        </w:trPr>
        <w:tc>
          <w:tcPr>
            <w:tcW w:w="60" w:type="dxa"/>
            <w:vAlign w:val="bottom"/>
            <w:shd w:val="clear" w:color="auto" w:fill="DDDDDD"/>
          </w:tcPr>
          <w:p>
            <w:pPr>
              <w:spacing w:after="0"/>
              <w:rPr>
                <w:sz w:val="5"/>
                <w:szCs w:val="5"/>
                <w:color w:val="auto"/>
              </w:rPr>
            </w:pPr>
          </w:p>
        </w:tc>
        <w:tc>
          <w:tcPr>
            <w:tcW w:w="6620" w:type="dxa"/>
            <w:vAlign w:val="bottom"/>
            <w:shd w:val="clear" w:color="auto" w:fill="DDDDDD"/>
          </w:tcPr>
          <w:p>
            <w:pPr>
              <w:spacing w:after="0"/>
              <w:rPr>
                <w:sz w:val="5"/>
                <w:szCs w:val="5"/>
                <w:color w:val="auto"/>
              </w:rPr>
            </w:pPr>
          </w:p>
        </w:tc>
        <w:tc>
          <w:tcPr>
            <w:tcW w:w="20" w:type="dxa"/>
            <w:vAlign w:val="bottom"/>
            <w:shd w:val="clear" w:color="auto" w:fill="DDDDDD"/>
          </w:tcPr>
          <w:p>
            <w:pPr>
              <w:spacing w:after="0"/>
              <w:rPr>
                <w:sz w:val="5"/>
                <w:szCs w:val="5"/>
                <w:color w:val="auto"/>
              </w:rPr>
            </w:pPr>
          </w:p>
        </w:tc>
        <w:tc>
          <w:tcPr>
            <w:tcW w:w="1300" w:type="dxa"/>
            <w:vAlign w:val="bottom"/>
            <w:tcBorders>
              <w:bottom w:val="single" w:sz="8" w:color="auto"/>
            </w:tcBorders>
            <w:shd w:val="clear" w:color="auto" w:fill="DDDDDD"/>
          </w:tcPr>
          <w:p>
            <w:pPr>
              <w:spacing w:after="0"/>
              <w:rPr>
                <w:sz w:val="5"/>
                <w:szCs w:val="5"/>
                <w:color w:val="auto"/>
              </w:rPr>
            </w:pPr>
          </w:p>
        </w:tc>
        <w:tc>
          <w:tcPr>
            <w:tcW w:w="60" w:type="dxa"/>
            <w:vAlign w:val="bottom"/>
            <w:shd w:val="clear" w:color="auto" w:fill="DDDDDD"/>
          </w:tcPr>
          <w:p>
            <w:pPr>
              <w:spacing w:after="0"/>
              <w:rPr>
                <w:sz w:val="5"/>
                <w:szCs w:val="5"/>
                <w:color w:val="auto"/>
              </w:rPr>
            </w:pPr>
          </w:p>
        </w:tc>
        <w:tc>
          <w:tcPr>
            <w:tcW w:w="20" w:type="dxa"/>
            <w:vAlign w:val="bottom"/>
            <w:shd w:val="clear" w:color="auto" w:fill="DDDDDD"/>
          </w:tcPr>
          <w:p>
            <w:pPr>
              <w:spacing w:after="0"/>
              <w:rPr>
                <w:sz w:val="5"/>
                <w:szCs w:val="5"/>
                <w:color w:val="auto"/>
              </w:rPr>
            </w:pPr>
          </w:p>
        </w:tc>
        <w:tc>
          <w:tcPr>
            <w:tcW w:w="980" w:type="dxa"/>
            <w:vAlign w:val="bottom"/>
            <w:tcBorders>
              <w:bottom w:val="single" w:sz="8" w:color="auto"/>
            </w:tcBorders>
            <w:shd w:val="clear" w:color="auto" w:fill="DDDDDD"/>
          </w:tcPr>
          <w:p>
            <w:pPr>
              <w:spacing w:after="0"/>
              <w:rPr>
                <w:sz w:val="5"/>
                <w:szCs w:val="5"/>
                <w:color w:val="auto"/>
              </w:rPr>
            </w:pPr>
          </w:p>
        </w:tc>
        <w:tc>
          <w:tcPr>
            <w:tcW w:w="320" w:type="dxa"/>
            <w:vAlign w:val="bottom"/>
            <w:tcBorders>
              <w:bottom w:val="single" w:sz="8" w:color="auto"/>
            </w:tcBorders>
            <w:shd w:val="clear" w:color="auto" w:fill="DDDDDD"/>
          </w:tcPr>
          <w:p>
            <w:pPr>
              <w:spacing w:after="0"/>
              <w:rPr>
                <w:sz w:val="5"/>
                <w:szCs w:val="5"/>
                <w:color w:val="auto"/>
              </w:rPr>
            </w:pPr>
          </w:p>
        </w:tc>
        <w:tc>
          <w:tcPr>
            <w:tcW w:w="60" w:type="dxa"/>
            <w:vAlign w:val="bottom"/>
            <w:shd w:val="clear" w:color="auto" w:fill="DDDDDD"/>
          </w:tcPr>
          <w:p>
            <w:pPr>
              <w:spacing w:after="0"/>
              <w:rPr>
                <w:sz w:val="5"/>
                <w:szCs w:val="5"/>
                <w:color w:val="auto"/>
              </w:rPr>
            </w:pPr>
          </w:p>
        </w:tc>
        <w:tc>
          <w:tcPr>
            <w:tcW w:w="20" w:type="dxa"/>
            <w:vAlign w:val="bottom"/>
            <w:shd w:val="clear" w:color="auto" w:fill="DDDDDD"/>
          </w:tcPr>
          <w:p>
            <w:pPr>
              <w:spacing w:after="0"/>
              <w:rPr>
                <w:sz w:val="5"/>
                <w:szCs w:val="5"/>
                <w:color w:val="auto"/>
              </w:rPr>
            </w:pPr>
          </w:p>
        </w:tc>
        <w:tc>
          <w:tcPr>
            <w:tcW w:w="200" w:type="dxa"/>
            <w:vAlign w:val="bottom"/>
            <w:tcBorders>
              <w:bottom w:val="single" w:sz="8" w:color="auto"/>
            </w:tcBorders>
            <w:shd w:val="clear" w:color="auto" w:fill="DDDDDD"/>
          </w:tcPr>
          <w:p>
            <w:pPr>
              <w:spacing w:after="0"/>
              <w:rPr>
                <w:sz w:val="5"/>
                <w:szCs w:val="5"/>
                <w:color w:val="auto"/>
              </w:rPr>
            </w:pPr>
          </w:p>
        </w:tc>
        <w:tc>
          <w:tcPr>
            <w:tcW w:w="1100" w:type="dxa"/>
            <w:vAlign w:val="bottom"/>
            <w:tcBorders>
              <w:bottom w:val="single" w:sz="8" w:color="auto"/>
            </w:tcBorders>
            <w:shd w:val="clear" w:color="auto" w:fill="DDDDDD"/>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left w:val="single" w:sz="8" w:color="DDDDDD"/>
              <w:bottom w:val="single" w:sz="8" w:color="auto"/>
            </w:tcBorders>
            <w:shd w:val="clear" w:color="auto" w:fill="DDDDDD"/>
          </w:tcPr>
          <w:p>
            <w:pPr>
              <w:spacing w:after="0"/>
              <w:rPr>
                <w:sz w:val="5"/>
                <w:szCs w:val="5"/>
                <w:color w:val="auto"/>
              </w:rPr>
            </w:pPr>
          </w:p>
        </w:tc>
        <w:tc>
          <w:tcPr>
            <w:tcW w:w="1120" w:type="dxa"/>
            <w:vAlign w:val="bottom"/>
            <w:tcBorders>
              <w:bottom w:val="single" w:sz="8" w:color="auto"/>
            </w:tcBorders>
            <w:shd w:val="clear" w:color="auto" w:fill="DDDDDD"/>
          </w:tcPr>
          <w:p>
            <w:pPr>
              <w:spacing w:after="0"/>
              <w:rPr>
                <w:sz w:val="5"/>
                <w:szCs w:val="5"/>
                <w:color w:val="auto"/>
              </w:rPr>
            </w:pPr>
          </w:p>
        </w:tc>
        <w:tc>
          <w:tcPr>
            <w:tcW w:w="60" w:type="dxa"/>
            <w:vAlign w:val="bottom"/>
            <w:shd w:val="clear" w:color="auto" w:fill="DDDDDD"/>
          </w:tcPr>
          <w:p>
            <w:pPr>
              <w:spacing w:after="0"/>
              <w:rPr>
                <w:sz w:val="5"/>
                <w:szCs w:val="5"/>
                <w:color w:val="auto"/>
              </w:rPr>
            </w:pPr>
          </w:p>
        </w:tc>
        <w:tc>
          <w:tcPr>
            <w:tcW w:w="20" w:type="dxa"/>
            <w:vAlign w:val="bottom"/>
            <w:shd w:val="clear" w:color="auto" w:fill="DDDDDD"/>
          </w:tcPr>
          <w:p>
            <w:pPr>
              <w:spacing w:after="0"/>
              <w:rPr>
                <w:sz w:val="5"/>
                <w:szCs w:val="5"/>
                <w:color w:val="auto"/>
              </w:rPr>
            </w:pPr>
          </w:p>
        </w:tc>
        <w:tc>
          <w:tcPr>
            <w:tcW w:w="160" w:type="dxa"/>
            <w:vAlign w:val="bottom"/>
            <w:tcBorders>
              <w:bottom w:val="single" w:sz="8" w:color="auto"/>
            </w:tcBorders>
            <w:shd w:val="clear" w:color="auto" w:fill="DDDDDD"/>
          </w:tcPr>
          <w:p>
            <w:pPr>
              <w:spacing w:after="0"/>
              <w:rPr>
                <w:sz w:val="5"/>
                <w:szCs w:val="5"/>
                <w:color w:val="auto"/>
              </w:rPr>
            </w:pPr>
          </w:p>
        </w:tc>
        <w:tc>
          <w:tcPr>
            <w:tcW w:w="1140" w:type="dxa"/>
            <w:vAlign w:val="bottom"/>
            <w:tcBorders>
              <w:bottom w:val="single" w:sz="8" w:color="auto"/>
            </w:tcBorders>
            <w:shd w:val="clear" w:color="auto" w:fill="DDDDDD"/>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796,450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708,052</w:t>
            </w: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6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60" w:type="dxa"/>
            <w:vAlign w:val="bottom"/>
            <w:shd w:val="clear" w:color="auto" w:fill="DDDDDD"/>
          </w:tcPr>
          <w:p>
            <w:pPr>
              <w:spacing w:after="0"/>
              <w:rPr>
                <w:sz w:val="20"/>
                <w:szCs w:val="20"/>
                <w:color w:val="auto"/>
              </w:rPr>
            </w:pPr>
          </w:p>
        </w:tc>
        <w:tc>
          <w:tcPr>
            <w:tcW w:w="66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980" w:type="dxa"/>
            <w:vAlign w:val="bottom"/>
            <w:shd w:val="clear" w:color="auto" w:fill="DDDDDD"/>
          </w:tcPr>
          <w:p>
            <w:pPr>
              <w:spacing w:after="0"/>
              <w:rPr>
                <w:sz w:val="20"/>
                <w:szCs w:val="20"/>
                <w:color w:val="auto"/>
              </w:rPr>
            </w:pPr>
          </w:p>
        </w:tc>
        <w:tc>
          <w:tcPr>
            <w:tcW w:w="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89,122</w:t>
            </w:r>
          </w:p>
        </w:tc>
        <w:tc>
          <w:tcPr>
            <w:tcW w:w="20" w:type="dxa"/>
            <w:vAlign w:val="bottom"/>
          </w:tcPr>
          <w:p>
            <w:pPr>
              <w:spacing w:after="0"/>
              <w:rPr>
                <w:sz w:val="20"/>
                <w:szCs w:val="20"/>
                <w:color w:val="auto"/>
              </w:rPr>
            </w:pPr>
          </w:p>
        </w:tc>
        <w:tc>
          <w:tcPr>
            <w:tcW w:w="240" w:type="dxa"/>
            <w:vAlign w:val="bottom"/>
            <w:tcBorders>
              <w:left w:val="single" w:sz="8" w:color="DDDDDD"/>
            </w:tcBorders>
            <w:shd w:val="clear" w:color="auto" w:fill="DDDDDD"/>
          </w:tcPr>
          <w:p>
            <w:pPr>
              <w:spacing w:after="0"/>
              <w:rPr>
                <w:sz w:val="20"/>
                <w:szCs w:val="20"/>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89,122</w:t>
            </w:r>
          </w:p>
        </w:tc>
        <w:tc>
          <w:tcPr>
            <w:tcW w:w="0" w:type="dxa"/>
            <w:vAlign w:val="bottom"/>
          </w:tcPr>
          <w:p>
            <w:pPr>
              <w:spacing w:after="0"/>
              <w:rPr>
                <w:sz w:val="1"/>
                <w:szCs w:val="1"/>
                <w:color w:val="auto"/>
              </w:rPr>
            </w:pPr>
          </w:p>
        </w:tc>
      </w:tr>
      <w:tr>
        <w:trPr>
          <w:trHeight w:val="61"/>
        </w:trPr>
        <w:tc>
          <w:tcPr>
            <w:tcW w:w="60" w:type="dxa"/>
            <w:vAlign w:val="bottom"/>
            <w:shd w:val="clear" w:color="auto" w:fill="DDDDDD"/>
          </w:tcPr>
          <w:p>
            <w:pPr>
              <w:spacing w:after="0"/>
              <w:rPr>
                <w:sz w:val="5"/>
                <w:szCs w:val="5"/>
                <w:color w:val="auto"/>
              </w:rPr>
            </w:pPr>
          </w:p>
        </w:tc>
        <w:tc>
          <w:tcPr>
            <w:tcW w:w="6620" w:type="dxa"/>
            <w:vAlign w:val="bottom"/>
            <w:shd w:val="clear" w:color="auto" w:fill="DDDDDD"/>
          </w:tcPr>
          <w:p>
            <w:pPr>
              <w:spacing w:after="0"/>
              <w:rPr>
                <w:sz w:val="5"/>
                <w:szCs w:val="5"/>
                <w:color w:val="auto"/>
              </w:rPr>
            </w:pPr>
          </w:p>
        </w:tc>
        <w:tc>
          <w:tcPr>
            <w:tcW w:w="20" w:type="dxa"/>
            <w:vAlign w:val="bottom"/>
            <w:shd w:val="clear" w:color="auto" w:fill="DDDDDD"/>
          </w:tcPr>
          <w:p>
            <w:pPr>
              <w:spacing w:after="0"/>
              <w:rPr>
                <w:sz w:val="5"/>
                <w:szCs w:val="5"/>
                <w:color w:val="auto"/>
              </w:rPr>
            </w:pPr>
          </w:p>
        </w:tc>
        <w:tc>
          <w:tcPr>
            <w:tcW w:w="1300" w:type="dxa"/>
            <w:vAlign w:val="bottom"/>
            <w:shd w:val="clear" w:color="auto" w:fill="DDDDDD"/>
          </w:tcPr>
          <w:p>
            <w:pPr>
              <w:spacing w:after="0"/>
              <w:rPr>
                <w:sz w:val="5"/>
                <w:szCs w:val="5"/>
                <w:color w:val="auto"/>
              </w:rPr>
            </w:pPr>
          </w:p>
        </w:tc>
        <w:tc>
          <w:tcPr>
            <w:tcW w:w="60" w:type="dxa"/>
            <w:vAlign w:val="bottom"/>
            <w:shd w:val="clear" w:color="auto" w:fill="DDDDDD"/>
          </w:tcPr>
          <w:p>
            <w:pPr>
              <w:spacing w:after="0"/>
              <w:rPr>
                <w:sz w:val="5"/>
                <w:szCs w:val="5"/>
                <w:color w:val="auto"/>
              </w:rPr>
            </w:pPr>
          </w:p>
        </w:tc>
        <w:tc>
          <w:tcPr>
            <w:tcW w:w="20" w:type="dxa"/>
            <w:vAlign w:val="bottom"/>
            <w:shd w:val="clear" w:color="auto" w:fill="DDDDDD"/>
          </w:tcPr>
          <w:p>
            <w:pPr>
              <w:spacing w:after="0"/>
              <w:rPr>
                <w:sz w:val="5"/>
                <w:szCs w:val="5"/>
                <w:color w:val="auto"/>
              </w:rPr>
            </w:pPr>
          </w:p>
        </w:tc>
        <w:tc>
          <w:tcPr>
            <w:tcW w:w="980" w:type="dxa"/>
            <w:vAlign w:val="bottom"/>
            <w:shd w:val="clear" w:color="auto" w:fill="DDDDDD"/>
          </w:tcPr>
          <w:p>
            <w:pPr>
              <w:spacing w:after="0"/>
              <w:rPr>
                <w:sz w:val="5"/>
                <w:szCs w:val="5"/>
                <w:color w:val="auto"/>
              </w:rPr>
            </w:pPr>
          </w:p>
        </w:tc>
        <w:tc>
          <w:tcPr>
            <w:tcW w:w="320" w:type="dxa"/>
            <w:vAlign w:val="bottom"/>
            <w:shd w:val="clear" w:color="auto" w:fill="DDDDDD"/>
          </w:tcPr>
          <w:p>
            <w:pPr>
              <w:spacing w:after="0"/>
              <w:rPr>
                <w:sz w:val="5"/>
                <w:szCs w:val="5"/>
                <w:color w:val="auto"/>
              </w:rPr>
            </w:pPr>
          </w:p>
        </w:tc>
        <w:tc>
          <w:tcPr>
            <w:tcW w:w="60" w:type="dxa"/>
            <w:vAlign w:val="bottom"/>
            <w:shd w:val="clear" w:color="auto" w:fill="DDDDDD"/>
          </w:tcPr>
          <w:p>
            <w:pPr>
              <w:spacing w:after="0"/>
              <w:rPr>
                <w:sz w:val="5"/>
                <w:szCs w:val="5"/>
                <w:color w:val="auto"/>
              </w:rPr>
            </w:pPr>
          </w:p>
        </w:tc>
        <w:tc>
          <w:tcPr>
            <w:tcW w:w="20" w:type="dxa"/>
            <w:vAlign w:val="bottom"/>
            <w:shd w:val="clear" w:color="auto" w:fill="DDDDDD"/>
          </w:tcPr>
          <w:p>
            <w:pPr>
              <w:spacing w:after="0"/>
              <w:rPr>
                <w:sz w:val="5"/>
                <w:szCs w:val="5"/>
                <w:color w:val="auto"/>
              </w:rPr>
            </w:pPr>
          </w:p>
        </w:tc>
        <w:tc>
          <w:tcPr>
            <w:tcW w:w="200" w:type="dxa"/>
            <w:vAlign w:val="bottom"/>
            <w:shd w:val="clear" w:color="auto" w:fill="DDDDDD"/>
          </w:tcPr>
          <w:p>
            <w:pPr>
              <w:spacing w:after="0"/>
              <w:rPr>
                <w:sz w:val="5"/>
                <w:szCs w:val="5"/>
                <w:color w:val="auto"/>
              </w:rPr>
            </w:pPr>
          </w:p>
        </w:tc>
        <w:tc>
          <w:tcPr>
            <w:tcW w:w="1100" w:type="dxa"/>
            <w:vAlign w:val="bottom"/>
            <w:shd w:val="clear" w:color="auto" w:fill="DDDDDD"/>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left w:val="single" w:sz="8" w:color="DDDDDD"/>
            </w:tcBorders>
            <w:shd w:val="clear" w:color="auto" w:fill="DDDDDD"/>
          </w:tcPr>
          <w:p>
            <w:pPr>
              <w:spacing w:after="0"/>
              <w:rPr>
                <w:sz w:val="5"/>
                <w:szCs w:val="5"/>
                <w:color w:val="auto"/>
              </w:rPr>
            </w:pPr>
          </w:p>
        </w:tc>
        <w:tc>
          <w:tcPr>
            <w:tcW w:w="1120" w:type="dxa"/>
            <w:vAlign w:val="bottom"/>
            <w:shd w:val="clear" w:color="auto" w:fill="DDDDDD"/>
          </w:tcPr>
          <w:p>
            <w:pPr>
              <w:spacing w:after="0"/>
              <w:rPr>
                <w:sz w:val="5"/>
                <w:szCs w:val="5"/>
                <w:color w:val="auto"/>
              </w:rPr>
            </w:pPr>
          </w:p>
        </w:tc>
        <w:tc>
          <w:tcPr>
            <w:tcW w:w="60" w:type="dxa"/>
            <w:vAlign w:val="bottom"/>
            <w:shd w:val="clear" w:color="auto" w:fill="DDDDDD"/>
          </w:tcPr>
          <w:p>
            <w:pPr>
              <w:spacing w:after="0"/>
              <w:rPr>
                <w:sz w:val="5"/>
                <w:szCs w:val="5"/>
                <w:color w:val="auto"/>
              </w:rPr>
            </w:pPr>
          </w:p>
        </w:tc>
        <w:tc>
          <w:tcPr>
            <w:tcW w:w="20" w:type="dxa"/>
            <w:vAlign w:val="bottom"/>
            <w:shd w:val="clear" w:color="auto" w:fill="DDDDDD"/>
          </w:tcPr>
          <w:p>
            <w:pPr>
              <w:spacing w:after="0"/>
              <w:rPr>
                <w:sz w:val="5"/>
                <w:szCs w:val="5"/>
                <w:color w:val="auto"/>
              </w:rPr>
            </w:pPr>
          </w:p>
        </w:tc>
        <w:tc>
          <w:tcPr>
            <w:tcW w:w="160" w:type="dxa"/>
            <w:vAlign w:val="bottom"/>
            <w:shd w:val="clear" w:color="auto" w:fill="DDDDDD"/>
          </w:tcPr>
          <w:p>
            <w:pPr>
              <w:spacing w:after="0"/>
              <w:rPr>
                <w:sz w:val="5"/>
                <w:szCs w:val="5"/>
                <w:color w:val="auto"/>
              </w:rPr>
            </w:pPr>
          </w:p>
        </w:tc>
        <w:tc>
          <w:tcPr>
            <w:tcW w:w="1140" w:type="dxa"/>
            <w:vAlign w:val="bottom"/>
            <w:shd w:val="clear" w:color="auto" w:fill="DDDDDD"/>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(93,601)</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6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DDDDDD"/>
          </w:tcPr>
          <w:p>
            <w:pPr>
              <w:spacing w:after="0"/>
              <w:rPr>
                <w:sz w:val="18"/>
                <w:szCs w:val="18"/>
                <w:color w:val="auto"/>
              </w:rPr>
            </w:pPr>
          </w:p>
        </w:tc>
        <w:tc>
          <w:tcPr>
            <w:tcW w:w="66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 At-The-Market offering net of underwriting</w:t>
            </w:r>
          </w:p>
        </w:tc>
        <w:tc>
          <w:tcPr>
            <w:tcW w:w="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98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left w:val="single" w:sz="8" w:color="DDDDDD"/>
            </w:tcBorders>
            <w:shd w:val="clear" w:color="auto" w:fill="DDDDDD"/>
          </w:tcPr>
          <w:p>
            <w:pPr>
              <w:spacing w:after="0"/>
              <w:rPr>
                <w:sz w:val="18"/>
                <w:szCs w:val="18"/>
                <w:color w:val="auto"/>
              </w:rPr>
            </w:pPr>
          </w:p>
        </w:tc>
        <w:tc>
          <w:tcPr>
            <w:tcW w:w="112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14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DDDDDD"/>
            </w:tcBorders>
            <w:shd w:val="clear" w:color="auto" w:fill="DDDDDD"/>
          </w:tcPr>
          <w:p>
            <w:pPr>
              <w:spacing w:after="0"/>
              <w:rPr>
                <w:sz w:val="24"/>
                <w:szCs w:val="24"/>
                <w:color w:val="auto"/>
              </w:rPr>
            </w:pPr>
          </w:p>
        </w:tc>
        <w:tc>
          <w:tcPr>
            <w:tcW w:w="662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discounts and commissions and other offering costs</w:t>
            </w:r>
          </w:p>
        </w:tc>
        <w:tc>
          <w:tcPr>
            <w:tcW w:w="20" w:type="dxa"/>
            <w:vAlign w:val="bottom"/>
            <w:tcBorders>
              <w:bottom w:val="single" w:sz="8" w:color="DDDDDD"/>
            </w:tcBorders>
            <w:shd w:val="clear" w:color="auto" w:fill="DDDDDD"/>
          </w:tcPr>
          <w:p>
            <w:pPr>
              <w:spacing w:after="0"/>
              <w:rPr>
                <w:sz w:val="24"/>
                <w:szCs w:val="24"/>
                <w:color w:val="auto"/>
              </w:rPr>
            </w:pPr>
          </w:p>
        </w:tc>
        <w:tc>
          <w:tcPr>
            <w:tcW w:w="13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DDDDDD"/>
            </w:tcBorders>
            <w:shd w:val="clear" w:color="auto" w:fill="DDDDDD"/>
          </w:tcPr>
          <w:p>
            <w:pPr>
              <w:spacing w:after="0"/>
              <w:rPr>
                <w:sz w:val="24"/>
                <w:szCs w:val="24"/>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48,779</w:t>
            </w:r>
          </w:p>
        </w:tc>
        <w:tc>
          <w:tcPr>
            <w:tcW w:w="20" w:type="dxa"/>
            <w:vAlign w:val="bottom"/>
          </w:tcPr>
          <w:p>
            <w:pPr>
              <w:spacing w:after="0"/>
              <w:rPr>
                <w:sz w:val="24"/>
                <w:szCs w:val="24"/>
                <w:color w:val="auto"/>
              </w:rPr>
            </w:pPr>
          </w:p>
        </w:tc>
        <w:tc>
          <w:tcPr>
            <w:tcW w:w="240" w:type="dxa"/>
            <w:vAlign w:val="bottom"/>
            <w:tcBorders>
              <w:left w:val="single" w:sz="8" w:color="DDDDDD"/>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48,779</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shares upon vesting of restricted stock units, net of tax withholdings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(52,633)</w:t>
            </w:r>
          </w:p>
        </w:tc>
        <w:tc>
          <w:tcPr>
            <w:tcW w:w="0" w:type="dxa"/>
            <w:vAlign w:val="bottom"/>
          </w:tcPr>
          <w:p>
            <w:pPr>
              <w:spacing w:after="0"/>
              <w:rPr>
                <w:sz w:val="1"/>
                <w:szCs w:val="1"/>
                <w:color w:val="auto"/>
              </w:rPr>
            </w:pPr>
          </w:p>
        </w:tc>
      </w:tr>
      <w:tr>
        <w:trPr>
          <w:trHeight w:val="81"/>
        </w:trPr>
        <w:tc>
          <w:tcPr>
            <w:tcW w:w="60" w:type="dxa"/>
            <w:vAlign w:val="bottom"/>
            <w:tcBorders>
              <w:bottom w:val="single" w:sz="8" w:color="DDDDDD"/>
            </w:tcBorders>
          </w:tcPr>
          <w:p>
            <w:pPr>
              <w:spacing w:after="0"/>
              <w:rPr>
                <w:sz w:val="7"/>
                <w:szCs w:val="7"/>
                <w:color w:val="auto"/>
              </w:rPr>
            </w:pPr>
          </w:p>
        </w:tc>
        <w:tc>
          <w:tcPr>
            <w:tcW w:w="6620" w:type="dxa"/>
            <w:vAlign w:val="bottom"/>
            <w:tcBorders>
              <w:bottom w:val="single" w:sz="8" w:color="DDDDDD"/>
            </w:tcBorders>
          </w:tcPr>
          <w:p>
            <w:pPr>
              <w:spacing w:after="0"/>
              <w:rPr>
                <w:sz w:val="7"/>
                <w:szCs w:val="7"/>
                <w:color w:val="auto"/>
              </w:rPr>
            </w:pPr>
          </w:p>
        </w:tc>
        <w:tc>
          <w:tcPr>
            <w:tcW w:w="20" w:type="dxa"/>
            <w:vAlign w:val="bottom"/>
            <w:tcBorders>
              <w:bottom w:val="single" w:sz="8" w:color="DDDDDD"/>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0" w:type="dxa"/>
            <w:vAlign w:val="bottom"/>
            <w:tcBorders>
              <w:bottom w:val="single" w:sz="8" w:color="DDDDDD"/>
            </w:tcBorders>
          </w:tcPr>
          <w:p>
            <w:pPr>
              <w:spacing w:after="0"/>
              <w:rPr>
                <w:sz w:val="7"/>
                <w:szCs w:val="7"/>
                <w:color w:val="auto"/>
              </w:rPr>
            </w:pPr>
          </w:p>
        </w:tc>
        <w:tc>
          <w:tcPr>
            <w:tcW w:w="20" w:type="dxa"/>
            <w:vAlign w:val="bottom"/>
            <w:tcBorders>
              <w:bottom w:val="single" w:sz="8" w:color="DDDDDD"/>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 w:type="dxa"/>
            <w:vAlign w:val="bottom"/>
            <w:tcBorders>
              <w:bottom w:val="single" w:sz="8" w:color="DDDDDD"/>
            </w:tcBorders>
          </w:tcPr>
          <w:p>
            <w:pPr>
              <w:spacing w:after="0"/>
              <w:rPr>
                <w:sz w:val="7"/>
                <w:szCs w:val="7"/>
                <w:color w:val="auto"/>
              </w:rPr>
            </w:pPr>
          </w:p>
        </w:tc>
        <w:tc>
          <w:tcPr>
            <w:tcW w:w="20" w:type="dxa"/>
            <w:vAlign w:val="bottom"/>
            <w:tcBorders>
              <w:bottom w:val="single" w:sz="8" w:color="DDDDDD"/>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DDDDDD"/>
            </w:tcBorders>
          </w:tcPr>
          <w:p>
            <w:pPr>
              <w:spacing w:after="0"/>
              <w:rPr>
                <w:sz w:val="7"/>
                <w:szCs w:val="7"/>
                <w:color w:val="auto"/>
              </w:rPr>
            </w:pPr>
          </w:p>
        </w:tc>
        <w:tc>
          <w:tcPr>
            <w:tcW w:w="20" w:type="dxa"/>
            <w:vAlign w:val="bottom"/>
            <w:tcBorders>
              <w:bottom w:val="single" w:sz="8" w:color="DDDDDD"/>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60" w:type="dxa"/>
            <w:vAlign w:val="bottom"/>
            <w:tcBorders>
              <w:top w:val="single" w:sz="8" w:color="DDDDDD"/>
              <w:bottom w:val="single" w:sz="8" w:color="DDDDDD"/>
            </w:tcBorders>
            <w:shd w:val="clear" w:color="auto" w:fill="DDDDDD"/>
          </w:tcPr>
          <w:p>
            <w:pPr>
              <w:spacing w:after="0"/>
              <w:rPr>
                <w:sz w:val="20"/>
                <w:szCs w:val="20"/>
                <w:color w:val="auto"/>
              </w:rPr>
            </w:pPr>
          </w:p>
        </w:tc>
        <w:tc>
          <w:tcPr>
            <w:tcW w:w="6640" w:type="dxa"/>
            <w:vAlign w:val="bottom"/>
            <w:tcBorders>
              <w:top w:val="single" w:sz="8" w:color="DDDDDD"/>
              <w:bottom w:val="single" w:sz="8" w:color="DDDDDD"/>
            </w:tcBorders>
            <w:gridSpan w:val="2"/>
            <w:shd w:val="clear" w:color="auto" w:fill="DDDDDD"/>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30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23,598</w:t>
            </w:r>
          </w:p>
        </w:tc>
        <w:tc>
          <w:tcPr>
            <w:tcW w:w="60" w:type="dxa"/>
            <w:vAlign w:val="bottom"/>
            <w:tcBorders>
              <w:top w:val="single" w:sz="8" w:color="DDDDDD"/>
              <w:bottom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DDDDDD"/>
            </w:tcBorders>
            <w:shd w:val="clear" w:color="auto" w:fill="DDDDDD"/>
          </w:tcPr>
          <w:p>
            <w:pPr>
              <w:spacing w:after="0"/>
              <w:rPr>
                <w:sz w:val="20"/>
                <w:szCs w:val="20"/>
                <w:color w:val="auto"/>
              </w:rPr>
            </w:pPr>
          </w:p>
        </w:tc>
        <w:tc>
          <w:tcPr>
            <w:tcW w:w="980" w:type="dxa"/>
            <w:vAlign w:val="bottom"/>
            <w:tcBorders>
              <w:top w:val="single" w:sz="8" w:color="DDDDDD"/>
              <w:bottom w:val="single" w:sz="8" w:color="DDDDDD"/>
            </w:tcBorders>
            <w:shd w:val="clear" w:color="auto" w:fill="DDDDDD"/>
          </w:tcPr>
          <w:p>
            <w:pPr>
              <w:spacing w:after="0"/>
              <w:rPr>
                <w:sz w:val="20"/>
                <w:szCs w:val="20"/>
                <w:color w:val="auto"/>
              </w:rPr>
            </w:pPr>
          </w:p>
        </w:tc>
        <w:tc>
          <w:tcPr>
            <w:tcW w:w="32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top w:val="single" w:sz="8" w:color="DDDDDD"/>
              <w:bottom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DDDDDD"/>
            </w:tcBorders>
            <w:shd w:val="clear" w:color="auto" w:fill="DDDDDD"/>
          </w:tcPr>
          <w:p>
            <w:pPr>
              <w:spacing w:after="0"/>
              <w:rPr>
                <w:sz w:val="20"/>
                <w:szCs w:val="20"/>
                <w:color w:val="auto"/>
              </w:rPr>
            </w:pPr>
          </w:p>
        </w:tc>
        <w:tc>
          <w:tcPr>
            <w:tcW w:w="200" w:type="dxa"/>
            <w:vAlign w:val="bottom"/>
            <w:tcBorders>
              <w:top w:val="single" w:sz="8" w:color="DDDDDD"/>
              <w:bottom w:val="single" w:sz="8" w:color="DDDDDD"/>
            </w:tcBorders>
            <w:shd w:val="clear" w:color="auto" w:fill="DDDDDD"/>
          </w:tcPr>
          <w:p>
            <w:pPr>
              <w:spacing w:after="0"/>
              <w:rPr>
                <w:sz w:val="20"/>
                <w:szCs w:val="20"/>
                <w:color w:val="auto"/>
              </w:rPr>
            </w:pPr>
          </w:p>
        </w:tc>
        <w:tc>
          <w:tcPr>
            <w:tcW w:w="110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881,718</w:t>
            </w:r>
          </w:p>
        </w:tc>
        <w:tc>
          <w:tcPr>
            <w:tcW w:w="20" w:type="dxa"/>
            <w:vAlign w:val="bottom"/>
            <w:tcBorders>
              <w:top w:val="single" w:sz="8" w:color="DDDDDD"/>
            </w:tcBorders>
          </w:tcPr>
          <w:p>
            <w:pPr>
              <w:spacing w:after="0"/>
              <w:rPr>
                <w:sz w:val="20"/>
                <w:szCs w:val="20"/>
                <w:color w:val="auto"/>
              </w:rPr>
            </w:pPr>
          </w:p>
        </w:tc>
        <w:tc>
          <w:tcPr>
            <w:tcW w:w="240" w:type="dxa"/>
            <w:vAlign w:val="bottom"/>
            <w:tcBorders>
              <w:top w:val="single" w:sz="8" w:color="DDDDDD"/>
              <w:left w:val="single" w:sz="8" w:color="DDDDDD"/>
              <w:bottom w:val="single" w:sz="8" w:color="DDDDDD"/>
            </w:tcBorders>
            <w:shd w:val="clear" w:color="auto" w:fill="DDDDDD"/>
          </w:tcPr>
          <w:p>
            <w:pPr>
              <w:spacing w:after="0"/>
              <w:rPr>
                <w:sz w:val="20"/>
                <w:szCs w:val="20"/>
                <w:color w:val="auto"/>
              </w:rPr>
            </w:pPr>
          </w:p>
        </w:tc>
        <w:tc>
          <w:tcPr>
            <w:tcW w:w="112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(182,001)</w:t>
            </w:r>
          </w:p>
        </w:tc>
        <w:tc>
          <w:tcPr>
            <w:tcW w:w="60" w:type="dxa"/>
            <w:vAlign w:val="bottom"/>
            <w:tcBorders>
              <w:top w:val="single" w:sz="8" w:color="DDDDDD"/>
              <w:bottom w:val="single" w:sz="8" w:color="DDDDDD"/>
            </w:tcBorders>
            <w:shd w:val="clear" w:color="auto" w:fill="DDDDDD"/>
          </w:tcPr>
          <w:p>
            <w:pPr>
              <w:spacing w:after="0"/>
              <w:rPr>
                <w:sz w:val="20"/>
                <w:szCs w:val="20"/>
                <w:color w:val="auto"/>
              </w:rPr>
            </w:pPr>
          </w:p>
        </w:tc>
        <w:tc>
          <w:tcPr>
            <w:tcW w:w="20" w:type="dxa"/>
            <w:vAlign w:val="bottom"/>
            <w:tcBorders>
              <w:top w:val="single" w:sz="8" w:color="DDDDDD"/>
              <w:bottom w:val="single" w:sz="8" w:color="DDDDDD"/>
            </w:tcBorders>
            <w:shd w:val="clear" w:color="auto" w:fill="DDDDDD"/>
          </w:tcPr>
          <w:p>
            <w:pPr>
              <w:spacing w:after="0"/>
              <w:rPr>
                <w:sz w:val="20"/>
                <w:szCs w:val="20"/>
                <w:color w:val="auto"/>
              </w:rPr>
            </w:pPr>
          </w:p>
        </w:tc>
        <w:tc>
          <w:tcPr>
            <w:tcW w:w="160" w:type="dxa"/>
            <w:vAlign w:val="bottom"/>
            <w:tcBorders>
              <w:top w:val="single" w:sz="8" w:color="DDDDDD"/>
              <w:bottom w:val="single" w:sz="8" w:color="DDDDDD"/>
            </w:tcBorders>
            <w:shd w:val="clear" w:color="auto" w:fill="DDDDDD"/>
          </w:tcPr>
          <w:p>
            <w:pPr>
              <w:spacing w:after="0"/>
              <w:rPr>
                <w:sz w:val="20"/>
                <w:szCs w:val="20"/>
                <w:color w:val="auto"/>
              </w:rPr>
            </w:pPr>
          </w:p>
        </w:tc>
        <w:tc>
          <w:tcPr>
            <w:tcW w:w="114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699,719</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102,353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102,353</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6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60" w:type="dxa"/>
            <w:vAlign w:val="bottom"/>
            <w:shd w:val="clear" w:color="auto" w:fill="DDDDDD"/>
          </w:tcPr>
          <w:p>
            <w:pPr>
              <w:spacing w:after="0"/>
              <w:rPr>
                <w:sz w:val="20"/>
                <w:szCs w:val="20"/>
                <w:color w:val="auto"/>
              </w:rPr>
            </w:pPr>
          </w:p>
        </w:tc>
        <w:tc>
          <w:tcPr>
            <w:tcW w:w="6640" w:type="dxa"/>
            <w:vAlign w:val="bottom"/>
            <w:gridSpan w:val="2"/>
            <w:shd w:val="clear" w:color="auto" w:fill="DDDDDD"/>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980" w:type="dxa"/>
            <w:vAlign w:val="bottom"/>
            <w:shd w:val="clear" w:color="auto" w:fill="DDDDDD"/>
          </w:tcPr>
          <w:p>
            <w:pPr>
              <w:spacing w:after="0"/>
              <w:rPr>
                <w:sz w:val="20"/>
                <w:szCs w:val="20"/>
                <w:color w:val="auto"/>
              </w:rPr>
            </w:pPr>
          </w:p>
        </w:tc>
        <w:tc>
          <w:tcPr>
            <w:tcW w:w="3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1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Borders>
              <w:left w:val="single" w:sz="8" w:color="DDDDDD"/>
            </w:tcBorders>
            <w:shd w:val="clear" w:color="auto" w:fill="DDDDDD"/>
          </w:tcPr>
          <w:p>
            <w:pPr>
              <w:spacing w:after="0"/>
              <w:rPr>
                <w:sz w:val="20"/>
                <w:szCs w:val="20"/>
                <w:color w:val="auto"/>
              </w:rPr>
            </w:pPr>
          </w:p>
        </w:tc>
        <w:tc>
          <w:tcPr>
            <w:tcW w:w="11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(42,903)</w:t>
            </w: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1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(42,903)</w:t>
            </w:r>
          </w:p>
        </w:tc>
        <w:tc>
          <w:tcPr>
            <w:tcW w:w="0" w:type="dxa"/>
            <w:vAlign w:val="bottom"/>
          </w:tcPr>
          <w:p>
            <w:pPr>
              <w:spacing w:after="0"/>
              <w:rPr>
                <w:sz w:val="1"/>
                <w:szCs w:val="1"/>
                <w:color w:val="auto"/>
              </w:rPr>
            </w:pPr>
          </w:p>
        </w:tc>
      </w:tr>
      <w:tr>
        <w:trPr>
          <w:trHeight w:val="61"/>
        </w:trPr>
        <w:tc>
          <w:tcPr>
            <w:tcW w:w="60" w:type="dxa"/>
            <w:vAlign w:val="bottom"/>
            <w:shd w:val="clear" w:color="auto" w:fill="DDDDDD"/>
          </w:tcPr>
          <w:p>
            <w:pPr>
              <w:spacing w:after="0"/>
              <w:rPr>
                <w:sz w:val="5"/>
                <w:szCs w:val="5"/>
                <w:color w:val="auto"/>
              </w:rPr>
            </w:pPr>
          </w:p>
        </w:tc>
        <w:tc>
          <w:tcPr>
            <w:tcW w:w="6620" w:type="dxa"/>
            <w:vAlign w:val="bottom"/>
            <w:shd w:val="clear" w:color="auto" w:fill="DDDDDD"/>
          </w:tcPr>
          <w:p>
            <w:pPr>
              <w:spacing w:after="0"/>
              <w:rPr>
                <w:sz w:val="5"/>
                <w:szCs w:val="5"/>
                <w:color w:val="auto"/>
              </w:rPr>
            </w:pPr>
          </w:p>
        </w:tc>
        <w:tc>
          <w:tcPr>
            <w:tcW w:w="20" w:type="dxa"/>
            <w:vAlign w:val="bottom"/>
            <w:shd w:val="clear" w:color="auto" w:fill="DDDDDD"/>
          </w:tcPr>
          <w:p>
            <w:pPr>
              <w:spacing w:after="0"/>
              <w:rPr>
                <w:sz w:val="5"/>
                <w:szCs w:val="5"/>
                <w:color w:val="auto"/>
              </w:rPr>
            </w:pPr>
          </w:p>
        </w:tc>
        <w:tc>
          <w:tcPr>
            <w:tcW w:w="1300" w:type="dxa"/>
            <w:vAlign w:val="bottom"/>
            <w:shd w:val="clear" w:color="auto" w:fill="DDDDDD"/>
          </w:tcPr>
          <w:p>
            <w:pPr>
              <w:spacing w:after="0"/>
              <w:rPr>
                <w:sz w:val="5"/>
                <w:szCs w:val="5"/>
                <w:color w:val="auto"/>
              </w:rPr>
            </w:pPr>
          </w:p>
        </w:tc>
        <w:tc>
          <w:tcPr>
            <w:tcW w:w="60" w:type="dxa"/>
            <w:vAlign w:val="bottom"/>
            <w:shd w:val="clear" w:color="auto" w:fill="DDDDDD"/>
          </w:tcPr>
          <w:p>
            <w:pPr>
              <w:spacing w:after="0"/>
              <w:rPr>
                <w:sz w:val="5"/>
                <w:szCs w:val="5"/>
                <w:color w:val="auto"/>
              </w:rPr>
            </w:pPr>
          </w:p>
        </w:tc>
        <w:tc>
          <w:tcPr>
            <w:tcW w:w="20" w:type="dxa"/>
            <w:vAlign w:val="bottom"/>
            <w:shd w:val="clear" w:color="auto" w:fill="DDDDDD"/>
          </w:tcPr>
          <w:p>
            <w:pPr>
              <w:spacing w:after="0"/>
              <w:rPr>
                <w:sz w:val="5"/>
                <w:szCs w:val="5"/>
                <w:color w:val="auto"/>
              </w:rPr>
            </w:pPr>
          </w:p>
        </w:tc>
        <w:tc>
          <w:tcPr>
            <w:tcW w:w="980" w:type="dxa"/>
            <w:vAlign w:val="bottom"/>
            <w:shd w:val="clear" w:color="auto" w:fill="DDDDDD"/>
          </w:tcPr>
          <w:p>
            <w:pPr>
              <w:spacing w:after="0"/>
              <w:rPr>
                <w:sz w:val="5"/>
                <w:szCs w:val="5"/>
                <w:color w:val="auto"/>
              </w:rPr>
            </w:pPr>
          </w:p>
        </w:tc>
        <w:tc>
          <w:tcPr>
            <w:tcW w:w="320" w:type="dxa"/>
            <w:vAlign w:val="bottom"/>
            <w:shd w:val="clear" w:color="auto" w:fill="DDDDDD"/>
          </w:tcPr>
          <w:p>
            <w:pPr>
              <w:spacing w:after="0"/>
              <w:rPr>
                <w:sz w:val="5"/>
                <w:szCs w:val="5"/>
                <w:color w:val="auto"/>
              </w:rPr>
            </w:pPr>
          </w:p>
        </w:tc>
        <w:tc>
          <w:tcPr>
            <w:tcW w:w="60" w:type="dxa"/>
            <w:vAlign w:val="bottom"/>
            <w:shd w:val="clear" w:color="auto" w:fill="DDDDDD"/>
          </w:tcPr>
          <w:p>
            <w:pPr>
              <w:spacing w:after="0"/>
              <w:rPr>
                <w:sz w:val="5"/>
                <w:szCs w:val="5"/>
                <w:color w:val="auto"/>
              </w:rPr>
            </w:pPr>
          </w:p>
        </w:tc>
        <w:tc>
          <w:tcPr>
            <w:tcW w:w="20" w:type="dxa"/>
            <w:vAlign w:val="bottom"/>
            <w:shd w:val="clear" w:color="auto" w:fill="DDDDDD"/>
          </w:tcPr>
          <w:p>
            <w:pPr>
              <w:spacing w:after="0"/>
              <w:rPr>
                <w:sz w:val="5"/>
                <w:szCs w:val="5"/>
                <w:color w:val="auto"/>
              </w:rPr>
            </w:pPr>
          </w:p>
        </w:tc>
        <w:tc>
          <w:tcPr>
            <w:tcW w:w="200" w:type="dxa"/>
            <w:vAlign w:val="bottom"/>
            <w:shd w:val="clear" w:color="auto" w:fill="DDDDDD"/>
          </w:tcPr>
          <w:p>
            <w:pPr>
              <w:spacing w:after="0"/>
              <w:rPr>
                <w:sz w:val="5"/>
                <w:szCs w:val="5"/>
                <w:color w:val="auto"/>
              </w:rPr>
            </w:pPr>
          </w:p>
        </w:tc>
        <w:tc>
          <w:tcPr>
            <w:tcW w:w="1100" w:type="dxa"/>
            <w:vAlign w:val="bottom"/>
            <w:shd w:val="clear" w:color="auto" w:fill="DDDDDD"/>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Borders>
              <w:left w:val="single" w:sz="8" w:color="DDDDDD"/>
            </w:tcBorders>
            <w:shd w:val="clear" w:color="auto" w:fill="DDDDDD"/>
          </w:tcPr>
          <w:p>
            <w:pPr>
              <w:spacing w:after="0"/>
              <w:rPr>
                <w:sz w:val="5"/>
                <w:szCs w:val="5"/>
                <w:color w:val="auto"/>
              </w:rPr>
            </w:pPr>
          </w:p>
        </w:tc>
        <w:tc>
          <w:tcPr>
            <w:tcW w:w="1120" w:type="dxa"/>
            <w:vAlign w:val="bottom"/>
            <w:shd w:val="clear" w:color="auto" w:fill="DDDDDD"/>
          </w:tcPr>
          <w:p>
            <w:pPr>
              <w:spacing w:after="0"/>
              <w:rPr>
                <w:sz w:val="5"/>
                <w:szCs w:val="5"/>
                <w:color w:val="auto"/>
              </w:rPr>
            </w:pPr>
          </w:p>
        </w:tc>
        <w:tc>
          <w:tcPr>
            <w:tcW w:w="60" w:type="dxa"/>
            <w:vAlign w:val="bottom"/>
            <w:shd w:val="clear" w:color="auto" w:fill="DDDDDD"/>
          </w:tcPr>
          <w:p>
            <w:pPr>
              <w:spacing w:after="0"/>
              <w:rPr>
                <w:sz w:val="5"/>
                <w:szCs w:val="5"/>
                <w:color w:val="auto"/>
              </w:rPr>
            </w:pPr>
          </w:p>
        </w:tc>
        <w:tc>
          <w:tcPr>
            <w:tcW w:w="20" w:type="dxa"/>
            <w:vAlign w:val="bottom"/>
            <w:shd w:val="clear" w:color="auto" w:fill="DDDDDD"/>
          </w:tcPr>
          <w:p>
            <w:pPr>
              <w:spacing w:after="0"/>
              <w:rPr>
                <w:sz w:val="5"/>
                <w:szCs w:val="5"/>
                <w:color w:val="auto"/>
              </w:rPr>
            </w:pPr>
          </w:p>
        </w:tc>
        <w:tc>
          <w:tcPr>
            <w:tcW w:w="160" w:type="dxa"/>
            <w:vAlign w:val="bottom"/>
            <w:shd w:val="clear" w:color="auto" w:fill="DDDDDD"/>
          </w:tcPr>
          <w:p>
            <w:pPr>
              <w:spacing w:after="0"/>
              <w:rPr>
                <w:sz w:val="5"/>
                <w:szCs w:val="5"/>
                <w:color w:val="auto"/>
              </w:rPr>
            </w:pPr>
          </w:p>
        </w:tc>
        <w:tc>
          <w:tcPr>
            <w:tcW w:w="1140" w:type="dxa"/>
            <w:vAlign w:val="bottom"/>
            <w:shd w:val="clear" w:color="auto" w:fill="DDDDDD"/>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upon follow-on public offering net of underwriting discounts</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commissions and other offering costs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387,337</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387,338</w:t>
            </w: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6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0" w:type="dxa"/>
            <w:vAlign w:val="bottom"/>
            <w:shd w:val="clear" w:color="auto" w:fill="DDDDDD"/>
          </w:tcPr>
          <w:p>
            <w:pPr>
              <w:spacing w:after="0"/>
              <w:rPr>
                <w:sz w:val="18"/>
                <w:szCs w:val="18"/>
                <w:color w:val="auto"/>
              </w:rPr>
            </w:pPr>
          </w:p>
        </w:tc>
        <w:tc>
          <w:tcPr>
            <w:tcW w:w="6620" w:type="dxa"/>
            <w:vAlign w:val="bottom"/>
            <w:shd w:val="clear" w:color="auto" w:fill="DDDDDD"/>
          </w:tcPr>
          <w:p>
            <w:pPr>
              <w:spacing w:after="0"/>
              <w:rPr>
                <w:sz w:val="20"/>
                <w:szCs w:val="20"/>
                <w:color w:val="auto"/>
              </w:rPr>
            </w:pPr>
            <w:r>
              <w:rPr>
                <w:rFonts w:ascii="Times New Roman" w:cs="Times New Roman" w:eastAsia="Times New Roman" w:hAnsi="Times New Roman"/>
                <w:sz w:val="18"/>
                <w:szCs w:val="18"/>
                <w:color w:val="auto"/>
              </w:rPr>
              <w:t>Issuance of common stock in connection with At-The-Market offering net of underwriting</w:t>
            </w:r>
          </w:p>
        </w:tc>
        <w:tc>
          <w:tcPr>
            <w:tcW w:w="2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980" w:type="dxa"/>
            <w:vAlign w:val="bottom"/>
            <w:shd w:val="clear" w:color="auto" w:fill="DDDDDD"/>
          </w:tcPr>
          <w:p>
            <w:pPr>
              <w:spacing w:after="0"/>
              <w:rPr>
                <w:sz w:val="18"/>
                <w:szCs w:val="18"/>
                <w:color w:val="auto"/>
              </w:rPr>
            </w:pPr>
          </w:p>
        </w:tc>
        <w:tc>
          <w:tcPr>
            <w:tcW w:w="32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1100" w:type="dxa"/>
            <w:vAlign w:val="bottom"/>
            <w:shd w:val="clear" w:color="auto" w:fill="DDDDDD"/>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left w:val="single" w:sz="8" w:color="DDDDDD"/>
            </w:tcBorders>
            <w:shd w:val="clear" w:color="auto" w:fill="DDDDDD"/>
          </w:tcPr>
          <w:p>
            <w:pPr>
              <w:spacing w:after="0"/>
              <w:rPr>
                <w:sz w:val="18"/>
                <w:szCs w:val="18"/>
                <w:color w:val="auto"/>
              </w:rPr>
            </w:pPr>
          </w:p>
        </w:tc>
        <w:tc>
          <w:tcPr>
            <w:tcW w:w="1120" w:type="dxa"/>
            <w:vAlign w:val="bottom"/>
            <w:shd w:val="clear" w:color="auto" w:fill="DDDDDD"/>
          </w:tcPr>
          <w:p>
            <w:pPr>
              <w:spacing w:after="0"/>
              <w:rPr>
                <w:sz w:val="18"/>
                <w:szCs w:val="18"/>
                <w:color w:val="auto"/>
              </w:rPr>
            </w:pPr>
          </w:p>
        </w:tc>
        <w:tc>
          <w:tcPr>
            <w:tcW w:w="60" w:type="dxa"/>
            <w:vAlign w:val="bottom"/>
            <w:shd w:val="clear" w:color="auto" w:fill="DDDDDD"/>
          </w:tcPr>
          <w:p>
            <w:pPr>
              <w:spacing w:after="0"/>
              <w:rPr>
                <w:sz w:val="18"/>
                <w:szCs w:val="18"/>
                <w:color w:val="auto"/>
              </w:rPr>
            </w:pPr>
          </w:p>
        </w:tc>
        <w:tc>
          <w:tcPr>
            <w:tcW w:w="20" w:type="dxa"/>
            <w:vAlign w:val="bottom"/>
            <w:shd w:val="clear" w:color="auto" w:fill="DDDDDD"/>
          </w:tcPr>
          <w:p>
            <w:pPr>
              <w:spacing w:after="0"/>
              <w:rPr>
                <w:sz w:val="18"/>
                <w:szCs w:val="18"/>
                <w:color w:val="auto"/>
              </w:rPr>
            </w:pPr>
          </w:p>
        </w:tc>
        <w:tc>
          <w:tcPr>
            <w:tcW w:w="160" w:type="dxa"/>
            <w:vAlign w:val="bottom"/>
            <w:shd w:val="clear" w:color="auto" w:fill="DDDDDD"/>
          </w:tcPr>
          <w:p>
            <w:pPr>
              <w:spacing w:after="0"/>
              <w:rPr>
                <w:sz w:val="18"/>
                <w:szCs w:val="18"/>
                <w:color w:val="auto"/>
              </w:rPr>
            </w:pPr>
          </w:p>
        </w:tc>
        <w:tc>
          <w:tcPr>
            <w:tcW w:w="114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DDDDDD"/>
            </w:tcBorders>
            <w:shd w:val="clear" w:color="auto" w:fill="DDDDDD"/>
          </w:tcPr>
          <w:p>
            <w:pPr>
              <w:spacing w:after="0"/>
              <w:rPr>
                <w:sz w:val="24"/>
                <w:szCs w:val="24"/>
                <w:color w:val="auto"/>
              </w:rPr>
            </w:pPr>
          </w:p>
        </w:tc>
        <w:tc>
          <w:tcPr>
            <w:tcW w:w="662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8"/>
                <w:szCs w:val="18"/>
                <w:color w:val="auto"/>
              </w:rPr>
              <w:t>discounts and commissions and other offering costs</w:t>
            </w:r>
          </w:p>
        </w:tc>
        <w:tc>
          <w:tcPr>
            <w:tcW w:w="20" w:type="dxa"/>
            <w:vAlign w:val="bottom"/>
            <w:tcBorders>
              <w:bottom w:val="single" w:sz="8" w:color="DDDDDD"/>
            </w:tcBorders>
            <w:shd w:val="clear" w:color="auto" w:fill="DDDDDD"/>
          </w:tcPr>
          <w:p>
            <w:pPr>
              <w:spacing w:after="0"/>
              <w:rPr>
                <w:sz w:val="24"/>
                <w:szCs w:val="24"/>
                <w:color w:val="auto"/>
              </w:rPr>
            </w:pPr>
          </w:p>
        </w:tc>
        <w:tc>
          <w:tcPr>
            <w:tcW w:w="13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DDDDDD"/>
            </w:tcBorders>
            <w:shd w:val="clear" w:color="auto" w:fill="DDDDDD"/>
          </w:tcPr>
          <w:p>
            <w:pPr>
              <w:spacing w:after="0"/>
              <w:rPr>
                <w:sz w:val="24"/>
                <w:szCs w:val="24"/>
                <w:color w:val="auto"/>
              </w:rPr>
            </w:pPr>
          </w:p>
        </w:tc>
        <w:tc>
          <w:tcPr>
            <w:tcW w:w="1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64,277</w:t>
            </w:r>
          </w:p>
        </w:tc>
        <w:tc>
          <w:tcPr>
            <w:tcW w:w="20" w:type="dxa"/>
            <w:vAlign w:val="bottom"/>
          </w:tcPr>
          <w:p>
            <w:pPr>
              <w:spacing w:after="0"/>
              <w:rPr>
                <w:sz w:val="24"/>
                <w:szCs w:val="24"/>
                <w:color w:val="auto"/>
              </w:rPr>
            </w:pPr>
          </w:p>
        </w:tc>
        <w:tc>
          <w:tcPr>
            <w:tcW w:w="240" w:type="dxa"/>
            <w:vAlign w:val="bottom"/>
            <w:tcBorders>
              <w:left w:val="single" w:sz="8" w:color="DDDDDD"/>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64,277</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shares upon vesting of restricted stock units, net of tax withholdings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(54,602)</w:t>
            </w:r>
          </w:p>
        </w:tc>
        <w:tc>
          <w:tcPr>
            <w:tcW w:w="0" w:type="dxa"/>
            <w:vAlign w:val="bottom"/>
          </w:tcPr>
          <w:p>
            <w:pPr>
              <w:spacing w:after="0"/>
              <w:rPr>
                <w:sz w:val="1"/>
                <w:szCs w:val="1"/>
                <w:color w:val="auto"/>
              </w:rPr>
            </w:pPr>
          </w:p>
        </w:tc>
      </w:tr>
      <w:tr>
        <w:trPr>
          <w:trHeight w:val="81"/>
        </w:trPr>
        <w:tc>
          <w:tcPr>
            <w:tcW w:w="60" w:type="dxa"/>
            <w:vAlign w:val="bottom"/>
            <w:tcBorders>
              <w:bottom w:val="single" w:sz="8" w:color="DDDDDD"/>
            </w:tcBorders>
          </w:tcPr>
          <w:p>
            <w:pPr>
              <w:spacing w:after="0"/>
              <w:rPr>
                <w:sz w:val="7"/>
                <w:szCs w:val="7"/>
                <w:color w:val="auto"/>
              </w:rPr>
            </w:pPr>
          </w:p>
        </w:tc>
        <w:tc>
          <w:tcPr>
            <w:tcW w:w="6620" w:type="dxa"/>
            <w:vAlign w:val="bottom"/>
            <w:tcBorders>
              <w:bottom w:val="single" w:sz="8" w:color="DDDDDD"/>
            </w:tcBorders>
          </w:tcPr>
          <w:p>
            <w:pPr>
              <w:spacing w:after="0"/>
              <w:rPr>
                <w:sz w:val="7"/>
                <w:szCs w:val="7"/>
                <w:color w:val="auto"/>
              </w:rPr>
            </w:pPr>
          </w:p>
        </w:tc>
        <w:tc>
          <w:tcPr>
            <w:tcW w:w="20" w:type="dxa"/>
            <w:vAlign w:val="bottom"/>
            <w:tcBorders>
              <w:bottom w:val="single" w:sz="8" w:color="DDDDDD"/>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60" w:type="dxa"/>
            <w:vAlign w:val="bottom"/>
            <w:tcBorders>
              <w:bottom w:val="single" w:sz="8" w:color="DDDDDD"/>
            </w:tcBorders>
          </w:tcPr>
          <w:p>
            <w:pPr>
              <w:spacing w:after="0"/>
              <w:rPr>
                <w:sz w:val="7"/>
                <w:szCs w:val="7"/>
                <w:color w:val="auto"/>
              </w:rPr>
            </w:pPr>
          </w:p>
        </w:tc>
        <w:tc>
          <w:tcPr>
            <w:tcW w:w="20" w:type="dxa"/>
            <w:vAlign w:val="bottom"/>
            <w:tcBorders>
              <w:bottom w:val="single" w:sz="8" w:color="DDDDDD"/>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 w:type="dxa"/>
            <w:vAlign w:val="bottom"/>
            <w:tcBorders>
              <w:bottom w:val="single" w:sz="8" w:color="DDDDDD"/>
            </w:tcBorders>
          </w:tcPr>
          <w:p>
            <w:pPr>
              <w:spacing w:after="0"/>
              <w:rPr>
                <w:sz w:val="7"/>
                <w:szCs w:val="7"/>
                <w:color w:val="auto"/>
              </w:rPr>
            </w:pPr>
          </w:p>
        </w:tc>
        <w:tc>
          <w:tcPr>
            <w:tcW w:w="20" w:type="dxa"/>
            <w:vAlign w:val="bottom"/>
            <w:tcBorders>
              <w:bottom w:val="single" w:sz="8" w:color="DDDDDD"/>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60" w:type="dxa"/>
            <w:vAlign w:val="bottom"/>
            <w:tcBorders>
              <w:bottom w:val="single" w:sz="8" w:color="DDDDDD"/>
            </w:tcBorders>
          </w:tcPr>
          <w:p>
            <w:pPr>
              <w:spacing w:after="0"/>
              <w:rPr>
                <w:sz w:val="7"/>
                <w:szCs w:val="7"/>
                <w:color w:val="auto"/>
              </w:rPr>
            </w:pPr>
          </w:p>
        </w:tc>
        <w:tc>
          <w:tcPr>
            <w:tcW w:w="20" w:type="dxa"/>
            <w:vAlign w:val="bottom"/>
            <w:tcBorders>
              <w:bottom w:val="single" w:sz="8" w:color="DDDDDD"/>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60" w:type="dxa"/>
            <w:vAlign w:val="bottom"/>
            <w:tcBorders>
              <w:top w:val="single" w:sz="8" w:color="DDDDDD"/>
              <w:bottom w:val="single" w:sz="8" w:color="DDDDDD"/>
            </w:tcBorders>
            <w:shd w:val="clear" w:color="auto" w:fill="DDDDDD"/>
          </w:tcPr>
          <w:p>
            <w:pPr>
              <w:spacing w:after="0"/>
              <w:rPr>
                <w:sz w:val="22"/>
                <w:szCs w:val="22"/>
                <w:color w:val="auto"/>
              </w:rPr>
            </w:pPr>
          </w:p>
        </w:tc>
        <w:tc>
          <w:tcPr>
            <w:tcW w:w="6640" w:type="dxa"/>
            <w:vAlign w:val="bottom"/>
            <w:tcBorders>
              <w:top w:val="single" w:sz="8" w:color="DDDDDD"/>
              <w:bottom w:val="single" w:sz="8" w:color="DDDDDD"/>
            </w:tcBorders>
            <w:gridSpan w:val="2"/>
            <w:shd w:val="clear" w:color="auto" w:fill="DDDDDD"/>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130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26,299</w:t>
            </w:r>
          </w:p>
        </w:tc>
        <w:tc>
          <w:tcPr>
            <w:tcW w:w="60" w:type="dxa"/>
            <w:vAlign w:val="bottom"/>
            <w:tcBorders>
              <w:top w:val="single" w:sz="8" w:color="DDDDDD"/>
              <w:bottom w:val="single" w:sz="8" w:color="DDDDDD"/>
            </w:tcBorders>
            <w:shd w:val="clear" w:color="auto" w:fill="DDDDDD"/>
          </w:tcPr>
          <w:p>
            <w:pPr>
              <w:spacing w:after="0"/>
              <w:rPr>
                <w:sz w:val="22"/>
                <w:szCs w:val="22"/>
                <w:color w:val="auto"/>
              </w:rPr>
            </w:pPr>
          </w:p>
        </w:tc>
        <w:tc>
          <w:tcPr>
            <w:tcW w:w="20" w:type="dxa"/>
            <w:vAlign w:val="bottom"/>
            <w:tcBorders>
              <w:top w:val="single" w:sz="8" w:color="DDDDDD"/>
              <w:bottom w:val="single" w:sz="8" w:color="DDDDDD"/>
            </w:tcBorders>
            <w:shd w:val="clear" w:color="auto" w:fill="DDDDDD"/>
          </w:tcPr>
          <w:p>
            <w:pPr>
              <w:spacing w:after="0"/>
              <w:rPr>
                <w:sz w:val="22"/>
                <w:szCs w:val="22"/>
                <w:color w:val="auto"/>
              </w:rPr>
            </w:pPr>
          </w:p>
        </w:tc>
        <w:tc>
          <w:tcPr>
            <w:tcW w:w="980" w:type="dxa"/>
            <w:vAlign w:val="bottom"/>
            <w:tcBorders>
              <w:top w:val="single" w:sz="8" w:color="DDDDDD"/>
              <w:bottom w:val="single" w:sz="8" w:color="DDDDDD"/>
            </w:tcBorders>
            <w:shd w:val="clear" w:color="auto" w:fill="DDDDDD"/>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top w:val="single" w:sz="8" w:color="DDDDDD"/>
              <w:bottom w:val="single" w:sz="8" w:color="DDDDDD"/>
            </w:tcBorders>
            <w:shd w:val="clear" w:color="auto" w:fill="DDDDDD"/>
          </w:tcPr>
          <w:p>
            <w:pPr>
              <w:spacing w:after="0"/>
              <w:rPr>
                <w:sz w:val="22"/>
                <w:szCs w:val="22"/>
                <w:color w:val="auto"/>
              </w:rPr>
            </w:pPr>
          </w:p>
        </w:tc>
        <w:tc>
          <w:tcPr>
            <w:tcW w:w="20" w:type="dxa"/>
            <w:vAlign w:val="bottom"/>
            <w:tcBorders>
              <w:top w:val="single" w:sz="8" w:color="DDDDDD"/>
              <w:bottom w:val="single" w:sz="8" w:color="DDDDDD"/>
            </w:tcBorders>
            <w:shd w:val="clear" w:color="auto" w:fill="DDDDDD"/>
          </w:tcPr>
          <w:p>
            <w:pPr>
              <w:spacing w:after="0"/>
              <w:rPr>
                <w:sz w:val="22"/>
                <w:szCs w:val="22"/>
                <w:color w:val="auto"/>
              </w:rPr>
            </w:pPr>
          </w:p>
        </w:tc>
        <w:tc>
          <w:tcPr>
            <w:tcW w:w="20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1,381,083</w:t>
            </w:r>
          </w:p>
        </w:tc>
        <w:tc>
          <w:tcPr>
            <w:tcW w:w="20" w:type="dxa"/>
            <w:vAlign w:val="bottom"/>
            <w:tcBorders>
              <w:top w:val="single" w:sz="8" w:color="DDDDDD"/>
            </w:tcBorders>
          </w:tcPr>
          <w:p>
            <w:pPr>
              <w:spacing w:after="0"/>
              <w:rPr>
                <w:sz w:val="22"/>
                <w:szCs w:val="22"/>
                <w:color w:val="auto"/>
              </w:rPr>
            </w:pPr>
          </w:p>
        </w:tc>
        <w:tc>
          <w:tcPr>
            <w:tcW w:w="240" w:type="dxa"/>
            <w:vAlign w:val="bottom"/>
            <w:tcBorders>
              <w:top w:val="single" w:sz="8" w:color="DDDDDD"/>
              <w:left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(224,904)</w:t>
            </w:r>
          </w:p>
        </w:tc>
        <w:tc>
          <w:tcPr>
            <w:tcW w:w="60" w:type="dxa"/>
            <w:vAlign w:val="bottom"/>
            <w:tcBorders>
              <w:top w:val="single" w:sz="8" w:color="DDDDDD"/>
              <w:bottom w:val="single" w:sz="8" w:color="DDDDDD"/>
            </w:tcBorders>
            <w:shd w:val="clear" w:color="auto" w:fill="DDDDDD"/>
          </w:tcPr>
          <w:p>
            <w:pPr>
              <w:spacing w:after="0"/>
              <w:rPr>
                <w:sz w:val="22"/>
                <w:szCs w:val="22"/>
                <w:color w:val="auto"/>
              </w:rPr>
            </w:pPr>
          </w:p>
        </w:tc>
        <w:tc>
          <w:tcPr>
            <w:tcW w:w="20" w:type="dxa"/>
            <w:vAlign w:val="bottom"/>
            <w:tcBorders>
              <w:top w:val="single" w:sz="8" w:color="DDDDDD"/>
              <w:bottom w:val="single" w:sz="8" w:color="DDDDDD"/>
            </w:tcBorders>
            <w:shd w:val="clear" w:color="auto" w:fill="DDDDDD"/>
          </w:tcPr>
          <w:p>
            <w:pPr>
              <w:spacing w:after="0"/>
              <w:rPr>
                <w:sz w:val="22"/>
                <w:szCs w:val="22"/>
                <w:color w:val="auto"/>
              </w:rPr>
            </w:pPr>
          </w:p>
        </w:tc>
        <w:tc>
          <w:tcPr>
            <w:tcW w:w="16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1,156,182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4256405</wp:posOffset>
                </wp:positionH>
                <wp:positionV relativeFrom="paragraph">
                  <wp:posOffset>-2730500</wp:posOffset>
                </wp:positionV>
                <wp:extent cx="82486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86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5.15pt,-215pt" to="400.1pt,-215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5132705</wp:posOffset>
                </wp:positionH>
                <wp:positionV relativeFrom="paragraph">
                  <wp:posOffset>-2730500</wp:posOffset>
                </wp:positionV>
                <wp:extent cx="82359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359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15pt,-215pt" to="469pt,-215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6006465</wp:posOffset>
                </wp:positionH>
                <wp:positionV relativeFrom="paragraph">
                  <wp:posOffset>-2730500</wp:posOffset>
                </wp:positionV>
                <wp:extent cx="82359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359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2.95pt,-215pt" to="537.8pt,-215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6881495</wp:posOffset>
                </wp:positionH>
                <wp:positionV relativeFrom="paragraph">
                  <wp:posOffset>-2730500</wp:posOffset>
                </wp:positionV>
                <wp:extent cx="82359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359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1.85pt,-215pt" to="606.7pt,-215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7755255</wp:posOffset>
                </wp:positionH>
                <wp:positionV relativeFrom="paragraph">
                  <wp:posOffset>-2730500</wp:posOffset>
                </wp:positionV>
                <wp:extent cx="82423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23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0.65pt,-215pt" to="675.55pt,-215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40005</wp:posOffset>
                </wp:positionH>
                <wp:positionV relativeFrom="paragraph">
                  <wp:posOffset>-2169160</wp:posOffset>
                </wp:positionV>
                <wp:extent cx="4183380" cy="17843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3380" cy="178435"/>
                        </a:xfrm>
                        <a:prstGeom prst="rect">
                          <a:avLst/>
                        </a:prstGeom>
                        <a:solidFill>
                          <a:srgbClr val="DDDDDD"/>
                        </a:solidFill>
                      </wps:spPr>
                      <wps:bodyPr/>
                    </wps:wsp>
                  </a:graphicData>
                </a:graphic>
              </wp:anchor>
            </w:drawing>
          </mc:Choice>
          <mc:Fallback>
            <w:pict>
              <v:rect id="Shape 69" o:spid="_x0000_s1094" style="position:absolute;margin-left:3.15pt;margin-top:-170.7999pt;width:329.4pt;height:14.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39370</wp:posOffset>
                </wp:positionH>
                <wp:positionV relativeFrom="paragraph">
                  <wp:posOffset>-1991360</wp:posOffset>
                </wp:positionV>
                <wp:extent cx="4184015" cy="14986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4015" cy="149860"/>
                        </a:xfrm>
                        <a:prstGeom prst="rect">
                          <a:avLst/>
                        </a:prstGeom>
                        <a:solidFill>
                          <a:srgbClr val="DDDDDD"/>
                        </a:solidFill>
                      </wps:spPr>
                      <wps:bodyPr/>
                    </wps:wsp>
                  </a:graphicData>
                </a:graphic>
              </wp:anchor>
            </w:drawing>
          </mc:Choice>
          <mc:Fallback>
            <w:pict>
              <v:rect id="Shape 70" o:spid="_x0000_s1095" style="position:absolute;margin-left:3.1pt;margin-top:-156.7999pt;width:329.45pt;height:11.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40005</wp:posOffset>
                </wp:positionH>
                <wp:positionV relativeFrom="paragraph">
                  <wp:posOffset>-747395</wp:posOffset>
                </wp:positionV>
                <wp:extent cx="4183380" cy="17780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3380" cy="177800"/>
                        </a:xfrm>
                        <a:prstGeom prst="rect">
                          <a:avLst/>
                        </a:prstGeom>
                        <a:solidFill>
                          <a:srgbClr val="DDDDDD"/>
                        </a:solidFill>
                      </wps:spPr>
                      <wps:bodyPr/>
                    </wps:wsp>
                  </a:graphicData>
                </a:graphic>
              </wp:anchor>
            </w:drawing>
          </mc:Choice>
          <mc:Fallback>
            <w:pict>
              <v:rect id="Shape 71" o:spid="_x0000_s1096" style="position:absolute;margin-left:3.15pt;margin-top:-58.8499pt;width:329.4pt;height: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39370</wp:posOffset>
                </wp:positionH>
                <wp:positionV relativeFrom="paragraph">
                  <wp:posOffset>-569595</wp:posOffset>
                </wp:positionV>
                <wp:extent cx="4184015" cy="149225"/>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84015" cy="149225"/>
                        </a:xfrm>
                        <a:prstGeom prst="rect">
                          <a:avLst/>
                        </a:prstGeom>
                        <a:solidFill>
                          <a:srgbClr val="DDDDDD"/>
                        </a:solidFill>
                      </wps:spPr>
                      <wps:bodyPr/>
                    </wps:wsp>
                  </a:graphicData>
                </a:graphic>
              </wp:anchor>
            </w:drawing>
          </mc:Choice>
          <mc:Fallback>
            <w:pict>
              <v:rect id="Shape 72" o:spid="_x0000_s1097" style="position:absolute;margin-left:3.1pt;margin-top:-44.8499pt;width:329.45pt;height:11.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 consolidated financial statements.</w:t>
      </w:r>
    </w:p>
    <w:p>
      <w:pPr>
        <w:sectPr>
          <w:pgSz w:w="15840" w:h="12240" w:orient="landscape"/>
          <w:cols w:equalWidth="0" w:num="1">
            <w:col w:w="13520"/>
          </w:cols>
          <w:pgMar w:left="1160" w:top="8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5840" w:h="12240" w:orient="landscape"/>
          <w:cols w:equalWidth="0" w:num="1">
            <w:col w:w="13520"/>
          </w:cols>
          <w:pgMar w:left="1160" w:top="818" w:right="1160" w:bottom="0" w:gutter="0" w:footer="0" w:header="0"/>
          <w:type w:val="continuous"/>
        </w:sectPr>
      </w:pPr>
    </w:p>
    <w:bookmarkStart w:id="66" w:name="page67"/>
    <w:bookmarkEnd w:id="6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SiTime Corporation</w:t>
      </w: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(In thousands</w:t>
      </w:r>
      <w:r>
        <w:rPr>
          <w:rFonts w:ascii="Times New Roman" w:cs="Times New Roman" w:eastAsia="Times New Roman" w:hAnsi="Times New Roman"/>
          <w:sz w:val="20"/>
          <w:szCs w:val="20"/>
          <w:color w:val="auto"/>
        </w:rPr>
        <w:t>)</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6"/>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0" w:type="dxa"/>
            <w:vAlign w:val="bottom"/>
          </w:tcPr>
          <w:p>
            <w:pPr>
              <w:spacing w:after="0"/>
              <w:rPr>
                <w:sz w:val="3"/>
                <w:szCs w:val="3"/>
                <w:color w:val="auto"/>
              </w:rPr>
            </w:pPr>
          </w:p>
        </w:tc>
        <w:tc>
          <w:tcPr>
            <w:tcW w:w="58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9"/>
        </w:trPr>
        <w:tc>
          <w:tcPr>
            <w:tcW w:w="40" w:type="dxa"/>
            <w:vAlign w:val="bottom"/>
            <w:tcBorders>
              <w:bottom w:val="single" w:sz="8" w:color="DDDDDD"/>
            </w:tcBorders>
          </w:tcPr>
          <w:p>
            <w:pPr>
              <w:spacing w:after="0"/>
              <w:rPr>
                <w:sz w:val="3"/>
                <w:szCs w:val="3"/>
                <w:color w:val="auto"/>
              </w:rPr>
            </w:pPr>
          </w:p>
        </w:tc>
        <w:tc>
          <w:tcPr>
            <w:tcW w:w="5800" w:type="dxa"/>
            <w:vAlign w:val="bottom"/>
            <w:tcBorders>
              <w:bottom w:val="single" w:sz="8" w:color="DDDDDD"/>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DDDDDD"/>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DDDDDD"/>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40" w:type="dxa"/>
            <w:vAlign w:val="bottom"/>
            <w:tcBorders>
              <w:bottom w:val="single" w:sz="8" w:color="DDDDDD"/>
            </w:tcBorders>
            <w:shd w:val="clear" w:color="auto" w:fill="DDDDDD"/>
          </w:tcPr>
          <w:p>
            <w:pPr>
              <w:spacing w:after="0"/>
              <w:rPr>
                <w:sz w:val="23"/>
                <w:szCs w:val="23"/>
                <w:color w:val="auto"/>
              </w:rPr>
            </w:pPr>
          </w:p>
        </w:tc>
        <w:tc>
          <w:tcPr>
            <w:tcW w:w="580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b w:val="1"/>
                <w:bCs w:val="1"/>
                <w:color w:val="auto"/>
              </w:rPr>
              <w:t>Cash flows from operating activities:</w:t>
            </w:r>
          </w:p>
        </w:tc>
        <w:tc>
          <w:tcPr>
            <w:tcW w:w="260" w:type="dxa"/>
            <w:vAlign w:val="bottom"/>
            <w:tcBorders>
              <w:bottom w:val="single" w:sz="8" w:color="DDDDDD"/>
            </w:tcBorders>
            <w:shd w:val="clear" w:color="auto" w:fill="DDDDDD"/>
          </w:tcPr>
          <w:p>
            <w:pPr>
              <w:spacing w:after="0"/>
              <w:rPr>
                <w:sz w:val="23"/>
                <w:szCs w:val="23"/>
                <w:color w:val="auto"/>
              </w:rPr>
            </w:pPr>
          </w:p>
        </w:tc>
        <w:tc>
          <w:tcPr>
            <w:tcW w:w="104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300" w:type="dxa"/>
            <w:vAlign w:val="bottom"/>
            <w:tcBorders>
              <w:bottom w:val="single" w:sz="8" w:color="DDDDDD"/>
            </w:tcBorders>
            <w:shd w:val="clear" w:color="auto" w:fill="DDDDDD"/>
          </w:tcPr>
          <w:p>
            <w:pPr>
              <w:spacing w:after="0"/>
              <w:rPr>
                <w:sz w:val="23"/>
                <w:szCs w:val="23"/>
                <w:color w:val="auto"/>
              </w:rPr>
            </w:pPr>
          </w:p>
        </w:tc>
        <w:tc>
          <w:tcPr>
            <w:tcW w:w="100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260" w:type="dxa"/>
            <w:vAlign w:val="bottom"/>
            <w:tcBorders>
              <w:bottom w:val="single" w:sz="8" w:color="DDDDDD"/>
            </w:tcBorders>
            <w:shd w:val="clear" w:color="auto" w:fill="DDDDDD"/>
          </w:tcPr>
          <w:p>
            <w:pPr>
              <w:spacing w:after="0"/>
              <w:rPr>
                <w:sz w:val="23"/>
                <w:szCs w:val="23"/>
                <w:color w:val="auto"/>
              </w:rPr>
            </w:pPr>
          </w:p>
        </w:tc>
        <w:tc>
          <w:tcPr>
            <w:tcW w:w="1040" w:type="dxa"/>
            <w:vAlign w:val="bottom"/>
            <w:tcBorders>
              <w:bottom w:val="single" w:sz="8" w:color="DDDDDD"/>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58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Net loss</w:t>
            </w:r>
          </w:p>
        </w:tc>
        <w:tc>
          <w:tcPr>
            <w:tcW w:w="2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(42,903)</w:t>
            </w:r>
          </w:p>
        </w:tc>
        <w:tc>
          <w:tcPr>
            <w:tcW w:w="380" w:type="dxa"/>
            <w:vAlign w:val="bottom"/>
            <w:gridSpan w:val="2"/>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(93,601)</w:t>
            </w:r>
          </w:p>
        </w:tc>
        <w:tc>
          <w:tcPr>
            <w:tcW w:w="340" w:type="dxa"/>
            <w:vAlign w:val="bottom"/>
            <w:gridSpan w:val="2"/>
          </w:tcPr>
          <w:p>
            <w:pPr>
              <w:jc w:val="right"/>
              <w:ind w:right="25"/>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(80,535)</w:t>
            </w:r>
          </w:p>
        </w:tc>
        <w:tc>
          <w:tcPr>
            <w:tcW w:w="0" w:type="dxa"/>
            <w:vAlign w:val="bottom"/>
          </w:tcPr>
          <w:p>
            <w:pPr>
              <w:spacing w:after="0"/>
              <w:rPr>
                <w:sz w:val="1"/>
                <w:szCs w:val="1"/>
                <w:color w:val="auto"/>
              </w:rPr>
            </w:pPr>
          </w:p>
        </w:tc>
      </w:tr>
      <w:tr>
        <w:trPr>
          <w:trHeight w:val="254"/>
        </w:trPr>
        <w:tc>
          <w:tcPr>
            <w:tcW w:w="40" w:type="dxa"/>
            <w:vAlign w:val="bottom"/>
            <w:shd w:val="clear" w:color="auto" w:fill="DDDDDD"/>
          </w:tcPr>
          <w:p>
            <w:pPr>
              <w:spacing w:after="0"/>
              <w:rPr>
                <w:sz w:val="22"/>
                <w:szCs w:val="22"/>
                <w:color w:val="auto"/>
              </w:rPr>
            </w:pPr>
          </w:p>
        </w:tc>
        <w:tc>
          <w:tcPr>
            <w:tcW w:w="580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9"/>
                <w:szCs w:val="19"/>
                <w:color w:val="auto"/>
              </w:rPr>
              <w:t>Adjustments to reconcile net loss to net cash provided by operating</w:t>
            </w: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00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40" w:type="dxa"/>
            <w:vAlign w:val="bottom"/>
            <w:tcBorders>
              <w:bottom w:val="single" w:sz="8" w:color="DDDDDD"/>
            </w:tcBorders>
            <w:shd w:val="clear" w:color="auto" w:fill="DDDDDD"/>
          </w:tcPr>
          <w:p>
            <w:pPr>
              <w:spacing w:after="0"/>
              <w:rPr>
                <w:sz w:val="23"/>
                <w:szCs w:val="23"/>
                <w:color w:val="auto"/>
              </w:rPr>
            </w:pPr>
          </w:p>
        </w:tc>
        <w:tc>
          <w:tcPr>
            <w:tcW w:w="5800" w:type="dxa"/>
            <w:vAlign w:val="bottom"/>
            <w:tcBorders>
              <w:bottom w:val="single" w:sz="8" w:color="DDDDDD"/>
            </w:tcBorders>
            <w:shd w:val="clear" w:color="auto" w:fill="DDDDDD"/>
          </w:tcPr>
          <w:p>
            <w:pPr>
              <w:ind w:left="360"/>
              <w:spacing w:after="0"/>
              <w:rPr>
                <w:sz w:val="20"/>
                <w:szCs w:val="20"/>
                <w:color w:val="auto"/>
              </w:rPr>
            </w:pPr>
            <w:r>
              <w:rPr>
                <w:rFonts w:ascii="Times New Roman" w:cs="Times New Roman" w:eastAsia="Times New Roman" w:hAnsi="Times New Roman"/>
                <w:sz w:val="19"/>
                <w:szCs w:val="19"/>
                <w:color w:val="auto"/>
              </w:rPr>
              <w:t>activities</w:t>
            </w:r>
          </w:p>
        </w:tc>
        <w:tc>
          <w:tcPr>
            <w:tcW w:w="260" w:type="dxa"/>
            <w:vAlign w:val="bottom"/>
            <w:tcBorders>
              <w:bottom w:val="single" w:sz="8" w:color="DDDDDD"/>
            </w:tcBorders>
            <w:shd w:val="clear" w:color="auto" w:fill="DDDDDD"/>
          </w:tcPr>
          <w:p>
            <w:pPr>
              <w:spacing w:after="0"/>
              <w:rPr>
                <w:sz w:val="23"/>
                <w:szCs w:val="23"/>
                <w:color w:val="auto"/>
              </w:rPr>
            </w:pPr>
          </w:p>
        </w:tc>
        <w:tc>
          <w:tcPr>
            <w:tcW w:w="104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300" w:type="dxa"/>
            <w:vAlign w:val="bottom"/>
            <w:tcBorders>
              <w:bottom w:val="single" w:sz="8" w:color="DDDDDD"/>
            </w:tcBorders>
            <w:shd w:val="clear" w:color="auto" w:fill="DDDDDD"/>
          </w:tcPr>
          <w:p>
            <w:pPr>
              <w:spacing w:after="0"/>
              <w:rPr>
                <w:sz w:val="23"/>
                <w:szCs w:val="23"/>
                <w:color w:val="auto"/>
              </w:rPr>
            </w:pPr>
          </w:p>
        </w:tc>
        <w:tc>
          <w:tcPr>
            <w:tcW w:w="100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260" w:type="dxa"/>
            <w:vAlign w:val="bottom"/>
            <w:tcBorders>
              <w:bottom w:val="single" w:sz="8" w:color="DDDDDD"/>
            </w:tcBorders>
            <w:shd w:val="clear" w:color="auto" w:fill="DDDDDD"/>
          </w:tcPr>
          <w:p>
            <w:pPr>
              <w:spacing w:after="0"/>
              <w:rPr>
                <w:sz w:val="23"/>
                <w:szCs w:val="23"/>
                <w:color w:val="auto"/>
              </w:rPr>
            </w:pPr>
          </w:p>
        </w:tc>
        <w:tc>
          <w:tcPr>
            <w:tcW w:w="1040" w:type="dxa"/>
            <w:vAlign w:val="bottom"/>
            <w:tcBorders>
              <w:bottom w:val="single" w:sz="8" w:color="DDDDDD"/>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580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Depreciation and amortization expense</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40,189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30,072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16,128</w:t>
            </w:r>
          </w:p>
        </w:tc>
        <w:tc>
          <w:tcPr>
            <w:tcW w:w="0" w:type="dxa"/>
            <w:vAlign w:val="bottom"/>
          </w:tcPr>
          <w:p>
            <w:pPr>
              <w:spacing w:after="0"/>
              <w:rPr>
                <w:sz w:val="1"/>
                <w:szCs w:val="1"/>
                <w:color w:val="auto"/>
              </w:rPr>
            </w:pPr>
          </w:p>
        </w:tc>
      </w:tr>
      <w:tr>
        <w:trPr>
          <w:trHeight w:val="256"/>
        </w:trPr>
        <w:tc>
          <w:tcPr>
            <w:tcW w:w="40" w:type="dxa"/>
            <w:vAlign w:val="bottom"/>
            <w:shd w:val="clear" w:color="auto" w:fill="DDDDDD"/>
          </w:tcPr>
          <w:p>
            <w:pPr>
              <w:spacing w:after="0"/>
              <w:rPr>
                <w:sz w:val="22"/>
                <w:szCs w:val="22"/>
                <w:color w:val="auto"/>
              </w:rPr>
            </w:pPr>
          </w:p>
        </w:tc>
        <w:tc>
          <w:tcPr>
            <w:tcW w:w="5800" w:type="dxa"/>
            <w:vAlign w:val="bottom"/>
            <w:shd w:val="clear" w:color="auto" w:fill="DDDDDD"/>
          </w:tcPr>
          <w:p>
            <w:pPr>
              <w:ind w:left="460"/>
              <w:spacing w:after="0"/>
              <w:rPr>
                <w:sz w:val="20"/>
                <w:szCs w:val="20"/>
                <w:color w:val="auto"/>
              </w:rPr>
            </w:pPr>
            <w:r>
              <w:rPr>
                <w:rFonts w:ascii="Times New Roman" w:cs="Times New Roman" w:eastAsia="Times New Roman" w:hAnsi="Times New Roman"/>
                <w:sz w:val="19"/>
                <w:szCs w:val="19"/>
                <w:color w:val="auto"/>
              </w:rPr>
              <w:t>Stock-based compensation expense</w:t>
            </w: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103,540</w:t>
            </w:r>
          </w:p>
        </w:tc>
        <w:tc>
          <w:tcPr>
            <w:tcW w:w="8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92,634</w:t>
            </w:r>
          </w:p>
        </w:tc>
        <w:tc>
          <w:tcPr>
            <w:tcW w:w="8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76,753</w:t>
            </w:r>
          </w:p>
        </w:tc>
        <w:tc>
          <w:tcPr>
            <w:tcW w:w="0" w:type="dxa"/>
            <w:vAlign w:val="bottom"/>
          </w:tcPr>
          <w:p>
            <w:pPr>
              <w:spacing w:after="0"/>
              <w:rPr>
                <w:sz w:val="1"/>
                <w:szCs w:val="1"/>
                <w:color w:val="auto"/>
              </w:rPr>
            </w:pPr>
          </w:p>
        </w:tc>
      </w:tr>
      <w:tr>
        <w:trPr>
          <w:trHeight w:val="333"/>
        </w:trPr>
        <w:tc>
          <w:tcPr>
            <w:tcW w:w="40" w:type="dxa"/>
            <w:vAlign w:val="bottom"/>
          </w:tcPr>
          <w:p>
            <w:pPr>
              <w:spacing w:after="0"/>
              <w:rPr>
                <w:sz w:val="24"/>
                <w:szCs w:val="24"/>
                <w:color w:val="auto"/>
              </w:rPr>
            </w:pPr>
          </w:p>
        </w:tc>
        <w:tc>
          <w:tcPr>
            <w:tcW w:w="580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Net change in unrealized interest on held to maturity securities</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(3,511)</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4,577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(3,829)</w:t>
            </w: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5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40" w:type="dxa"/>
            <w:vAlign w:val="bottom"/>
            <w:tcBorders>
              <w:bottom w:val="single" w:sz="8" w:color="DDDDDD"/>
            </w:tcBorders>
            <w:shd w:val="clear" w:color="auto" w:fill="DDDDDD"/>
          </w:tcPr>
          <w:p>
            <w:pPr>
              <w:spacing w:after="0"/>
              <w:rPr>
                <w:sz w:val="24"/>
                <w:szCs w:val="24"/>
                <w:color w:val="auto"/>
              </w:rPr>
            </w:pPr>
          </w:p>
        </w:tc>
        <w:tc>
          <w:tcPr>
            <w:tcW w:w="5800" w:type="dxa"/>
            <w:vAlign w:val="bottom"/>
            <w:tcBorders>
              <w:bottom w:val="single" w:sz="8" w:color="DDDDDD"/>
            </w:tcBorders>
            <w:shd w:val="clear" w:color="auto" w:fill="DDDDDD"/>
          </w:tcPr>
          <w:p>
            <w:pPr>
              <w:ind w:left="460"/>
              <w:spacing w:after="0"/>
              <w:rPr>
                <w:sz w:val="20"/>
                <w:szCs w:val="20"/>
                <w:color w:val="auto"/>
              </w:rPr>
            </w:pPr>
            <w:r>
              <w:rPr>
                <w:rFonts w:ascii="Times New Roman" w:cs="Times New Roman" w:eastAsia="Times New Roman" w:hAnsi="Times New Roman"/>
                <w:sz w:val="19"/>
                <w:szCs w:val="19"/>
                <w:color w:val="auto"/>
              </w:rPr>
              <w:t>Change in fair value of sales based earnout liability</w:t>
            </w:r>
          </w:p>
        </w:tc>
        <w:tc>
          <w:tcPr>
            <w:tcW w:w="260" w:type="dxa"/>
            <w:vAlign w:val="bottom"/>
            <w:tcBorders>
              <w:bottom w:val="single" w:sz="8" w:color="DDDDDD"/>
            </w:tcBorders>
            <w:shd w:val="clear" w:color="auto" w:fill="DDDDDD"/>
          </w:tcPr>
          <w:p>
            <w:pPr>
              <w:spacing w:after="0"/>
              <w:rPr>
                <w:sz w:val="24"/>
                <w:szCs w:val="24"/>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4,000</w:t>
            </w:r>
          </w:p>
        </w:tc>
        <w:tc>
          <w:tcPr>
            <w:tcW w:w="8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DDDDDD"/>
            </w:tcBorders>
            <w:shd w:val="clear" w:color="auto" w:fill="DDDDDD"/>
          </w:tcPr>
          <w:p>
            <w:pPr>
              <w:spacing w:after="0"/>
              <w:rPr>
                <w:sz w:val="24"/>
                <w:szCs w:val="24"/>
                <w:color w:val="auto"/>
              </w:rPr>
            </w:pPr>
          </w:p>
        </w:tc>
        <w:tc>
          <w:tcPr>
            <w:tcW w:w="10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6,049</w:t>
            </w:r>
          </w:p>
        </w:tc>
        <w:tc>
          <w:tcPr>
            <w:tcW w:w="80" w:type="dxa"/>
            <w:vAlign w:val="bottom"/>
            <w:tcBorders>
              <w:bottom w:val="single" w:sz="8" w:color="DDDDDD"/>
            </w:tcBorders>
            <w:shd w:val="clear" w:color="auto" w:fill="DDDDDD"/>
          </w:tcPr>
          <w:p>
            <w:pPr>
              <w:spacing w:after="0"/>
              <w:rPr>
                <w:sz w:val="24"/>
                <w:szCs w:val="24"/>
                <w:color w:val="auto"/>
              </w:rPr>
            </w:pPr>
          </w:p>
        </w:tc>
        <w:tc>
          <w:tcPr>
            <w:tcW w:w="260" w:type="dxa"/>
            <w:vAlign w:val="bottom"/>
            <w:tcBorders>
              <w:bottom w:val="single" w:sz="8" w:color="DDDDDD"/>
            </w:tcBorders>
            <w:shd w:val="clear" w:color="auto" w:fill="DDDDDD"/>
          </w:tcPr>
          <w:p>
            <w:pPr>
              <w:spacing w:after="0"/>
              <w:rPr>
                <w:sz w:val="24"/>
                <w:szCs w:val="24"/>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1,183</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58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Accretion of acquisition consideration payable</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w:t>
            </w: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5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40" w:type="dxa"/>
            <w:vAlign w:val="bottom"/>
            <w:shd w:val="clear" w:color="auto" w:fill="DDDDDD"/>
          </w:tcPr>
          <w:p>
            <w:pPr>
              <w:spacing w:after="0"/>
              <w:rPr>
                <w:sz w:val="22"/>
                <w:szCs w:val="22"/>
                <w:color w:val="auto"/>
              </w:rPr>
            </w:pPr>
          </w:p>
        </w:tc>
        <w:tc>
          <w:tcPr>
            <w:tcW w:w="5800" w:type="dxa"/>
            <w:vAlign w:val="bottom"/>
            <w:shd w:val="clear" w:color="auto" w:fill="DDDDDD"/>
          </w:tcPr>
          <w:p>
            <w:pPr>
              <w:ind w:left="460"/>
              <w:spacing w:after="0"/>
              <w:rPr>
                <w:sz w:val="20"/>
                <w:szCs w:val="20"/>
                <w:color w:val="auto"/>
              </w:rPr>
            </w:pPr>
            <w:r>
              <w:rPr>
                <w:rFonts w:ascii="Times New Roman" w:cs="Times New Roman" w:eastAsia="Times New Roman" w:hAnsi="Times New Roman"/>
                <w:sz w:val="19"/>
                <w:szCs w:val="19"/>
                <w:color w:val="auto"/>
              </w:rPr>
              <w:t>Inventory write-down</w:t>
            </w: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6,599</w:t>
            </w:r>
          </w:p>
        </w:tc>
        <w:tc>
          <w:tcPr>
            <w:tcW w:w="8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4,431</w:t>
            </w:r>
          </w:p>
        </w:tc>
        <w:tc>
          <w:tcPr>
            <w:tcW w:w="8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1,997</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5800" w:type="dxa"/>
            <w:vAlign w:val="bottom"/>
          </w:tcPr>
          <w:p>
            <w:pPr>
              <w:ind w:left="460"/>
              <w:spacing w:after="0"/>
              <w:rPr>
                <w:sz w:val="20"/>
                <w:szCs w:val="20"/>
                <w:color w:val="auto"/>
              </w:rPr>
            </w:pPr>
            <w:r>
              <w:rPr>
                <w:rFonts w:ascii="Times New Roman" w:cs="Times New Roman" w:eastAsia="Times New Roman" w:hAnsi="Times New Roman"/>
                <w:sz w:val="19"/>
                <w:szCs w:val="19"/>
                <w:color w:val="auto"/>
              </w:rPr>
              <w:t>Other, net</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0" w:type="dxa"/>
            <w:vAlign w:val="bottom"/>
          </w:tcPr>
          <w:p>
            <w:pPr>
              <w:spacing w:after="0"/>
              <w:rPr>
                <w:sz w:val="1"/>
                <w:szCs w:val="1"/>
                <w:color w:val="auto"/>
              </w:rPr>
            </w:pPr>
          </w:p>
        </w:tc>
      </w:tr>
      <w:tr>
        <w:trPr>
          <w:trHeight w:val="256"/>
        </w:trPr>
        <w:tc>
          <w:tcPr>
            <w:tcW w:w="40" w:type="dxa"/>
            <w:vAlign w:val="bottom"/>
            <w:shd w:val="clear" w:color="auto" w:fill="DDDDDD"/>
          </w:tcPr>
          <w:p>
            <w:pPr>
              <w:spacing w:after="0"/>
              <w:rPr>
                <w:sz w:val="22"/>
                <w:szCs w:val="22"/>
                <w:color w:val="auto"/>
              </w:rPr>
            </w:pPr>
          </w:p>
        </w:tc>
        <w:tc>
          <w:tcPr>
            <w:tcW w:w="5800" w:type="dxa"/>
            <w:vAlign w:val="bottom"/>
            <w:shd w:val="clear" w:color="auto" w:fill="DDDDDD"/>
          </w:tcPr>
          <w:p>
            <w:pPr>
              <w:ind w:left="460"/>
              <w:spacing w:after="0"/>
              <w:rPr>
                <w:sz w:val="20"/>
                <w:szCs w:val="20"/>
                <w:color w:val="auto"/>
              </w:rPr>
            </w:pPr>
            <w:r>
              <w:rPr>
                <w:rFonts w:ascii="Times New Roman" w:cs="Times New Roman" w:eastAsia="Times New Roman" w:hAnsi="Times New Roman"/>
                <w:sz w:val="19"/>
                <w:szCs w:val="19"/>
                <w:color w:val="auto"/>
              </w:rPr>
              <w:t>Changes in assets and liabilities:</w:t>
            </w: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00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580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Accounts receivable, net</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(6,831)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(16,348)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19,368</w:t>
            </w:r>
          </w:p>
        </w:tc>
        <w:tc>
          <w:tcPr>
            <w:tcW w:w="0" w:type="dxa"/>
            <w:vAlign w:val="bottom"/>
          </w:tcPr>
          <w:p>
            <w:pPr>
              <w:spacing w:after="0"/>
              <w:rPr>
                <w:sz w:val="1"/>
                <w:szCs w:val="1"/>
                <w:color w:val="auto"/>
              </w:rPr>
            </w:pPr>
          </w:p>
        </w:tc>
      </w:tr>
      <w:tr>
        <w:trPr>
          <w:trHeight w:val="256"/>
        </w:trPr>
        <w:tc>
          <w:tcPr>
            <w:tcW w:w="40" w:type="dxa"/>
            <w:vAlign w:val="bottom"/>
            <w:shd w:val="clear" w:color="auto" w:fill="DDDDDD"/>
          </w:tcPr>
          <w:p>
            <w:pPr>
              <w:spacing w:after="0"/>
              <w:rPr>
                <w:sz w:val="22"/>
                <w:szCs w:val="22"/>
                <w:color w:val="auto"/>
              </w:rPr>
            </w:pPr>
          </w:p>
        </w:tc>
        <w:tc>
          <w:tcPr>
            <w:tcW w:w="5800" w:type="dxa"/>
            <w:vAlign w:val="bottom"/>
            <w:shd w:val="clear" w:color="auto" w:fill="DDDDDD"/>
          </w:tcPr>
          <w:p>
            <w:pPr>
              <w:ind w:left="720"/>
              <w:spacing w:after="0"/>
              <w:rPr>
                <w:sz w:val="20"/>
                <w:szCs w:val="20"/>
                <w:color w:val="auto"/>
              </w:rPr>
            </w:pPr>
            <w:r>
              <w:rPr>
                <w:rFonts w:ascii="Times New Roman" w:cs="Times New Roman" w:eastAsia="Times New Roman" w:hAnsi="Times New Roman"/>
                <w:sz w:val="19"/>
                <w:szCs w:val="19"/>
                <w:color w:val="auto"/>
              </w:rPr>
              <w:t>Inventories</w:t>
            </w: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(11,997)</w:t>
            </w:r>
          </w:p>
        </w:tc>
        <w:tc>
          <w:tcPr>
            <w:tcW w:w="8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(14,344)</w:t>
            </w:r>
          </w:p>
        </w:tc>
        <w:tc>
          <w:tcPr>
            <w:tcW w:w="8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(9,886)</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5800" w:type="dxa"/>
            <w:vAlign w:val="bottom"/>
          </w:tcPr>
          <w:p>
            <w:pPr>
              <w:ind w:left="720"/>
              <w:spacing w:after="0"/>
              <w:rPr>
                <w:sz w:val="20"/>
                <w:szCs w:val="20"/>
                <w:color w:val="auto"/>
              </w:rPr>
            </w:pPr>
            <w:r>
              <w:rPr>
                <w:rFonts w:ascii="Times New Roman" w:cs="Times New Roman" w:eastAsia="Times New Roman" w:hAnsi="Times New Roman"/>
                <w:sz w:val="19"/>
                <w:szCs w:val="19"/>
                <w:color w:val="auto"/>
              </w:rPr>
              <w:t>Prepaid expenses and other assets</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(4,553)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(2,516)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(6,116)</w:t>
            </w:r>
          </w:p>
        </w:tc>
        <w:tc>
          <w:tcPr>
            <w:tcW w:w="0" w:type="dxa"/>
            <w:vAlign w:val="bottom"/>
          </w:tcPr>
          <w:p>
            <w:pPr>
              <w:spacing w:after="0"/>
              <w:rPr>
                <w:sz w:val="1"/>
                <w:szCs w:val="1"/>
                <w:color w:val="auto"/>
              </w:rPr>
            </w:pPr>
          </w:p>
        </w:tc>
      </w:tr>
      <w:tr>
        <w:trPr>
          <w:trHeight w:val="256"/>
        </w:trPr>
        <w:tc>
          <w:tcPr>
            <w:tcW w:w="40" w:type="dxa"/>
            <w:vAlign w:val="bottom"/>
            <w:shd w:val="clear" w:color="auto" w:fill="DDDDDD"/>
          </w:tcPr>
          <w:p>
            <w:pPr>
              <w:spacing w:after="0"/>
              <w:rPr>
                <w:sz w:val="22"/>
                <w:szCs w:val="22"/>
                <w:color w:val="auto"/>
              </w:rPr>
            </w:pPr>
          </w:p>
        </w:tc>
        <w:tc>
          <w:tcPr>
            <w:tcW w:w="5800" w:type="dxa"/>
            <w:vAlign w:val="bottom"/>
            <w:shd w:val="clear" w:color="auto" w:fill="DDDDDD"/>
          </w:tcPr>
          <w:p>
            <w:pPr>
              <w:ind w:left="720"/>
              <w:spacing w:after="0"/>
              <w:rPr>
                <w:sz w:val="20"/>
                <w:szCs w:val="20"/>
                <w:color w:val="auto"/>
              </w:rPr>
            </w:pPr>
            <w:r>
              <w:rPr>
                <w:rFonts w:ascii="Times New Roman" w:cs="Times New Roman" w:eastAsia="Times New Roman" w:hAnsi="Times New Roman"/>
                <w:sz w:val="19"/>
                <w:szCs w:val="19"/>
                <w:color w:val="auto"/>
              </w:rPr>
              <w:t>Accounts payable</w:t>
            </w: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4,302</w:t>
            </w:r>
          </w:p>
        </w:tc>
        <w:tc>
          <w:tcPr>
            <w:tcW w:w="8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6,122</w:t>
            </w:r>
          </w:p>
        </w:tc>
        <w:tc>
          <w:tcPr>
            <w:tcW w:w="8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(5,706)</w:t>
            </w:r>
          </w:p>
        </w:tc>
        <w:tc>
          <w:tcPr>
            <w:tcW w:w="0" w:type="dxa"/>
            <w:vAlign w:val="bottom"/>
          </w:tcPr>
          <w:p>
            <w:pPr>
              <w:spacing w:after="0"/>
              <w:rPr>
                <w:sz w:val="1"/>
                <w:szCs w:val="1"/>
                <w:color w:val="auto"/>
              </w:rPr>
            </w:pPr>
          </w:p>
        </w:tc>
      </w:tr>
      <w:tr>
        <w:trPr>
          <w:trHeight w:val="254"/>
        </w:trPr>
        <w:tc>
          <w:tcPr>
            <w:tcW w:w="40" w:type="dxa"/>
            <w:vAlign w:val="bottom"/>
            <w:tcBorders>
              <w:bottom w:val="single" w:sz="8" w:color="DDDDDD"/>
            </w:tcBorders>
          </w:tcPr>
          <w:p>
            <w:pPr>
              <w:spacing w:after="0"/>
              <w:rPr>
                <w:sz w:val="22"/>
                <w:szCs w:val="22"/>
                <w:color w:val="auto"/>
              </w:rPr>
            </w:pPr>
          </w:p>
        </w:tc>
        <w:tc>
          <w:tcPr>
            <w:tcW w:w="5800" w:type="dxa"/>
            <w:vAlign w:val="bottom"/>
            <w:tcBorders>
              <w:bottom w:val="single" w:sz="8" w:color="DDDDDD"/>
            </w:tcBorders>
          </w:tcPr>
          <w:p>
            <w:pPr>
              <w:ind w:left="720"/>
              <w:spacing w:after="0"/>
              <w:rPr>
                <w:sz w:val="20"/>
                <w:szCs w:val="20"/>
                <w:color w:val="auto"/>
              </w:rPr>
            </w:pPr>
            <w:r>
              <w:rPr>
                <w:rFonts w:ascii="Times New Roman" w:cs="Times New Roman" w:eastAsia="Times New Roman" w:hAnsi="Times New Roman"/>
                <w:sz w:val="19"/>
                <w:szCs w:val="19"/>
                <w:color w:val="auto"/>
              </w:rPr>
              <w:t>Accrued expenses and other liabilities</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(2,749)</w:t>
            </w:r>
          </w:p>
        </w:tc>
        <w:tc>
          <w:tcPr>
            <w:tcW w:w="80" w:type="dxa"/>
            <w:vAlign w:val="bottom"/>
            <w:tcBorders>
              <w:bottom w:val="single" w:sz="8" w:color="DDDDD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2,058</w:t>
            </w:r>
          </w:p>
        </w:tc>
        <w:tc>
          <w:tcPr>
            <w:tcW w:w="80" w:type="dxa"/>
            <w:vAlign w:val="bottom"/>
            <w:tcBorders>
              <w:bottom w:val="single" w:sz="8" w:color="DDDDD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(1,988)</w:t>
            </w:r>
          </w:p>
        </w:tc>
        <w:tc>
          <w:tcPr>
            <w:tcW w:w="0" w:type="dxa"/>
            <w:vAlign w:val="bottom"/>
          </w:tcPr>
          <w:p>
            <w:pPr>
              <w:spacing w:after="0"/>
              <w:rPr>
                <w:sz w:val="1"/>
                <w:szCs w:val="1"/>
                <w:color w:val="auto"/>
              </w:rPr>
            </w:pPr>
          </w:p>
        </w:tc>
      </w:tr>
      <w:tr>
        <w:trPr>
          <w:trHeight w:val="236"/>
        </w:trPr>
        <w:tc>
          <w:tcPr>
            <w:tcW w:w="40" w:type="dxa"/>
            <w:vAlign w:val="bottom"/>
            <w:shd w:val="clear" w:color="auto" w:fill="DDDDDD"/>
          </w:tcPr>
          <w:p>
            <w:pPr>
              <w:spacing w:after="0"/>
              <w:rPr>
                <w:sz w:val="20"/>
                <w:szCs w:val="20"/>
                <w:color w:val="auto"/>
              </w:rPr>
            </w:pPr>
          </w:p>
        </w:tc>
        <w:tc>
          <w:tcPr>
            <w:tcW w:w="5800" w:type="dxa"/>
            <w:vAlign w:val="bottom"/>
            <w:shd w:val="clear" w:color="auto" w:fill="DDDDDD"/>
          </w:tcPr>
          <w:p>
            <w:pPr>
              <w:ind w:left="900"/>
              <w:spacing w:after="0"/>
              <w:rPr>
                <w:sz w:val="20"/>
                <w:szCs w:val="20"/>
                <w:color w:val="auto"/>
              </w:rPr>
            </w:pPr>
            <w:r>
              <w:rPr>
                <w:rFonts w:ascii="Times New Roman" w:cs="Times New Roman" w:eastAsia="Times New Roman" w:hAnsi="Times New Roman"/>
                <w:sz w:val="19"/>
                <w:szCs w:val="19"/>
                <w:color w:val="auto"/>
              </w:rPr>
              <w:t>Net cash provided by operating activities</w:t>
            </w:r>
          </w:p>
        </w:tc>
        <w:tc>
          <w:tcPr>
            <w:tcW w:w="260" w:type="dxa"/>
            <w:vAlign w:val="bottom"/>
            <w:tcBorders>
              <w:bottom w:val="single" w:sz="8" w:color="auto"/>
            </w:tcBorders>
            <w:shd w:val="clear" w:color="auto" w:fill="DDDDDD"/>
          </w:tcPr>
          <w:p>
            <w:pPr>
              <w:spacing w:after="0"/>
              <w:rPr>
                <w:sz w:val="20"/>
                <w:szCs w:val="20"/>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87,154</w:t>
            </w:r>
          </w:p>
        </w:tc>
        <w:tc>
          <w:tcPr>
            <w:tcW w:w="80" w:type="dxa"/>
            <w:vAlign w:val="bottom"/>
            <w:shd w:val="clear" w:color="auto" w:fill="DDDDDD"/>
          </w:tcPr>
          <w:p>
            <w:pPr>
              <w:spacing w:after="0"/>
              <w:rPr>
                <w:sz w:val="20"/>
                <w:szCs w:val="20"/>
                <w:color w:val="auto"/>
              </w:rPr>
            </w:pPr>
          </w:p>
        </w:tc>
        <w:tc>
          <w:tcPr>
            <w:tcW w:w="300" w:type="dxa"/>
            <w:vAlign w:val="bottom"/>
            <w:tcBorders>
              <w:bottom w:val="single" w:sz="8" w:color="auto"/>
            </w:tcBorders>
            <w:shd w:val="clear" w:color="auto" w:fill="DDDDDD"/>
          </w:tcPr>
          <w:p>
            <w:pPr>
              <w:spacing w:after="0"/>
              <w:rPr>
                <w:sz w:val="20"/>
                <w:szCs w:val="20"/>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23,190</w:t>
            </w:r>
          </w:p>
        </w:tc>
        <w:tc>
          <w:tcPr>
            <w:tcW w:w="80" w:type="dxa"/>
            <w:vAlign w:val="bottom"/>
            <w:shd w:val="clear" w:color="auto" w:fill="DDDDDD"/>
          </w:tcPr>
          <w:p>
            <w:pPr>
              <w:spacing w:after="0"/>
              <w:rPr>
                <w:sz w:val="20"/>
                <w:szCs w:val="20"/>
                <w:color w:val="auto"/>
              </w:rPr>
            </w:pPr>
          </w:p>
        </w:tc>
        <w:tc>
          <w:tcPr>
            <w:tcW w:w="260" w:type="dxa"/>
            <w:vAlign w:val="bottom"/>
            <w:tcBorders>
              <w:bottom w:val="single" w:sz="8" w:color="auto"/>
            </w:tcBorders>
            <w:shd w:val="clear" w:color="auto" w:fill="DDDDDD"/>
          </w:tcPr>
          <w:p>
            <w:pPr>
              <w:spacing w:after="0"/>
              <w:rPr>
                <w:sz w:val="20"/>
                <w:szCs w:val="20"/>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8,056</w:t>
            </w: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Cash flows from investing activities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5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40" w:type="dxa"/>
            <w:vAlign w:val="bottom"/>
            <w:shd w:val="clear" w:color="auto" w:fill="DDDDDD"/>
          </w:tcPr>
          <w:p>
            <w:pPr>
              <w:spacing w:after="0"/>
              <w:rPr>
                <w:sz w:val="22"/>
                <w:szCs w:val="22"/>
                <w:color w:val="auto"/>
              </w:rPr>
            </w:pPr>
          </w:p>
        </w:tc>
        <w:tc>
          <w:tcPr>
            <w:tcW w:w="580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9"/>
                <w:szCs w:val="19"/>
                <w:color w:val="auto"/>
              </w:rPr>
              <w:t>Purchase of held to maturity securities</w:t>
            </w: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(1,368,793)</w:t>
            </w:r>
          </w:p>
        </w:tc>
        <w:tc>
          <w:tcPr>
            <w:tcW w:w="8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(807,836)</w:t>
            </w:r>
          </w:p>
        </w:tc>
        <w:tc>
          <w:tcPr>
            <w:tcW w:w="8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(1,046,407)</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8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Proceeds from maturity of held to maturity securities</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993,383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909,265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1,060,996</w:t>
            </w:r>
          </w:p>
        </w:tc>
        <w:tc>
          <w:tcPr>
            <w:tcW w:w="0" w:type="dxa"/>
            <w:vAlign w:val="bottom"/>
          </w:tcPr>
          <w:p>
            <w:pPr>
              <w:spacing w:after="0"/>
              <w:rPr>
                <w:sz w:val="1"/>
                <w:szCs w:val="1"/>
                <w:color w:val="auto"/>
              </w:rPr>
            </w:pPr>
          </w:p>
        </w:tc>
      </w:tr>
      <w:tr>
        <w:trPr>
          <w:trHeight w:val="292"/>
        </w:trPr>
        <w:tc>
          <w:tcPr>
            <w:tcW w:w="40" w:type="dxa"/>
            <w:vAlign w:val="bottom"/>
            <w:tcBorders>
              <w:bottom w:val="single" w:sz="8" w:color="DDDDDD"/>
            </w:tcBorders>
            <w:shd w:val="clear" w:color="auto" w:fill="DDDDDD"/>
          </w:tcPr>
          <w:p>
            <w:pPr>
              <w:spacing w:after="0"/>
              <w:rPr>
                <w:sz w:val="24"/>
                <w:szCs w:val="24"/>
                <w:color w:val="auto"/>
              </w:rPr>
            </w:pPr>
          </w:p>
        </w:tc>
        <w:tc>
          <w:tcPr>
            <w:tcW w:w="580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19"/>
                <w:szCs w:val="19"/>
                <w:color w:val="auto"/>
              </w:rPr>
              <w:t>Acquisition of business</w:t>
            </w:r>
          </w:p>
        </w:tc>
        <w:tc>
          <w:tcPr>
            <w:tcW w:w="260" w:type="dxa"/>
            <w:vAlign w:val="bottom"/>
            <w:tcBorders>
              <w:bottom w:val="single" w:sz="8" w:color="DDDDDD"/>
            </w:tcBorders>
            <w:shd w:val="clear" w:color="auto" w:fill="DDDDDD"/>
          </w:tcPr>
          <w:p>
            <w:pPr>
              <w:spacing w:after="0"/>
              <w:rPr>
                <w:sz w:val="24"/>
                <w:szCs w:val="24"/>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DDDDDD"/>
            </w:tcBorders>
            <w:shd w:val="clear" w:color="auto" w:fill="DDDDDD"/>
          </w:tcPr>
          <w:p>
            <w:pPr>
              <w:spacing w:after="0"/>
              <w:rPr>
                <w:sz w:val="24"/>
                <w:szCs w:val="24"/>
                <w:color w:val="auto"/>
              </w:rPr>
            </w:pPr>
          </w:p>
        </w:tc>
        <w:tc>
          <w:tcPr>
            <w:tcW w:w="10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Borders>
              <w:bottom w:val="single" w:sz="8" w:color="DDDDDD"/>
            </w:tcBorders>
            <w:shd w:val="clear" w:color="auto" w:fill="DDDDDD"/>
          </w:tcPr>
          <w:p>
            <w:pPr>
              <w:spacing w:after="0"/>
              <w:rPr>
                <w:sz w:val="24"/>
                <w:szCs w:val="24"/>
                <w:color w:val="auto"/>
              </w:rPr>
            </w:pPr>
          </w:p>
        </w:tc>
        <w:tc>
          <w:tcPr>
            <w:tcW w:w="260" w:type="dxa"/>
            <w:vAlign w:val="bottom"/>
            <w:tcBorders>
              <w:bottom w:val="single" w:sz="8" w:color="DDDDDD"/>
            </w:tcBorders>
            <w:shd w:val="clear" w:color="auto" w:fill="DDDDDD"/>
          </w:tcPr>
          <w:p>
            <w:pPr>
              <w:spacing w:after="0"/>
              <w:rPr>
                <w:sz w:val="24"/>
                <w:szCs w:val="24"/>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(39,000)</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8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Purchase of property and equipment</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(52,028)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(36,217)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(8,945)</w:t>
            </w:r>
          </w:p>
        </w:tc>
        <w:tc>
          <w:tcPr>
            <w:tcW w:w="0" w:type="dxa"/>
            <w:vAlign w:val="bottom"/>
          </w:tcPr>
          <w:p>
            <w:pPr>
              <w:spacing w:after="0"/>
              <w:rPr>
                <w:sz w:val="1"/>
                <w:szCs w:val="1"/>
                <w:color w:val="auto"/>
              </w:rPr>
            </w:pPr>
          </w:p>
        </w:tc>
      </w:tr>
      <w:tr>
        <w:trPr>
          <w:trHeight w:val="254"/>
        </w:trPr>
        <w:tc>
          <w:tcPr>
            <w:tcW w:w="40" w:type="dxa"/>
            <w:vAlign w:val="bottom"/>
            <w:shd w:val="clear" w:color="auto" w:fill="DDDDDD"/>
          </w:tcPr>
          <w:p>
            <w:pPr>
              <w:spacing w:after="0"/>
              <w:rPr>
                <w:sz w:val="22"/>
                <w:szCs w:val="22"/>
                <w:color w:val="auto"/>
              </w:rPr>
            </w:pPr>
          </w:p>
        </w:tc>
        <w:tc>
          <w:tcPr>
            <w:tcW w:w="580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9"/>
                <w:szCs w:val="19"/>
                <w:color w:val="auto"/>
              </w:rPr>
              <w:t>Cash paid for intangibles</w:t>
            </w:r>
          </w:p>
        </w:tc>
        <w:tc>
          <w:tcPr>
            <w:tcW w:w="260" w:type="dxa"/>
            <w:vAlign w:val="bottom"/>
            <w:tcBorders>
              <w:bottom w:val="single" w:sz="8" w:color="auto"/>
            </w:tcBorders>
            <w:shd w:val="clear" w:color="auto" w:fill="DDDDDD"/>
          </w:tcPr>
          <w:p>
            <w:pPr>
              <w:spacing w:after="0"/>
              <w:rPr>
                <w:sz w:val="22"/>
                <w:szCs w:val="22"/>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(428)</w:t>
            </w:r>
          </w:p>
        </w:tc>
        <w:tc>
          <w:tcPr>
            <w:tcW w:w="80" w:type="dxa"/>
            <w:vAlign w:val="bottom"/>
            <w:shd w:val="clear" w:color="auto" w:fill="DDDDDD"/>
          </w:tcPr>
          <w:p>
            <w:pPr>
              <w:spacing w:after="0"/>
              <w:rPr>
                <w:sz w:val="22"/>
                <w:szCs w:val="22"/>
                <w:color w:val="auto"/>
              </w:rPr>
            </w:pPr>
          </w:p>
        </w:tc>
        <w:tc>
          <w:tcPr>
            <w:tcW w:w="300" w:type="dxa"/>
            <w:vAlign w:val="bottom"/>
            <w:tcBorders>
              <w:bottom w:val="single" w:sz="8" w:color="auto"/>
            </w:tcBorders>
            <w:shd w:val="clear" w:color="auto" w:fill="DDDDDD"/>
          </w:tcPr>
          <w:p>
            <w:pPr>
              <w:spacing w:after="0"/>
              <w:rPr>
                <w:sz w:val="22"/>
                <w:szCs w:val="22"/>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(453)</w:t>
            </w:r>
          </w:p>
        </w:tc>
        <w:tc>
          <w:tcPr>
            <w:tcW w:w="80" w:type="dxa"/>
            <w:vAlign w:val="bottom"/>
            <w:shd w:val="clear" w:color="auto" w:fill="DDDDDD"/>
          </w:tcPr>
          <w:p>
            <w:pPr>
              <w:spacing w:after="0"/>
              <w:rPr>
                <w:sz w:val="22"/>
                <w:szCs w:val="22"/>
                <w:color w:val="auto"/>
              </w:rPr>
            </w:pPr>
          </w:p>
        </w:tc>
        <w:tc>
          <w:tcPr>
            <w:tcW w:w="260" w:type="dxa"/>
            <w:vAlign w:val="bottom"/>
            <w:tcBorders>
              <w:bottom w:val="single" w:sz="8" w:color="auto"/>
            </w:tcBorders>
            <w:shd w:val="clear" w:color="auto" w:fill="DDDDDD"/>
          </w:tcPr>
          <w:p>
            <w:pPr>
              <w:spacing w:after="0"/>
              <w:rPr>
                <w:sz w:val="22"/>
                <w:szCs w:val="22"/>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(3,304)</w:t>
            </w:r>
          </w:p>
        </w:tc>
        <w:tc>
          <w:tcPr>
            <w:tcW w:w="0" w:type="dxa"/>
            <w:vAlign w:val="bottom"/>
          </w:tcPr>
          <w:p>
            <w:pPr>
              <w:spacing w:after="0"/>
              <w:rPr>
                <w:sz w:val="1"/>
                <w:szCs w:val="1"/>
                <w:color w:val="auto"/>
              </w:rPr>
            </w:pPr>
          </w:p>
        </w:tc>
      </w:tr>
      <w:tr>
        <w:trPr>
          <w:trHeight w:val="236"/>
        </w:trPr>
        <w:tc>
          <w:tcPr>
            <w:tcW w:w="40" w:type="dxa"/>
            <w:vAlign w:val="bottom"/>
            <w:tcBorders>
              <w:bottom w:val="single" w:sz="8" w:color="DDDDDD"/>
            </w:tcBorders>
          </w:tcPr>
          <w:p>
            <w:pPr>
              <w:spacing w:after="0"/>
              <w:rPr>
                <w:sz w:val="20"/>
                <w:szCs w:val="20"/>
                <w:color w:val="auto"/>
              </w:rPr>
            </w:pPr>
          </w:p>
        </w:tc>
        <w:tc>
          <w:tcPr>
            <w:tcW w:w="5800" w:type="dxa"/>
            <w:vAlign w:val="bottom"/>
            <w:tcBorders>
              <w:bottom w:val="single" w:sz="8" w:color="DDDDDD"/>
            </w:tcBorders>
          </w:tcPr>
          <w:p>
            <w:pPr>
              <w:ind w:left="900"/>
              <w:spacing w:after="0"/>
              <w:rPr>
                <w:sz w:val="20"/>
                <w:szCs w:val="20"/>
                <w:color w:val="auto"/>
              </w:rPr>
            </w:pPr>
            <w:r>
              <w:rPr>
                <w:rFonts w:ascii="Times New Roman" w:cs="Times New Roman" w:eastAsia="Times New Roman" w:hAnsi="Times New Roman"/>
                <w:sz w:val="19"/>
                <w:szCs w:val="19"/>
                <w:color w:val="auto"/>
              </w:rPr>
              <w:t>Net cash (used in) provided by investing activities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(427,866)</w:t>
            </w:r>
          </w:p>
        </w:tc>
        <w:tc>
          <w:tcPr>
            <w:tcW w:w="80" w:type="dxa"/>
            <w:vAlign w:val="bottom"/>
            <w:tcBorders>
              <w:bottom w:val="single" w:sz="8" w:color="DDDDDD"/>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64,759</w:t>
            </w:r>
          </w:p>
        </w:tc>
        <w:tc>
          <w:tcPr>
            <w:tcW w:w="80" w:type="dxa"/>
            <w:vAlign w:val="bottom"/>
            <w:tcBorders>
              <w:bottom w:val="single" w:sz="8" w:color="DDDDDD"/>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(36,660)</w:t>
            </w:r>
          </w:p>
        </w:tc>
        <w:tc>
          <w:tcPr>
            <w:tcW w:w="0" w:type="dxa"/>
            <w:vAlign w:val="bottom"/>
          </w:tcPr>
          <w:p>
            <w:pPr>
              <w:spacing w:after="0"/>
              <w:rPr>
                <w:sz w:val="1"/>
                <w:szCs w:val="1"/>
                <w:color w:val="auto"/>
              </w:rPr>
            </w:pPr>
          </w:p>
        </w:tc>
      </w:tr>
      <w:tr>
        <w:trPr>
          <w:trHeight w:val="273"/>
        </w:trPr>
        <w:tc>
          <w:tcPr>
            <w:tcW w:w="40" w:type="dxa"/>
            <w:vAlign w:val="bottom"/>
            <w:tcBorders>
              <w:bottom w:val="single" w:sz="8" w:color="DDDDDD"/>
            </w:tcBorders>
            <w:shd w:val="clear" w:color="auto" w:fill="DDDDDD"/>
          </w:tcPr>
          <w:p>
            <w:pPr>
              <w:spacing w:after="0"/>
              <w:rPr>
                <w:sz w:val="23"/>
                <w:szCs w:val="23"/>
                <w:color w:val="auto"/>
              </w:rPr>
            </w:pPr>
          </w:p>
        </w:tc>
        <w:tc>
          <w:tcPr>
            <w:tcW w:w="580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b w:val="1"/>
                <w:bCs w:val="1"/>
                <w:color w:val="auto"/>
              </w:rPr>
              <w:t>Cash flows from financing activities</w:t>
            </w:r>
          </w:p>
        </w:tc>
        <w:tc>
          <w:tcPr>
            <w:tcW w:w="260" w:type="dxa"/>
            <w:vAlign w:val="bottom"/>
            <w:tcBorders>
              <w:bottom w:val="single" w:sz="8" w:color="DDDDDD"/>
            </w:tcBorders>
            <w:shd w:val="clear" w:color="auto" w:fill="DDDDDD"/>
          </w:tcPr>
          <w:p>
            <w:pPr>
              <w:spacing w:after="0"/>
              <w:rPr>
                <w:sz w:val="23"/>
                <w:szCs w:val="23"/>
                <w:color w:val="auto"/>
              </w:rPr>
            </w:pPr>
          </w:p>
        </w:tc>
        <w:tc>
          <w:tcPr>
            <w:tcW w:w="104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300" w:type="dxa"/>
            <w:vAlign w:val="bottom"/>
            <w:tcBorders>
              <w:bottom w:val="single" w:sz="8" w:color="DDDDDD"/>
            </w:tcBorders>
            <w:shd w:val="clear" w:color="auto" w:fill="DDDDDD"/>
          </w:tcPr>
          <w:p>
            <w:pPr>
              <w:spacing w:after="0"/>
              <w:rPr>
                <w:sz w:val="23"/>
                <w:szCs w:val="23"/>
                <w:color w:val="auto"/>
              </w:rPr>
            </w:pPr>
          </w:p>
        </w:tc>
        <w:tc>
          <w:tcPr>
            <w:tcW w:w="1000" w:type="dxa"/>
            <w:vAlign w:val="bottom"/>
            <w:tcBorders>
              <w:bottom w:val="single" w:sz="8" w:color="DDDDDD"/>
            </w:tcBorders>
            <w:shd w:val="clear" w:color="auto" w:fill="DDDDDD"/>
          </w:tcPr>
          <w:p>
            <w:pPr>
              <w:spacing w:after="0"/>
              <w:rPr>
                <w:sz w:val="23"/>
                <w:szCs w:val="23"/>
                <w:color w:val="auto"/>
              </w:rPr>
            </w:pPr>
          </w:p>
        </w:tc>
        <w:tc>
          <w:tcPr>
            <w:tcW w:w="80" w:type="dxa"/>
            <w:vAlign w:val="bottom"/>
            <w:tcBorders>
              <w:bottom w:val="single" w:sz="8" w:color="DDDDDD"/>
            </w:tcBorders>
            <w:shd w:val="clear" w:color="auto" w:fill="DDDDDD"/>
          </w:tcPr>
          <w:p>
            <w:pPr>
              <w:spacing w:after="0"/>
              <w:rPr>
                <w:sz w:val="23"/>
                <w:szCs w:val="23"/>
                <w:color w:val="auto"/>
              </w:rPr>
            </w:pPr>
          </w:p>
        </w:tc>
        <w:tc>
          <w:tcPr>
            <w:tcW w:w="260" w:type="dxa"/>
            <w:vAlign w:val="bottom"/>
            <w:tcBorders>
              <w:bottom w:val="single" w:sz="8" w:color="DDDDDD"/>
            </w:tcBorders>
            <w:shd w:val="clear" w:color="auto" w:fill="DDDDDD"/>
          </w:tcPr>
          <w:p>
            <w:pPr>
              <w:spacing w:after="0"/>
              <w:rPr>
                <w:sz w:val="23"/>
                <w:szCs w:val="23"/>
                <w:color w:val="auto"/>
              </w:rPr>
            </w:pPr>
          </w:p>
        </w:tc>
        <w:tc>
          <w:tcPr>
            <w:tcW w:w="1040" w:type="dxa"/>
            <w:vAlign w:val="bottom"/>
            <w:tcBorders>
              <w:bottom w:val="single" w:sz="8" w:color="DDDDDD"/>
            </w:tcBorders>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58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Tax withholding paid on behalf of employees for net share settlement</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(54,602)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(52,633)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(41,346)</w:t>
            </w:r>
          </w:p>
        </w:tc>
        <w:tc>
          <w:tcPr>
            <w:tcW w:w="0" w:type="dxa"/>
            <w:vAlign w:val="bottom"/>
          </w:tcPr>
          <w:p>
            <w:pPr>
              <w:spacing w:after="0"/>
              <w:rPr>
                <w:sz w:val="1"/>
                <w:szCs w:val="1"/>
                <w:color w:val="auto"/>
              </w:rPr>
            </w:pPr>
          </w:p>
        </w:tc>
      </w:tr>
      <w:tr>
        <w:trPr>
          <w:trHeight w:val="256"/>
        </w:trPr>
        <w:tc>
          <w:tcPr>
            <w:tcW w:w="40" w:type="dxa"/>
            <w:vAlign w:val="bottom"/>
            <w:shd w:val="clear" w:color="auto" w:fill="DDDDDD"/>
          </w:tcPr>
          <w:p>
            <w:pPr>
              <w:spacing w:after="0"/>
              <w:rPr>
                <w:sz w:val="22"/>
                <w:szCs w:val="22"/>
                <w:color w:val="auto"/>
              </w:rPr>
            </w:pPr>
          </w:p>
        </w:tc>
        <w:tc>
          <w:tcPr>
            <w:tcW w:w="580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9"/>
                <w:szCs w:val="19"/>
                <w:color w:val="auto"/>
              </w:rPr>
              <w:t>Proceeds from issuance of common stock</w:t>
            </w: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468,683</w:t>
            </w:r>
          </w:p>
        </w:tc>
        <w:tc>
          <w:tcPr>
            <w:tcW w:w="8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50,509</w:t>
            </w:r>
          </w:p>
        </w:tc>
        <w:tc>
          <w:tcPr>
            <w:tcW w:w="8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46,025</w:t>
            </w:r>
          </w:p>
        </w:tc>
        <w:tc>
          <w:tcPr>
            <w:tcW w:w="0" w:type="dxa"/>
            <w:vAlign w:val="bottom"/>
          </w:tcPr>
          <w:p>
            <w:pPr>
              <w:spacing w:after="0"/>
              <w:rPr>
                <w:sz w:val="1"/>
                <w:szCs w:val="1"/>
                <w:color w:val="auto"/>
              </w:rPr>
            </w:pPr>
          </w:p>
        </w:tc>
      </w:tr>
      <w:tr>
        <w:trPr>
          <w:trHeight w:val="254"/>
        </w:trPr>
        <w:tc>
          <w:tcPr>
            <w:tcW w:w="40" w:type="dxa"/>
            <w:vAlign w:val="bottom"/>
          </w:tcPr>
          <w:p>
            <w:pPr>
              <w:spacing w:after="0"/>
              <w:rPr>
                <w:sz w:val="22"/>
                <w:szCs w:val="22"/>
                <w:color w:val="auto"/>
              </w:rPr>
            </w:pPr>
          </w:p>
        </w:tc>
        <w:tc>
          <w:tcPr>
            <w:tcW w:w="58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Payments for offering costs</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(17,069)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(1,730)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(1,210)</w:t>
            </w:r>
          </w:p>
        </w:tc>
        <w:tc>
          <w:tcPr>
            <w:tcW w:w="0" w:type="dxa"/>
            <w:vAlign w:val="bottom"/>
          </w:tcPr>
          <w:p>
            <w:pPr>
              <w:spacing w:after="0"/>
              <w:rPr>
                <w:sz w:val="1"/>
                <w:szCs w:val="1"/>
                <w:color w:val="auto"/>
              </w:rPr>
            </w:pPr>
          </w:p>
        </w:tc>
      </w:tr>
      <w:tr>
        <w:trPr>
          <w:trHeight w:val="353"/>
        </w:trPr>
        <w:tc>
          <w:tcPr>
            <w:tcW w:w="40" w:type="dxa"/>
            <w:vAlign w:val="bottom"/>
            <w:tcBorders>
              <w:bottom w:val="single" w:sz="8" w:color="DDDDDD"/>
            </w:tcBorders>
            <w:shd w:val="clear" w:color="auto" w:fill="DDDDDD"/>
          </w:tcPr>
          <w:p>
            <w:pPr>
              <w:spacing w:after="0"/>
              <w:rPr>
                <w:sz w:val="24"/>
                <w:szCs w:val="24"/>
                <w:color w:val="auto"/>
              </w:rPr>
            </w:pPr>
          </w:p>
        </w:tc>
        <w:tc>
          <w:tcPr>
            <w:tcW w:w="580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19"/>
                <w:szCs w:val="19"/>
                <w:color w:val="auto"/>
              </w:rPr>
              <w:t>Payment of contingent consideration towards earnouts</w:t>
            </w:r>
          </w:p>
        </w:tc>
        <w:tc>
          <w:tcPr>
            <w:tcW w:w="260" w:type="dxa"/>
            <w:vAlign w:val="bottom"/>
            <w:tcBorders>
              <w:bottom w:val="single" w:sz="8" w:color="DDDDDD"/>
            </w:tcBorders>
            <w:shd w:val="clear" w:color="auto" w:fill="DDDDDD"/>
          </w:tcPr>
          <w:p>
            <w:pPr>
              <w:spacing w:after="0"/>
              <w:rPr>
                <w:sz w:val="24"/>
                <w:szCs w:val="24"/>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(12,903)</w:t>
            </w:r>
          </w:p>
        </w:tc>
        <w:tc>
          <w:tcPr>
            <w:tcW w:w="8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DDDDDD"/>
            </w:tcBorders>
            <w:shd w:val="clear" w:color="auto" w:fill="DDDDDD"/>
          </w:tcPr>
          <w:p>
            <w:pPr>
              <w:spacing w:after="0"/>
              <w:rPr>
                <w:sz w:val="24"/>
                <w:szCs w:val="24"/>
                <w:color w:val="auto"/>
              </w:rPr>
            </w:pPr>
          </w:p>
        </w:tc>
        <w:tc>
          <w:tcPr>
            <w:tcW w:w="10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(12,254)</w:t>
            </w:r>
          </w:p>
        </w:tc>
        <w:tc>
          <w:tcPr>
            <w:tcW w:w="80" w:type="dxa"/>
            <w:vAlign w:val="bottom"/>
            <w:tcBorders>
              <w:bottom w:val="single" w:sz="8" w:color="DDDDDD"/>
            </w:tcBorders>
            <w:shd w:val="clear" w:color="auto" w:fill="DDDDDD"/>
          </w:tcPr>
          <w:p>
            <w:pPr>
              <w:spacing w:after="0"/>
              <w:rPr>
                <w:sz w:val="24"/>
                <w:szCs w:val="24"/>
                <w:color w:val="auto"/>
              </w:rPr>
            </w:pPr>
          </w:p>
        </w:tc>
        <w:tc>
          <w:tcPr>
            <w:tcW w:w="260" w:type="dxa"/>
            <w:vAlign w:val="bottom"/>
            <w:tcBorders>
              <w:bottom w:val="single" w:sz="8" w:color="DDDDDD"/>
            </w:tcBorders>
            <w:shd w:val="clear" w:color="auto" w:fill="DDDDDD"/>
          </w:tcPr>
          <w:p>
            <w:pPr>
              <w:spacing w:after="0"/>
              <w:rPr>
                <w:sz w:val="24"/>
                <w:szCs w:val="24"/>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333"/>
        </w:trPr>
        <w:tc>
          <w:tcPr>
            <w:tcW w:w="40" w:type="dxa"/>
            <w:vAlign w:val="bottom"/>
          </w:tcPr>
          <w:p>
            <w:pPr>
              <w:spacing w:after="0"/>
              <w:rPr>
                <w:sz w:val="24"/>
                <w:szCs w:val="24"/>
                <w:color w:val="auto"/>
              </w:rPr>
            </w:pPr>
          </w:p>
        </w:tc>
        <w:tc>
          <w:tcPr>
            <w:tcW w:w="58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Payment of deferred acquisition consideration payable</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(32,744)</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(75,203)</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40"/>
        </w:trPr>
        <w:tc>
          <w:tcPr>
            <w:tcW w:w="40" w:type="dxa"/>
            <w:vAlign w:val="bottom"/>
            <w:tcBorders>
              <w:bottom w:val="single" w:sz="8" w:color="DDDDDD"/>
            </w:tcBorders>
          </w:tcPr>
          <w:p>
            <w:pPr>
              <w:spacing w:after="0"/>
              <w:rPr>
                <w:sz w:val="3"/>
                <w:szCs w:val="3"/>
                <w:color w:val="auto"/>
              </w:rPr>
            </w:pPr>
          </w:p>
        </w:tc>
        <w:tc>
          <w:tcPr>
            <w:tcW w:w="5800" w:type="dxa"/>
            <w:vAlign w:val="bottom"/>
            <w:tcBorders>
              <w:bottom w:val="single" w:sz="8" w:color="DDDDDD"/>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DDDDDD"/>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DDDDDD"/>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40" w:type="dxa"/>
            <w:vAlign w:val="bottom"/>
            <w:shd w:val="clear" w:color="auto" w:fill="DDDDDD"/>
          </w:tcPr>
          <w:p>
            <w:pPr>
              <w:spacing w:after="0"/>
              <w:rPr>
                <w:sz w:val="20"/>
                <w:szCs w:val="20"/>
                <w:color w:val="auto"/>
              </w:rPr>
            </w:pPr>
          </w:p>
        </w:tc>
        <w:tc>
          <w:tcPr>
            <w:tcW w:w="5800" w:type="dxa"/>
            <w:vAlign w:val="bottom"/>
            <w:shd w:val="clear" w:color="auto" w:fill="DDDDDD"/>
          </w:tcPr>
          <w:p>
            <w:pPr>
              <w:ind w:left="900"/>
              <w:spacing w:after="0"/>
              <w:rPr>
                <w:sz w:val="20"/>
                <w:szCs w:val="20"/>
                <w:color w:val="auto"/>
              </w:rPr>
            </w:pPr>
            <w:r>
              <w:rPr>
                <w:rFonts w:ascii="Times New Roman" w:cs="Times New Roman" w:eastAsia="Times New Roman" w:hAnsi="Times New Roman"/>
                <w:sz w:val="19"/>
                <w:szCs w:val="19"/>
                <w:color w:val="auto"/>
              </w:rPr>
              <w:t>Net cash provided by (used in) financing activities</w:t>
            </w:r>
          </w:p>
        </w:tc>
        <w:tc>
          <w:tcPr>
            <w:tcW w:w="260" w:type="dxa"/>
            <w:vAlign w:val="bottom"/>
            <w:tcBorders>
              <w:bottom w:val="single" w:sz="8" w:color="auto"/>
            </w:tcBorders>
            <w:shd w:val="clear" w:color="auto" w:fill="DDDDDD"/>
          </w:tcPr>
          <w:p>
            <w:pPr>
              <w:spacing w:after="0"/>
              <w:rPr>
                <w:sz w:val="20"/>
                <w:szCs w:val="20"/>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351,365</w:t>
            </w:r>
          </w:p>
        </w:tc>
        <w:tc>
          <w:tcPr>
            <w:tcW w:w="80" w:type="dxa"/>
            <w:vAlign w:val="bottom"/>
            <w:shd w:val="clear" w:color="auto" w:fill="DDDDDD"/>
          </w:tcPr>
          <w:p>
            <w:pPr>
              <w:spacing w:after="0"/>
              <w:rPr>
                <w:sz w:val="20"/>
                <w:szCs w:val="20"/>
                <w:color w:val="auto"/>
              </w:rPr>
            </w:pPr>
          </w:p>
        </w:tc>
        <w:tc>
          <w:tcPr>
            <w:tcW w:w="300" w:type="dxa"/>
            <w:vAlign w:val="bottom"/>
            <w:tcBorders>
              <w:bottom w:val="single" w:sz="8" w:color="auto"/>
            </w:tcBorders>
            <w:shd w:val="clear" w:color="auto" w:fill="DDDDDD"/>
          </w:tcPr>
          <w:p>
            <w:pPr>
              <w:spacing w:after="0"/>
              <w:rPr>
                <w:sz w:val="20"/>
                <w:szCs w:val="20"/>
                <w:color w:val="auto"/>
              </w:rPr>
            </w:pP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(91,311)</w:t>
            </w:r>
          </w:p>
        </w:tc>
        <w:tc>
          <w:tcPr>
            <w:tcW w:w="80" w:type="dxa"/>
            <w:vAlign w:val="bottom"/>
            <w:shd w:val="clear" w:color="auto" w:fill="DDDDDD"/>
          </w:tcPr>
          <w:p>
            <w:pPr>
              <w:spacing w:after="0"/>
              <w:rPr>
                <w:sz w:val="20"/>
                <w:szCs w:val="20"/>
                <w:color w:val="auto"/>
              </w:rPr>
            </w:pPr>
          </w:p>
        </w:tc>
        <w:tc>
          <w:tcPr>
            <w:tcW w:w="260" w:type="dxa"/>
            <w:vAlign w:val="bottom"/>
            <w:tcBorders>
              <w:bottom w:val="single" w:sz="8" w:color="auto"/>
            </w:tcBorders>
            <w:shd w:val="clear" w:color="auto" w:fill="DDDDDD"/>
          </w:tcPr>
          <w:p>
            <w:pPr>
              <w:spacing w:after="0"/>
              <w:rPr>
                <w:sz w:val="20"/>
                <w:szCs w:val="20"/>
                <w:color w:val="auto"/>
              </w:rPr>
            </w:pP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3,469</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5800" w:type="dxa"/>
            <w:vAlign w:val="bottom"/>
          </w:tcPr>
          <w:p>
            <w:pPr>
              <w:ind w:left="900"/>
              <w:spacing w:after="0"/>
              <w:rPr>
                <w:sz w:val="20"/>
                <w:szCs w:val="20"/>
                <w:color w:val="auto"/>
              </w:rPr>
            </w:pPr>
            <w:r>
              <w:rPr>
                <w:rFonts w:ascii="Times New Roman" w:cs="Times New Roman" w:eastAsia="Times New Roman" w:hAnsi="Times New Roman"/>
                <w:sz w:val="19"/>
                <w:szCs w:val="19"/>
                <w:color w:val="auto"/>
              </w:rPr>
              <w:t>Net increase (decrease) in cash and cash equivalents</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10,653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(3,362)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(25,135)</w:t>
            </w:r>
          </w:p>
        </w:tc>
        <w:tc>
          <w:tcPr>
            <w:tcW w:w="0" w:type="dxa"/>
            <w:vAlign w:val="bottom"/>
          </w:tcPr>
          <w:p>
            <w:pPr>
              <w:spacing w:after="0"/>
              <w:rPr>
                <w:sz w:val="1"/>
                <w:szCs w:val="1"/>
                <w:color w:val="auto"/>
              </w:rPr>
            </w:pPr>
          </w:p>
        </w:tc>
      </w:tr>
      <w:tr>
        <w:trPr>
          <w:trHeight w:val="293"/>
        </w:trPr>
        <w:tc>
          <w:tcPr>
            <w:tcW w:w="40" w:type="dxa"/>
            <w:vAlign w:val="bottom"/>
            <w:tcBorders>
              <w:bottom w:val="single" w:sz="8" w:color="DDDDDD"/>
            </w:tcBorders>
            <w:shd w:val="clear" w:color="auto" w:fill="DDDDDD"/>
          </w:tcPr>
          <w:p>
            <w:pPr>
              <w:spacing w:after="0"/>
              <w:rPr>
                <w:sz w:val="24"/>
                <w:szCs w:val="24"/>
                <w:color w:val="auto"/>
              </w:rPr>
            </w:pPr>
          </w:p>
        </w:tc>
        <w:tc>
          <w:tcPr>
            <w:tcW w:w="580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19"/>
                <w:szCs w:val="19"/>
                <w:b w:val="1"/>
                <w:bCs w:val="1"/>
                <w:color w:val="auto"/>
              </w:rPr>
              <w:t>Cash and cash equivalents</w:t>
            </w:r>
          </w:p>
        </w:tc>
        <w:tc>
          <w:tcPr>
            <w:tcW w:w="260" w:type="dxa"/>
            <w:vAlign w:val="bottom"/>
            <w:tcBorders>
              <w:bottom w:val="single" w:sz="8" w:color="DDDDDD"/>
            </w:tcBorders>
            <w:shd w:val="clear" w:color="auto" w:fill="DDDDDD"/>
          </w:tcPr>
          <w:p>
            <w:pPr>
              <w:spacing w:after="0"/>
              <w:rPr>
                <w:sz w:val="24"/>
                <w:szCs w:val="24"/>
                <w:color w:val="auto"/>
              </w:rPr>
            </w:pPr>
          </w:p>
        </w:tc>
        <w:tc>
          <w:tcPr>
            <w:tcW w:w="104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DDDDDD"/>
            </w:tcBorders>
            <w:shd w:val="clear" w:color="auto" w:fill="DDDDDD"/>
          </w:tcPr>
          <w:p>
            <w:pPr>
              <w:spacing w:after="0"/>
              <w:rPr>
                <w:sz w:val="24"/>
                <w:szCs w:val="24"/>
                <w:color w:val="auto"/>
              </w:rPr>
            </w:pPr>
          </w:p>
        </w:tc>
        <w:tc>
          <w:tcPr>
            <w:tcW w:w="1000" w:type="dxa"/>
            <w:vAlign w:val="bottom"/>
            <w:tcBorders>
              <w:bottom w:val="single" w:sz="8" w:color="DDDDDD"/>
            </w:tcBorders>
            <w:shd w:val="clear" w:color="auto" w:fill="DDDDDD"/>
          </w:tcPr>
          <w:p>
            <w:pPr>
              <w:spacing w:after="0"/>
              <w:rPr>
                <w:sz w:val="24"/>
                <w:szCs w:val="24"/>
                <w:color w:val="auto"/>
              </w:rPr>
            </w:pPr>
          </w:p>
        </w:tc>
        <w:tc>
          <w:tcPr>
            <w:tcW w:w="80" w:type="dxa"/>
            <w:vAlign w:val="bottom"/>
            <w:tcBorders>
              <w:bottom w:val="single" w:sz="8" w:color="DDDDDD"/>
            </w:tcBorders>
            <w:shd w:val="clear" w:color="auto" w:fill="DDDDDD"/>
          </w:tcPr>
          <w:p>
            <w:pPr>
              <w:spacing w:after="0"/>
              <w:rPr>
                <w:sz w:val="24"/>
                <w:szCs w:val="24"/>
                <w:color w:val="auto"/>
              </w:rPr>
            </w:pPr>
          </w:p>
        </w:tc>
        <w:tc>
          <w:tcPr>
            <w:tcW w:w="260" w:type="dxa"/>
            <w:vAlign w:val="bottom"/>
            <w:tcBorders>
              <w:bottom w:val="single" w:sz="8" w:color="DDDDDD"/>
            </w:tcBorders>
            <w:shd w:val="clear" w:color="auto" w:fill="DDDDDD"/>
          </w:tcPr>
          <w:p>
            <w:pPr>
              <w:spacing w:after="0"/>
              <w:rPr>
                <w:sz w:val="24"/>
                <w:szCs w:val="24"/>
                <w:color w:val="auto"/>
              </w:rPr>
            </w:pPr>
          </w:p>
        </w:tc>
        <w:tc>
          <w:tcPr>
            <w:tcW w:w="104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bottom w:val="single" w:sz="8" w:color="DDDDDD"/>
            </w:tcBorders>
          </w:tcPr>
          <w:p>
            <w:pPr>
              <w:spacing w:after="0"/>
              <w:rPr>
                <w:sz w:val="22"/>
                <w:szCs w:val="22"/>
                <w:color w:val="auto"/>
              </w:rPr>
            </w:pPr>
          </w:p>
        </w:tc>
        <w:tc>
          <w:tcPr>
            <w:tcW w:w="5800" w:type="dxa"/>
            <w:vAlign w:val="bottom"/>
            <w:tcBorders>
              <w:bottom w:val="single" w:sz="8" w:color="DDDDDD"/>
            </w:tcBorders>
          </w:tcPr>
          <w:p>
            <w:pPr>
              <w:ind w:left="180"/>
              <w:spacing w:after="0"/>
              <w:rPr>
                <w:sz w:val="20"/>
                <w:szCs w:val="20"/>
                <w:color w:val="auto"/>
              </w:rPr>
            </w:pPr>
            <w:r>
              <w:rPr>
                <w:rFonts w:ascii="Times New Roman" w:cs="Times New Roman" w:eastAsia="Times New Roman" w:hAnsi="Times New Roman"/>
                <w:sz w:val="19"/>
                <w:szCs w:val="19"/>
                <w:color w:val="auto"/>
              </w:rPr>
              <w:t>Beginning of period</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6,106</w:t>
            </w:r>
          </w:p>
        </w:tc>
        <w:tc>
          <w:tcPr>
            <w:tcW w:w="80" w:type="dxa"/>
            <w:vAlign w:val="bottom"/>
            <w:tcBorders>
              <w:bottom w:val="single" w:sz="8" w:color="DDDDD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9,468</w:t>
            </w:r>
          </w:p>
        </w:tc>
        <w:tc>
          <w:tcPr>
            <w:tcW w:w="80" w:type="dxa"/>
            <w:vAlign w:val="bottom"/>
            <w:tcBorders>
              <w:bottom w:val="single" w:sz="8" w:color="DDDDD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34,603</w:t>
            </w:r>
          </w:p>
        </w:tc>
        <w:tc>
          <w:tcPr>
            <w:tcW w:w="0" w:type="dxa"/>
            <w:vAlign w:val="bottom"/>
          </w:tcPr>
          <w:p>
            <w:pPr>
              <w:spacing w:after="0"/>
              <w:rPr>
                <w:sz w:val="1"/>
                <w:szCs w:val="1"/>
                <w:color w:val="auto"/>
              </w:rPr>
            </w:pPr>
          </w:p>
        </w:tc>
      </w:tr>
      <w:tr>
        <w:trPr>
          <w:trHeight w:val="236"/>
        </w:trPr>
        <w:tc>
          <w:tcPr>
            <w:tcW w:w="40" w:type="dxa"/>
            <w:vAlign w:val="bottom"/>
            <w:shd w:val="clear" w:color="auto" w:fill="DDDDDD"/>
          </w:tcPr>
          <w:p>
            <w:pPr>
              <w:spacing w:after="0"/>
              <w:rPr>
                <w:sz w:val="20"/>
                <w:szCs w:val="20"/>
                <w:color w:val="auto"/>
              </w:rPr>
            </w:pPr>
          </w:p>
        </w:tc>
        <w:tc>
          <w:tcPr>
            <w:tcW w:w="580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9"/>
                <w:szCs w:val="19"/>
                <w:color w:val="auto"/>
              </w:rPr>
              <w:t>End of period</w:t>
            </w:r>
          </w:p>
        </w:tc>
        <w:tc>
          <w:tcPr>
            <w:tcW w:w="260" w:type="dxa"/>
            <w:vAlign w:val="bottom"/>
            <w:tcBorders>
              <w:bottom w:val="single" w:sz="8" w:color="auto"/>
            </w:tcBorders>
            <w:shd w:val="clear" w:color="auto" w:fill="DDDDDD"/>
          </w:tcPr>
          <w:p>
            <w:pPr>
              <w:jc w:val="right"/>
              <w:ind w:right="25"/>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16,759</w:t>
            </w:r>
          </w:p>
        </w:tc>
        <w:tc>
          <w:tcPr>
            <w:tcW w:w="80" w:type="dxa"/>
            <w:vAlign w:val="bottom"/>
            <w:shd w:val="clear" w:color="auto" w:fill="DDDDDD"/>
          </w:tcPr>
          <w:p>
            <w:pPr>
              <w:spacing w:after="0"/>
              <w:rPr>
                <w:sz w:val="20"/>
                <w:szCs w:val="20"/>
                <w:color w:val="auto"/>
              </w:rPr>
            </w:pPr>
          </w:p>
        </w:tc>
        <w:tc>
          <w:tcPr>
            <w:tcW w:w="300" w:type="dxa"/>
            <w:vAlign w:val="bottom"/>
            <w:tcBorders>
              <w:bottom w:val="single" w:sz="8" w:color="auto"/>
            </w:tcBorders>
            <w:shd w:val="clear" w:color="auto" w:fill="DDDDDD"/>
          </w:tcPr>
          <w:p>
            <w:pPr>
              <w:jc w:val="right"/>
              <w:ind w:right="65"/>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6,106</w:t>
            </w:r>
          </w:p>
        </w:tc>
        <w:tc>
          <w:tcPr>
            <w:tcW w:w="80" w:type="dxa"/>
            <w:vAlign w:val="bottom"/>
            <w:shd w:val="clear" w:color="auto" w:fill="DDDDDD"/>
          </w:tcPr>
          <w:p>
            <w:pPr>
              <w:spacing w:after="0"/>
              <w:rPr>
                <w:sz w:val="20"/>
                <w:szCs w:val="20"/>
                <w:color w:val="auto"/>
              </w:rPr>
            </w:pPr>
          </w:p>
        </w:tc>
        <w:tc>
          <w:tcPr>
            <w:tcW w:w="260" w:type="dxa"/>
            <w:vAlign w:val="bottom"/>
            <w:tcBorders>
              <w:bottom w:val="single" w:sz="8" w:color="auto"/>
            </w:tcBorders>
            <w:shd w:val="clear" w:color="auto" w:fill="DDDDDD"/>
          </w:tcPr>
          <w:p>
            <w:pPr>
              <w:jc w:val="right"/>
              <w:ind w:right="25"/>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9,468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0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Supplemental disclosure of cash flow information</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 w:type="dxa"/>
            <w:vAlign w:val="bottom"/>
          </w:tcPr>
          <w:p>
            <w:pPr>
              <w:spacing w:after="0"/>
              <w:rPr>
                <w:sz w:val="18"/>
                <w:szCs w:val="18"/>
                <w:color w:val="auto"/>
              </w:rPr>
            </w:pPr>
          </w:p>
        </w:tc>
        <w:tc>
          <w:tcPr>
            <w:tcW w:w="58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5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40" w:type="dxa"/>
            <w:vAlign w:val="bottom"/>
            <w:shd w:val="clear" w:color="auto" w:fill="DDDDDD"/>
          </w:tcPr>
          <w:p>
            <w:pPr>
              <w:spacing w:after="0"/>
              <w:rPr>
                <w:sz w:val="22"/>
                <w:szCs w:val="22"/>
                <w:color w:val="auto"/>
              </w:rPr>
            </w:pPr>
          </w:p>
        </w:tc>
        <w:tc>
          <w:tcPr>
            <w:tcW w:w="580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9"/>
                <w:szCs w:val="19"/>
                <w:color w:val="auto"/>
              </w:rPr>
              <w:t>Income taxes paid, net of refunds</w:t>
            </w: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402</w:t>
            </w:r>
          </w:p>
        </w:tc>
        <w:tc>
          <w:tcPr>
            <w:tcW w:w="8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88</w:t>
            </w:r>
          </w:p>
        </w:tc>
        <w:tc>
          <w:tcPr>
            <w:tcW w:w="8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199</w:t>
            </w: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Supplemental disclosure of noncash flow information</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5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DDDDDD"/>
          </w:tcPr>
          <w:p>
            <w:pPr>
              <w:spacing w:after="0"/>
              <w:rPr>
                <w:sz w:val="22"/>
                <w:szCs w:val="22"/>
                <w:color w:val="auto"/>
              </w:rPr>
            </w:pPr>
          </w:p>
        </w:tc>
        <w:tc>
          <w:tcPr>
            <w:tcW w:w="580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19"/>
                <w:szCs w:val="19"/>
                <w:color w:val="auto"/>
              </w:rPr>
              <w:t>Unpaid property and equipment</w:t>
            </w: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3,080</w:t>
            </w:r>
          </w:p>
        </w:tc>
        <w:tc>
          <w:tcPr>
            <w:tcW w:w="8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0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8,949</w:t>
            </w:r>
          </w:p>
        </w:tc>
        <w:tc>
          <w:tcPr>
            <w:tcW w:w="8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0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866</w:t>
            </w:r>
          </w:p>
        </w:tc>
        <w:tc>
          <w:tcPr>
            <w:tcW w:w="0" w:type="dxa"/>
            <w:vAlign w:val="bottom"/>
          </w:tcPr>
          <w:p>
            <w:pPr>
              <w:spacing w:after="0"/>
              <w:rPr>
                <w:sz w:val="1"/>
                <w:szCs w:val="1"/>
                <w:color w:val="auto"/>
              </w:rPr>
            </w:pPr>
          </w:p>
        </w:tc>
      </w:tr>
      <w:tr>
        <w:trPr>
          <w:trHeight w:val="256"/>
        </w:trPr>
        <w:tc>
          <w:tcPr>
            <w:tcW w:w="40" w:type="dxa"/>
            <w:vAlign w:val="bottom"/>
          </w:tcPr>
          <w:p>
            <w:pPr>
              <w:spacing w:after="0"/>
              <w:rPr>
                <w:sz w:val="22"/>
                <w:szCs w:val="22"/>
                <w:color w:val="auto"/>
              </w:rPr>
            </w:pPr>
          </w:p>
        </w:tc>
        <w:tc>
          <w:tcPr>
            <w:tcW w:w="580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Right-of-use assets acquired under operating leases</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405</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1"/>
        </w:trPr>
        <w:tc>
          <w:tcPr>
            <w:tcW w:w="40" w:type="dxa"/>
            <w:vAlign w:val="bottom"/>
            <w:shd w:val="clear" w:color="auto" w:fill="DDDDDD"/>
          </w:tcPr>
          <w:p>
            <w:pPr>
              <w:spacing w:after="0"/>
              <w:rPr>
                <w:sz w:val="23"/>
                <w:szCs w:val="23"/>
                <w:color w:val="auto"/>
              </w:rPr>
            </w:pPr>
          </w:p>
        </w:tc>
        <w:tc>
          <w:tcPr>
            <w:tcW w:w="580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Settlement of pre-existing arrangement in connection with</w:t>
            </w:r>
          </w:p>
        </w:tc>
        <w:tc>
          <w:tcPr>
            <w:tcW w:w="260" w:type="dxa"/>
            <w:vAlign w:val="bottom"/>
            <w:shd w:val="clear" w:color="auto" w:fill="DDDDDD"/>
          </w:tcPr>
          <w:p>
            <w:pPr>
              <w:spacing w:after="0"/>
              <w:rPr>
                <w:sz w:val="23"/>
                <w:szCs w:val="23"/>
                <w:color w:val="auto"/>
              </w:rPr>
            </w:pP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100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1040" w:type="dxa"/>
            <w:vAlign w:val="bottom"/>
            <w:vMerge w:val="restart"/>
            <w:shd w:val="clear" w:color="auto" w:fill="DDDDDD"/>
          </w:tcPr>
          <w:p>
            <w:pPr>
              <w:jc w:val="right"/>
              <w:spacing w:after="0"/>
              <w:rPr>
                <w:sz w:val="20"/>
                <w:szCs w:val="20"/>
                <w:color w:val="auto"/>
              </w:rPr>
            </w:pPr>
            <w:r>
              <w:rPr>
                <w:rFonts w:ascii="Times New Roman" w:cs="Times New Roman" w:eastAsia="Times New Roman" w:hAnsi="Times New Roman"/>
                <w:sz w:val="19"/>
                <w:szCs w:val="19"/>
                <w:color w:val="auto"/>
              </w:rPr>
              <w:t>9,974</w:t>
            </w:r>
          </w:p>
        </w:tc>
        <w:tc>
          <w:tcPr>
            <w:tcW w:w="0" w:type="dxa"/>
            <w:vAlign w:val="bottom"/>
          </w:tcPr>
          <w:p>
            <w:pPr>
              <w:spacing w:after="0"/>
              <w:rPr>
                <w:sz w:val="1"/>
                <w:szCs w:val="1"/>
                <w:color w:val="auto"/>
              </w:rPr>
            </w:pPr>
          </w:p>
        </w:tc>
      </w:tr>
      <w:tr>
        <w:trPr>
          <w:trHeight w:val="269"/>
        </w:trPr>
        <w:tc>
          <w:tcPr>
            <w:tcW w:w="40" w:type="dxa"/>
            <w:vAlign w:val="bottom"/>
            <w:shd w:val="clear" w:color="auto" w:fill="DDDDDD"/>
          </w:tcPr>
          <w:p>
            <w:pPr>
              <w:spacing w:after="0"/>
              <w:rPr>
                <w:sz w:val="23"/>
                <w:szCs w:val="23"/>
                <w:color w:val="auto"/>
              </w:rPr>
            </w:pPr>
          </w:p>
        </w:tc>
        <w:tc>
          <w:tcPr>
            <w:tcW w:w="580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acquisition</w:t>
            </w:r>
          </w:p>
        </w:tc>
        <w:tc>
          <w:tcPr>
            <w:tcW w:w="260" w:type="dxa"/>
            <w:vAlign w:val="bottom"/>
            <w:shd w:val="clear" w:color="auto" w:fill="DDDDDD"/>
          </w:tcPr>
          <w:p>
            <w:pPr>
              <w:spacing w:after="0"/>
              <w:rPr>
                <w:sz w:val="23"/>
                <w:szCs w:val="23"/>
                <w:color w:val="auto"/>
              </w:rPr>
            </w:pPr>
          </w:p>
        </w:tc>
        <w:tc>
          <w:tcPr>
            <w:tcW w:w="1040" w:type="dxa"/>
            <w:vAlign w:val="bottom"/>
            <w:vMerge w:val="continue"/>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300" w:type="dxa"/>
            <w:vAlign w:val="bottom"/>
            <w:shd w:val="clear" w:color="auto" w:fill="DDDDDD"/>
          </w:tcPr>
          <w:p>
            <w:pPr>
              <w:spacing w:after="0"/>
              <w:rPr>
                <w:sz w:val="23"/>
                <w:szCs w:val="23"/>
                <w:color w:val="auto"/>
              </w:rPr>
            </w:pPr>
          </w:p>
        </w:tc>
        <w:tc>
          <w:tcPr>
            <w:tcW w:w="1000" w:type="dxa"/>
            <w:vAlign w:val="bottom"/>
            <w:vMerge w:val="continue"/>
            <w:shd w:val="clear" w:color="auto" w:fill="DDDDDD"/>
          </w:tcPr>
          <w:p>
            <w:pPr>
              <w:spacing w:after="0"/>
              <w:rPr>
                <w:sz w:val="23"/>
                <w:szCs w:val="23"/>
                <w:color w:val="auto"/>
              </w:rPr>
            </w:pPr>
          </w:p>
        </w:tc>
        <w:tc>
          <w:tcPr>
            <w:tcW w:w="8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1040" w:type="dxa"/>
            <w:vAlign w:val="bottom"/>
            <w:vMerge w:val="continue"/>
            <w:shd w:val="clear" w:color="auto" w:fill="DDDDDD"/>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58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Acquisition consideration payable at acquisition date</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107,947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4578985</wp:posOffset>
                </wp:positionH>
                <wp:positionV relativeFrom="paragraph">
                  <wp:posOffset>-4606290</wp:posOffset>
                </wp:positionV>
                <wp:extent cx="82486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86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55pt,-362.6999pt" to="425.5pt,-362.6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5455285</wp:posOffset>
                </wp:positionH>
                <wp:positionV relativeFrom="paragraph">
                  <wp:posOffset>-4606290</wp:posOffset>
                </wp:positionV>
                <wp:extent cx="82550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55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55pt,-362.6999pt" to="494.55pt,-362.6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3702685</wp:posOffset>
                </wp:positionH>
                <wp:positionV relativeFrom="paragraph">
                  <wp:posOffset>-3561715</wp:posOffset>
                </wp:positionV>
                <wp:extent cx="82486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86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55pt,-280.4499pt" to="356.5pt,-280.4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4578985</wp:posOffset>
                </wp:positionH>
                <wp:positionV relativeFrom="paragraph">
                  <wp:posOffset>-3561715</wp:posOffset>
                </wp:positionV>
                <wp:extent cx="82486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86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55pt,-280.4499pt" to="425.5pt,-280.4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5455285</wp:posOffset>
                </wp:positionH>
                <wp:positionV relativeFrom="paragraph">
                  <wp:posOffset>-3561715</wp:posOffset>
                </wp:positionV>
                <wp:extent cx="82550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55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55pt,-280.4499pt" to="494.55pt,-280.4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3702685</wp:posOffset>
                </wp:positionH>
                <wp:positionV relativeFrom="paragraph">
                  <wp:posOffset>-2079625</wp:posOffset>
                </wp:positionV>
                <wp:extent cx="82486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86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55pt,-163.7499pt" to="356.5pt,-163.7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4578985</wp:posOffset>
                </wp:positionH>
                <wp:positionV relativeFrom="paragraph">
                  <wp:posOffset>-2079625</wp:posOffset>
                </wp:positionV>
                <wp:extent cx="82486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86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55pt,-163.7499pt" to="425.5pt,-163.7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5455285</wp:posOffset>
                </wp:positionH>
                <wp:positionV relativeFrom="paragraph">
                  <wp:posOffset>-2079625</wp:posOffset>
                </wp:positionV>
                <wp:extent cx="82550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55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55pt,-163.7499pt" to="494.55pt,-163.7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4578985</wp:posOffset>
                </wp:positionH>
                <wp:positionV relativeFrom="paragraph">
                  <wp:posOffset>-1369695</wp:posOffset>
                </wp:positionV>
                <wp:extent cx="82486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86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55pt,-107.8499pt" to="425.5pt,-107.8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5455285</wp:posOffset>
                </wp:positionH>
                <wp:positionV relativeFrom="paragraph">
                  <wp:posOffset>-1369695</wp:posOffset>
                </wp:positionV>
                <wp:extent cx="82550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55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55pt,-107.8499pt" to="494.55pt,-107.8499pt" o:allowincell="f" strokecolor="#FFFFFF" strokeweight="0.1399pt"/>
            </w:pict>
          </mc:Fallback>
        </mc:AlternateContent>
      </w:r>
    </w:p>
    <w:p>
      <w:pPr>
        <w:sectPr>
          <w:pgSz w:w="12240" w:h="15840" w:orient="portrait"/>
          <w:cols w:equalWidth="0" w:num="1">
            <w:col w:w="9900"/>
          </w:cols>
          <w:pgMar w:left="1180" w:top="852" w:right="1160" w:bottom="0" w:gutter="0" w:footer="0" w:header="0"/>
        </w:sect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9900"/>
          </w:cols>
          <w:pgMar w:left="1180" w:top="852" w:right="1160" w:bottom="0" w:gutter="0" w:footer="0" w:header="0"/>
          <w:type w:val="continuous"/>
        </w:sectPr>
      </w:pPr>
    </w:p>
    <w:bookmarkStart w:id="67" w:name="page68"/>
    <w:bookmarkEnd w:id="67"/>
    <w:p>
      <w:pPr>
        <w:spacing w:after="0"/>
        <w:tabs>
          <w:tab w:leader="none" w:pos="6620" w:val="left"/>
          <w:tab w:leader="none" w:pos="8000" w:val="left"/>
          <w:tab w:leader="none" w:pos="8960" w:val="left"/>
        </w:tabs>
        <w:rPr>
          <w:sz w:val="20"/>
          <w:szCs w:val="20"/>
          <w:color w:val="auto"/>
        </w:rPr>
      </w:pPr>
      <w:r>
        <w:rPr>
          <w:rFonts w:ascii="Times New Roman" w:cs="Times New Roman" w:eastAsia="Times New Roman" w:hAnsi="Times New Roman"/>
          <w:sz w:val="20"/>
          <w:szCs w:val="20"/>
          <w:color w:val="auto"/>
        </w:rPr>
        <mc:AlternateContent>
          <mc:Choice Requires="wps">
            <w:drawing>
              <wp:anchor simplePos="0" relativeHeight="251657728" behindDoc="1" locked="0" layoutInCell="0" allowOverlap="1">
                <wp:simplePos x="0" y="0"/>
                <wp:positionH relativeFrom="page">
                  <wp:posOffset>742950</wp:posOffset>
                </wp:positionH>
                <wp:positionV relativeFrom="page">
                  <wp:posOffset>571500</wp:posOffset>
                </wp:positionV>
                <wp:extent cx="6287135" cy="206375"/>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7135" cy="206375"/>
                        </a:xfrm>
                        <a:prstGeom prst="rect">
                          <a:avLst/>
                        </a:prstGeom>
                        <a:solidFill>
                          <a:srgbClr val="DDDDDD"/>
                        </a:solidFill>
                      </wps:spPr>
                      <wps:bodyPr/>
                    </wps:wsp>
                  </a:graphicData>
                </a:graphic>
              </wp:anchor>
            </w:drawing>
          </mc:Choice>
          <mc:Fallback>
            <w:pict>
              <v:rect id="Shape 83" o:spid="_x0000_s1108" style="position:absolute;margin-left:58.5pt;margin-top:45pt;width:495.05pt;height:16.2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DDDDDD"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4451985</wp:posOffset>
                </wp:positionH>
                <wp:positionV relativeFrom="page">
                  <wp:posOffset>579120</wp:posOffset>
                </wp:positionV>
                <wp:extent cx="815975" cy="198755"/>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5975" cy="198755"/>
                        </a:xfrm>
                        <a:prstGeom prst="rect">
                          <a:avLst/>
                        </a:prstGeom>
                        <a:solidFill>
                          <a:srgbClr val="DDDDDD"/>
                        </a:solidFill>
                      </wps:spPr>
                      <wps:bodyPr/>
                    </wps:wsp>
                  </a:graphicData>
                </a:graphic>
              </wp:anchor>
            </w:drawing>
          </mc:Choice>
          <mc:Fallback>
            <w:pict>
              <v:rect id="Shape 84" o:spid="_x0000_s1109" style="position:absolute;margin-left:350.55pt;margin-top:45.6pt;width:64.25pt;height:15.6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DDDDDD"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5328285</wp:posOffset>
                </wp:positionH>
                <wp:positionV relativeFrom="page">
                  <wp:posOffset>579120</wp:posOffset>
                </wp:positionV>
                <wp:extent cx="815975" cy="19875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5975" cy="198755"/>
                        </a:xfrm>
                        <a:prstGeom prst="rect">
                          <a:avLst/>
                        </a:prstGeom>
                        <a:solidFill>
                          <a:srgbClr val="DDDDDD"/>
                        </a:solidFill>
                      </wps:spPr>
                      <wps:bodyPr/>
                    </wps:wsp>
                  </a:graphicData>
                </a:graphic>
              </wp:anchor>
            </w:drawing>
          </mc:Choice>
          <mc:Fallback>
            <w:pict>
              <v:rect id="Shape 85" o:spid="_x0000_s1110" style="position:absolute;margin-left:419.55pt;margin-top:45.6pt;width:64.25pt;height:15.6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DDDDDD" stroked="f">
                <w10:wrap anchorx="page" anchory="page"/>
              </v:rect>
            </w:pict>
          </mc:Fallback>
        </mc:AlternateContent>
        <mc:AlternateContent>
          <mc:Choice Requires="wps">
            <w:drawing>
              <wp:anchor simplePos="0" relativeHeight="251657728" behindDoc="1" locked="0" layoutInCell="0" allowOverlap="1">
                <wp:simplePos x="0" y="0"/>
                <wp:positionH relativeFrom="page">
                  <wp:posOffset>6204585</wp:posOffset>
                </wp:positionH>
                <wp:positionV relativeFrom="page">
                  <wp:posOffset>579120</wp:posOffset>
                </wp:positionV>
                <wp:extent cx="816610" cy="19875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6610" cy="198755"/>
                        </a:xfrm>
                        <a:prstGeom prst="rect">
                          <a:avLst/>
                        </a:prstGeom>
                        <a:solidFill>
                          <a:srgbClr val="DDDDDD"/>
                        </a:solidFill>
                      </wps:spPr>
                      <wps:bodyPr/>
                    </wps:wsp>
                  </a:graphicData>
                </a:graphic>
              </wp:anchor>
            </w:drawing>
          </mc:Choice>
          <mc:Fallback>
            <w:pict>
              <v:rect id="Shape 86" o:spid="_x0000_s1111" style="position:absolute;margin-left:488.55pt;margin-top:45.6pt;width:64.3pt;height:15.65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DDDDDD" stroked="f">
                <w10:wrap anchorx="page" anchory="page"/>
              </v:rect>
            </w:pict>
          </mc:Fallback>
        </mc:AlternateContent>
        <w:t>Fair value of sales based earnout liability at acquisition date</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102,278</w:t>
      </w:r>
    </w:p>
    <w:p>
      <w:pPr>
        <w:sectPr>
          <w:pgSz w:w="12240" w:h="15840" w:orient="portrait"/>
          <w:cols w:equalWidth="0" w:num="1">
            <w:col w:w="9600"/>
          </w:cols>
          <w:pgMar w:left="1400" w:top="921" w:right="1240" w:bottom="0" w:gutter="0" w:footer="0" w:header="0"/>
        </w:sectPr>
      </w:pPr>
    </w:p>
    <w:p>
      <w:pPr>
        <w:spacing w:after="0" w:line="27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9"/>
          <w:szCs w:val="19"/>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600"/>
          </w:cols>
          <w:pgMar w:left="1400" w:top="921" w:right="1240" w:bottom="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SiTime Corporation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The Company and Summary of Significant Accounting Policies</w:t>
      </w:r>
    </w:p>
    <w:p>
      <w:pPr>
        <w:spacing w:after="0" w:line="128"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20"/>
          <w:szCs w:val="20"/>
          <w:color w:val="auto"/>
        </w:rPr>
        <w:t>SiTime Corporation (the “Company”) was incorporated in the State of Delaware in December 2003. The Company is a leading provider of Precision Timing solutions to the global electronics industry, providing the timing functionality that is needed for electronics to operate reliably and correctly. The Company's products have been designed to address a wide range of applications across a broad array of end markets. The Company operates a fabless business model and leverages its global network of distributors to address the broad set of end markets that it serves.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34"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in conformity with U.S. generally accepted accounting principles (“U.S. GAAP”). The consolidated financial statements include all adjustments necessary for a fair presentation of our annual results. The Company’s fiscal year begins on January 1 of the year stated and ends on December 31 of the same year. The Company reports its results on a calendar year basis.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Principles of Consolidation</w:t>
      </w:r>
    </w:p>
    <w:p>
      <w:pPr>
        <w:spacing w:after="0" w:line="13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the Company and its wholly-owned subsidiaries. All intercompany transactions and balances have been eliminated in consolidation.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134" w:lineRule="exact"/>
        <w:rPr>
          <w:sz w:val="20"/>
          <w:szCs w:val="20"/>
          <w:color w:val="auto"/>
        </w:rPr>
      </w:pPr>
    </w:p>
    <w:p>
      <w:pPr>
        <w:ind w:right="180" w:firstLine="720"/>
        <w:spacing w:after="0" w:line="255"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GAAP requires management to make estimates and assumptions that affect the amounts reported in the consolidated financial statements and accompanying notes. The significant areas requiring the use of management estimates and assumptions include fair value of assets acquired and liabilities assumed in business combinations and estimate of reserve for excess and obsolete inventories. Actual results could differ materially from such estimates. Management believes that the estimates, and judgments upon which they rely, are reasonable based upon information available to them at the time that these estimates and judgments are made.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Remeasurement</w:t>
      </w:r>
    </w:p>
    <w:p>
      <w:pPr>
        <w:spacing w:after="0" w:line="134"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Company and its wholly-owned subsidiaries use the U.S. dollar as their functional currency. Foreign currency assets and liabilities are remeasured into U.S. dollars at the end-of-period exchange rates except for non-monetary assets and liabilities, which are measured at historical exchange rates. Revenue and expenses denominated in non-U.S. dollars are remeasured using an average exchange rate in effect for the period. Gains or losses from foreign currency remeasurement and transactions are included in other expense, net. For the years ended December 31, 2025, 2024, and 2023, foreign currency remeasurement and transactions gains and losses resulting in a net charge of $0.2 million, $0.8 million, and $0.1 million, respectively.</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128" w:lineRule="exact"/>
        <w:rPr>
          <w:sz w:val="20"/>
          <w:szCs w:val="20"/>
          <w:color w:val="auto"/>
        </w:rPr>
      </w:pPr>
    </w:p>
    <w:p>
      <w:pPr>
        <w:ind w:right="340" w:firstLine="720"/>
        <w:spacing w:after="0" w:line="269" w:lineRule="auto"/>
        <w:rPr>
          <w:sz w:val="20"/>
          <w:szCs w:val="20"/>
          <w:color w:val="auto"/>
        </w:rPr>
      </w:pPr>
      <w:r>
        <w:rPr>
          <w:rFonts w:ascii="Times New Roman" w:cs="Times New Roman" w:eastAsia="Times New Roman" w:hAnsi="Times New Roman"/>
          <w:sz w:val="20"/>
          <w:szCs w:val="20"/>
          <w:color w:val="auto"/>
        </w:rPr>
        <w:t>Cash and cash equivalents consist of cash balances in the Company’s bank checking and savings accounts and liquid short-term investments with original maturities of 90 days or less at the date of purchase, readily convertible to known amounts of cash.</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Fair Value Measurements</w:t>
      </w:r>
    </w:p>
    <w:p>
      <w:pPr>
        <w:spacing w:after="0" w:line="134" w:lineRule="exact"/>
        <w:rPr>
          <w:sz w:val="20"/>
          <w:szCs w:val="20"/>
          <w:color w:val="auto"/>
        </w:rPr>
      </w:pPr>
    </w:p>
    <w:p>
      <w:pPr>
        <w:ind w:right="120" w:firstLine="720"/>
        <w:spacing w:after="0" w:line="256" w:lineRule="auto"/>
        <w:rPr>
          <w:sz w:val="20"/>
          <w:szCs w:val="20"/>
          <w:color w:val="auto"/>
        </w:rPr>
      </w:pPr>
      <w:r>
        <w:rPr>
          <w:rFonts w:ascii="Times New Roman" w:cs="Times New Roman" w:eastAsia="Times New Roman" w:hAnsi="Times New Roman"/>
          <w:sz w:val="20"/>
          <w:szCs w:val="20"/>
          <w:color w:val="auto"/>
        </w:rPr>
        <w:t>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w:t>
      </w:r>
    </w:p>
    <w:p>
      <w:pPr>
        <w:spacing w:after="0" w:line="22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80"/>
          </w:cols>
          <w:pgMar w:left="1180" w:top="852" w:right="1180" w:bottom="0" w:gutter="0" w:footer="0" w:header="0"/>
        </w:sectPr>
      </w:pPr>
    </w:p>
    <w:bookmarkStart w:id="69" w:name="page70"/>
    <w:bookmarkEnd w:id="69"/>
    <w:p>
      <w:pPr>
        <w:ind w:firstLine="720"/>
        <w:spacing w:after="0" w:line="266" w:lineRule="auto"/>
        <w:rPr>
          <w:sz w:val="20"/>
          <w:szCs w:val="20"/>
          <w:color w:val="auto"/>
        </w:rPr>
      </w:pPr>
      <w:r>
        <w:rPr>
          <w:rFonts w:ascii="Times New Roman" w:cs="Times New Roman" w:eastAsia="Times New Roman" w:hAnsi="Times New Roman"/>
          <w:sz w:val="20"/>
          <w:szCs w:val="20"/>
          <w:color w:val="auto"/>
        </w:rPr>
        <w:t>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5" w:lineRule="exact"/>
        <w:rPr>
          <w:sz w:val="20"/>
          <w:szCs w:val="20"/>
          <w:color w:val="auto"/>
        </w:rPr>
      </w:pPr>
    </w:p>
    <w:p>
      <w:pPr>
        <w:ind w:left="720" w:right="160"/>
        <w:spacing w:after="0" w:line="282" w:lineRule="auto"/>
        <w:rPr>
          <w:sz w:val="20"/>
          <w:szCs w:val="20"/>
          <w:color w:val="auto"/>
        </w:rPr>
      </w:pPr>
      <w:r>
        <w:rPr>
          <w:rFonts w:ascii="Times New Roman" w:cs="Times New Roman" w:eastAsia="Times New Roman" w:hAnsi="Times New Roman"/>
          <w:sz w:val="20"/>
          <w:szCs w:val="20"/>
          <w:color w:val="auto"/>
        </w:rPr>
        <w:t>Level 1: Valuations based on quoted prices in active markets for identical assets or liabilities that the entity has the ability to access.</w:t>
      </w:r>
    </w:p>
    <w:p>
      <w:pPr>
        <w:spacing w:after="0" w:line="60" w:lineRule="exact"/>
        <w:rPr>
          <w:sz w:val="20"/>
          <w:szCs w:val="20"/>
          <w:color w:val="auto"/>
        </w:rPr>
      </w:pPr>
    </w:p>
    <w:p>
      <w:pPr>
        <w:jc w:val="both"/>
        <w:ind w:left="720" w:right="80"/>
        <w:spacing w:after="0" w:line="266" w:lineRule="auto"/>
        <w:rPr>
          <w:sz w:val="20"/>
          <w:szCs w:val="20"/>
          <w:color w:val="auto"/>
        </w:rPr>
      </w:pPr>
      <w:r>
        <w:rPr>
          <w:rFonts w:ascii="Times New Roman" w:cs="Times New Roman" w:eastAsia="Times New Roman" w:hAnsi="Times New Roman"/>
          <w:sz w:val="20"/>
          <w:szCs w:val="20"/>
          <w:color w:val="auto"/>
        </w:rPr>
        <w:t>Level 2: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76" w:lineRule="exact"/>
        <w:rPr>
          <w:sz w:val="20"/>
          <w:szCs w:val="20"/>
          <w:color w:val="auto"/>
        </w:rPr>
      </w:pPr>
    </w:p>
    <w:p>
      <w:pPr>
        <w:ind w:left="720" w:right="220"/>
        <w:spacing w:after="0" w:line="282" w:lineRule="auto"/>
        <w:rPr>
          <w:sz w:val="20"/>
          <w:szCs w:val="20"/>
          <w:color w:val="auto"/>
        </w:rPr>
      </w:pPr>
      <w:r>
        <w:rPr>
          <w:rFonts w:ascii="Times New Roman" w:cs="Times New Roman" w:eastAsia="Times New Roman" w:hAnsi="Times New Roman"/>
          <w:sz w:val="20"/>
          <w:szCs w:val="20"/>
          <w:color w:val="auto"/>
        </w:rPr>
        <w:t>Level 3: Valuations based on inputs that are supported by little or no market activity and that are significant to the fair value of the assets or liabilities.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Cash equivalents</w:t>
      </w:r>
    </w:p>
    <w:p>
      <w:pPr>
        <w:spacing w:after="0" w:line="134"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At December 31, 2025 and 2024, highly liquid money market funds of $0.4 million and $0.3 million, respectively, were valued using Level 1, of the fair value hierarchy, quoted prices in active markets for identical assets and are included in cash equivalents.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Short-term investments in held-to-maturity securities</w:t>
      </w:r>
    </w:p>
    <w:p>
      <w:pPr>
        <w:spacing w:after="0" w:line="134" w:lineRule="exact"/>
        <w:rPr>
          <w:sz w:val="20"/>
          <w:szCs w:val="20"/>
          <w:color w:val="auto"/>
        </w:rPr>
      </w:pPr>
    </w:p>
    <w:p>
      <w:pPr>
        <w:ind w:right="120" w:firstLine="720"/>
        <w:spacing w:after="0" w:line="255" w:lineRule="auto"/>
        <w:rPr>
          <w:sz w:val="20"/>
          <w:szCs w:val="20"/>
          <w:color w:val="auto"/>
        </w:rPr>
      </w:pPr>
      <w:r>
        <w:rPr>
          <w:rFonts w:ascii="Times New Roman" w:cs="Times New Roman" w:eastAsia="Times New Roman" w:hAnsi="Times New Roman"/>
          <w:sz w:val="20"/>
          <w:szCs w:val="20"/>
          <w:color w:val="auto"/>
        </w:rPr>
        <w:t>As of December 31, 2025, the Company had purchased Treasury Bills with maturities ranging from 3 to 12 months, which the Company intends to hold until maturity and has classified as held-to-maturity securities. The held-to-maturity securities are recorded at amortized cost totaling $791.6 million including gross accrued interest of $7.8 million. As of December 31, 2025, the fair value and gross unrealized gain on the held-to-maturity securities was $792.1 million and $0.5 million respectively. The carrying value of the Company's investments is reviewed quarterly for changes in circumstances or the occurrence of events that suggests an investment may not be fully recoverable. These Treasury Bills were valued using Level 1 of the fair value hierarchy, quoted prices in active markets for identical assets, and are included in short-term investments.</w:t>
      </w:r>
    </w:p>
    <w:p>
      <w:pPr>
        <w:spacing w:after="0" w:line="85"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As of December 31, 2024, the Company had purchased Treasury Bills with maturities ranging from 3 to 6 months, which the Company held until maturity and classified as held-to-maturity securities. The held-to-maturity securities were recorded at amortized cost totaling $412.7 million including gross accrued interest of $4.3 million. As of December 31, 2024, the fair value and gross unrealized gain on the held-to-maturity securities was $412.9 million and $0.2 million respectively. The carrying value of the Company's investments is reviewed quarterly for changes in circumstances or the occurrence of events that suggests an investment may not be fully recoverable. These Treasury Bills were valued using Level 1 of the fair value hierarchy, quoted prices in active markets for identical assets, and are included in short-term 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Sales based earnout liability</w:t>
      </w:r>
    </w:p>
    <w:p>
      <w:pPr>
        <w:spacing w:after="0" w:line="134" w:lineRule="exact"/>
        <w:rPr>
          <w:sz w:val="20"/>
          <w:szCs w:val="20"/>
          <w:color w:val="auto"/>
        </w:rPr>
      </w:pPr>
    </w:p>
    <w:p>
      <w:pPr>
        <w:ind w:right="20" w:firstLine="720"/>
        <w:spacing w:after="0" w:line="272" w:lineRule="auto"/>
        <w:rPr>
          <w:sz w:val="20"/>
          <w:szCs w:val="20"/>
          <w:color w:val="auto"/>
        </w:rPr>
      </w:pPr>
      <w:r>
        <w:rPr>
          <w:rFonts w:ascii="Times New Roman" w:cs="Times New Roman" w:eastAsia="Times New Roman" w:hAnsi="Times New Roman"/>
          <w:sz w:val="19"/>
          <w:szCs w:val="19"/>
          <w:color w:val="auto"/>
        </w:rPr>
        <w:t>The estimated fair value of the sales based earnout liability is determined using a Monte Carlo simulation model using significant unobservable fair value inputs and is therefore classified as a Level 3 measurement. The assumptions used in the calculation are based on the revenue projections over the term of the contingent earn-out period, expected volatility, and discount rate. The estimates of fair value are uncertain and changes in any of the estimated inputs used as of the date of this report will result in significant adjustments to the fair value. As of December 31, 2025, the Company used a volatility rate of 20%, risk-free rate ranging from 3.4% to 3.7%, and an expected term ranging from 0.1 years to 2.9 years.</w:t>
      </w:r>
    </w:p>
    <w:p>
      <w:pPr>
        <w:spacing w:after="0" w:line="68" w:lineRule="exact"/>
        <w:rPr>
          <w:sz w:val="20"/>
          <w:szCs w:val="20"/>
          <w:color w:val="auto"/>
        </w:rPr>
      </w:pPr>
    </w:p>
    <w:p>
      <w:pPr>
        <w:ind w:right="480" w:firstLine="720"/>
        <w:spacing w:after="0" w:line="288" w:lineRule="auto"/>
        <w:rPr>
          <w:sz w:val="20"/>
          <w:szCs w:val="20"/>
          <w:color w:val="auto"/>
        </w:rPr>
      </w:pPr>
      <w:r>
        <w:rPr>
          <w:rFonts w:ascii="Times New Roman" w:cs="Times New Roman" w:eastAsia="Times New Roman" w:hAnsi="Times New Roman"/>
          <w:sz w:val="20"/>
          <w:szCs w:val="20"/>
          <w:color w:val="auto"/>
        </w:rPr>
        <w:t>The following table sets forth a summary of the changes in the fair value of the Company’s Level 3 financial liabilities:</w:t>
      </w:r>
    </w:p>
    <w:p>
      <w:pPr>
        <w:spacing w:after="0" w:line="97" w:lineRule="exact"/>
        <w:rPr>
          <w:sz w:val="20"/>
          <w:szCs w:val="20"/>
          <w:color w:val="auto"/>
        </w:rPr>
      </w:pPr>
    </w:p>
    <w:tbl>
      <w:tblPr>
        <w:tblLayout w:type="fixed"/>
        <w:tblInd w:w="1100" w:type="dxa"/>
        <w:tblCellMar>
          <w:top w:w="0" w:type="dxa"/>
          <w:left w:w="0" w:type="dxa"/>
          <w:bottom w:w="0" w:type="dxa"/>
          <w:right w:w="0" w:type="dxa"/>
        </w:tblCellMar>
      </w:tblPr>
      <w:tr>
        <w:trPr>
          <w:trHeight w:val="373"/>
        </w:trPr>
        <w:tc>
          <w:tcPr>
            <w:tcW w:w="60" w:type="dxa"/>
            <w:vAlign w:val="bottom"/>
            <w:tcBorders>
              <w:bottom w:val="single" w:sz="8" w:color="DDDDDD"/>
            </w:tcBorders>
            <w:shd w:val="clear" w:color="auto" w:fill="DDDDDD"/>
          </w:tcPr>
          <w:p>
            <w:pPr>
              <w:spacing w:after="0"/>
              <w:rPr>
                <w:sz w:val="24"/>
                <w:szCs w:val="24"/>
                <w:color w:val="auto"/>
              </w:rPr>
            </w:pPr>
          </w:p>
        </w:tc>
        <w:tc>
          <w:tcPr>
            <w:tcW w:w="484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DDDDDD"/>
            </w:tcBorders>
            <w:shd w:val="clear" w:color="auto" w:fill="DDDDDD"/>
          </w:tcPr>
          <w:p>
            <w:pPr>
              <w:spacing w:after="0"/>
              <w:rPr>
                <w:sz w:val="24"/>
                <w:szCs w:val="24"/>
                <w:color w:val="auto"/>
              </w:rPr>
            </w:pPr>
          </w:p>
        </w:tc>
        <w:tc>
          <w:tcPr>
            <w:tcW w:w="2180" w:type="dxa"/>
            <w:vAlign w:val="bottom"/>
            <w:tcBorders>
              <w:bottom w:val="single" w:sz="8" w:color="DDDDDD"/>
            </w:tcBorders>
            <w:gridSpan w:val="5"/>
            <w:shd w:val="clear" w:color="auto" w:fill="DDDDDD"/>
          </w:tcPr>
          <w:p>
            <w:pPr>
              <w:jc w:val="right"/>
              <w:ind w:right="20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0" w:type="dxa"/>
            <w:vAlign w:val="bottom"/>
            <w:tcBorders>
              <w:bottom w:val="single" w:sz="8" w:color="DDDDDD"/>
            </w:tcBorders>
          </w:tcPr>
          <w:p>
            <w:pPr>
              <w:spacing w:after="0"/>
              <w:rPr>
                <w:sz w:val="3"/>
                <w:szCs w:val="3"/>
                <w:color w:val="auto"/>
              </w:rPr>
            </w:pPr>
          </w:p>
        </w:tc>
        <w:tc>
          <w:tcPr>
            <w:tcW w:w="4840" w:type="dxa"/>
            <w:vAlign w:val="bottom"/>
            <w:tcBorders>
              <w:bottom w:val="single" w:sz="8" w:color="DDDDDD"/>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32"/>
        </w:trPr>
        <w:tc>
          <w:tcPr>
            <w:tcW w:w="60" w:type="dxa"/>
            <w:vAlign w:val="bottom"/>
            <w:tcBorders>
              <w:bottom w:val="single" w:sz="8" w:color="DDDDDD"/>
            </w:tcBorders>
            <w:shd w:val="clear" w:color="auto" w:fill="DDDDDD"/>
          </w:tcPr>
          <w:p>
            <w:pPr>
              <w:spacing w:after="0"/>
              <w:rPr>
                <w:sz w:val="24"/>
                <w:szCs w:val="24"/>
                <w:color w:val="auto"/>
              </w:rPr>
            </w:pPr>
          </w:p>
        </w:tc>
        <w:tc>
          <w:tcPr>
            <w:tcW w:w="484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b w:val="1"/>
                <w:bCs w:val="1"/>
                <w:color w:val="auto"/>
              </w:rPr>
              <w:t>Beginning fair value</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97,256</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DDDDDD"/>
            </w:tcBorders>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103,461</w:t>
            </w:r>
          </w:p>
        </w:tc>
        <w:tc>
          <w:tcPr>
            <w:tcW w:w="6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Change in the fair value during the year recorded to</w:t>
            </w:r>
          </w:p>
        </w:tc>
        <w:tc>
          <w:tcPr>
            <w:tcW w:w="24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6,049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acquisition related costs</w:t>
            </w:r>
          </w:p>
        </w:tc>
        <w:tc>
          <w:tcPr>
            <w:tcW w:w="24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48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74"/>
        </w:trPr>
        <w:tc>
          <w:tcPr>
            <w:tcW w:w="60" w:type="dxa"/>
            <w:vAlign w:val="bottom"/>
            <w:tcBorders>
              <w:bottom w:val="single" w:sz="8" w:color="DDDDDD"/>
            </w:tcBorders>
            <w:shd w:val="clear" w:color="auto" w:fill="DDDDDD"/>
          </w:tcPr>
          <w:p>
            <w:pPr>
              <w:spacing w:after="0"/>
              <w:rPr>
                <w:sz w:val="24"/>
                <w:szCs w:val="24"/>
                <w:color w:val="auto"/>
              </w:rPr>
            </w:pPr>
          </w:p>
        </w:tc>
        <w:tc>
          <w:tcPr>
            <w:tcW w:w="484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Payments made during the period</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(12,903)</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DDDDDD"/>
            </w:tcBorders>
            <w:shd w:val="clear" w:color="auto" w:fill="DDDDDD"/>
          </w:tcPr>
          <w:p>
            <w:pPr>
              <w:spacing w:after="0"/>
              <w:rPr>
                <w:sz w:val="24"/>
                <w:szCs w:val="24"/>
                <w:color w:val="auto"/>
              </w:rPr>
            </w:pPr>
          </w:p>
        </w:tc>
        <w:tc>
          <w:tcPr>
            <w:tcW w:w="900" w:type="dxa"/>
            <w:vAlign w:val="bottom"/>
            <w:tcBorders>
              <w:bottom w:val="single" w:sz="8" w:color="DDDDDD"/>
            </w:tcBorders>
            <w:gridSpan w:val="2"/>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(12,254)</w:t>
            </w: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490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Ending fair value</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88,353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97,256</w:t>
            </w: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48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3847465</wp:posOffset>
                </wp:positionH>
                <wp:positionV relativeFrom="paragraph">
                  <wp:posOffset>-1331595</wp:posOffset>
                </wp:positionV>
                <wp:extent cx="157035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035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95pt,-104.8499pt" to="426.6pt,-104.8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3847465</wp:posOffset>
                </wp:positionH>
                <wp:positionV relativeFrom="paragraph">
                  <wp:posOffset>-262255</wp:posOffset>
                </wp:positionV>
                <wp:extent cx="759460"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946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95pt,-20.6499pt" to="362.75pt,-20.6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4658360</wp:posOffset>
                </wp:positionH>
                <wp:positionV relativeFrom="paragraph">
                  <wp:posOffset>-262255</wp:posOffset>
                </wp:positionV>
                <wp:extent cx="759460"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946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8pt,-20.6499pt" to="426.6pt,-20.6499pt" o:allowincell="f" strokecolor="#FFFFFF" strokeweight="0.14pt"/>
            </w:pict>
          </mc:Fallback>
        </mc:AlternateContent>
      </w:r>
    </w:p>
    <w:p>
      <w:pPr>
        <w:sectPr>
          <w:pgSz w:w="12240" w:h="15840" w:orient="portrait"/>
          <w:cols w:equalWidth="0" w:num="1">
            <w:col w:w="9880"/>
          </w:cols>
          <w:pgMar w:left="1180" w:top="85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80"/>
          </w:cols>
          <w:pgMar w:left="1180" w:top="856" w:right="1180" w:bottom="0" w:gutter="0" w:footer="0" w:header="0"/>
          <w:type w:val="continuous"/>
        </w:sectPr>
      </w:pPr>
    </w:p>
    <w:bookmarkStart w:id="70" w:name="page71"/>
    <w:bookmarkEnd w:id="70"/>
    <w:p>
      <w:pPr>
        <w:ind w:left="720"/>
        <w:spacing w:after="0"/>
        <w:rPr>
          <w:sz w:val="20"/>
          <w:szCs w:val="20"/>
          <w:color w:val="auto"/>
        </w:rPr>
      </w:pPr>
      <w:r>
        <w:rPr>
          <w:rFonts w:ascii="Times New Roman" w:cs="Times New Roman" w:eastAsia="Times New Roman" w:hAnsi="Times New Roman"/>
          <w:sz w:val="20"/>
          <w:szCs w:val="20"/>
          <w:color w:val="auto"/>
        </w:rPr>
        <w:t>There were no transfers between Level 1, Level 2, and Level 3 categories during any of the periods presented.</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Accounts Receivable and Allowances for Credit Losses</w:t>
      </w:r>
    </w:p>
    <w:p>
      <w:pPr>
        <w:spacing w:after="0" w:line="134"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Trade accounts receivable are recorded at the invoiced amount, net of allowances for credit losses. An allowance for credit losses is recorded when it is probable that amounts will not be collected based on historical collection trends, age of outstanding receivables, specific customer circumstances, existing economic conditions and future forecasted information. The Company performs periodic credit evaluations of its customers’ financial condition and generally requires no collateral from its customers. Losses have not been significant in any of the periods presented.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Concentration of Credit Risk</w:t>
      </w:r>
    </w:p>
    <w:p>
      <w:pPr>
        <w:spacing w:after="0" w:line="134"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significant concentrations of credit risk consist principally of cash and cash equivalents, short-term investments and accounts receivable. Substantially all of the Company's cash and cash equivalents balances are in excess of Federal Deposit Insurance Corporation insurance limits with financial institutions. Investment policies have been implemented that limit purchases of marketable debt securities to investment-grade securities.</w:t>
      </w:r>
    </w:p>
    <w:p>
      <w:pPr>
        <w:spacing w:after="0" w:line="198" w:lineRule="exact"/>
        <w:rPr>
          <w:sz w:val="20"/>
          <w:szCs w:val="20"/>
          <w:color w:val="auto"/>
        </w:rPr>
      </w:pPr>
    </w:p>
    <w:p>
      <w:pPr>
        <w:ind w:right="220" w:firstLine="720"/>
        <w:spacing w:after="0" w:line="260" w:lineRule="auto"/>
        <w:rPr>
          <w:sz w:val="20"/>
          <w:szCs w:val="20"/>
          <w:color w:val="auto"/>
        </w:rPr>
      </w:pPr>
      <w:r>
        <w:rPr>
          <w:rFonts w:ascii="Times New Roman" w:cs="Times New Roman" w:eastAsia="Times New Roman" w:hAnsi="Times New Roman"/>
          <w:sz w:val="20"/>
          <w:szCs w:val="20"/>
          <w:color w:val="auto"/>
        </w:rPr>
        <w:t>The Company extends credit based on an evaluation of the customer’s financial condition and collateral is not typically required. The Company primarily sells its products through third-party distributors. Two, three and four distributors directly accounted for 10% or more of the Company’s revenue for the year ended December 31, 2025, 2024 and 2023, respectively. No other distributors accounted for 10% or more of the Company's consolidated revenues for the years ended December 31, 2025, 2024, and 2023.</w:t>
      </w:r>
    </w:p>
    <w:p>
      <w:pPr>
        <w:spacing w:after="0" w:line="1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discloses these customers’ percentage of revenue for the respective periods:</w:t>
      </w:r>
    </w:p>
    <w:p>
      <w:pPr>
        <w:spacing w:after="0" w:line="328" w:lineRule="exact"/>
        <w:rPr>
          <w:sz w:val="20"/>
          <w:szCs w:val="20"/>
          <w:color w:val="auto"/>
        </w:rPr>
      </w:pPr>
    </w:p>
    <w:tbl>
      <w:tblPr>
        <w:tblLayout w:type="fixed"/>
        <w:tblInd w:w="122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6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880" w:type="dxa"/>
            <w:vAlign w:val="bottom"/>
          </w:tcPr>
          <w:p>
            <w:pPr>
              <w:spacing w:after="0"/>
              <w:rPr>
                <w:sz w:val="18"/>
                <w:szCs w:val="18"/>
                <w:color w:val="auto"/>
              </w:rPr>
            </w:pPr>
          </w:p>
        </w:tc>
      </w:tr>
      <w:tr>
        <w:trPr>
          <w:trHeight w:val="38"/>
        </w:trPr>
        <w:tc>
          <w:tcPr>
            <w:tcW w:w="37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19"/>
        </w:trPr>
        <w:tc>
          <w:tcPr>
            <w:tcW w:w="372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58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8"/>
        </w:trPr>
        <w:tc>
          <w:tcPr>
            <w:tcW w:w="3720" w:type="dxa"/>
            <w:vAlign w:val="bottom"/>
            <w:tcBorders>
              <w:bottom w:val="single" w:sz="8" w:color="DDDDDD"/>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85"/>
        </w:trPr>
        <w:tc>
          <w:tcPr>
            <w:tcW w:w="372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b w:val="1"/>
                <w:bCs w:val="1"/>
                <w:color w:val="auto"/>
              </w:rPr>
              <w:t>Customer</w:t>
            </w:r>
          </w:p>
        </w:tc>
        <w:tc>
          <w:tcPr>
            <w:tcW w:w="88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120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spacing w:after="0"/>
              <w:rPr>
                <w:sz w:val="24"/>
                <w:szCs w:val="24"/>
                <w:color w:val="auto"/>
              </w:rPr>
            </w:pPr>
          </w:p>
        </w:tc>
        <w:tc>
          <w:tcPr>
            <w:tcW w:w="880" w:type="dxa"/>
            <w:vAlign w:val="bottom"/>
            <w:tcBorders>
              <w:bottom w:val="single" w:sz="8" w:color="DDDDDD"/>
            </w:tcBorders>
            <w:shd w:val="clear" w:color="auto" w:fill="DDDDDD"/>
          </w:tcPr>
          <w:p>
            <w:pPr>
              <w:spacing w:after="0"/>
              <w:rPr>
                <w:sz w:val="24"/>
                <w:szCs w:val="24"/>
                <w:color w:val="auto"/>
              </w:rPr>
            </w:pPr>
          </w:p>
        </w:tc>
      </w:tr>
      <w:tr>
        <w:trPr>
          <w:trHeight w:val="282"/>
        </w:trPr>
        <w:tc>
          <w:tcPr>
            <w:tcW w:w="3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Arrow Electronics, Inc.</w:t>
            </w:r>
          </w:p>
        </w:tc>
        <w:tc>
          <w:tcPr>
            <w:tcW w:w="880" w:type="dxa"/>
            <w:vAlign w:val="bottom"/>
          </w:tcPr>
          <w:p>
            <w:pPr>
              <w:jc w:val="center"/>
              <w:ind w:left="244"/>
              <w:spacing w:after="0"/>
              <w:rPr>
                <w:sz w:val="20"/>
                <w:szCs w:val="20"/>
                <w:color w:val="auto"/>
              </w:rPr>
            </w:pPr>
            <w:r>
              <w:rPr>
                <w:rFonts w:ascii="Times New Roman" w:cs="Times New Roman" w:eastAsia="Times New Roman" w:hAnsi="Times New Roman"/>
                <w:sz w:val="20"/>
                <w:szCs w:val="20"/>
                <w:color w:val="auto"/>
              </w:rPr>
              <w:t>26%</w:t>
            </w:r>
          </w:p>
        </w:tc>
        <w:tc>
          <w:tcPr>
            <w:tcW w:w="158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18%</w:t>
            </w:r>
          </w:p>
        </w:tc>
      </w:tr>
      <w:tr>
        <w:trPr>
          <w:trHeight w:val="42"/>
        </w:trPr>
        <w:tc>
          <w:tcPr>
            <w:tcW w:w="3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580" w:type="dxa"/>
            <w:vAlign w:val="bottom"/>
            <w:gridSpan w:val="3"/>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305"/>
        </w:trPr>
        <w:tc>
          <w:tcPr>
            <w:tcW w:w="372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Pernas Electronics Co. Ltd.</w:t>
            </w:r>
          </w:p>
        </w:tc>
        <w:tc>
          <w:tcPr>
            <w:tcW w:w="880" w:type="dxa"/>
            <w:vAlign w:val="bottom"/>
            <w:tcBorders>
              <w:bottom w:val="single" w:sz="8" w:color="DDDDDD"/>
            </w:tcBorders>
            <w:shd w:val="clear" w:color="auto" w:fill="DDDDDD"/>
          </w:tcPr>
          <w:p>
            <w:pPr>
              <w:jc w:val="center"/>
              <w:ind w:left="244"/>
              <w:spacing w:after="0"/>
              <w:rPr>
                <w:sz w:val="20"/>
                <w:szCs w:val="20"/>
                <w:color w:val="auto"/>
              </w:rPr>
            </w:pPr>
            <w:r>
              <w:rPr>
                <w:rFonts w:ascii="Times New Roman" w:cs="Times New Roman" w:eastAsia="Times New Roman" w:hAnsi="Times New Roman"/>
                <w:sz w:val="20"/>
                <w:szCs w:val="20"/>
                <w:color w:val="auto"/>
              </w:rPr>
              <w:t>25%</w:t>
            </w:r>
          </w:p>
        </w:tc>
        <w:tc>
          <w:tcPr>
            <w:tcW w:w="1580" w:type="dxa"/>
            <w:vAlign w:val="bottom"/>
            <w:tcBorders>
              <w:bottom w:val="single" w:sz="8" w:color="DDDDDD"/>
            </w:tcBorders>
            <w:gridSpan w:val="3"/>
            <w:shd w:val="clear" w:color="auto" w:fill="DDDDDD"/>
          </w:tcPr>
          <w:p>
            <w:pPr>
              <w:ind w:left="800"/>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spacing w:after="0"/>
              <w:rPr>
                <w:sz w:val="24"/>
                <w:szCs w:val="24"/>
                <w:color w:val="auto"/>
              </w:rPr>
            </w:pPr>
          </w:p>
        </w:tc>
        <w:tc>
          <w:tcPr>
            <w:tcW w:w="880" w:type="dxa"/>
            <w:vAlign w:val="bottom"/>
            <w:tcBorders>
              <w:bottom w:val="single" w:sz="8" w:color="DDDDDD"/>
            </w:tcBorders>
            <w:shd w:val="clear" w:color="auto" w:fill="DDDDDD"/>
          </w:tcPr>
          <w:p>
            <w:pPr>
              <w:ind w:left="100"/>
              <w:spacing w:after="0"/>
              <w:rPr>
                <w:sz w:val="20"/>
                <w:szCs w:val="20"/>
                <w:color w:val="auto"/>
              </w:rPr>
            </w:pPr>
            <w:r>
              <w:rPr>
                <w:rFonts w:ascii="Times New Roman" w:cs="Times New Roman" w:eastAsia="Times New Roman" w:hAnsi="Times New Roman"/>
                <w:sz w:val="20"/>
                <w:szCs w:val="20"/>
                <w:color w:val="auto"/>
              </w:rPr>
              <w:t>20%</w:t>
            </w:r>
          </w:p>
        </w:tc>
      </w:tr>
      <w:tr>
        <w:trPr>
          <w:trHeight w:val="282"/>
        </w:trPr>
        <w:tc>
          <w:tcPr>
            <w:tcW w:w="3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Quantek Technology Corporation</w:t>
            </w:r>
          </w:p>
        </w:tc>
        <w:tc>
          <w:tcPr>
            <w:tcW w:w="880" w:type="dxa"/>
            <w:vAlign w:val="bottom"/>
          </w:tcPr>
          <w:p>
            <w:pPr>
              <w:jc w:val="center"/>
              <w:ind w:left="244"/>
              <w:spacing w:after="0"/>
              <w:rPr>
                <w:sz w:val="20"/>
                <w:szCs w:val="20"/>
                <w:color w:val="auto"/>
              </w:rPr>
            </w:pPr>
            <w:r>
              <w:rPr>
                <w:rFonts w:ascii="Times New Roman" w:cs="Times New Roman" w:eastAsia="Times New Roman" w:hAnsi="Times New Roman"/>
                <w:sz w:val="20"/>
                <w:szCs w:val="20"/>
                <w:color w:val="auto"/>
                <w:w w:val="99"/>
              </w:rPr>
              <w:t>*</w:t>
            </w:r>
          </w:p>
        </w:tc>
        <w:tc>
          <w:tcPr>
            <w:tcW w:w="158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auto"/>
              </w:rPr>
              <w:t>13%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13%</w:t>
            </w:r>
          </w:p>
        </w:tc>
      </w:tr>
      <w:tr>
        <w:trPr>
          <w:trHeight w:val="325"/>
        </w:trPr>
        <w:tc>
          <w:tcPr>
            <w:tcW w:w="3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Sabre Technologies Pte. Ltd</w:t>
            </w:r>
          </w:p>
        </w:tc>
        <w:tc>
          <w:tcPr>
            <w:tcW w:w="880" w:type="dxa"/>
            <w:vAlign w:val="bottom"/>
          </w:tcPr>
          <w:p>
            <w:pPr>
              <w:jc w:val="center"/>
              <w:ind w:left="244"/>
              <w:spacing w:after="0"/>
              <w:rPr>
                <w:sz w:val="20"/>
                <w:szCs w:val="20"/>
                <w:color w:val="auto"/>
              </w:rPr>
            </w:pPr>
            <w:r>
              <w:rPr>
                <w:rFonts w:ascii="Times New Roman" w:cs="Times New Roman" w:eastAsia="Times New Roman" w:hAnsi="Times New Roman"/>
                <w:sz w:val="20"/>
                <w:szCs w:val="20"/>
                <w:color w:val="auto"/>
                <w:w w:val="99"/>
              </w:rPr>
              <w:t>*</w:t>
            </w:r>
          </w:p>
        </w:tc>
        <w:tc>
          <w:tcPr>
            <w:tcW w:w="1580" w:type="dxa"/>
            <w:vAlign w:val="bottom"/>
            <w:gridSpan w:val="3"/>
          </w:tcPr>
          <w:p>
            <w:pPr>
              <w:jc w:val="right"/>
              <w:ind w:righ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10%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779780</wp:posOffset>
                </wp:positionH>
                <wp:positionV relativeFrom="paragraph">
                  <wp:posOffset>-178435</wp:posOffset>
                </wp:positionV>
                <wp:extent cx="2352040" cy="20574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52040" cy="205740"/>
                        </a:xfrm>
                        <a:prstGeom prst="rect">
                          <a:avLst/>
                        </a:prstGeom>
                        <a:solidFill>
                          <a:srgbClr val="DDDDDD"/>
                        </a:solidFill>
                      </wps:spPr>
                      <wps:bodyPr/>
                    </wps:wsp>
                  </a:graphicData>
                </a:graphic>
              </wp:anchor>
            </w:drawing>
          </mc:Choice>
          <mc:Fallback>
            <w:pict>
              <v:rect id="Shape 90" o:spid="_x0000_s1115" style="position:absolute;margin-left:61.4pt;margin-top:-14.0499pt;width:185.2pt;height:16.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mc:AlternateContent>
          <mc:Choice Requires="wps">
            <w:drawing>
              <wp:anchor simplePos="0" relativeHeight="251657728" behindDoc="1" locked="0" layoutInCell="0" allowOverlap="1">
                <wp:simplePos x="0" y="0"/>
                <wp:positionH relativeFrom="column">
                  <wp:posOffset>3131820</wp:posOffset>
                </wp:positionH>
                <wp:positionV relativeFrom="paragraph">
                  <wp:posOffset>-178435</wp:posOffset>
                </wp:positionV>
                <wp:extent cx="2362200" cy="20574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2200" cy="205740"/>
                        </a:xfrm>
                        <a:prstGeom prst="rect">
                          <a:avLst/>
                        </a:prstGeom>
                        <a:solidFill>
                          <a:srgbClr val="DDDDDD"/>
                        </a:solidFill>
                      </wps:spPr>
                      <wps:bodyPr/>
                    </wps:wsp>
                  </a:graphicData>
                </a:graphic>
              </wp:anchor>
            </w:drawing>
          </mc:Choice>
          <mc:Fallback>
            <w:pict>
              <v:rect id="Shape 91" o:spid="_x0000_s1116" style="position:absolute;margin-left:246.6pt;margin-top:-14.0499pt;width:186pt;height:16.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DDDDD" stroked="f"/>
            </w:pict>
          </mc:Fallback>
        </mc:AlternateContent>
      </w:r>
    </w:p>
    <w:p>
      <w:pPr>
        <w:ind w:left="1440"/>
        <w:spacing w:after="0"/>
        <w:rPr>
          <w:sz w:val="20"/>
          <w:szCs w:val="20"/>
          <w:color w:val="auto"/>
        </w:rPr>
      </w:pPr>
      <w:r>
        <w:rPr>
          <w:rFonts w:ascii="Times New Roman" w:cs="Times New Roman" w:eastAsia="Times New Roman" w:hAnsi="Times New Roman"/>
          <w:sz w:val="16"/>
          <w:szCs w:val="16"/>
          <w:color w:val="auto"/>
        </w:rPr>
        <w:t>* Revenue from this customer was below 10%.</w:t>
      </w:r>
    </w:p>
    <w:p>
      <w:pPr>
        <w:spacing w:after="0" w:line="2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At December 31, 2025 and 2024 these customers accounted for 10% or more of accounts receivable:</w:t>
      </w:r>
    </w:p>
    <w:p>
      <w:pPr>
        <w:spacing w:after="0" w:line="322" w:lineRule="exact"/>
        <w:rPr>
          <w:sz w:val="20"/>
          <w:szCs w:val="20"/>
          <w:color w:val="auto"/>
        </w:rPr>
      </w:pPr>
    </w:p>
    <w:tbl>
      <w:tblPr>
        <w:tblLayout w:type="fixed"/>
        <w:tblInd w:w="122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2460" w:type="dxa"/>
            <w:vAlign w:val="bottom"/>
            <w:gridSpan w:val="3"/>
          </w:tcPr>
          <w:p>
            <w:pPr>
              <w:ind w:left="560"/>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38"/>
        </w:trPr>
        <w:tc>
          <w:tcPr>
            <w:tcW w:w="498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18"/>
        </w:trPr>
        <w:tc>
          <w:tcPr>
            <w:tcW w:w="4980" w:type="dxa"/>
            <w:vAlign w:val="bottom"/>
          </w:tcPr>
          <w:p>
            <w:pPr>
              <w:spacing w:after="0"/>
              <w:rPr>
                <w:sz w:val="18"/>
                <w:szCs w:val="18"/>
                <w:color w:val="auto"/>
              </w:rPr>
            </w:pPr>
          </w:p>
        </w:tc>
        <w:tc>
          <w:tcPr>
            <w:tcW w:w="120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6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0"/>
        </w:trPr>
        <w:tc>
          <w:tcPr>
            <w:tcW w:w="4980" w:type="dxa"/>
            <w:vAlign w:val="bottom"/>
            <w:tcBorders>
              <w:bottom w:val="single" w:sz="8" w:color="DDDDDD"/>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84"/>
        </w:trPr>
        <w:tc>
          <w:tcPr>
            <w:tcW w:w="498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b w:val="1"/>
                <w:bCs w:val="1"/>
                <w:color w:val="auto"/>
              </w:rPr>
              <w:t>Customer</w:t>
            </w:r>
          </w:p>
        </w:tc>
        <w:tc>
          <w:tcPr>
            <w:tcW w:w="120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1200" w:type="dxa"/>
            <w:vAlign w:val="bottom"/>
            <w:tcBorders>
              <w:bottom w:val="single" w:sz="8" w:color="DDDDDD"/>
            </w:tcBorders>
            <w:shd w:val="clear" w:color="auto" w:fill="DDDDDD"/>
          </w:tcPr>
          <w:p>
            <w:pPr>
              <w:spacing w:after="0"/>
              <w:rPr>
                <w:sz w:val="24"/>
                <w:szCs w:val="24"/>
                <w:color w:val="auto"/>
              </w:rPr>
            </w:pPr>
          </w:p>
        </w:tc>
      </w:tr>
      <w:tr>
        <w:trPr>
          <w:trHeight w:val="282"/>
        </w:trPr>
        <w:tc>
          <w:tcPr>
            <w:tcW w:w="4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Arrow Electronics, Inc.</w:t>
            </w:r>
          </w:p>
        </w:tc>
        <w:tc>
          <w:tcPr>
            <w:tcW w:w="12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39%</w:t>
            </w:r>
          </w:p>
        </w:tc>
        <w:tc>
          <w:tcPr>
            <w:tcW w:w="126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15%</w:t>
            </w:r>
          </w:p>
        </w:tc>
      </w:tr>
      <w:tr>
        <w:trPr>
          <w:trHeight w:val="43"/>
        </w:trPr>
        <w:tc>
          <w:tcPr>
            <w:tcW w:w="4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60" w:type="dxa"/>
            <w:vAlign w:val="bottom"/>
            <w:gridSpan w:val="2"/>
          </w:tcPr>
          <w:p>
            <w:pPr>
              <w:spacing w:after="0"/>
              <w:rPr>
                <w:sz w:val="3"/>
                <w:szCs w:val="3"/>
                <w:color w:val="auto"/>
              </w:rPr>
            </w:pPr>
          </w:p>
        </w:tc>
      </w:tr>
      <w:tr>
        <w:trPr>
          <w:trHeight w:val="305"/>
        </w:trPr>
        <w:tc>
          <w:tcPr>
            <w:tcW w:w="498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Pernas Electronics Co. Ltd.</w:t>
            </w:r>
          </w:p>
        </w:tc>
        <w:tc>
          <w:tcPr>
            <w:tcW w:w="1200" w:type="dxa"/>
            <w:vAlign w:val="bottom"/>
            <w:tcBorders>
              <w:bottom w:val="single" w:sz="8" w:color="DDDDDD"/>
            </w:tcBorders>
            <w:shd w:val="clear" w:color="auto" w:fill="DDDDDD"/>
          </w:tcPr>
          <w:p>
            <w:pPr>
              <w:ind w:left="420"/>
              <w:spacing w:after="0"/>
              <w:rPr>
                <w:sz w:val="20"/>
                <w:szCs w:val="20"/>
                <w:color w:val="auto"/>
              </w:rPr>
            </w:pPr>
            <w:r>
              <w:rPr>
                <w:rFonts w:ascii="Times New Roman" w:cs="Times New Roman" w:eastAsia="Times New Roman" w:hAnsi="Times New Roman"/>
                <w:sz w:val="20"/>
                <w:szCs w:val="20"/>
                <w:color w:val="auto"/>
              </w:rPr>
              <w:t>22%</w:t>
            </w:r>
          </w:p>
        </w:tc>
        <w:tc>
          <w:tcPr>
            <w:tcW w:w="1260" w:type="dxa"/>
            <w:vAlign w:val="bottom"/>
            <w:tcBorders>
              <w:bottom w:val="single" w:sz="8" w:color="DDDDDD"/>
            </w:tcBorders>
            <w:gridSpan w:val="2"/>
            <w:shd w:val="clear" w:color="auto" w:fill="DDDDDD"/>
          </w:tcPr>
          <w:p>
            <w:pPr>
              <w:ind w:left="480"/>
              <w:spacing w:after="0"/>
              <w:rPr>
                <w:sz w:val="20"/>
                <w:szCs w:val="20"/>
                <w:color w:val="auto"/>
              </w:rPr>
            </w:pPr>
            <w:r>
              <w:rPr>
                <w:rFonts w:ascii="Times New Roman" w:cs="Times New Roman" w:eastAsia="Times New Roman" w:hAnsi="Times New Roman"/>
                <w:sz w:val="20"/>
                <w:szCs w:val="20"/>
                <w:color w:val="auto"/>
              </w:rPr>
              <w:t>31%</w:t>
            </w:r>
          </w:p>
        </w:tc>
      </w:tr>
      <w:tr>
        <w:trPr>
          <w:trHeight w:val="282"/>
        </w:trPr>
        <w:tc>
          <w:tcPr>
            <w:tcW w:w="4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Quantek Technology Corporation</w:t>
            </w:r>
          </w:p>
        </w:tc>
        <w:tc>
          <w:tcPr>
            <w:tcW w:w="12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17%</w:t>
            </w:r>
          </w:p>
        </w:tc>
      </w:tr>
    </w:tbl>
    <w:p>
      <w:pPr>
        <w:spacing w:after="0" w:line="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 Accounts receivable from these customers was below 10%.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Inventories</w:t>
      </w:r>
    </w:p>
    <w:p>
      <w:pPr>
        <w:spacing w:after="0" w:line="134" w:lineRule="exact"/>
        <w:rPr>
          <w:sz w:val="20"/>
          <w:szCs w:val="20"/>
          <w:color w:val="auto"/>
        </w:rPr>
      </w:pPr>
    </w:p>
    <w:p>
      <w:pPr>
        <w:ind w:right="40" w:firstLine="720"/>
        <w:spacing w:after="0" w:line="261" w:lineRule="auto"/>
        <w:rPr>
          <w:sz w:val="20"/>
          <w:szCs w:val="20"/>
          <w:color w:val="auto"/>
        </w:rPr>
      </w:pPr>
      <w:r>
        <w:rPr>
          <w:rFonts w:ascii="Times New Roman" w:cs="Times New Roman" w:eastAsia="Times New Roman" w:hAnsi="Times New Roman"/>
          <w:sz w:val="20"/>
          <w:szCs w:val="20"/>
          <w:color w:val="auto"/>
        </w:rPr>
        <w:t>Inventories are stated at the lower of standard cost (which approximates actual cost on a first-in, first-out basis) or net realizable value. The Company reduces excess and obsolete inventories to their estimated net realizable value based on management’s assessment of future demand, historical usage by product, and market conditions. Inventory reserve write-downs, once established, are not released until the related inventory has been sold or scrapped.</w:t>
      </w:r>
    </w:p>
    <w:p>
      <w:pPr>
        <w:sectPr>
          <w:pgSz w:w="12240" w:h="15840" w:orient="portrait"/>
          <w:cols w:equalWidth="0" w:num="1">
            <w:col w:w="9860"/>
          </w:cols>
          <w:pgMar w:left="1180" w:top="856"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60"/>
          </w:cols>
          <w:pgMar w:left="1180" w:top="856" w:right="1200" w:bottom="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20"/>
          <w:szCs w:val="20"/>
          <w:b w:val="1"/>
          <w:bCs w:val="1"/>
          <w:color w:val="auto"/>
        </w:rPr>
        <w:t>Property and Equipment</w:t>
      </w:r>
    </w:p>
    <w:p>
      <w:pPr>
        <w:spacing w:after="0" w:line="134" w:lineRule="exact"/>
        <w:rPr>
          <w:sz w:val="20"/>
          <w:szCs w:val="20"/>
          <w:color w:val="auto"/>
        </w:rPr>
      </w:pPr>
    </w:p>
    <w:p>
      <w:pPr>
        <w:jc w:val="both"/>
        <w:ind w:left="60" w:right="720" w:firstLine="720"/>
        <w:spacing w:after="0" w:line="309" w:lineRule="auto"/>
        <w:rPr>
          <w:sz w:val="20"/>
          <w:szCs w:val="20"/>
          <w:color w:val="auto"/>
        </w:rPr>
      </w:pPr>
      <w:r>
        <w:rPr>
          <w:rFonts w:ascii="Times New Roman" w:cs="Times New Roman" w:eastAsia="Times New Roman" w:hAnsi="Times New Roman"/>
          <w:sz w:val="19"/>
          <w:szCs w:val="19"/>
          <w:color w:val="auto"/>
        </w:rPr>
        <w:t>Property and equipment are recorded at cost, less accumulated depreciation. Depreciation of property and equipment is recognized on a straight-line basis over the estimated useful lives of the respective assets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494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Lab and manufacturing equipment</w:t>
            </w:r>
          </w:p>
        </w:tc>
        <w:tc>
          <w:tcPr>
            <w:tcW w:w="496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3 to 7 years</w:t>
            </w:r>
          </w:p>
        </w:tc>
      </w:tr>
      <w:tr>
        <w:trPr>
          <w:trHeight w:val="282"/>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Computer equipment</w:t>
            </w:r>
          </w:p>
        </w:tc>
        <w:tc>
          <w:tcPr>
            <w:tcW w:w="4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3 years</w:t>
            </w:r>
          </w:p>
        </w:tc>
      </w:tr>
      <w:tr>
        <w:trPr>
          <w:trHeight w:val="44"/>
        </w:trPr>
        <w:tc>
          <w:tcPr>
            <w:tcW w:w="4940" w:type="dxa"/>
            <w:vAlign w:val="bottom"/>
          </w:tcPr>
          <w:p>
            <w:pPr>
              <w:spacing w:after="0"/>
              <w:rPr>
                <w:sz w:val="3"/>
                <w:szCs w:val="3"/>
                <w:color w:val="auto"/>
              </w:rPr>
            </w:pPr>
          </w:p>
        </w:tc>
        <w:tc>
          <w:tcPr>
            <w:tcW w:w="4960" w:type="dxa"/>
            <w:vAlign w:val="bottom"/>
          </w:tcPr>
          <w:p>
            <w:pPr>
              <w:spacing w:after="0"/>
              <w:rPr>
                <w:sz w:val="3"/>
                <w:szCs w:val="3"/>
                <w:color w:val="auto"/>
              </w:rPr>
            </w:pPr>
          </w:p>
        </w:tc>
      </w:tr>
      <w:tr>
        <w:trPr>
          <w:trHeight w:val="305"/>
        </w:trPr>
        <w:tc>
          <w:tcPr>
            <w:tcW w:w="494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Furniture and fixtures</w:t>
            </w:r>
          </w:p>
        </w:tc>
        <w:tc>
          <w:tcPr>
            <w:tcW w:w="496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5 years</w:t>
            </w:r>
          </w:p>
        </w:tc>
      </w:tr>
      <w:tr>
        <w:trPr>
          <w:trHeight w:val="261"/>
        </w:trPr>
        <w:tc>
          <w:tcPr>
            <w:tcW w:w="4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Leasehold improvements</w:t>
            </w:r>
          </w:p>
        </w:tc>
        <w:tc>
          <w:tcPr>
            <w:tcW w:w="4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Shorter of remaining lease term or estimated useful lives of</w:t>
            </w:r>
          </w:p>
        </w:tc>
      </w:tr>
      <w:tr>
        <w:trPr>
          <w:trHeight w:val="261"/>
        </w:trPr>
        <w:tc>
          <w:tcPr>
            <w:tcW w:w="4940" w:type="dxa"/>
            <w:vAlign w:val="bottom"/>
          </w:tcPr>
          <w:p>
            <w:pPr>
              <w:spacing w:after="0"/>
              <w:rPr>
                <w:sz w:val="22"/>
                <w:szCs w:val="22"/>
                <w:color w:val="auto"/>
              </w:rPr>
            </w:pPr>
          </w:p>
        </w:tc>
        <w:tc>
          <w:tcPr>
            <w:tcW w:w="49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the assets</w:t>
            </w:r>
          </w:p>
        </w:tc>
      </w:tr>
    </w:tbl>
    <w:p>
      <w:pPr>
        <w:spacing w:after="0" w:line="239" w:lineRule="exact"/>
        <w:rPr>
          <w:sz w:val="20"/>
          <w:szCs w:val="20"/>
          <w:color w:val="auto"/>
        </w:rPr>
      </w:pPr>
    </w:p>
    <w:p>
      <w:pPr>
        <w:ind w:left="60" w:firstLine="720"/>
        <w:spacing w:after="0" w:line="266" w:lineRule="auto"/>
        <w:rPr>
          <w:sz w:val="20"/>
          <w:szCs w:val="20"/>
          <w:color w:val="auto"/>
        </w:rPr>
      </w:pPr>
      <w:r>
        <w:rPr>
          <w:rFonts w:ascii="Times New Roman" w:cs="Times New Roman" w:eastAsia="Times New Roman" w:hAnsi="Times New Roman"/>
          <w:sz w:val="20"/>
          <w:szCs w:val="20"/>
          <w:color w:val="auto"/>
        </w:rPr>
        <w:t>Maintenance and repair costs are charged to expense as incurred, and expenditures that extend the useful lives of assets are capitalized. Upon retirement or sale of the property and equipment, the cost and related accumulated depreciation are removed from the balance sheet and the resulting gain or loss is recorded in operating expenses.</w:t>
      </w: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Intangible Assets</w:t>
      </w:r>
    </w:p>
    <w:p>
      <w:pPr>
        <w:spacing w:after="0" w:line="134" w:lineRule="exact"/>
        <w:rPr>
          <w:sz w:val="20"/>
          <w:szCs w:val="20"/>
          <w:color w:val="auto"/>
        </w:rPr>
      </w:pPr>
    </w:p>
    <w:p>
      <w:pPr>
        <w:ind w:left="60" w:right="80" w:firstLine="720"/>
        <w:spacing w:after="0" w:line="256" w:lineRule="auto"/>
        <w:rPr>
          <w:sz w:val="20"/>
          <w:szCs w:val="20"/>
          <w:color w:val="auto"/>
        </w:rPr>
      </w:pPr>
      <w:r>
        <w:rPr>
          <w:rFonts w:ascii="Times New Roman" w:cs="Times New Roman" w:eastAsia="Times New Roman" w:hAnsi="Times New Roman"/>
          <w:sz w:val="20"/>
          <w:szCs w:val="20"/>
          <w:color w:val="auto"/>
        </w:rPr>
        <w:t>Purchased intangible assets with finite lives are carried at cost, less accumulated amortization. Amortization is computed using the straight-line method over the estimated useful lives of the respective assets of 3 to 10 years. Acquisition-related in-process research and development represents the fair value of incomplete research and development projects that have not reached technological feasibility as of the date of acquisition. Initially, these assets are not subject to amortization. Assets related to projects that have been completed are transferred to developed technology, which are subject to amortization.</w:t>
      </w:r>
    </w:p>
    <w:p>
      <w:pPr>
        <w:spacing w:after="0" w:line="3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Leases</w:t>
      </w:r>
    </w:p>
    <w:p>
      <w:pPr>
        <w:spacing w:after="0" w:line="134" w:lineRule="exact"/>
        <w:rPr>
          <w:sz w:val="20"/>
          <w:szCs w:val="20"/>
          <w:color w:val="auto"/>
        </w:rPr>
      </w:pPr>
    </w:p>
    <w:p>
      <w:pPr>
        <w:ind w:left="60" w:right="140" w:firstLine="720"/>
        <w:spacing w:after="0" w:line="261" w:lineRule="auto"/>
        <w:rPr>
          <w:sz w:val="20"/>
          <w:szCs w:val="20"/>
          <w:color w:val="auto"/>
        </w:rPr>
      </w:pPr>
      <w:r>
        <w:rPr>
          <w:rFonts w:ascii="Times New Roman" w:cs="Times New Roman" w:eastAsia="Times New Roman" w:hAnsi="Times New Roman"/>
          <w:sz w:val="20"/>
          <w:szCs w:val="20"/>
          <w:color w:val="auto"/>
        </w:rPr>
        <w:t>The Company determines if an arrangement is a lease at inception. Lease classification is evaluated at commencement and, as necessary, at modification. Operating lease related balances are included in right-of-use (“ROU”), assets, accrued expenses and other current liabilities, and other non-current liabilities in the Company’s consolidated balance sheets. The Company currently does not have any finance leases.</w:t>
      </w:r>
    </w:p>
    <w:p>
      <w:pPr>
        <w:spacing w:after="0" w:line="200" w:lineRule="exact"/>
        <w:rPr>
          <w:sz w:val="20"/>
          <w:szCs w:val="20"/>
          <w:color w:val="auto"/>
        </w:rPr>
      </w:pPr>
    </w:p>
    <w:p>
      <w:pPr>
        <w:ind w:left="60" w:right="80" w:firstLine="720"/>
        <w:spacing w:after="0" w:line="254" w:lineRule="auto"/>
        <w:rPr>
          <w:sz w:val="20"/>
          <w:szCs w:val="20"/>
          <w:color w:val="auto"/>
        </w:rPr>
      </w:pPr>
      <w:r>
        <w:rPr>
          <w:rFonts w:ascii="Times New Roman" w:cs="Times New Roman" w:eastAsia="Times New Roman" w:hAnsi="Times New Roman"/>
          <w:sz w:val="20"/>
          <w:szCs w:val="20"/>
          <w:color w:val="auto"/>
        </w:rPr>
        <w:t>Operating lease ROU assets represent the Company's right to use an underlying asset for the lease term and operating lease liabilities represent the present value of the Company’s obligation to make lease payments arising from the lease. Operating lease ROU assets and liabilities are recognized at the present value of the future lease payments at the lease commencement date. The interest rate used to determine the present value of the future lease payments is the incremental borrowing rate of the Company, because the interest rates implicit in most of its leases are not readily determinable. The incremental borrowing rate is estimated to approximate the interest rate on a collateralized basis with similar terms and payments, and in economic environments where the leased asset is located. Operating lease ROU assets also include adjustments related to lease incentives, prepaid or accrued rent and initial direct lease costs. Operating lease ROU assets are subject to evaluation for impairment or disposal on a basis consistent with other long-lived assets.</w:t>
      </w:r>
    </w:p>
    <w:p>
      <w:pPr>
        <w:spacing w:after="0" w:line="209" w:lineRule="exact"/>
        <w:rPr>
          <w:sz w:val="20"/>
          <w:szCs w:val="20"/>
          <w:color w:val="auto"/>
        </w:rPr>
      </w:pPr>
    </w:p>
    <w:p>
      <w:pPr>
        <w:ind w:left="60" w:right="40" w:firstLine="720"/>
        <w:spacing w:after="0" w:line="261" w:lineRule="auto"/>
        <w:rPr>
          <w:sz w:val="20"/>
          <w:szCs w:val="20"/>
          <w:color w:val="auto"/>
        </w:rPr>
      </w:pPr>
      <w:r>
        <w:rPr>
          <w:rFonts w:ascii="Times New Roman" w:cs="Times New Roman" w:eastAsia="Times New Roman" w:hAnsi="Times New Roman"/>
          <w:sz w:val="20"/>
          <w:szCs w:val="20"/>
          <w:color w:val="auto"/>
        </w:rPr>
        <w:t>Lease terms may include periods under options to extend or terminate the lease when it is reasonably certain that the Company will exercise that option. The Company generally uses the base, non-cancelable lease term when determining the lease right-of-use assets and lease liabilities. Operating lease cost is recognized on a straight-line basis over the lease term.</w:t>
      </w:r>
    </w:p>
    <w:p>
      <w:pPr>
        <w:spacing w:after="0" w:line="200" w:lineRule="exact"/>
        <w:rPr>
          <w:sz w:val="20"/>
          <w:szCs w:val="20"/>
          <w:color w:val="auto"/>
        </w:rPr>
      </w:pPr>
    </w:p>
    <w:p>
      <w:pPr>
        <w:ind w:left="60" w:firstLine="720"/>
        <w:spacing w:after="0" w:line="255" w:lineRule="auto"/>
        <w:rPr>
          <w:sz w:val="20"/>
          <w:szCs w:val="20"/>
          <w:color w:val="auto"/>
        </w:rPr>
      </w:pPr>
      <w:r>
        <w:rPr>
          <w:rFonts w:ascii="Times New Roman" w:cs="Times New Roman" w:eastAsia="Times New Roman" w:hAnsi="Times New Roman"/>
          <w:sz w:val="20"/>
          <w:szCs w:val="20"/>
          <w:color w:val="auto"/>
        </w:rPr>
        <w:t>The Company has elected the practical expedient within ASC Topic 842 to account for lease and non-lease components as a single lease component. Additionally, the Company has elected the short-term lease exception for all classes of assets and does not recognize ROU assets and lease liabilities for leases with a term of 12 months or less and recognizes lease payments for short-term leases as expense either straight-line over the lease term or as incurred depending on whether the lease payments are fixed or variable. These elections are applied consistently for all leases. Payments under the Company's lease arrangements are primarily fixed, however, certain lease agreements contain variable payments, which are expensed as incurred and not included in the operating lease ROU assets and liabilities. Variable lease payments are primarily comprised of common area maintenance charges and utility costs.</w:t>
      </w:r>
    </w:p>
    <w:p>
      <w:pPr>
        <w:sectPr>
          <w:pgSz w:w="12240" w:h="15840" w:orient="portrait"/>
          <w:cols w:equalWidth="0" w:num="1">
            <w:col w:w="9940"/>
          </w:cols>
          <w:pgMar w:left="1120" w:top="852"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940"/>
          </w:cols>
          <w:pgMar w:left="1120" w:top="852" w:right="118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color w:val="auto"/>
        </w:rPr>
        <w:t>Business Combinations</w:t>
      </w:r>
    </w:p>
    <w:p>
      <w:pPr>
        <w:spacing w:after="0" w:line="134" w:lineRule="exact"/>
        <w:rPr>
          <w:sz w:val="20"/>
          <w:szCs w:val="20"/>
          <w:color w:val="auto"/>
        </w:rPr>
      </w:pPr>
    </w:p>
    <w:p>
      <w:pPr>
        <w:ind w:firstLine="720"/>
        <w:spacing w:after="0" w:line="251" w:lineRule="auto"/>
        <w:rPr>
          <w:sz w:val="20"/>
          <w:szCs w:val="20"/>
          <w:color w:val="auto"/>
        </w:rPr>
      </w:pPr>
      <w:r>
        <w:rPr>
          <w:rFonts w:ascii="Times New Roman" w:cs="Times New Roman" w:eastAsia="Times New Roman" w:hAnsi="Times New Roman"/>
          <w:sz w:val="20"/>
          <w:szCs w:val="20"/>
          <w:color w:val="auto"/>
        </w:rPr>
        <w:t>The Company applies the provisions of ASC 805, Business Combinations (ASC 805), in accounting for acquisitions. ASC 805 requires that the Company evaluates whether a transaction pertains to an acquisition of assets, or to an acquisition of a business. A business is defined as an integrated set of assets and activities that is capable of being conducted and managed for the purpose of providing a return to investors. Asset acquisitions are accounted for by allocating the cost of the acquisition to the individual assets and liabilities assumed on a relative fair value basis; whereas the acquisition of a business requires the Company to recognize separately from goodwill the assets acquired and the liabilities assumed at the acquisition date fair values. Goodwill as of the business acquisition date is measured as the excess of consideration transferred over the net of the acquisition date fair values of the assets acquired and the liabilities assumed. The Company also evaluates all contingent consideration arrangements to determine if the arrangements are compensatory in nature. No liability is recognized at the acquisition date for arrangements concluded to be compensatory. While the Company uses its best estimates and assumptions to accurately value assets acquired and liabilities assumed at the business acquisition date as well as any contingent consideration, where applicable, the estimates are inherently uncertain and subject to refinement. Estimates and assumptions relevant to the determination of the fair value of the assets acquired and liabilities assumed include, but are not limited to, revenue projections, discount rates, and other assumptions. The approach to estimating an initial contingent consideration associated with the purchase price also uses similar unobservable factors such as revenue projections over the term of the contingent earn-out period, discounted for the period over which the initial contingent consideration is measured and expected volatility. Based upon these assumptions, the initial contingent consideration is then valued using a Monte Carlo simulation. As a result, during the measurement period, which may be up to one year from the business acquisition date, the Company may record certain adjustments to the assets acquired and liabilities assumed with the corresponding offset to goodwill. Upon the conclusion of a business acquisition’s measurement period or final determination of the values of assets acquired or liabilities assumed, whichever comes first, any subsequent adjustments are recorded to the consolidated statements of operations. In the event an acquisition involves an entity with which the Company has a preexisting relationship, the Company will recognize a gain or loss, if any, to settle that relationship as of the acquisition date within the consolidated statement of operations and comprehensive loss. All acquisition-related costs are accounted for as expenses in the period in which they are incurred. Changes in the fair value of contingent consideration arrangements that are not measurement period adjustments are recognized in earnings.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Impairment of Goodwill, Intangible Assets, and Other Long-Lived Assets</w:t>
      </w:r>
    </w:p>
    <w:p>
      <w:pPr>
        <w:spacing w:after="0" w:line="134" w:lineRule="exact"/>
        <w:rPr>
          <w:sz w:val="20"/>
          <w:szCs w:val="20"/>
          <w:color w:val="auto"/>
        </w:rPr>
      </w:pPr>
    </w:p>
    <w:p>
      <w:pPr>
        <w:ind w:right="140" w:firstLine="720"/>
        <w:spacing w:after="0" w:line="255" w:lineRule="auto"/>
        <w:rPr>
          <w:sz w:val="20"/>
          <w:szCs w:val="20"/>
          <w:color w:val="auto"/>
        </w:rPr>
      </w:pPr>
      <w:r>
        <w:rPr>
          <w:rFonts w:ascii="Times New Roman" w:cs="Times New Roman" w:eastAsia="Times New Roman" w:hAnsi="Times New Roman"/>
          <w:sz w:val="20"/>
          <w:szCs w:val="20"/>
          <w:color w:val="auto"/>
        </w:rPr>
        <w:t>Goodwill is evaluated for impairment on an annual basis in the fourth quarter of the Company's fiscal year, and whenever events or changes in circumstances indicate the carrying amount of goodwill may not be recoverable. The Company has elected to first assess qualitative factors to determine whether it is more likely than not that the fair value of its single reporting unit is less than its carrying amount, including goodwill. If the Company determines that it is more likely than not that the fair value is less than its carrying amount, then the quantitative impairment test will be performed. Under the quantitative impairment test, if the carrying amount exceeds its fair value, the Company will recognize an impairment loss in an amount equal to that excess but limited to the total amount of goodwill.</w:t>
      </w:r>
    </w:p>
    <w:p>
      <w:pPr>
        <w:spacing w:after="0" w:line="210" w:lineRule="exact"/>
        <w:rPr>
          <w:sz w:val="20"/>
          <w:szCs w:val="20"/>
          <w:color w:val="auto"/>
        </w:rPr>
      </w:pPr>
    </w:p>
    <w:p>
      <w:pPr>
        <w:ind w:right="80" w:firstLine="720"/>
        <w:spacing w:after="0" w:line="256" w:lineRule="auto"/>
        <w:rPr>
          <w:sz w:val="20"/>
          <w:szCs w:val="20"/>
          <w:color w:val="auto"/>
        </w:rPr>
      </w:pPr>
      <w:r>
        <w:rPr>
          <w:rFonts w:ascii="Times New Roman" w:cs="Times New Roman" w:eastAsia="Times New Roman" w:hAnsi="Times New Roman"/>
          <w:sz w:val="20"/>
          <w:szCs w:val="20"/>
          <w:color w:val="auto"/>
        </w:rPr>
        <w:t>The Company evaluates events and changes in circumstances that could indicate carrying amounts of purchased intangible assets and other long-lived assets may not be recoverable. When such events or changes in circumstances occur, it assesses the recoverability of these assets or asset groups by determining whether or not the carrying amount will be recovered through undiscounted expected future cash flows. If the total of the future undiscounted cash flows is less than the carrying amount of an asset or asset group, the Company records an impairment loss for the amount by which the carrying amount exceeds the fair value of the asset or asset group.</w:t>
      </w:r>
    </w:p>
    <w:p>
      <w:pPr>
        <w:spacing w:after="0" w:line="208" w:lineRule="exact"/>
        <w:rPr>
          <w:sz w:val="20"/>
          <w:szCs w:val="20"/>
          <w:color w:val="auto"/>
        </w:rPr>
      </w:pPr>
    </w:p>
    <w:p>
      <w:pPr>
        <w:ind w:right="480" w:firstLine="720"/>
        <w:spacing w:after="0" w:line="282" w:lineRule="auto"/>
        <w:rPr>
          <w:sz w:val="20"/>
          <w:szCs w:val="20"/>
          <w:color w:val="auto"/>
        </w:rPr>
      </w:pPr>
      <w:r>
        <w:rPr>
          <w:rFonts w:ascii="Times New Roman" w:cs="Times New Roman" w:eastAsia="Times New Roman" w:hAnsi="Times New Roman"/>
          <w:sz w:val="20"/>
          <w:szCs w:val="20"/>
          <w:color w:val="auto"/>
        </w:rPr>
        <w:t>The Company did not recognize any impairment losses on its goodwill, intangible assets, or other long-lived assets during the years ended December 31, 2025, 2024, and 2023.</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Warranty</w:t>
      </w:r>
    </w:p>
    <w:p>
      <w:pPr>
        <w:spacing w:after="0" w:line="134" w:lineRule="exact"/>
        <w:rPr>
          <w:sz w:val="20"/>
          <w:szCs w:val="20"/>
          <w:color w:val="auto"/>
        </w:rPr>
      </w:pPr>
    </w:p>
    <w:p>
      <w:pPr>
        <w:ind w:right="100" w:firstLine="720"/>
        <w:spacing w:after="0" w:line="271" w:lineRule="auto"/>
        <w:rPr>
          <w:sz w:val="20"/>
          <w:szCs w:val="20"/>
          <w:color w:val="auto"/>
        </w:rPr>
      </w:pPr>
      <w:r>
        <w:rPr>
          <w:rFonts w:ascii="Times New Roman" w:cs="Times New Roman" w:eastAsia="Times New Roman" w:hAnsi="Times New Roman"/>
          <w:sz w:val="19"/>
          <w:szCs w:val="19"/>
          <w:color w:val="auto"/>
        </w:rPr>
        <w:t>The Company provides limited lifetime warranty coverage on all of its products by guaranteeing that all timing components from the Company will be free from defects in workmanship and materials and will conform to specifications for the life of the system. This assurance-type warranty is not considered a separate performance obligation, and thus no transaction price is allocated to it. The Company records the warranty costs in cost of revenue in the consolidated statements of operations and comprehensive loss. The warranty reserve is calculated using historical claim information to project future warranty claims activity and is recorded within accrued expenses and other current liabilities and other non-current liabilities on the consolidated balance sheets based on the expected timing of the related payments. To date, the</w:t>
      </w:r>
    </w:p>
    <w:p>
      <w:pPr>
        <w:sectPr>
          <w:pgSz w:w="12240" w:h="15840" w:orient="portrait"/>
          <w:cols w:equalWidth="0" w:num="1">
            <w:col w:w="9880"/>
          </w:cols>
          <w:pgMar w:left="1180" w:top="852" w:right="1180"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80"/>
          </w:cols>
          <w:pgMar w:left="1180" w:top="852" w:right="1180" w:bottom="0" w:gutter="0" w:footer="0" w:header="0"/>
          <w:type w:val="continuous"/>
        </w:sectPr>
      </w:pPr>
    </w:p>
    <w:bookmarkStart w:id="73" w:name="page74"/>
    <w:bookmarkEnd w:id="73"/>
    <w:p>
      <w:pPr>
        <w:ind w:right="380"/>
        <w:spacing w:after="0" w:line="282" w:lineRule="auto"/>
        <w:rPr>
          <w:sz w:val="20"/>
          <w:szCs w:val="20"/>
          <w:color w:val="auto"/>
        </w:rPr>
      </w:pPr>
      <w:r>
        <w:rPr>
          <w:rFonts w:ascii="Times New Roman" w:cs="Times New Roman" w:eastAsia="Times New Roman" w:hAnsi="Times New Roman"/>
          <w:sz w:val="20"/>
          <w:szCs w:val="20"/>
          <w:color w:val="auto"/>
        </w:rPr>
        <w:t>Company has had negligible warranty claims for any defective products, and hence the warranty reserve balances as of December 31, 2025 and 2024 was not significant for any periods presented.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54"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Income taxes are accounted for under the asset and liability method. Deferred tax assets and liabilities are recognized for the future tax consequences attributable to differences between the carrying amounts in the consolidated financial statements of existing assets and liabilities and their respective tax bases and operating loss and tax credit carryforwards, using enacted tax rates in effect for the year in which the differences are expected to be recovered or settled. The effect on deferred tax assets and liabilities of a change in tax rates is recognized in earnings in the period that includes the enactment date. A valuation allowance is provided in order to reduce the deferred tax assets to a level which, more likely than not, will be realized.</w:t>
      </w:r>
    </w:p>
    <w:p>
      <w:pPr>
        <w:spacing w:after="0" w:line="210" w:lineRule="exact"/>
        <w:rPr>
          <w:sz w:val="20"/>
          <w:szCs w:val="20"/>
          <w:color w:val="auto"/>
        </w:rPr>
      </w:pPr>
    </w:p>
    <w:p>
      <w:pPr>
        <w:ind w:right="160" w:firstLine="720"/>
        <w:spacing w:after="0" w:line="258" w:lineRule="auto"/>
        <w:rPr>
          <w:sz w:val="20"/>
          <w:szCs w:val="20"/>
          <w:color w:val="auto"/>
        </w:rPr>
      </w:pPr>
      <w:r>
        <w:rPr>
          <w:rFonts w:ascii="Times New Roman" w:cs="Times New Roman" w:eastAsia="Times New Roman" w:hAnsi="Times New Roman"/>
          <w:sz w:val="20"/>
          <w:szCs w:val="20"/>
          <w:color w:val="auto"/>
        </w:rPr>
        <w:t>While the Company believes it has adequately reserved for its uncertain tax positions, no assurance can be given that the final tax outcome of these matters will not be different. The Company adjusts these reserves in light of changing facts and circumstances, such as the closing of a tax audit. To the extent that the final tax outcome of these matters is different than the amounts recorded, such differences will impact the provision for income taxes and the effective tax rate in the period in which such determination is made.</w:t>
      </w:r>
    </w:p>
    <w:p>
      <w:pPr>
        <w:spacing w:after="0" w:line="204" w:lineRule="exact"/>
        <w:rPr>
          <w:sz w:val="20"/>
          <w:szCs w:val="20"/>
          <w:color w:val="auto"/>
        </w:rPr>
      </w:pPr>
    </w:p>
    <w:p>
      <w:pPr>
        <w:ind w:right="260" w:firstLine="720"/>
        <w:spacing w:after="0" w:line="255" w:lineRule="auto"/>
        <w:rPr>
          <w:sz w:val="20"/>
          <w:szCs w:val="20"/>
          <w:color w:val="auto"/>
        </w:rPr>
      </w:pPr>
      <w:r>
        <w:rPr>
          <w:rFonts w:ascii="Times New Roman" w:cs="Times New Roman" w:eastAsia="Times New Roman" w:hAnsi="Times New Roman"/>
          <w:sz w:val="20"/>
          <w:szCs w:val="20"/>
          <w:color w:val="auto"/>
        </w:rPr>
        <w:t>The Company recognizes tax positions in the consolidated financial statements only when it is more likely than not that the position will be sustained upon examination by the relevant taxing authority. Liabilities are established for differences between positions taken in a tax return and amounts recognized in the consolidated financial statements. The Company reports interest and penalties related to uncertain tax positions, if any, in the provision for income taxes in the consolidated statements of operations and comprehensive loss. To the extent that accrued interest and penalties do not ultimately become payable, amounts accrued will be reduced and reflected as a reduction of the overall provision for income taxes in the period that such determination is made.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134"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The Company derives revenue from its product sales primarily to distributors, who in turn sell to original equipment manufacturers or other end customers. The Company recognizes product revenue, at a point in time, upon shipment when it satisfies its performance obligations as evidenced by the transfer of control of its products to customers. The software included in our offerings is embedded in the related products, is not sold separately, and does not provide a separate and distinct benefit to the customer. Accordingly, the Company does not identify such software as a separate performance obligation. The Company measures revenue based on the amount of consideration it expects to be entitled to in exchange for products. Variable consideration is estimated and reflected as an adjustment to the transaction price. Depending on the terms of the contract, variable consideration is estimated using either the expected value approach or the most likely value approach. The Company determines variable consideration, which consists primarily of price adjustments and product returns by estimating the amount of consideration the Company expects to receive from its customers based on historical experience of price adjustments and product returns. Changes to the Company’s estimated variable consideration were not material for the periods presented. Since the Company’s performance obligations relate to contracts with a duration of less than one year, it does not disclose the aggregate amount of the transaction price allocated to performance obligations that are unsatisfied or partially unsatisfied at the end of the reporting period.</w:t>
      </w:r>
    </w:p>
    <w:p>
      <w:pPr>
        <w:spacing w:after="0" w:line="214" w:lineRule="exact"/>
        <w:rPr>
          <w:sz w:val="20"/>
          <w:szCs w:val="20"/>
          <w:color w:val="auto"/>
        </w:rPr>
      </w:pPr>
    </w:p>
    <w:p>
      <w:pPr>
        <w:jc w:val="both"/>
        <w:ind w:firstLine="720"/>
        <w:spacing w:after="0" w:line="269" w:lineRule="auto"/>
        <w:rPr>
          <w:sz w:val="20"/>
          <w:szCs w:val="20"/>
          <w:color w:val="auto"/>
        </w:rPr>
      </w:pPr>
      <w:r>
        <w:rPr>
          <w:rFonts w:ascii="Times New Roman" w:cs="Times New Roman" w:eastAsia="Times New Roman" w:hAnsi="Times New Roman"/>
          <w:sz w:val="20"/>
          <w:szCs w:val="20"/>
          <w:color w:val="auto"/>
        </w:rPr>
        <w:t>The Company’s payment terms vary by contract type and type of customer and generally range from 30 to 60 days from shipment. The Company has also elected to recognize the cost for freight and shipping when control over the products sold passes to customers and revenue is recognized.</w:t>
      </w:r>
    </w:p>
    <w:p>
      <w:pPr>
        <w:spacing w:after="0" w:line="193" w:lineRule="exact"/>
        <w:rPr>
          <w:sz w:val="20"/>
          <w:szCs w:val="20"/>
          <w:color w:val="auto"/>
        </w:rPr>
      </w:pPr>
    </w:p>
    <w:p>
      <w:pPr>
        <w:jc w:val="both"/>
        <w:ind w:right="140" w:firstLine="720"/>
        <w:spacing w:after="0" w:line="266" w:lineRule="auto"/>
        <w:rPr>
          <w:sz w:val="20"/>
          <w:szCs w:val="20"/>
          <w:color w:val="auto"/>
        </w:rPr>
      </w:pPr>
      <w:r>
        <w:rPr>
          <w:rFonts w:ascii="Times New Roman" w:cs="Times New Roman" w:eastAsia="Times New Roman" w:hAnsi="Times New Roman"/>
          <w:sz w:val="20"/>
          <w:szCs w:val="20"/>
          <w:color w:val="auto"/>
        </w:rPr>
        <w:t>As a practical expedient, the Company records the incremental costs of obtaining a contract, consisting primarily of sales commissions, when incurred because the amortization period is one year or less. These costs are recorded within selling, general, and administrative expenses.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Cost of Revenue</w:t>
      </w:r>
    </w:p>
    <w:p>
      <w:pPr>
        <w:spacing w:after="0" w:line="134" w:lineRule="exact"/>
        <w:rPr>
          <w:sz w:val="20"/>
          <w:szCs w:val="20"/>
          <w:color w:val="auto"/>
        </w:rPr>
      </w:pPr>
    </w:p>
    <w:p>
      <w:pPr>
        <w:ind w:right="120" w:firstLine="720"/>
        <w:spacing w:after="0" w:line="286" w:lineRule="auto"/>
        <w:rPr>
          <w:sz w:val="20"/>
          <w:szCs w:val="20"/>
          <w:color w:val="auto"/>
        </w:rPr>
      </w:pPr>
      <w:r>
        <w:rPr>
          <w:rFonts w:ascii="Times New Roman" w:cs="Times New Roman" w:eastAsia="Times New Roman" w:hAnsi="Times New Roman"/>
          <w:sz w:val="19"/>
          <w:szCs w:val="19"/>
          <w:color w:val="auto"/>
        </w:rPr>
        <w:t>Cost of revenue consists of wafers acquired from third-party foundries, assembly, packaging, and test cost of the Company’s products paid to third-party contract manufacturers, and personnel and other costs associated with the manufacturing operations of the Company. Cost of revenue also includes depreciation of production equipment, inventory</w:t>
      </w:r>
    </w:p>
    <w:p>
      <w:pPr>
        <w:sectPr>
          <w:pgSz w:w="12240" w:h="15840" w:orient="portrait"/>
          <w:cols w:equalWidth="0" w:num="1">
            <w:col w:w="9880"/>
          </w:cols>
          <w:pgMar w:left="1180" w:top="856" w:right="118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80"/>
          </w:cols>
          <w:pgMar w:left="1180" w:top="856" w:right="1180" w:bottom="0" w:gutter="0" w:footer="0" w:header="0"/>
          <w:type w:val="continuous"/>
        </w:sectPr>
      </w:pPr>
    </w:p>
    <w:bookmarkStart w:id="74" w:name="page75"/>
    <w:bookmarkEnd w:id="74"/>
    <w:p>
      <w:pPr>
        <w:ind w:right="20"/>
        <w:spacing w:after="0" w:line="282" w:lineRule="auto"/>
        <w:rPr>
          <w:sz w:val="20"/>
          <w:szCs w:val="20"/>
          <w:color w:val="auto"/>
        </w:rPr>
      </w:pPr>
      <w:r>
        <w:rPr>
          <w:rFonts w:ascii="Times New Roman" w:cs="Times New Roman" w:eastAsia="Times New Roman" w:hAnsi="Times New Roman"/>
          <w:sz w:val="20"/>
          <w:szCs w:val="20"/>
          <w:color w:val="auto"/>
        </w:rPr>
        <w:t>write-downs, shipping and handling costs, and allocation of overhead and facility costs. The Company also includes credits for rebates received from third-party contract manufacturers in cost of revenue.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 Expenses</w:t>
      </w:r>
    </w:p>
    <w:p>
      <w:pPr>
        <w:spacing w:after="0" w:line="134"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20"/>
          <w:szCs w:val="20"/>
          <w:color w:val="auto"/>
        </w:rPr>
        <w:t>Research and development costs consist primarily of personnel cost, material cost, and facilities related expenses, incurred in the course of planned research and development of new products. Research and development costs are expensed as incurred.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Non-recurring engineering services</w:t>
      </w:r>
    </w:p>
    <w:p>
      <w:pPr>
        <w:spacing w:after="0" w:line="134"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The Company has certain contracts to provide non-recurring engineering (NRE) services for research and development arrangements through 2026, which do not meet the requirement to be accounted for under ASC 606, Revenue from Contracts with Customers. The Company recognizes the payments received under these NRE arrangements as liabilities and recognizes them as an offset to research and development expense as the Company achieves the milestones of the contract. As the progress towards completion occurs, the Company uses an input method based on the ratio of costs incurred to date to total estimated costs of the project. Judgment is required to estimate the remaining effort to complete the project. These estimates are reassessed throughout the term of the arrangement. For the years ended December 31, 2025, 2024, and 2023, the Company recorded $1.8 million, $1.5 million and $3.9 million, respectively as a reduction of research and development expenses in the consolidated statements of operations.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Selling, General and Administrative Expenses</w:t>
      </w:r>
    </w:p>
    <w:p>
      <w:pPr>
        <w:spacing w:after="0" w:line="134" w:lineRule="exact"/>
        <w:rPr>
          <w:sz w:val="20"/>
          <w:szCs w:val="20"/>
          <w:color w:val="auto"/>
        </w:rPr>
      </w:pPr>
    </w:p>
    <w:p>
      <w:pPr>
        <w:ind w:right="20" w:firstLine="720"/>
        <w:spacing w:after="0" w:line="261" w:lineRule="auto"/>
        <w:rPr>
          <w:sz w:val="20"/>
          <w:szCs w:val="20"/>
          <w:color w:val="auto"/>
        </w:rPr>
      </w:pPr>
      <w:r>
        <w:rPr>
          <w:rFonts w:ascii="Times New Roman" w:cs="Times New Roman" w:eastAsia="Times New Roman" w:hAnsi="Times New Roman"/>
          <w:sz w:val="20"/>
          <w:szCs w:val="20"/>
          <w:color w:val="auto"/>
        </w:rPr>
        <w:t>Selling, general and administrative expenses primarily consist of personnel costs, field application engineering support, travel costs, professional and consulting fees, accounting and audit fees, legal, advertising expenses, and allocated overhead costs. Selling, general and administrative costs are expensed as incurred. Advertising expenses were $1.3 million, $1.5 million and $1.6 million, for the years ended December 31, 2025, 2024, and 2023, respectively.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128" w:lineRule="exact"/>
        <w:rPr>
          <w:sz w:val="20"/>
          <w:szCs w:val="20"/>
          <w:color w:val="auto"/>
        </w:rPr>
      </w:pPr>
    </w:p>
    <w:p>
      <w:pPr>
        <w:ind w:right="340" w:firstLine="720"/>
        <w:spacing w:after="0" w:line="269" w:lineRule="auto"/>
        <w:rPr>
          <w:sz w:val="20"/>
          <w:szCs w:val="20"/>
          <w:color w:val="auto"/>
        </w:rPr>
      </w:pPr>
      <w:r>
        <w:rPr>
          <w:rFonts w:ascii="Times New Roman" w:cs="Times New Roman" w:eastAsia="Times New Roman" w:hAnsi="Times New Roman"/>
          <w:sz w:val="20"/>
          <w:szCs w:val="20"/>
          <w:color w:val="auto"/>
        </w:rPr>
        <w:t>The Company grants restricted stock unit awards (“RSUs”) of its own common stock. Compensation expense related to share-based transactions is measured at fair value on the grant date. The Company recognizes share-based compensation expense for awards with only service conditions on a straight-line basis over the requisite service period.</w:t>
      </w:r>
    </w:p>
    <w:p>
      <w:pPr>
        <w:spacing w:after="0" w:line="73" w:lineRule="exact"/>
        <w:rPr>
          <w:sz w:val="20"/>
          <w:szCs w:val="20"/>
          <w:color w:val="auto"/>
        </w:rPr>
      </w:pPr>
    </w:p>
    <w:p>
      <w:pPr>
        <w:ind w:right="100" w:firstLine="720"/>
        <w:spacing w:after="0" w:line="256" w:lineRule="auto"/>
        <w:rPr>
          <w:sz w:val="20"/>
          <w:szCs w:val="20"/>
          <w:color w:val="auto"/>
        </w:rPr>
      </w:pPr>
      <w:r>
        <w:rPr>
          <w:rFonts w:ascii="Times New Roman" w:cs="Times New Roman" w:eastAsia="Times New Roman" w:hAnsi="Times New Roman"/>
          <w:sz w:val="20"/>
          <w:szCs w:val="20"/>
          <w:color w:val="auto"/>
        </w:rPr>
        <w:t>Stock-based compensation expense for performance-based restricted stock unit awards ("PRSU") is recognized when it becomes probable that the performance conditions will be met. Stock-based compensation expense for grants with market conditions is valued using a Monte-Carlo simulation model. The Company amortizes stock-based compensation expense for these grants using the graded-vesting method over the requisite performance period. The Company recognizes the expense related to the multi-year performance based restricted stock unit awards ("MYPSU") on a graded-vesting method over the requisite service period.</w:t>
      </w:r>
    </w:p>
    <w:p>
      <w:pPr>
        <w:spacing w:after="0" w:line="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Company recognizes forfeitures as they occur.</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Loss Per Share Attributable to Common Stockholders</w:t>
      </w:r>
    </w:p>
    <w:p>
      <w:pPr>
        <w:spacing w:after="0" w:line="134" w:lineRule="exact"/>
        <w:rPr>
          <w:sz w:val="20"/>
          <w:szCs w:val="20"/>
          <w:color w:val="auto"/>
        </w:rPr>
      </w:pPr>
    </w:p>
    <w:p>
      <w:pPr>
        <w:ind w:right="120" w:firstLine="720"/>
        <w:spacing w:after="0" w:line="256" w:lineRule="auto"/>
        <w:rPr>
          <w:sz w:val="20"/>
          <w:szCs w:val="20"/>
          <w:color w:val="auto"/>
        </w:rPr>
      </w:pPr>
      <w:r>
        <w:rPr>
          <w:rFonts w:ascii="Times New Roman" w:cs="Times New Roman" w:eastAsia="Times New Roman" w:hAnsi="Times New Roman"/>
          <w:sz w:val="20"/>
          <w:szCs w:val="20"/>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is computed by dividing the net loss attributable to common stockholders by the weighted-average number of shares of common stock and potentially dilutive securities outstanding for the period. Refer to "Note 3 - Net Loss Per Share" for further discussion regarding potentially dilutive and anti-dilutive securities.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Comprehensive Loss</w:t>
      </w:r>
    </w:p>
    <w:p>
      <w:pPr>
        <w:spacing w:after="0" w:line="134" w:lineRule="exact"/>
        <w:rPr>
          <w:sz w:val="20"/>
          <w:szCs w:val="20"/>
          <w:color w:val="auto"/>
        </w:rPr>
      </w:pPr>
    </w:p>
    <w:p>
      <w:pPr>
        <w:ind w:right="100" w:firstLine="720"/>
        <w:spacing w:after="0" w:line="282" w:lineRule="auto"/>
        <w:rPr>
          <w:sz w:val="20"/>
          <w:szCs w:val="20"/>
          <w:color w:val="auto"/>
        </w:rPr>
      </w:pPr>
      <w:r>
        <w:rPr>
          <w:rFonts w:ascii="Times New Roman" w:cs="Times New Roman" w:eastAsia="Times New Roman" w:hAnsi="Times New Roman"/>
          <w:sz w:val="20"/>
          <w:szCs w:val="20"/>
          <w:color w:val="auto"/>
        </w:rPr>
        <w:t>The Company has no components of other comprehensive loss. Therefore, net loss equals comprehensive loss for all periods presented.</w:t>
      </w:r>
    </w:p>
    <w:p>
      <w:pPr>
        <w:sectPr>
          <w:pgSz w:w="12240" w:h="15840" w:orient="portrait"/>
          <w:cols w:equalWidth="0" w:num="1">
            <w:col w:w="9880"/>
          </w:cols>
          <w:pgMar w:left="1180" w:top="85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80"/>
          </w:cols>
          <w:pgMar w:left="1180" w:top="856" w:right="118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issued accounting pronouncements not yet adopted</w:t>
      </w:r>
    </w:p>
    <w:p>
      <w:pPr>
        <w:spacing w:after="0" w:line="134" w:lineRule="exact"/>
        <w:rPr>
          <w:sz w:val="20"/>
          <w:szCs w:val="20"/>
          <w:color w:val="auto"/>
        </w:rPr>
      </w:pPr>
    </w:p>
    <w:p>
      <w:pPr>
        <w:ind w:right="60" w:firstLine="720"/>
        <w:spacing w:after="0" w:line="254" w:lineRule="auto"/>
        <w:rPr>
          <w:sz w:val="20"/>
          <w:szCs w:val="20"/>
          <w:color w:val="auto"/>
        </w:rPr>
      </w:pPr>
      <w:r>
        <w:rPr>
          <w:rFonts w:ascii="Times New Roman" w:cs="Times New Roman" w:eastAsia="Times New Roman" w:hAnsi="Times New Roman"/>
          <w:sz w:val="20"/>
          <w:szCs w:val="20"/>
          <w:color w:val="auto"/>
        </w:rPr>
        <w:t>In November 2024, the FASB issued ASU No. 2024-03, Disaggregation of Income Statement Expenses (Subtopic 220-40).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This ASU will likely result in the required additional disclosures being included in our consolidated financial statements, once adopted. We are currently evaluating the provisions of this ASU.</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Recently adopted accounting pronouncements</w:t>
      </w:r>
    </w:p>
    <w:p>
      <w:pPr>
        <w:spacing w:after="0" w:line="128"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In December 2023, the Financial Accounting Standards Board (“FASB”) issued Accounting Standards Update (“ASU”) No. 2023-09, Improvements to Income Tax Disclosures (Topic 740). The ASU requires disaggregated information about a reporting entity’s effective tax rate reconciliation as well as additional information on income taxes paid. The ASU is effective on a prospective basis for annual periods beginning after December 15, 2024. The Company adopted this guidance on a prospective basis with no material impact on its consolidated financial statements for its Annual Report on Form 10-K for the fiscal year ended December 31, 2025. Refer "Note 9 - Income Taxes" for further details.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Acquisitions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Fiscal 2023</w:t>
      </w:r>
    </w:p>
    <w:p>
      <w:pPr>
        <w:spacing w:after="0" w:line="134" w:lineRule="exact"/>
        <w:rPr>
          <w:sz w:val="20"/>
          <w:szCs w:val="20"/>
          <w:color w:val="auto"/>
        </w:rPr>
      </w:pPr>
    </w:p>
    <w:p>
      <w:pPr>
        <w:ind w:right="600" w:firstLine="720"/>
        <w:spacing w:after="0" w:line="286" w:lineRule="auto"/>
        <w:rPr>
          <w:sz w:val="20"/>
          <w:szCs w:val="20"/>
          <w:color w:val="auto"/>
        </w:rPr>
      </w:pPr>
      <w:r>
        <w:rPr>
          <w:rFonts w:ascii="Times New Roman" w:cs="Times New Roman" w:eastAsia="Times New Roman" w:hAnsi="Times New Roman"/>
          <w:sz w:val="19"/>
          <w:szCs w:val="19"/>
          <w:color w:val="auto"/>
        </w:rPr>
        <w:t>On December 1, 2023, we completed our acquisition of certain assets and an exclusive license to certain intellectual property ("IP") relating to Aura's timing business and clock products, and an assembled workforce. The acquisition date fair value of the purchase consideration was $259.2 million, which was comprised of the following:</w:t>
      </w:r>
    </w:p>
    <w:p>
      <w:pPr>
        <w:spacing w:after="0" w:line="130" w:lineRule="exact"/>
        <w:rPr>
          <w:sz w:val="20"/>
          <w:szCs w:val="20"/>
          <w:color w:val="auto"/>
        </w:rPr>
      </w:pPr>
    </w:p>
    <w:tbl>
      <w:tblPr>
        <w:tblLayout w:type="fixed"/>
        <w:tblInd w:w="720" w:type="dxa"/>
        <w:tblCellMar>
          <w:top w:w="0" w:type="dxa"/>
          <w:left w:w="0" w:type="dxa"/>
          <w:bottom w:w="0" w:type="dxa"/>
          <w:right w:w="0" w:type="dxa"/>
        </w:tblCellMar>
      </w:tblPr>
      <w:tr>
        <w:trPr>
          <w:trHeight w:val="194"/>
        </w:trPr>
        <w:tc>
          <w:tcPr>
            <w:tcW w:w="4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9"/>
              </w:rPr>
              <w:t>Estimated Fair</w:t>
            </w:r>
          </w:p>
        </w:tc>
      </w:tr>
      <w:tr>
        <w:trPr>
          <w:trHeight w:val="210"/>
        </w:trPr>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38"/>
        </w:trPr>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19"/>
        </w:trPr>
        <w:tc>
          <w:tcPr>
            <w:tcW w:w="4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8"/>
        </w:trPr>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305"/>
        </w:trPr>
        <w:tc>
          <w:tcPr>
            <w:tcW w:w="46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Fixed consideration</w:t>
            </w:r>
          </w:p>
        </w:tc>
        <w:tc>
          <w:tcPr>
            <w:tcW w:w="2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139,946</w:t>
            </w:r>
          </w:p>
        </w:tc>
      </w:tr>
      <w:tr>
        <w:trPr>
          <w:trHeight w:val="282"/>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Fair value of sales based earnout liability</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102,278</w:t>
            </w:r>
          </w:p>
        </w:tc>
      </w:tr>
      <w:tr>
        <w:trPr>
          <w:trHeight w:val="42"/>
        </w:trPr>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325"/>
        </w:trPr>
        <w:tc>
          <w:tcPr>
            <w:tcW w:w="46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Settlement of pre-existing arrangement</w:t>
            </w:r>
          </w:p>
        </w:tc>
        <w:tc>
          <w:tcPr>
            <w:tcW w:w="2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13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16,974</w:t>
            </w:r>
          </w:p>
        </w:tc>
      </w:tr>
      <w:tr>
        <w:trPr>
          <w:trHeight w:val="264"/>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Total purchase consideration</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259,198</w:t>
            </w:r>
          </w:p>
        </w:tc>
      </w:tr>
      <w:tr>
        <w:trPr>
          <w:trHeight w:val="44"/>
        </w:trPr>
        <w:tc>
          <w:tcPr>
            <w:tcW w:w="46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3432810</wp:posOffset>
                </wp:positionH>
                <wp:positionV relativeFrom="paragraph">
                  <wp:posOffset>-231775</wp:posOffset>
                </wp:positionV>
                <wp:extent cx="952500"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3pt,-18.2499pt" to="345.3pt,-18.2499pt" o:allowincell="f" strokecolor="#FFFFFF" strokeweight="0.14pt"/>
            </w:pict>
          </mc:Fallback>
        </mc:AlternateContent>
      </w:r>
    </w:p>
    <w:p>
      <w:pPr>
        <w:spacing w:after="0" w:line="57"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purchase consideration allocation to the assets acquired based on their respective estimated fair values as of the date of acquisition is as follows:</w:t>
      </w:r>
    </w:p>
    <w:p>
      <w:pPr>
        <w:spacing w:after="0" w:line="130" w:lineRule="exact"/>
        <w:rPr>
          <w:sz w:val="20"/>
          <w:szCs w:val="20"/>
          <w:color w:val="auto"/>
        </w:rPr>
      </w:pPr>
    </w:p>
    <w:tbl>
      <w:tblPr>
        <w:tblLayout w:type="fixed"/>
        <w:tblInd w:w="720" w:type="dxa"/>
        <w:tblCellMar>
          <w:top w:w="0" w:type="dxa"/>
          <w:left w:w="0" w:type="dxa"/>
          <w:bottom w:w="0" w:type="dxa"/>
          <w:right w:w="0" w:type="dxa"/>
        </w:tblCellMar>
      </w:tblPr>
      <w:tr>
        <w:trPr>
          <w:trHeight w:val="193"/>
        </w:trPr>
        <w:tc>
          <w:tcPr>
            <w:tcW w:w="3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rPr>
              <w:t>Estimated Fair</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Estimated Useful</w:t>
            </w:r>
          </w:p>
        </w:tc>
        <w:tc>
          <w:tcPr>
            <w:tcW w:w="22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Financial Statement Line Item</w:t>
            </w:r>
          </w:p>
        </w:tc>
      </w:tr>
      <w:tr>
        <w:trPr>
          <w:trHeight w:val="210"/>
        </w:trPr>
        <w:tc>
          <w:tcPr>
            <w:tcW w:w="3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2280" w:type="dxa"/>
            <w:vAlign w:val="bottom"/>
          </w:tcPr>
          <w:p>
            <w:pPr>
              <w:spacing w:after="0"/>
              <w:rPr>
                <w:sz w:val="18"/>
                <w:szCs w:val="18"/>
                <w:color w:val="auto"/>
              </w:rPr>
            </w:pPr>
          </w:p>
        </w:tc>
      </w:tr>
      <w:tr>
        <w:trPr>
          <w:trHeight w:val="38"/>
        </w:trPr>
        <w:tc>
          <w:tcPr>
            <w:tcW w:w="3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50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219"/>
        </w:trPr>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ind w:right="107"/>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280" w:type="dxa"/>
            <w:vAlign w:val="bottom"/>
          </w:tcPr>
          <w:p>
            <w:pPr>
              <w:spacing w:after="0"/>
              <w:rPr>
                <w:sz w:val="19"/>
                <w:szCs w:val="19"/>
                <w:color w:val="auto"/>
              </w:rPr>
            </w:pPr>
          </w:p>
        </w:tc>
      </w:tr>
      <w:tr>
        <w:trPr>
          <w:trHeight w:val="38"/>
        </w:trPr>
        <w:tc>
          <w:tcPr>
            <w:tcW w:w="3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305"/>
        </w:trPr>
        <w:tc>
          <w:tcPr>
            <w:tcW w:w="348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Developed Technology</w:t>
            </w:r>
          </w:p>
        </w:tc>
        <w:tc>
          <w:tcPr>
            <w:tcW w:w="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96,700</w:t>
            </w:r>
          </w:p>
        </w:tc>
        <w:tc>
          <w:tcPr>
            <w:tcW w:w="1500" w:type="dxa"/>
            <w:vAlign w:val="bottom"/>
            <w:tcBorders>
              <w:bottom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20"/>
                <w:szCs w:val="20"/>
                <w:color w:val="auto"/>
                <w:w w:val="99"/>
              </w:rPr>
              <w:t>5 to 8 years</w:t>
            </w:r>
          </w:p>
        </w:tc>
        <w:tc>
          <w:tcPr>
            <w:tcW w:w="22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Intangible assets, net</w:t>
            </w:r>
          </w:p>
        </w:tc>
      </w:tr>
      <w:tr>
        <w:trPr>
          <w:trHeight w:val="282"/>
        </w:trPr>
        <w:tc>
          <w:tcPr>
            <w:tcW w:w="34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In-process research and development</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69,500</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N/A</w:t>
            </w:r>
          </w:p>
        </w:tc>
        <w:tc>
          <w:tcPr>
            <w:tcW w:w="2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Intangible assets, net</w:t>
            </w:r>
          </w:p>
        </w:tc>
      </w:tr>
      <w:tr>
        <w:trPr>
          <w:trHeight w:val="42"/>
        </w:trPr>
        <w:tc>
          <w:tcPr>
            <w:tcW w:w="3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280" w:type="dxa"/>
            <w:vAlign w:val="bottom"/>
          </w:tcPr>
          <w:p>
            <w:pPr>
              <w:spacing w:after="0"/>
              <w:rPr>
                <w:sz w:val="3"/>
                <w:szCs w:val="3"/>
                <w:color w:val="auto"/>
              </w:rPr>
            </w:pPr>
          </w:p>
        </w:tc>
      </w:tr>
      <w:tr>
        <w:trPr>
          <w:trHeight w:val="305"/>
        </w:trPr>
        <w:tc>
          <w:tcPr>
            <w:tcW w:w="348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Goodwill</w:t>
            </w:r>
          </w:p>
        </w:tc>
        <w:tc>
          <w:tcPr>
            <w:tcW w:w="180" w:type="dxa"/>
            <w:vAlign w:val="bottom"/>
            <w:tcBorders>
              <w:bottom w:val="single" w:sz="8" w:color="DDDDDD"/>
            </w:tcBorders>
            <w:shd w:val="clear" w:color="auto" w:fill="DDDDDD"/>
          </w:tcPr>
          <w:p>
            <w:pPr>
              <w:spacing w:after="0"/>
              <w:rPr>
                <w:sz w:val="24"/>
                <w:szCs w:val="24"/>
                <w:color w:val="auto"/>
              </w:rPr>
            </w:pPr>
          </w:p>
        </w:tc>
        <w:tc>
          <w:tcPr>
            <w:tcW w:w="13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87,098</w:t>
            </w:r>
          </w:p>
        </w:tc>
        <w:tc>
          <w:tcPr>
            <w:tcW w:w="1500" w:type="dxa"/>
            <w:vAlign w:val="bottom"/>
            <w:tcBorders>
              <w:bottom w:val="single" w:sz="8" w:color="DDDDDD"/>
            </w:tcBorders>
            <w:shd w:val="clear" w:color="auto" w:fill="DDDDDD"/>
          </w:tcPr>
          <w:p>
            <w:pPr>
              <w:jc w:val="center"/>
              <w:spacing w:after="0"/>
              <w:rPr>
                <w:sz w:val="20"/>
                <w:szCs w:val="20"/>
                <w:color w:val="auto"/>
              </w:rPr>
            </w:pPr>
            <w:r>
              <w:rPr>
                <w:rFonts w:ascii="Times New Roman" w:cs="Times New Roman" w:eastAsia="Times New Roman" w:hAnsi="Times New Roman"/>
                <w:sz w:val="20"/>
                <w:szCs w:val="20"/>
                <w:color w:val="auto"/>
                <w:w w:val="97"/>
              </w:rPr>
              <w:t>Indefinite</w:t>
            </w:r>
          </w:p>
        </w:tc>
        <w:tc>
          <w:tcPr>
            <w:tcW w:w="22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Goodwill</w:t>
            </w:r>
          </w:p>
        </w:tc>
      </w:tr>
      <w:tr>
        <w:trPr>
          <w:trHeight w:val="282"/>
        </w:trPr>
        <w:tc>
          <w:tcPr>
            <w:tcW w:w="34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Assumed customer agreements</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5,900</w:t>
            </w: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4 years</w:t>
            </w:r>
          </w:p>
        </w:tc>
        <w:tc>
          <w:tcPr>
            <w:tcW w:w="2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Intangible assets, net</w:t>
            </w:r>
          </w:p>
        </w:tc>
      </w:tr>
      <w:tr>
        <w:trPr>
          <w:trHeight w:val="43"/>
        </w:trPr>
        <w:tc>
          <w:tcPr>
            <w:tcW w:w="346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500" w:type="dxa"/>
            <w:vAlign w:val="bottom"/>
            <w:tcBorders>
              <w:bottom w:val="single" w:sz="8" w:color="DDDDDD"/>
            </w:tcBorders>
          </w:tcPr>
          <w:p>
            <w:pPr>
              <w:spacing w:after="0"/>
              <w:rPr>
                <w:sz w:val="3"/>
                <w:szCs w:val="3"/>
                <w:color w:val="auto"/>
              </w:rPr>
            </w:pPr>
          </w:p>
        </w:tc>
        <w:tc>
          <w:tcPr>
            <w:tcW w:w="2280" w:type="dxa"/>
            <w:vAlign w:val="bottom"/>
            <w:tcBorders>
              <w:bottom w:val="single" w:sz="8" w:color="DDDDDD"/>
            </w:tcBorders>
          </w:tcPr>
          <w:p>
            <w:pPr>
              <w:spacing w:after="0"/>
              <w:rPr>
                <w:sz w:val="3"/>
                <w:szCs w:val="3"/>
                <w:color w:val="auto"/>
              </w:rPr>
            </w:pPr>
          </w:p>
        </w:tc>
      </w:tr>
      <w:tr>
        <w:trPr>
          <w:trHeight w:val="307"/>
        </w:trPr>
        <w:tc>
          <w:tcPr>
            <w:tcW w:w="348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color w:val="auto"/>
              </w:rPr>
              <w:t>Total assets acquired</w:t>
            </w:r>
          </w:p>
        </w:tc>
        <w:tc>
          <w:tcPr>
            <w:tcW w:w="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3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b w:val="1"/>
                <w:bCs w:val="1"/>
                <w:color w:val="auto"/>
              </w:rPr>
              <w:t>259,198</w:t>
            </w:r>
          </w:p>
        </w:tc>
        <w:tc>
          <w:tcPr>
            <w:tcW w:w="1500" w:type="dxa"/>
            <w:vAlign w:val="bottom"/>
            <w:tcBorders>
              <w:bottom w:val="single" w:sz="8" w:color="DDDDDD"/>
            </w:tcBorders>
            <w:shd w:val="clear" w:color="auto" w:fill="DDDDDD"/>
          </w:tcPr>
          <w:p>
            <w:pPr>
              <w:spacing w:after="0"/>
              <w:rPr>
                <w:sz w:val="24"/>
                <w:szCs w:val="24"/>
                <w:color w:val="auto"/>
              </w:rPr>
            </w:pPr>
          </w:p>
        </w:tc>
        <w:tc>
          <w:tcPr>
            <w:tcW w:w="2280" w:type="dxa"/>
            <w:vAlign w:val="bottom"/>
            <w:tcBorders>
              <w:bottom w:val="single" w:sz="8" w:color="DDDDDD"/>
            </w:tcBorders>
            <w:shd w:val="clear" w:color="auto" w:fill="DDDDDD"/>
          </w:tcPr>
          <w:p>
            <w:pPr>
              <w:spacing w:after="0"/>
              <w:rPr>
                <w:sz w:val="24"/>
                <w:szCs w:val="24"/>
                <w:color w:val="auto"/>
              </w:rPr>
            </w:pPr>
          </w:p>
        </w:tc>
      </w:tr>
      <w:tr>
        <w:trPr>
          <w:trHeight w:val="20"/>
        </w:trPr>
        <w:tc>
          <w:tcPr>
            <w:tcW w:w="3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We did not record any measurement period adjustments for this acquisition.</w:t>
      </w:r>
    </w:p>
    <w:p>
      <w:pPr>
        <w:spacing w:after="0" w:line="130"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Goodwill is primarily attributed to the assembled workforce and expected synergies from acquiring the underlying IP. Goodwill from this business combination is deductible for income tax purposes.</w:t>
      </w:r>
    </w:p>
    <w:p>
      <w:pPr>
        <w:sectPr>
          <w:pgSz w:w="12240" w:h="15840" w:orient="portrait"/>
          <w:cols w:equalWidth="0" w:num="1">
            <w:col w:w="9880"/>
          </w:cols>
          <w:pgMar w:left="1180" w:top="852"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80"/>
          </w:cols>
          <w:pgMar w:left="1180" w:top="852" w:right="1180" w:bottom="0" w:gutter="0" w:footer="0" w:header="0"/>
          <w:type w:val="continuous"/>
        </w:sectPr>
      </w:pPr>
    </w:p>
    <w:bookmarkStart w:id="76" w:name="page77"/>
    <w:bookmarkEnd w:id="76"/>
    <w:p>
      <w:pPr>
        <w:ind w:left="10"/>
        <w:spacing w:after="0"/>
        <w:rPr>
          <w:sz w:val="20"/>
          <w:szCs w:val="20"/>
          <w:color w:val="auto"/>
        </w:rPr>
      </w:pPr>
      <w:r>
        <w:rPr>
          <w:rFonts w:ascii="Times New Roman" w:cs="Times New Roman" w:eastAsia="Times New Roman" w:hAnsi="Times New Roman"/>
          <w:sz w:val="20"/>
          <w:szCs w:val="20"/>
          <w:b w:val="1"/>
          <w:bCs w:val="1"/>
          <w:color w:val="auto"/>
        </w:rPr>
        <w:t>3. Net Loss Per Share</w:t>
      </w:r>
    </w:p>
    <w:p>
      <w:pPr>
        <w:spacing w:after="0" w:line="134" w:lineRule="exact"/>
        <w:rPr>
          <w:sz w:val="20"/>
          <w:szCs w:val="20"/>
          <w:color w:val="auto"/>
        </w:rPr>
      </w:pPr>
    </w:p>
    <w:p>
      <w:pPr>
        <w:ind w:left="10" w:right="260" w:firstLine="720"/>
        <w:spacing w:after="0" w:line="282" w:lineRule="auto"/>
        <w:rPr>
          <w:sz w:val="20"/>
          <w:szCs w:val="20"/>
          <w:color w:val="auto"/>
        </w:rPr>
      </w:pPr>
      <w:r>
        <w:rPr>
          <w:rFonts w:ascii="Times New Roman" w:cs="Times New Roman" w:eastAsia="Times New Roman" w:hAnsi="Times New Roman"/>
          <w:sz w:val="20"/>
          <w:szCs w:val="20"/>
          <w:color w:val="auto"/>
        </w:rPr>
        <w:t>The following table summarizes the computation of basic and diluted net loss per share attributable to common stockholders of the Company:</w:t>
      </w:r>
    </w:p>
    <w:p>
      <w:pPr>
        <w:spacing w:after="0" w:line="251" w:lineRule="exact"/>
        <w:rPr>
          <w:sz w:val="20"/>
          <w:szCs w:val="20"/>
          <w:color w:val="auto"/>
        </w:rPr>
      </w:pPr>
    </w:p>
    <w:tbl>
      <w:tblPr>
        <w:tblLayout w:type="fixed"/>
        <w:tblInd w:w="75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7"/>
          </w:tcPr>
          <w:p>
            <w:pPr>
              <w:jc w:val="center"/>
              <w:ind w:left="390"/>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760" w:type="dxa"/>
            <w:vAlign w:val="bottom"/>
          </w:tcPr>
          <w:p>
            <w:pPr>
              <w:spacing w:after="0"/>
              <w:rPr>
                <w:sz w:val="18"/>
                <w:szCs w:val="18"/>
                <w:color w:val="auto"/>
              </w:rPr>
            </w:pPr>
          </w:p>
        </w:tc>
      </w:tr>
      <w:tr>
        <w:trPr>
          <w:trHeight w:val="39"/>
        </w:trPr>
        <w:tc>
          <w:tcPr>
            <w:tcW w:w="60" w:type="dxa"/>
            <w:vAlign w:val="bottom"/>
          </w:tcPr>
          <w:p>
            <w:pPr>
              <w:spacing w:after="0"/>
              <w:rPr>
                <w:sz w:val="3"/>
                <w:szCs w:val="3"/>
                <w:color w:val="auto"/>
              </w:rPr>
            </w:pPr>
          </w:p>
        </w:tc>
        <w:tc>
          <w:tcPr>
            <w:tcW w:w="48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19"/>
        </w:trPr>
        <w:tc>
          <w:tcPr>
            <w:tcW w:w="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center"/>
              <w:ind w:right="16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8"/>
        </w:trPr>
        <w:tc>
          <w:tcPr>
            <w:tcW w:w="60" w:type="dxa"/>
            <w:vAlign w:val="bottom"/>
          </w:tcPr>
          <w:p>
            <w:pPr>
              <w:spacing w:after="0"/>
              <w:rPr>
                <w:sz w:val="3"/>
                <w:szCs w:val="3"/>
                <w:color w:val="auto"/>
              </w:rPr>
            </w:pPr>
          </w:p>
        </w:tc>
        <w:tc>
          <w:tcPr>
            <w:tcW w:w="48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r>
      <w:tr>
        <w:trPr>
          <w:trHeight w:val="279"/>
        </w:trPr>
        <w:tc>
          <w:tcPr>
            <w:tcW w:w="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8"/>
          </w:tcPr>
          <w:p>
            <w:pPr>
              <w:jc w:val="center"/>
              <w:ind w:right="185"/>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tc>
      </w:tr>
      <w:tr>
        <w:trPr>
          <w:trHeight w:val="38"/>
        </w:trPr>
        <w:tc>
          <w:tcPr>
            <w:tcW w:w="60" w:type="dxa"/>
            <w:vAlign w:val="bottom"/>
          </w:tcPr>
          <w:p>
            <w:pPr>
              <w:spacing w:after="0"/>
              <w:rPr>
                <w:sz w:val="3"/>
                <w:szCs w:val="3"/>
                <w:color w:val="auto"/>
              </w:rPr>
            </w:pPr>
          </w:p>
        </w:tc>
        <w:tc>
          <w:tcPr>
            <w:tcW w:w="48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gridSpan w:val="3"/>
          </w:tcPr>
          <w:p>
            <w:pPr>
              <w:spacing w:after="0"/>
              <w:rPr>
                <w:sz w:val="3"/>
                <w:szCs w:val="3"/>
                <w:color w:val="auto"/>
              </w:rPr>
            </w:pPr>
          </w:p>
        </w:tc>
        <w:tc>
          <w:tcPr>
            <w:tcW w:w="760" w:type="dxa"/>
            <w:vAlign w:val="bottom"/>
          </w:tcPr>
          <w:p>
            <w:pPr>
              <w:spacing w:after="0"/>
              <w:rPr>
                <w:sz w:val="3"/>
                <w:szCs w:val="3"/>
                <w:color w:val="auto"/>
              </w:rPr>
            </w:pPr>
          </w:p>
        </w:tc>
      </w:tr>
      <w:tr>
        <w:trPr>
          <w:trHeight w:val="324"/>
        </w:trPr>
        <w:tc>
          <w:tcPr>
            <w:tcW w:w="60" w:type="dxa"/>
            <w:vAlign w:val="bottom"/>
            <w:tcBorders>
              <w:bottom w:val="single" w:sz="8" w:color="DDDDDD"/>
            </w:tcBorders>
            <w:shd w:val="clear" w:color="auto" w:fill="DDDDDD"/>
          </w:tcPr>
          <w:p>
            <w:pPr>
              <w:spacing w:after="0"/>
              <w:rPr>
                <w:sz w:val="24"/>
                <w:szCs w:val="24"/>
                <w:color w:val="auto"/>
              </w:rPr>
            </w:pPr>
          </w:p>
        </w:tc>
        <w:tc>
          <w:tcPr>
            <w:tcW w:w="494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Net loss attributable to common stockholders</w:t>
            </w:r>
          </w:p>
        </w:tc>
        <w:tc>
          <w:tcPr>
            <w:tcW w:w="280" w:type="dxa"/>
            <w:vAlign w:val="bottom"/>
            <w:tcBorders>
              <w:bottom w:val="single" w:sz="8" w:color="DDDDDD"/>
            </w:tcBorders>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(42,903)</w:t>
            </w:r>
          </w:p>
        </w:tc>
        <w:tc>
          <w:tcPr>
            <w:tcW w:w="32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(93,601)</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(80,535)</w:t>
            </w:r>
          </w:p>
        </w:tc>
      </w:tr>
      <w:tr>
        <w:trPr>
          <w:trHeight w:val="243"/>
        </w:trPr>
        <w:tc>
          <w:tcPr>
            <w:tcW w:w="60" w:type="dxa"/>
            <w:vAlign w:val="bottom"/>
          </w:tcPr>
          <w:p>
            <w:pPr>
              <w:spacing w:after="0"/>
              <w:rPr>
                <w:sz w:val="21"/>
                <w:szCs w:val="21"/>
                <w:color w:val="auto"/>
              </w:rPr>
            </w:pP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Weighted average shares used to compute basic and</w:t>
            </w: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r>
      <w:tr>
        <w:trPr>
          <w:trHeight w:val="261"/>
        </w:trPr>
        <w:tc>
          <w:tcPr>
            <w:tcW w:w="60" w:type="dxa"/>
            <w:vAlign w:val="bottom"/>
          </w:tcPr>
          <w:p>
            <w:pPr>
              <w:spacing w:after="0"/>
              <w:rPr>
                <w:sz w:val="22"/>
                <w:szCs w:val="22"/>
                <w:color w:val="auto"/>
              </w:rPr>
            </w:pPr>
          </w:p>
        </w:tc>
        <w:tc>
          <w:tcPr>
            <w:tcW w:w="49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diluted net loss per share</w:t>
            </w: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24,967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23,118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22,188</w:t>
            </w:r>
          </w:p>
        </w:tc>
      </w:tr>
      <w:tr>
        <w:trPr>
          <w:trHeight w:val="82"/>
        </w:trPr>
        <w:tc>
          <w:tcPr>
            <w:tcW w:w="60" w:type="dxa"/>
            <w:vAlign w:val="bottom"/>
            <w:tcBorders>
              <w:bottom w:val="single" w:sz="8" w:color="DDDDDD"/>
            </w:tcBorders>
          </w:tcPr>
          <w:p>
            <w:pPr>
              <w:spacing w:after="0"/>
              <w:rPr>
                <w:sz w:val="7"/>
                <w:szCs w:val="7"/>
                <w:color w:val="auto"/>
              </w:rPr>
            </w:pPr>
          </w:p>
        </w:tc>
        <w:tc>
          <w:tcPr>
            <w:tcW w:w="4880" w:type="dxa"/>
            <w:vAlign w:val="bottom"/>
            <w:tcBorders>
              <w:bottom w:val="single" w:sz="8" w:color="DDDDDD"/>
            </w:tcBorders>
          </w:tcPr>
          <w:p>
            <w:pPr>
              <w:spacing w:after="0"/>
              <w:rPr>
                <w:sz w:val="7"/>
                <w:szCs w:val="7"/>
                <w:color w:val="auto"/>
              </w:rPr>
            </w:pPr>
          </w:p>
        </w:tc>
        <w:tc>
          <w:tcPr>
            <w:tcW w:w="60" w:type="dxa"/>
            <w:vAlign w:val="bottom"/>
            <w:tcBorders>
              <w:bottom w:val="single" w:sz="8" w:color="DDDDDD"/>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Borders>
              <w:bottom w:val="single" w:sz="8" w:color="DDDDDD"/>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Borders>
              <w:bottom w:val="single" w:sz="8" w:color="DDDDDD"/>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r>
      <w:tr>
        <w:trPr>
          <w:trHeight w:val="201"/>
        </w:trPr>
        <w:tc>
          <w:tcPr>
            <w:tcW w:w="60" w:type="dxa"/>
            <w:vAlign w:val="bottom"/>
            <w:shd w:val="clear" w:color="auto" w:fill="DDDDDD"/>
          </w:tcPr>
          <w:p>
            <w:pPr>
              <w:spacing w:after="0"/>
              <w:rPr>
                <w:sz w:val="17"/>
                <w:szCs w:val="17"/>
                <w:color w:val="auto"/>
              </w:rPr>
            </w:pPr>
          </w:p>
        </w:tc>
        <w:tc>
          <w:tcPr>
            <w:tcW w:w="4880" w:type="dxa"/>
            <w:vAlign w:val="bottom"/>
            <w:shd w:val="clear" w:color="auto" w:fill="DDDDDD"/>
          </w:tcPr>
          <w:p>
            <w:pPr>
              <w:ind w:left="180"/>
              <w:spacing w:after="0" w:line="202" w:lineRule="exact"/>
              <w:rPr>
                <w:sz w:val="20"/>
                <w:szCs w:val="20"/>
                <w:color w:val="auto"/>
              </w:rPr>
            </w:pPr>
            <w:r>
              <w:rPr>
                <w:rFonts w:ascii="Times New Roman" w:cs="Times New Roman" w:eastAsia="Times New Roman" w:hAnsi="Times New Roman"/>
                <w:sz w:val="20"/>
                <w:szCs w:val="20"/>
                <w:color w:val="auto"/>
              </w:rPr>
              <w:t>Net loss attributable to common stockholders per share,</w:t>
            </w:r>
          </w:p>
        </w:tc>
        <w:tc>
          <w:tcPr>
            <w:tcW w:w="60" w:type="dxa"/>
            <w:vAlign w:val="bottom"/>
            <w:shd w:val="clear" w:color="auto" w:fill="DDDDDD"/>
          </w:tcPr>
          <w:p>
            <w:pPr>
              <w:spacing w:after="0"/>
              <w:rPr>
                <w:sz w:val="17"/>
                <w:szCs w:val="17"/>
                <w:color w:val="auto"/>
              </w:rPr>
            </w:pPr>
          </w:p>
        </w:tc>
        <w:tc>
          <w:tcPr>
            <w:tcW w:w="28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60" w:type="dxa"/>
            <w:vAlign w:val="bottom"/>
            <w:shd w:val="clear" w:color="auto" w:fill="DDDDDD"/>
          </w:tcPr>
          <w:p>
            <w:pPr>
              <w:spacing w:after="0"/>
              <w:rPr>
                <w:sz w:val="17"/>
                <w:szCs w:val="17"/>
                <w:color w:val="auto"/>
              </w:rPr>
            </w:pPr>
          </w:p>
        </w:tc>
        <w:tc>
          <w:tcPr>
            <w:tcW w:w="820" w:type="dxa"/>
            <w:vAlign w:val="bottom"/>
            <w:shd w:val="clear" w:color="auto" w:fill="DDDDDD"/>
          </w:tcPr>
          <w:p>
            <w:pPr>
              <w:spacing w:after="0"/>
              <w:rPr>
                <w:sz w:val="17"/>
                <w:szCs w:val="17"/>
                <w:color w:val="auto"/>
              </w:rPr>
            </w:pPr>
          </w:p>
        </w:tc>
        <w:tc>
          <w:tcPr>
            <w:tcW w:w="60" w:type="dxa"/>
            <w:vAlign w:val="bottom"/>
            <w:shd w:val="clear" w:color="auto" w:fill="DDDDDD"/>
          </w:tcPr>
          <w:p>
            <w:pPr>
              <w:spacing w:after="0"/>
              <w:rPr>
                <w:sz w:val="17"/>
                <w:szCs w:val="17"/>
                <w:color w:val="auto"/>
              </w:rPr>
            </w:pPr>
          </w:p>
        </w:tc>
        <w:tc>
          <w:tcPr>
            <w:tcW w:w="20" w:type="dxa"/>
            <w:vAlign w:val="bottom"/>
            <w:shd w:val="clear" w:color="auto" w:fill="DDDDDD"/>
          </w:tcPr>
          <w:p>
            <w:pPr>
              <w:spacing w:after="0"/>
              <w:rPr>
                <w:sz w:val="17"/>
                <w:szCs w:val="17"/>
                <w:color w:val="auto"/>
              </w:rPr>
            </w:pPr>
          </w:p>
        </w:tc>
        <w:tc>
          <w:tcPr>
            <w:tcW w:w="320" w:type="dxa"/>
            <w:vAlign w:val="bottom"/>
            <w:shd w:val="clear" w:color="auto" w:fill="DDDDDD"/>
          </w:tcPr>
          <w:p>
            <w:pPr>
              <w:spacing w:after="0"/>
              <w:rPr>
                <w:sz w:val="17"/>
                <w:szCs w:val="17"/>
                <w:color w:val="auto"/>
              </w:rPr>
            </w:pPr>
          </w:p>
        </w:tc>
        <w:tc>
          <w:tcPr>
            <w:tcW w:w="760" w:type="dxa"/>
            <w:vAlign w:val="bottom"/>
            <w:shd w:val="clear" w:color="auto" w:fill="DDDDDD"/>
          </w:tcPr>
          <w:p>
            <w:pPr>
              <w:spacing w:after="0"/>
              <w:rPr>
                <w:sz w:val="17"/>
                <w:szCs w:val="17"/>
                <w:color w:val="auto"/>
              </w:rPr>
            </w:pPr>
          </w:p>
        </w:tc>
      </w:tr>
      <w:tr>
        <w:trPr>
          <w:trHeight w:val="261"/>
        </w:trPr>
        <w:tc>
          <w:tcPr>
            <w:tcW w:w="60" w:type="dxa"/>
            <w:vAlign w:val="bottom"/>
            <w:shd w:val="clear" w:color="auto" w:fill="DDDDDD"/>
          </w:tcPr>
          <w:p>
            <w:pPr>
              <w:spacing w:after="0"/>
              <w:rPr>
                <w:sz w:val="22"/>
                <w:szCs w:val="22"/>
                <w:color w:val="auto"/>
              </w:rPr>
            </w:pPr>
          </w:p>
        </w:tc>
        <w:tc>
          <w:tcPr>
            <w:tcW w:w="488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basic and diluted</w:t>
            </w:r>
          </w:p>
        </w:tc>
        <w:tc>
          <w:tcPr>
            <w:tcW w:w="6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(1.72)</w:t>
            </w:r>
          </w:p>
        </w:tc>
        <w:tc>
          <w:tcPr>
            <w:tcW w:w="60" w:type="dxa"/>
            <w:vAlign w:val="bottom"/>
            <w:shd w:val="clear" w:color="auto" w:fill="DDDDDD"/>
          </w:tcPr>
          <w:p>
            <w:pPr>
              <w:spacing w:after="0"/>
              <w:rPr>
                <w:sz w:val="22"/>
                <w:szCs w:val="22"/>
                <w:color w:val="auto"/>
              </w:rPr>
            </w:pPr>
          </w:p>
        </w:tc>
        <w:tc>
          <w:tcPr>
            <w:tcW w:w="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(4.05)</w:t>
            </w: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20" w:type="dxa"/>
            <w:vAlign w:val="bottom"/>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(3.63)</w:t>
            </w:r>
          </w:p>
        </w:tc>
      </w:tr>
      <w:tr>
        <w:trPr>
          <w:trHeight w:val="43"/>
        </w:trPr>
        <w:tc>
          <w:tcPr>
            <w:tcW w:w="60" w:type="dxa"/>
            <w:vAlign w:val="bottom"/>
            <w:shd w:val="clear" w:color="auto" w:fill="DDDDDD"/>
          </w:tcPr>
          <w:p>
            <w:pPr>
              <w:spacing w:after="0"/>
              <w:rPr>
                <w:sz w:val="3"/>
                <w:szCs w:val="3"/>
                <w:color w:val="auto"/>
              </w:rPr>
            </w:pPr>
          </w:p>
        </w:tc>
        <w:tc>
          <w:tcPr>
            <w:tcW w:w="4880" w:type="dxa"/>
            <w:vAlign w:val="bottom"/>
            <w:shd w:val="clear" w:color="auto" w:fill="DDDDDD"/>
          </w:tcPr>
          <w:p>
            <w:pPr>
              <w:spacing w:after="0"/>
              <w:rPr>
                <w:sz w:val="3"/>
                <w:szCs w:val="3"/>
                <w:color w:val="auto"/>
              </w:rPr>
            </w:pPr>
          </w:p>
        </w:tc>
        <w:tc>
          <w:tcPr>
            <w:tcW w:w="60" w:type="dxa"/>
            <w:vAlign w:val="bottom"/>
            <w:shd w:val="clear" w:color="auto" w:fill="DDDDDD"/>
          </w:tcPr>
          <w:p>
            <w:pPr>
              <w:spacing w:after="0"/>
              <w:rPr>
                <w:sz w:val="3"/>
                <w:szCs w:val="3"/>
                <w:color w:val="auto"/>
              </w:rPr>
            </w:pPr>
          </w:p>
        </w:tc>
        <w:tc>
          <w:tcPr>
            <w:tcW w:w="280" w:type="dxa"/>
            <w:vAlign w:val="bottom"/>
            <w:shd w:val="clear" w:color="auto" w:fill="DDDDDD"/>
          </w:tcPr>
          <w:p>
            <w:pPr>
              <w:spacing w:after="0"/>
              <w:rPr>
                <w:sz w:val="3"/>
                <w:szCs w:val="3"/>
                <w:color w:val="auto"/>
              </w:rPr>
            </w:pPr>
          </w:p>
        </w:tc>
        <w:tc>
          <w:tcPr>
            <w:tcW w:w="820" w:type="dxa"/>
            <w:vAlign w:val="bottom"/>
            <w:shd w:val="clear" w:color="auto" w:fill="DDDDDD"/>
          </w:tcPr>
          <w:p>
            <w:pPr>
              <w:spacing w:after="0"/>
              <w:rPr>
                <w:sz w:val="3"/>
                <w:szCs w:val="3"/>
                <w:color w:val="auto"/>
              </w:rPr>
            </w:pPr>
          </w:p>
        </w:tc>
        <w:tc>
          <w:tcPr>
            <w:tcW w:w="60" w:type="dxa"/>
            <w:vAlign w:val="bottom"/>
            <w:shd w:val="clear" w:color="auto" w:fill="DDDDDD"/>
          </w:tcPr>
          <w:p>
            <w:pPr>
              <w:spacing w:after="0"/>
              <w:rPr>
                <w:sz w:val="3"/>
                <w:szCs w:val="3"/>
                <w:color w:val="auto"/>
              </w:rPr>
            </w:pPr>
          </w:p>
        </w:tc>
        <w:tc>
          <w:tcPr>
            <w:tcW w:w="260" w:type="dxa"/>
            <w:vAlign w:val="bottom"/>
            <w:shd w:val="clear" w:color="auto" w:fill="DDDDDD"/>
          </w:tcPr>
          <w:p>
            <w:pPr>
              <w:spacing w:after="0"/>
              <w:rPr>
                <w:sz w:val="3"/>
                <w:szCs w:val="3"/>
                <w:color w:val="auto"/>
              </w:rPr>
            </w:pPr>
          </w:p>
        </w:tc>
        <w:tc>
          <w:tcPr>
            <w:tcW w:w="820" w:type="dxa"/>
            <w:vAlign w:val="bottom"/>
            <w:shd w:val="clear" w:color="auto" w:fill="DDDDDD"/>
          </w:tcPr>
          <w:p>
            <w:pPr>
              <w:spacing w:after="0"/>
              <w:rPr>
                <w:sz w:val="3"/>
                <w:szCs w:val="3"/>
                <w:color w:val="auto"/>
              </w:rPr>
            </w:pPr>
          </w:p>
        </w:tc>
        <w:tc>
          <w:tcPr>
            <w:tcW w:w="60" w:type="dxa"/>
            <w:vAlign w:val="bottom"/>
            <w:shd w:val="clear" w:color="auto" w:fill="DDDDDD"/>
          </w:tcPr>
          <w:p>
            <w:pPr>
              <w:spacing w:after="0"/>
              <w:rPr>
                <w:sz w:val="3"/>
                <w:szCs w:val="3"/>
                <w:color w:val="auto"/>
              </w:rPr>
            </w:pPr>
          </w:p>
        </w:tc>
        <w:tc>
          <w:tcPr>
            <w:tcW w:w="20" w:type="dxa"/>
            <w:vAlign w:val="bottom"/>
            <w:shd w:val="clear" w:color="auto" w:fill="DDDDDD"/>
          </w:tcPr>
          <w:p>
            <w:pPr>
              <w:spacing w:after="0"/>
              <w:rPr>
                <w:sz w:val="3"/>
                <w:szCs w:val="3"/>
                <w:color w:val="auto"/>
              </w:rPr>
            </w:pPr>
          </w:p>
        </w:tc>
        <w:tc>
          <w:tcPr>
            <w:tcW w:w="320" w:type="dxa"/>
            <w:vAlign w:val="bottom"/>
            <w:shd w:val="clear" w:color="auto" w:fill="DDDDDD"/>
          </w:tcPr>
          <w:p>
            <w:pPr>
              <w:spacing w:after="0"/>
              <w:rPr>
                <w:sz w:val="3"/>
                <w:szCs w:val="3"/>
                <w:color w:val="auto"/>
              </w:rPr>
            </w:pPr>
          </w:p>
        </w:tc>
        <w:tc>
          <w:tcPr>
            <w:tcW w:w="760" w:type="dxa"/>
            <w:vAlign w:val="bottom"/>
            <w:shd w:val="clear" w:color="auto" w:fill="DDDDDD"/>
          </w:tcPr>
          <w:p>
            <w:pPr>
              <w:spacing w:after="0"/>
              <w:rPr>
                <w:sz w:val="3"/>
                <w:szCs w:val="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3648710</wp:posOffset>
                </wp:positionH>
                <wp:positionV relativeFrom="paragraph">
                  <wp:posOffset>-704850</wp:posOffset>
                </wp:positionV>
                <wp:extent cx="694690"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69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3pt,-55.4999pt" to="342pt,-55.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4381500</wp:posOffset>
                </wp:positionH>
                <wp:positionV relativeFrom="paragraph">
                  <wp:posOffset>-704850</wp:posOffset>
                </wp:positionV>
                <wp:extent cx="69596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96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pt,-55.4999pt" to="399.8pt,-55.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5115560</wp:posOffset>
                </wp:positionH>
                <wp:positionV relativeFrom="paragraph">
                  <wp:posOffset>-704850</wp:posOffset>
                </wp:positionV>
                <wp:extent cx="69469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469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2.8pt,-55.4999pt" to="457.5pt,-55.4999pt" o:allowincell="f" strokecolor="#FFFFFF" strokeweight="0.14pt"/>
            </w:pict>
          </mc:Fallback>
        </mc:AlternateContent>
      </w:r>
    </w:p>
    <w:p>
      <w:pPr>
        <w:spacing w:after="0" w:line="177" w:lineRule="exact"/>
        <w:rPr>
          <w:sz w:val="20"/>
          <w:szCs w:val="20"/>
          <w:color w:val="auto"/>
        </w:rPr>
      </w:pPr>
    </w:p>
    <w:p>
      <w:pPr>
        <w:ind w:left="10" w:right="60"/>
        <w:spacing w:after="0" w:line="266" w:lineRule="auto"/>
        <w:rPr>
          <w:sz w:val="20"/>
          <w:szCs w:val="20"/>
          <w:color w:val="auto"/>
        </w:rPr>
      </w:pPr>
      <w:r>
        <w:rPr>
          <w:rFonts w:ascii="Times New Roman" w:cs="Times New Roman" w:eastAsia="Times New Roman" w:hAnsi="Times New Roman"/>
          <w:sz w:val="20"/>
          <w:szCs w:val="20"/>
          <w:color w:val="auto"/>
        </w:rPr>
        <w:t>Potential dilutive securities include dilutive common shares from share-based awards attributable to the assumed exercise of vested restricted stock units using the treasury stock method. Under the treasury stock method, potential common shares outstanding are not included in the computation of diluted net income per share if their effect is anti-dilutive.</w:t>
      </w:r>
    </w:p>
    <w:p>
      <w:pPr>
        <w:spacing w:after="0" w:line="75"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20"/>
          <w:szCs w:val="20"/>
          <w:color w:val="auto"/>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year ended December 31, 2025, 2024, and 2023 the Company had 819,500, 620,889, and 1,078,089 potential shares from share-based awards that are anti-dilutive, respectively. Anti-dilutive potential shares from share-based awards are excluded from the calculation of diluted loss per share for the years ended December 31, 2025, 2024, and 2023 due to the net losses reported in this period.</w:t>
      </w:r>
    </w:p>
    <w:p>
      <w:pPr>
        <w:spacing w:after="0" w:line="124" w:lineRule="exact"/>
        <w:rPr>
          <w:sz w:val="20"/>
          <w:szCs w:val="20"/>
          <w:color w:val="auto"/>
        </w:rPr>
      </w:pPr>
    </w:p>
    <w:p>
      <w:pPr>
        <w:ind w:left="10" w:right="7300" w:hanging="10"/>
        <w:spacing w:after="0" w:line="442" w:lineRule="auto"/>
        <w:tabs>
          <w:tab w:leader="none" w:pos="212" w:val="left"/>
        </w:tabs>
        <w:numPr>
          <w:ilvl w:val="0"/>
          <w:numId w:val="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Balance Sheets Components Accounts Receivable, net</w:t>
      </w:r>
    </w:p>
    <w:p>
      <w:pPr>
        <w:ind w:left="73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Accounts receivable, net consisted of the following:</w:t>
      </w:r>
    </w:p>
    <w:p>
      <w:pPr>
        <w:spacing w:after="0" w:line="32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0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gridSpan w:val="4"/>
          </w:tcPr>
          <w:p>
            <w:pPr>
              <w:jc w:val="center"/>
              <w:ind w:left="227"/>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840" w:type="dxa"/>
            <w:vAlign w:val="bottom"/>
          </w:tcPr>
          <w:p>
            <w:pPr>
              <w:spacing w:after="0"/>
              <w:rPr>
                <w:sz w:val="18"/>
                <w:szCs w:val="18"/>
                <w:color w:val="auto"/>
              </w:rPr>
            </w:pPr>
          </w:p>
        </w:tc>
      </w:tr>
      <w:tr>
        <w:trPr>
          <w:trHeight w:val="38"/>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r>
      <w:tr>
        <w:trPr>
          <w:trHeight w:val="219"/>
        </w:trPr>
        <w:tc>
          <w:tcPr>
            <w:tcW w:w="10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8"/>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27"/>
        </w:trPr>
        <w:tc>
          <w:tcPr>
            <w:tcW w:w="10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gridSpan w:val="4"/>
          </w:tcPr>
          <w:p>
            <w:pPr>
              <w:jc w:val="center"/>
              <w:ind w:left="227"/>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40" w:type="dxa"/>
            <w:vAlign w:val="bottom"/>
          </w:tcPr>
          <w:p>
            <w:pPr>
              <w:spacing w:after="0"/>
              <w:rPr>
                <w:sz w:val="19"/>
                <w:szCs w:val="19"/>
                <w:color w:val="auto"/>
              </w:rPr>
            </w:pPr>
          </w:p>
        </w:tc>
      </w:tr>
      <w:tr>
        <w:trPr>
          <w:trHeight w:val="289"/>
        </w:trPr>
        <w:tc>
          <w:tcPr>
            <w:tcW w:w="1060" w:type="dxa"/>
            <w:vAlign w:val="bottom"/>
          </w:tcPr>
          <w:p>
            <w:pPr>
              <w:spacing w:after="0"/>
              <w:rPr>
                <w:sz w:val="24"/>
                <w:szCs w:val="24"/>
                <w:color w:val="auto"/>
              </w:rPr>
            </w:pPr>
          </w:p>
        </w:tc>
        <w:tc>
          <w:tcPr>
            <w:tcW w:w="47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Accounts receivable, gross</w:t>
            </w:r>
          </w:p>
        </w:tc>
        <w:tc>
          <w:tcPr>
            <w:tcW w:w="520" w:type="dxa"/>
            <w:vAlign w:val="bottom"/>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45,090</w:t>
            </w:r>
          </w:p>
        </w:tc>
        <w:tc>
          <w:tcPr>
            <w:tcW w:w="720" w:type="dxa"/>
            <w:vAlign w:val="bottom"/>
            <w:gridSpan w:val="3"/>
          </w:tcPr>
          <w:p>
            <w:pPr>
              <w:jc w:val="right"/>
              <w:ind w:right="41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38,259</w:t>
            </w:r>
          </w:p>
        </w:tc>
      </w:tr>
      <w:tr>
        <w:trPr>
          <w:trHeight w:val="43"/>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25"/>
        </w:trPr>
        <w:tc>
          <w:tcPr>
            <w:tcW w:w="1060" w:type="dxa"/>
            <w:vAlign w:val="bottom"/>
          </w:tcPr>
          <w:p>
            <w:pPr>
              <w:spacing w:after="0"/>
              <w:rPr>
                <w:sz w:val="24"/>
                <w:szCs w:val="24"/>
                <w:color w:val="auto"/>
              </w:rPr>
            </w:pPr>
          </w:p>
        </w:tc>
        <w:tc>
          <w:tcPr>
            <w:tcW w:w="470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5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660" w:type="dxa"/>
            <w:vAlign w:val="bottom"/>
            <w:tcBorders>
              <w:bottom w:val="single" w:sz="8" w:color="DDDDDD"/>
            </w:tcBorders>
            <w:shd w:val="clear" w:color="auto" w:fill="DDDDDD"/>
          </w:tcPr>
          <w:p>
            <w:pPr>
              <w:spacing w:after="0"/>
              <w:rPr>
                <w:sz w:val="24"/>
                <w:szCs w:val="24"/>
                <w:color w:val="auto"/>
              </w:rPr>
            </w:pPr>
          </w:p>
        </w:tc>
        <w:tc>
          <w:tcPr>
            <w:tcW w:w="8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63"/>
        </w:trPr>
        <w:tc>
          <w:tcPr>
            <w:tcW w:w="1060" w:type="dxa"/>
            <w:vAlign w:val="bottom"/>
          </w:tcPr>
          <w:p>
            <w:pPr>
              <w:spacing w:after="0"/>
              <w:rPr>
                <w:sz w:val="22"/>
                <w:szCs w:val="22"/>
                <w:color w:val="auto"/>
              </w:rPr>
            </w:pPr>
          </w:p>
        </w:tc>
        <w:tc>
          <w:tcPr>
            <w:tcW w:w="47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Accounts receivable, net</w:t>
            </w:r>
          </w:p>
        </w:tc>
        <w:tc>
          <w:tcPr>
            <w:tcW w:w="52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45,040</w:t>
            </w:r>
          </w:p>
        </w:tc>
        <w:tc>
          <w:tcPr>
            <w:tcW w:w="60" w:type="dxa"/>
            <w:vAlign w:val="bottom"/>
            <w:gridSpan w:val="2"/>
          </w:tcPr>
          <w:p>
            <w:pPr>
              <w:spacing w:after="0"/>
              <w:rPr>
                <w:sz w:val="22"/>
                <w:szCs w:val="22"/>
                <w:color w:val="auto"/>
              </w:rPr>
            </w:pPr>
          </w:p>
        </w:tc>
        <w:tc>
          <w:tcPr>
            <w:tcW w:w="6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38,209</w:t>
            </w:r>
          </w:p>
        </w:tc>
      </w:tr>
      <w:tr>
        <w:trPr>
          <w:trHeight w:val="44"/>
        </w:trPr>
        <w:tc>
          <w:tcPr>
            <w:tcW w:w="5760" w:type="dxa"/>
            <w:vAlign w:val="bottom"/>
            <w:gridSpan w:val="3"/>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
        </w:trPr>
        <w:tc>
          <w:tcPr>
            <w:tcW w:w="10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74"/>
        </w:trPr>
        <w:tc>
          <w:tcPr>
            <w:tcW w:w="57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Inventory</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0"/>
        </w:trPr>
        <w:tc>
          <w:tcPr>
            <w:tcW w:w="5760" w:type="dxa"/>
            <w:vAlign w:val="bottom"/>
            <w:gridSpan w:val="3"/>
          </w:tcPr>
          <w:p>
            <w:pPr>
              <w:ind w:left="720"/>
              <w:spacing w:after="0"/>
              <w:rPr>
                <w:sz w:val="20"/>
                <w:szCs w:val="20"/>
                <w:color w:val="auto"/>
              </w:rPr>
            </w:pPr>
            <w:r>
              <w:rPr>
                <w:rFonts w:ascii="Times New Roman" w:cs="Times New Roman" w:eastAsia="Times New Roman" w:hAnsi="Times New Roman"/>
                <w:sz w:val="20"/>
                <w:szCs w:val="20"/>
                <w:color w:val="auto"/>
              </w:rPr>
              <w:t>Inventory consisted of the following:</w:t>
            </w: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02"/>
        </w:trPr>
        <w:tc>
          <w:tcPr>
            <w:tcW w:w="10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gridSpan w:val="4"/>
          </w:tcPr>
          <w:p>
            <w:pPr>
              <w:jc w:val="center"/>
              <w:ind w:left="227"/>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840" w:type="dxa"/>
            <w:vAlign w:val="bottom"/>
          </w:tcPr>
          <w:p>
            <w:pPr>
              <w:spacing w:after="0"/>
              <w:rPr>
                <w:sz w:val="24"/>
                <w:szCs w:val="24"/>
                <w:color w:val="auto"/>
              </w:rPr>
            </w:pPr>
          </w:p>
        </w:tc>
      </w:tr>
      <w:tr>
        <w:trPr>
          <w:trHeight w:val="38"/>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r>
      <w:tr>
        <w:trPr>
          <w:trHeight w:val="219"/>
        </w:trPr>
        <w:tc>
          <w:tcPr>
            <w:tcW w:w="10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8"/>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79"/>
        </w:trPr>
        <w:tc>
          <w:tcPr>
            <w:tcW w:w="10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00" w:type="dxa"/>
            <w:vAlign w:val="bottom"/>
            <w:gridSpan w:val="4"/>
          </w:tcPr>
          <w:p>
            <w:pPr>
              <w:jc w:val="center"/>
              <w:ind w:left="227"/>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40" w:type="dxa"/>
            <w:vAlign w:val="bottom"/>
          </w:tcPr>
          <w:p>
            <w:pPr>
              <w:spacing w:after="0"/>
              <w:rPr>
                <w:sz w:val="24"/>
                <w:szCs w:val="24"/>
                <w:color w:val="auto"/>
              </w:rPr>
            </w:pPr>
          </w:p>
        </w:tc>
      </w:tr>
      <w:tr>
        <w:trPr>
          <w:trHeight w:val="38"/>
        </w:trPr>
        <w:tc>
          <w:tcPr>
            <w:tcW w:w="1060" w:type="dxa"/>
            <w:vAlign w:val="bottom"/>
          </w:tcPr>
          <w:p>
            <w:pPr>
              <w:spacing w:after="0"/>
              <w:rPr>
                <w:sz w:val="3"/>
                <w:szCs w:val="3"/>
                <w:color w:val="auto"/>
              </w:rPr>
            </w:pPr>
          </w:p>
        </w:tc>
        <w:tc>
          <w:tcPr>
            <w:tcW w:w="470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20" w:type="dxa"/>
            <w:vAlign w:val="bottom"/>
            <w:gridSpan w:val="3"/>
          </w:tcPr>
          <w:p>
            <w:pPr>
              <w:spacing w:after="0"/>
              <w:rPr>
                <w:sz w:val="3"/>
                <w:szCs w:val="3"/>
                <w:color w:val="auto"/>
              </w:rPr>
            </w:pPr>
          </w:p>
        </w:tc>
        <w:tc>
          <w:tcPr>
            <w:tcW w:w="840" w:type="dxa"/>
            <w:vAlign w:val="bottom"/>
          </w:tcPr>
          <w:p>
            <w:pPr>
              <w:spacing w:after="0"/>
              <w:rPr>
                <w:sz w:val="3"/>
                <w:szCs w:val="3"/>
                <w:color w:val="auto"/>
              </w:rPr>
            </w:pPr>
          </w:p>
        </w:tc>
      </w:tr>
      <w:tr>
        <w:trPr>
          <w:trHeight w:val="304"/>
        </w:trPr>
        <w:tc>
          <w:tcPr>
            <w:tcW w:w="1060" w:type="dxa"/>
            <w:vAlign w:val="bottom"/>
          </w:tcPr>
          <w:p>
            <w:pPr>
              <w:spacing w:after="0"/>
              <w:rPr>
                <w:sz w:val="24"/>
                <w:szCs w:val="24"/>
                <w:color w:val="auto"/>
              </w:rPr>
            </w:pPr>
          </w:p>
        </w:tc>
        <w:tc>
          <w:tcPr>
            <w:tcW w:w="470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Raw materials</w:t>
            </w:r>
          </w:p>
        </w:tc>
        <w:tc>
          <w:tcPr>
            <w:tcW w:w="520" w:type="dxa"/>
            <w:vAlign w:val="bottom"/>
            <w:tcBorders>
              <w:bottom w:val="single" w:sz="8" w:color="DDDDDD"/>
            </w:tcBorders>
            <w:shd w:val="clear" w:color="auto" w:fill="DDDDDD"/>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13,572</w:t>
            </w:r>
          </w:p>
        </w:tc>
        <w:tc>
          <w:tcPr>
            <w:tcW w:w="720" w:type="dxa"/>
            <w:vAlign w:val="bottom"/>
            <w:tcBorders>
              <w:bottom w:val="single" w:sz="8" w:color="DDDDDD"/>
            </w:tcBorders>
            <w:gridSpan w:val="3"/>
            <w:shd w:val="clear" w:color="auto" w:fill="DDDDDD"/>
          </w:tcPr>
          <w:p>
            <w:pPr>
              <w:jc w:val="right"/>
              <w:ind w:right="41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14,995</w:t>
            </w:r>
          </w:p>
        </w:tc>
      </w:tr>
      <w:tr>
        <w:trPr>
          <w:trHeight w:val="282"/>
        </w:trPr>
        <w:tc>
          <w:tcPr>
            <w:tcW w:w="1060" w:type="dxa"/>
            <w:vAlign w:val="bottom"/>
          </w:tcPr>
          <w:p>
            <w:pPr>
              <w:spacing w:after="0"/>
              <w:rPr>
                <w:sz w:val="24"/>
                <w:szCs w:val="24"/>
                <w:color w:val="auto"/>
              </w:rPr>
            </w:pPr>
          </w:p>
        </w:tc>
        <w:tc>
          <w:tcPr>
            <w:tcW w:w="47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Work in progress</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47,485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47,300</w:t>
            </w:r>
          </w:p>
        </w:tc>
      </w:tr>
      <w:tr>
        <w:trPr>
          <w:trHeight w:val="43"/>
        </w:trPr>
        <w:tc>
          <w:tcPr>
            <w:tcW w:w="1060" w:type="dxa"/>
            <w:vAlign w:val="bottom"/>
          </w:tcPr>
          <w:p>
            <w:pPr>
              <w:spacing w:after="0"/>
              <w:rPr>
                <w:sz w:val="3"/>
                <w:szCs w:val="3"/>
                <w:color w:val="auto"/>
              </w:rPr>
            </w:pPr>
          </w:p>
        </w:tc>
        <w:tc>
          <w:tcPr>
            <w:tcW w:w="470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25"/>
        </w:trPr>
        <w:tc>
          <w:tcPr>
            <w:tcW w:w="1060" w:type="dxa"/>
            <w:vAlign w:val="bottom"/>
          </w:tcPr>
          <w:p>
            <w:pPr>
              <w:spacing w:after="0"/>
              <w:rPr>
                <w:sz w:val="24"/>
                <w:szCs w:val="24"/>
                <w:color w:val="auto"/>
              </w:rPr>
            </w:pPr>
          </w:p>
        </w:tc>
        <w:tc>
          <w:tcPr>
            <w:tcW w:w="470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Finished goods</w:t>
            </w:r>
          </w:p>
        </w:tc>
        <w:tc>
          <w:tcPr>
            <w:tcW w:w="5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20,500</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660" w:type="dxa"/>
            <w:vAlign w:val="bottom"/>
            <w:tcBorders>
              <w:bottom w:val="single" w:sz="8" w:color="DDDDDD"/>
            </w:tcBorders>
            <w:shd w:val="clear" w:color="auto" w:fill="DDDDDD"/>
          </w:tcPr>
          <w:p>
            <w:pPr>
              <w:spacing w:after="0"/>
              <w:rPr>
                <w:sz w:val="24"/>
                <w:szCs w:val="24"/>
                <w:color w:val="auto"/>
              </w:rPr>
            </w:pPr>
          </w:p>
        </w:tc>
        <w:tc>
          <w:tcPr>
            <w:tcW w:w="8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14,446</w:t>
            </w:r>
          </w:p>
        </w:tc>
      </w:tr>
      <w:tr>
        <w:trPr>
          <w:trHeight w:val="263"/>
        </w:trPr>
        <w:tc>
          <w:tcPr>
            <w:tcW w:w="1060" w:type="dxa"/>
            <w:vAlign w:val="bottom"/>
          </w:tcPr>
          <w:p>
            <w:pPr>
              <w:spacing w:after="0"/>
              <w:rPr>
                <w:sz w:val="22"/>
                <w:szCs w:val="22"/>
                <w:color w:val="auto"/>
              </w:rPr>
            </w:pPr>
          </w:p>
        </w:tc>
        <w:tc>
          <w:tcPr>
            <w:tcW w:w="47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Total inventories</w:t>
            </w:r>
          </w:p>
        </w:tc>
        <w:tc>
          <w:tcPr>
            <w:tcW w:w="52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81,557</w:t>
            </w:r>
          </w:p>
        </w:tc>
        <w:tc>
          <w:tcPr>
            <w:tcW w:w="60" w:type="dxa"/>
            <w:vAlign w:val="bottom"/>
            <w:gridSpan w:val="2"/>
          </w:tcPr>
          <w:p>
            <w:pPr>
              <w:spacing w:after="0"/>
              <w:rPr>
                <w:sz w:val="22"/>
                <w:szCs w:val="22"/>
                <w:color w:val="auto"/>
              </w:rPr>
            </w:pPr>
          </w:p>
        </w:tc>
        <w:tc>
          <w:tcPr>
            <w:tcW w:w="6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76,741</w:t>
            </w:r>
          </w:p>
        </w:tc>
      </w:tr>
      <w:tr>
        <w:trPr>
          <w:trHeight w:val="44"/>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0"/>
        </w:trPr>
        <w:tc>
          <w:tcPr>
            <w:tcW w:w="10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3662680</wp:posOffset>
                </wp:positionH>
                <wp:positionV relativeFrom="paragraph">
                  <wp:posOffset>-2296160</wp:posOffset>
                </wp:positionV>
                <wp:extent cx="952500"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4pt,-180.7999pt" to="363.4pt,-180.7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4653280</wp:posOffset>
                </wp:positionH>
                <wp:positionV relativeFrom="paragraph">
                  <wp:posOffset>-2296160</wp:posOffset>
                </wp:positionV>
                <wp:extent cx="95250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4pt,-180.7999pt" to="441.4pt,-180.7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3662680</wp:posOffset>
                </wp:positionH>
                <wp:positionV relativeFrom="paragraph">
                  <wp:posOffset>-231775</wp:posOffset>
                </wp:positionV>
                <wp:extent cx="952500"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8.4pt,-18.2499pt" to="363.4pt,-18.2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4653280</wp:posOffset>
                </wp:positionH>
                <wp:positionV relativeFrom="paragraph">
                  <wp:posOffset>-231775</wp:posOffset>
                </wp:positionV>
                <wp:extent cx="95250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4pt,-18.2499pt" to="441.4pt,-18.2499pt" o:allowincell="f" strokecolor="#FFFFFF" strokeweight="0.14pt"/>
            </w:pict>
          </mc:Fallback>
        </mc:AlternateContent>
      </w:r>
    </w:p>
    <w:p>
      <w:pPr>
        <w:sectPr>
          <w:pgSz w:w="12240" w:h="15840" w:orient="portrait"/>
          <w:cols w:equalWidth="0" w:num="1">
            <w:col w:w="9890"/>
          </w:cols>
          <w:pgMar w:left="1170" w:top="1212"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90"/>
          </w:cols>
          <w:pgMar w:left="1170" w:top="1212" w:right="118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color w:val="auto"/>
        </w:rPr>
        <w:t>Prepaid Expenses and Other Current Assets</w:t>
      </w:r>
    </w:p>
    <w:p>
      <w:pPr>
        <w:spacing w:after="0" w:line="1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Prepaid expenses and other current assets consisted of the following:</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gridSpan w:val="4"/>
          </w:tcPr>
          <w:p>
            <w:pPr>
              <w:jc w:val="center"/>
              <w:ind w:left="325"/>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880" w:type="dxa"/>
            <w:vAlign w:val="bottom"/>
          </w:tcPr>
          <w:p>
            <w:pPr>
              <w:spacing w:after="0"/>
              <w:rPr>
                <w:sz w:val="18"/>
                <w:szCs w:val="18"/>
                <w:color w:val="auto"/>
              </w:rPr>
            </w:pPr>
          </w:p>
        </w:tc>
      </w:tr>
      <w:tr>
        <w:trPr>
          <w:trHeight w:val="38"/>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r>
      <w:tr>
        <w:trPr>
          <w:trHeight w:val="219"/>
        </w:trPr>
        <w:tc>
          <w:tcPr>
            <w:tcW w:w="10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8"/>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79"/>
        </w:trPr>
        <w:tc>
          <w:tcPr>
            <w:tcW w:w="10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gridSpan w:val="4"/>
          </w:tcPr>
          <w:p>
            <w:pPr>
              <w:jc w:val="center"/>
              <w:ind w:left="325"/>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80" w:type="dxa"/>
            <w:vAlign w:val="bottom"/>
          </w:tcPr>
          <w:p>
            <w:pPr>
              <w:spacing w:after="0"/>
              <w:rPr>
                <w:sz w:val="24"/>
                <w:szCs w:val="24"/>
                <w:color w:val="auto"/>
              </w:rPr>
            </w:pPr>
          </w:p>
        </w:tc>
      </w:tr>
      <w:tr>
        <w:trPr>
          <w:trHeight w:val="39"/>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880" w:type="dxa"/>
            <w:vAlign w:val="bottom"/>
          </w:tcPr>
          <w:p>
            <w:pPr>
              <w:spacing w:after="0"/>
              <w:rPr>
                <w:sz w:val="3"/>
                <w:szCs w:val="3"/>
                <w:color w:val="auto"/>
              </w:rPr>
            </w:pPr>
          </w:p>
        </w:tc>
      </w:tr>
      <w:tr>
        <w:trPr>
          <w:trHeight w:val="304"/>
        </w:trPr>
        <w:tc>
          <w:tcPr>
            <w:tcW w:w="1060" w:type="dxa"/>
            <w:vAlign w:val="bottom"/>
          </w:tcPr>
          <w:p>
            <w:pPr>
              <w:spacing w:after="0"/>
              <w:rPr>
                <w:sz w:val="24"/>
                <w:szCs w:val="24"/>
                <w:color w:val="auto"/>
              </w:rPr>
            </w:pPr>
          </w:p>
        </w:tc>
        <w:tc>
          <w:tcPr>
            <w:tcW w:w="470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Prepaid expenses</w:t>
            </w:r>
          </w:p>
        </w:tc>
        <w:tc>
          <w:tcPr>
            <w:tcW w:w="460" w:type="dxa"/>
            <w:vAlign w:val="bottom"/>
            <w:tcBorders>
              <w:bottom w:val="single" w:sz="8" w:color="DDDDDD"/>
            </w:tcBorders>
            <w:shd w:val="clear" w:color="auto" w:fill="DDDDDD"/>
          </w:tcPr>
          <w:p>
            <w:pPr>
              <w:jc w:val="right"/>
              <w:ind w:right="207"/>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6,761</w:t>
            </w:r>
          </w:p>
        </w:tc>
        <w:tc>
          <w:tcPr>
            <w:tcW w:w="680" w:type="dxa"/>
            <w:vAlign w:val="bottom"/>
            <w:tcBorders>
              <w:bottom w:val="single" w:sz="8" w:color="DDDDDD"/>
            </w:tcBorders>
            <w:gridSpan w:val="3"/>
            <w:shd w:val="clear" w:color="auto" w:fill="DDDDDD"/>
          </w:tcPr>
          <w:p>
            <w:pPr>
              <w:jc w:val="right"/>
              <w:ind w:right="37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4,305</w:t>
            </w:r>
          </w:p>
        </w:tc>
      </w:tr>
      <w:tr>
        <w:trPr>
          <w:trHeight w:val="282"/>
        </w:trPr>
        <w:tc>
          <w:tcPr>
            <w:tcW w:w="1060" w:type="dxa"/>
            <w:vAlign w:val="bottom"/>
          </w:tcPr>
          <w:p>
            <w:pPr>
              <w:spacing w:after="0"/>
              <w:rPr>
                <w:sz w:val="24"/>
                <w:szCs w:val="24"/>
                <w:color w:val="auto"/>
              </w:rPr>
            </w:pPr>
          </w:p>
        </w:tc>
        <w:tc>
          <w:tcPr>
            <w:tcW w:w="47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Other current assets</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5,971</w:t>
            </w:r>
          </w:p>
        </w:tc>
      </w:tr>
      <w:tr>
        <w:trPr>
          <w:trHeight w:val="43"/>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880" w:type="dxa"/>
            <w:vAlign w:val="bottom"/>
          </w:tcPr>
          <w:p>
            <w:pPr>
              <w:spacing w:after="0"/>
              <w:rPr>
                <w:sz w:val="3"/>
                <w:szCs w:val="3"/>
                <w:color w:val="auto"/>
              </w:rPr>
            </w:pPr>
          </w:p>
        </w:tc>
      </w:tr>
      <w:tr>
        <w:trPr>
          <w:trHeight w:val="307"/>
        </w:trPr>
        <w:tc>
          <w:tcPr>
            <w:tcW w:w="1060" w:type="dxa"/>
            <w:vAlign w:val="bottom"/>
          </w:tcPr>
          <w:p>
            <w:pPr>
              <w:spacing w:after="0"/>
              <w:rPr>
                <w:sz w:val="24"/>
                <w:szCs w:val="24"/>
                <w:color w:val="auto"/>
              </w:rPr>
            </w:pPr>
          </w:p>
        </w:tc>
        <w:tc>
          <w:tcPr>
            <w:tcW w:w="4700" w:type="dxa"/>
            <w:vAlign w:val="bottom"/>
            <w:tcBorders>
              <w:top w:val="single" w:sz="8" w:color="DDDDDD"/>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Total prepaid expenses and other current assets</w:t>
            </w:r>
          </w:p>
        </w:tc>
        <w:tc>
          <w:tcPr>
            <w:tcW w:w="460" w:type="dxa"/>
            <w:vAlign w:val="bottom"/>
            <w:tcBorders>
              <w:top w:val="single" w:sz="8" w:color="auto"/>
              <w:bottom w:val="single" w:sz="8" w:color="DDDDDD"/>
            </w:tcBorders>
            <w:shd w:val="clear" w:color="auto" w:fill="DDDDDD"/>
          </w:tcPr>
          <w:p>
            <w:pPr>
              <w:jc w:val="right"/>
              <w:ind w:right="207"/>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14,275</w:t>
            </w:r>
          </w:p>
        </w:tc>
        <w:tc>
          <w:tcPr>
            <w:tcW w:w="40" w:type="dxa"/>
            <w:vAlign w:val="bottom"/>
            <w:tcBorders>
              <w:top w:val="single" w:sz="8" w:color="DDDDDD"/>
              <w:bottom w:val="single" w:sz="8" w:color="DDDDDD"/>
            </w:tcBorders>
            <w:shd w:val="clear" w:color="auto" w:fill="DDDDDD"/>
          </w:tcPr>
          <w:p>
            <w:pPr>
              <w:spacing w:after="0"/>
              <w:rPr>
                <w:sz w:val="24"/>
                <w:szCs w:val="24"/>
                <w:color w:val="auto"/>
              </w:rPr>
            </w:pPr>
          </w:p>
        </w:tc>
        <w:tc>
          <w:tcPr>
            <w:tcW w:w="20" w:type="dxa"/>
            <w:vAlign w:val="bottom"/>
            <w:tcBorders>
              <w:top w:val="single" w:sz="8" w:color="DDDDDD"/>
              <w:bottom w:val="single" w:sz="8" w:color="DDDDDD"/>
            </w:tcBorders>
            <w:shd w:val="clear" w:color="auto" w:fill="DDDDDD"/>
          </w:tcPr>
          <w:p>
            <w:pPr>
              <w:spacing w:after="0"/>
              <w:rPr>
                <w:sz w:val="24"/>
                <w:szCs w:val="24"/>
                <w:color w:val="auto"/>
              </w:rPr>
            </w:pPr>
          </w:p>
        </w:tc>
        <w:tc>
          <w:tcPr>
            <w:tcW w:w="620" w:type="dxa"/>
            <w:vAlign w:val="bottom"/>
            <w:tcBorders>
              <w:top w:val="single" w:sz="8" w:color="auto"/>
              <w:bottom w:val="single" w:sz="8" w:color="DDDDDD"/>
            </w:tcBorders>
            <w:shd w:val="clear" w:color="auto" w:fill="DDDDDD"/>
          </w:tcPr>
          <w:p>
            <w:pPr>
              <w:jc w:val="right"/>
              <w:ind w:right="37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10,276</w:t>
            </w:r>
          </w:p>
        </w:tc>
      </w:tr>
      <w:tr>
        <w:trPr>
          <w:trHeight w:val="20"/>
        </w:trPr>
        <w:tc>
          <w:tcPr>
            <w:tcW w:w="10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576"/>
        </w:trPr>
        <w:tc>
          <w:tcPr>
            <w:tcW w:w="57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Property and Equipment, Net</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0"/>
        </w:trPr>
        <w:tc>
          <w:tcPr>
            <w:tcW w:w="5760" w:type="dxa"/>
            <w:vAlign w:val="bottom"/>
            <w:gridSpan w:val="3"/>
          </w:tcPr>
          <w:p>
            <w:pPr>
              <w:ind w:left="720"/>
              <w:spacing w:after="0"/>
              <w:rPr>
                <w:sz w:val="20"/>
                <w:szCs w:val="20"/>
                <w:color w:val="auto"/>
              </w:rPr>
            </w:pPr>
            <w:r>
              <w:rPr>
                <w:rFonts w:ascii="Times New Roman" w:cs="Times New Roman" w:eastAsia="Times New Roman" w:hAnsi="Times New Roman"/>
                <w:sz w:val="20"/>
                <w:szCs w:val="20"/>
                <w:color w:val="auto"/>
              </w:rPr>
              <w:t>Property and equipment, net consisted of the following:</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60"/>
        </w:trPr>
        <w:tc>
          <w:tcPr>
            <w:tcW w:w="10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20" w:type="dxa"/>
            <w:vAlign w:val="bottom"/>
            <w:gridSpan w:val="4"/>
          </w:tcPr>
          <w:p>
            <w:pPr>
              <w:jc w:val="center"/>
              <w:ind w:left="325"/>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880" w:type="dxa"/>
            <w:vAlign w:val="bottom"/>
          </w:tcPr>
          <w:p>
            <w:pPr>
              <w:spacing w:after="0"/>
              <w:rPr>
                <w:sz w:val="24"/>
                <w:szCs w:val="24"/>
                <w:color w:val="auto"/>
              </w:rPr>
            </w:pPr>
          </w:p>
        </w:tc>
      </w:tr>
      <w:tr>
        <w:trPr>
          <w:trHeight w:val="43"/>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r>
      <w:tr>
        <w:trPr>
          <w:trHeight w:val="209"/>
        </w:trPr>
        <w:tc>
          <w:tcPr>
            <w:tcW w:w="10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1"/>
        </w:trPr>
        <w:tc>
          <w:tcPr>
            <w:tcW w:w="10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10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20" w:type="dxa"/>
            <w:vAlign w:val="bottom"/>
            <w:gridSpan w:val="4"/>
          </w:tcPr>
          <w:p>
            <w:pPr>
              <w:jc w:val="center"/>
              <w:ind w:left="325"/>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80" w:type="dxa"/>
            <w:vAlign w:val="bottom"/>
          </w:tcPr>
          <w:p>
            <w:pPr>
              <w:spacing w:after="0"/>
              <w:rPr>
                <w:sz w:val="20"/>
                <w:szCs w:val="20"/>
                <w:color w:val="auto"/>
              </w:rPr>
            </w:pPr>
          </w:p>
        </w:tc>
      </w:tr>
      <w:tr>
        <w:trPr>
          <w:trHeight w:val="43"/>
        </w:trPr>
        <w:tc>
          <w:tcPr>
            <w:tcW w:w="1060" w:type="dxa"/>
            <w:vAlign w:val="bottom"/>
          </w:tcPr>
          <w:p>
            <w:pPr>
              <w:spacing w:after="0"/>
              <w:rPr>
                <w:sz w:val="3"/>
                <w:szCs w:val="3"/>
                <w:color w:val="auto"/>
              </w:rPr>
            </w:pPr>
          </w:p>
        </w:tc>
        <w:tc>
          <w:tcPr>
            <w:tcW w:w="470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gridSpan w:val="3"/>
          </w:tcPr>
          <w:p>
            <w:pPr>
              <w:spacing w:after="0"/>
              <w:rPr>
                <w:sz w:val="3"/>
                <w:szCs w:val="3"/>
                <w:color w:val="auto"/>
              </w:rPr>
            </w:pPr>
          </w:p>
        </w:tc>
        <w:tc>
          <w:tcPr>
            <w:tcW w:w="880" w:type="dxa"/>
            <w:vAlign w:val="bottom"/>
          </w:tcPr>
          <w:p>
            <w:pPr>
              <w:spacing w:after="0"/>
              <w:rPr>
                <w:sz w:val="3"/>
                <w:szCs w:val="3"/>
                <w:color w:val="auto"/>
              </w:rPr>
            </w:pPr>
          </w:p>
        </w:tc>
      </w:tr>
      <w:tr>
        <w:trPr>
          <w:trHeight w:val="305"/>
        </w:trPr>
        <w:tc>
          <w:tcPr>
            <w:tcW w:w="1060" w:type="dxa"/>
            <w:vAlign w:val="bottom"/>
          </w:tcPr>
          <w:p>
            <w:pPr>
              <w:spacing w:after="0"/>
              <w:rPr>
                <w:sz w:val="24"/>
                <w:szCs w:val="24"/>
                <w:color w:val="auto"/>
              </w:rPr>
            </w:pPr>
          </w:p>
        </w:tc>
        <w:tc>
          <w:tcPr>
            <w:tcW w:w="470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Lab and manufacturing equipment</w:t>
            </w:r>
          </w:p>
        </w:tc>
        <w:tc>
          <w:tcPr>
            <w:tcW w:w="460" w:type="dxa"/>
            <w:vAlign w:val="bottom"/>
            <w:tcBorders>
              <w:bottom w:val="single" w:sz="8" w:color="DDDDDD"/>
            </w:tcBorders>
            <w:shd w:val="clear" w:color="auto" w:fill="DDDDDD"/>
          </w:tcPr>
          <w:p>
            <w:pPr>
              <w:jc w:val="right"/>
              <w:ind w:right="207"/>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158,909</w:t>
            </w:r>
          </w:p>
        </w:tc>
        <w:tc>
          <w:tcPr>
            <w:tcW w:w="680" w:type="dxa"/>
            <w:vAlign w:val="bottom"/>
            <w:tcBorders>
              <w:bottom w:val="single" w:sz="8" w:color="DDDDDD"/>
            </w:tcBorders>
            <w:gridSpan w:val="3"/>
            <w:shd w:val="clear" w:color="auto" w:fill="DDDDDD"/>
          </w:tcPr>
          <w:p>
            <w:pPr>
              <w:jc w:val="right"/>
              <w:ind w:right="37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119,964</w:t>
            </w:r>
          </w:p>
        </w:tc>
      </w:tr>
      <w:tr>
        <w:trPr>
          <w:trHeight w:val="282"/>
        </w:trPr>
        <w:tc>
          <w:tcPr>
            <w:tcW w:w="1060" w:type="dxa"/>
            <w:vAlign w:val="bottom"/>
          </w:tcPr>
          <w:p>
            <w:pPr>
              <w:spacing w:after="0"/>
              <w:rPr>
                <w:sz w:val="24"/>
                <w:szCs w:val="24"/>
                <w:color w:val="auto"/>
              </w:rPr>
            </w:pPr>
          </w:p>
        </w:tc>
        <w:tc>
          <w:tcPr>
            <w:tcW w:w="47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Computer equipment</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3,833</w:t>
            </w:r>
          </w:p>
        </w:tc>
      </w:tr>
      <w:tr>
        <w:trPr>
          <w:trHeight w:val="42"/>
        </w:trPr>
        <w:tc>
          <w:tcPr>
            <w:tcW w:w="1060" w:type="dxa"/>
            <w:vAlign w:val="bottom"/>
          </w:tcPr>
          <w:p>
            <w:pPr>
              <w:spacing w:after="0"/>
              <w:rPr>
                <w:sz w:val="3"/>
                <w:szCs w:val="3"/>
                <w:color w:val="auto"/>
              </w:rPr>
            </w:pPr>
          </w:p>
        </w:tc>
        <w:tc>
          <w:tcPr>
            <w:tcW w:w="470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305"/>
        </w:trPr>
        <w:tc>
          <w:tcPr>
            <w:tcW w:w="1060" w:type="dxa"/>
            <w:vAlign w:val="bottom"/>
          </w:tcPr>
          <w:p>
            <w:pPr>
              <w:spacing w:after="0"/>
              <w:rPr>
                <w:sz w:val="24"/>
                <w:szCs w:val="24"/>
                <w:color w:val="auto"/>
              </w:rPr>
            </w:pPr>
          </w:p>
        </w:tc>
        <w:tc>
          <w:tcPr>
            <w:tcW w:w="470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Furniture and fixtures</w:t>
            </w:r>
          </w:p>
        </w:tc>
        <w:tc>
          <w:tcPr>
            <w:tcW w:w="460" w:type="dxa"/>
            <w:vAlign w:val="bottom"/>
            <w:tcBorders>
              <w:bottom w:val="single" w:sz="8" w:color="DDDDDD"/>
            </w:tcBorders>
            <w:shd w:val="clear" w:color="auto" w:fill="DDDDDD"/>
          </w:tcPr>
          <w:p>
            <w:pPr>
              <w:spacing w:after="0"/>
              <w:rPr>
                <w:sz w:val="24"/>
                <w:szCs w:val="24"/>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1,152</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620" w:type="dxa"/>
            <w:vAlign w:val="bottom"/>
            <w:tcBorders>
              <w:bottom w:val="single" w:sz="8" w:color="DDDDDD"/>
            </w:tcBorders>
            <w:shd w:val="clear" w:color="auto" w:fill="DDDDDD"/>
          </w:tcPr>
          <w:p>
            <w:pPr>
              <w:spacing w:after="0"/>
              <w:rPr>
                <w:sz w:val="24"/>
                <w:szCs w:val="24"/>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1,167</w:t>
            </w:r>
          </w:p>
        </w:tc>
      </w:tr>
      <w:tr>
        <w:trPr>
          <w:trHeight w:val="282"/>
        </w:trPr>
        <w:tc>
          <w:tcPr>
            <w:tcW w:w="1060" w:type="dxa"/>
            <w:vAlign w:val="bottom"/>
          </w:tcPr>
          <w:p>
            <w:pPr>
              <w:spacing w:after="0"/>
              <w:rPr>
                <w:sz w:val="24"/>
                <w:szCs w:val="24"/>
                <w:color w:val="auto"/>
              </w:rPr>
            </w:pPr>
          </w:p>
        </w:tc>
        <w:tc>
          <w:tcPr>
            <w:tcW w:w="47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Construction in progress</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15,885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9,538</w:t>
            </w:r>
          </w:p>
        </w:tc>
      </w:tr>
      <w:tr>
        <w:trPr>
          <w:trHeight w:val="43"/>
        </w:trPr>
        <w:tc>
          <w:tcPr>
            <w:tcW w:w="1060" w:type="dxa"/>
            <w:vAlign w:val="bottom"/>
          </w:tcPr>
          <w:p>
            <w:pPr>
              <w:spacing w:after="0"/>
              <w:rPr>
                <w:sz w:val="3"/>
                <w:szCs w:val="3"/>
                <w:color w:val="auto"/>
              </w:rPr>
            </w:pPr>
          </w:p>
        </w:tc>
        <w:tc>
          <w:tcPr>
            <w:tcW w:w="470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325"/>
        </w:trPr>
        <w:tc>
          <w:tcPr>
            <w:tcW w:w="1060" w:type="dxa"/>
            <w:vAlign w:val="bottom"/>
          </w:tcPr>
          <w:p>
            <w:pPr>
              <w:spacing w:after="0"/>
              <w:rPr>
                <w:sz w:val="24"/>
                <w:szCs w:val="24"/>
                <w:color w:val="auto"/>
              </w:rPr>
            </w:pPr>
          </w:p>
        </w:tc>
        <w:tc>
          <w:tcPr>
            <w:tcW w:w="470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Leasehold improvements</w:t>
            </w:r>
          </w:p>
        </w:tc>
        <w:tc>
          <w:tcPr>
            <w:tcW w:w="460" w:type="dxa"/>
            <w:vAlign w:val="bottom"/>
            <w:tcBorders>
              <w:bottom w:val="single" w:sz="8" w:color="DDDDDD"/>
            </w:tcBorders>
            <w:shd w:val="clear" w:color="auto" w:fill="DDDDDD"/>
          </w:tcPr>
          <w:p>
            <w:pPr>
              <w:spacing w:after="0"/>
              <w:rPr>
                <w:sz w:val="24"/>
                <w:szCs w:val="24"/>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8,303</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620" w:type="dxa"/>
            <w:vAlign w:val="bottom"/>
            <w:tcBorders>
              <w:bottom w:val="single" w:sz="8" w:color="DDDDDD"/>
            </w:tcBorders>
            <w:shd w:val="clear" w:color="auto" w:fill="DDDDDD"/>
          </w:tcPr>
          <w:p>
            <w:pPr>
              <w:spacing w:after="0"/>
              <w:rPr>
                <w:sz w:val="24"/>
                <w:szCs w:val="24"/>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7,818</w:t>
            </w:r>
          </w:p>
        </w:tc>
      </w:tr>
      <w:tr>
        <w:trPr>
          <w:trHeight w:val="263"/>
        </w:trPr>
        <w:tc>
          <w:tcPr>
            <w:tcW w:w="106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188,177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142,320</w:t>
            </w:r>
          </w:p>
        </w:tc>
      </w:tr>
      <w:tr>
        <w:trPr>
          <w:trHeight w:val="42"/>
        </w:trPr>
        <w:tc>
          <w:tcPr>
            <w:tcW w:w="1060" w:type="dxa"/>
            <w:vAlign w:val="bottom"/>
          </w:tcPr>
          <w:p>
            <w:pPr>
              <w:spacing w:after="0"/>
              <w:rPr>
                <w:sz w:val="3"/>
                <w:szCs w:val="3"/>
                <w:color w:val="auto"/>
              </w:rPr>
            </w:pPr>
          </w:p>
        </w:tc>
        <w:tc>
          <w:tcPr>
            <w:tcW w:w="470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325"/>
        </w:trPr>
        <w:tc>
          <w:tcPr>
            <w:tcW w:w="1060" w:type="dxa"/>
            <w:vAlign w:val="bottom"/>
          </w:tcPr>
          <w:p>
            <w:pPr>
              <w:spacing w:after="0"/>
              <w:rPr>
                <w:sz w:val="24"/>
                <w:szCs w:val="24"/>
                <w:color w:val="auto"/>
              </w:rPr>
            </w:pPr>
          </w:p>
        </w:tc>
        <w:tc>
          <w:tcPr>
            <w:tcW w:w="470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Accumulated depreciation</w:t>
            </w:r>
          </w:p>
        </w:tc>
        <w:tc>
          <w:tcPr>
            <w:tcW w:w="460" w:type="dxa"/>
            <w:vAlign w:val="bottom"/>
            <w:tcBorders>
              <w:bottom w:val="single" w:sz="8" w:color="DDDDDD"/>
            </w:tcBorders>
            <w:shd w:val="clear" w:color="auto" w:fill="DDDDDD"/>
          </w:tcPr>
          <w:p>
            <w:pPr>
              <w:spacing w:after="0"/>
              <w:rPr>
                <w:sz w:val="24"/>
                <w:szCs w:val="24"/>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(83,063)</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620" w:type="dxa"/>
            <w:vAlign w:val="bottom"/>
            <w:tcBorders>
              <w:bottom w:val="single" w:sz="8" w:color="DDDDDD"/>
            </w:tcBorders>
            <w:shd w:val="clear" w:color="auto" w:fill="DDDDDD"/>
          </w:tcPr>
          <w:p>
            <w:pPr>
              <w:spacing w:after="0"/>
              <w:rPr>
                <w:sz w:val="24"/>
                <w:szCs w:val="24"/>
                <w:color w:val="auto"/>
              </w:rPr>
            </w:pPr>
          </w:p>
        </w:tc>
        <w:tc>
          <w:tcPr>
            <w:tcW w:w="8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(59,845)</w:t>
            </w:r>
          </w:p>
        </w:tc>
      </w:tr>
      <w:tr>
        <w:trPr>
          <w:trHeight w:val="262"/>
        </w:trPr>
        <w:tc>
          <w:tcPr>
            <w:tcW w:w="1060" w:type="dxa"/>
            <w:vAlign w:val="bottom"/>
          </w:tcPr>
          <w:p>
            <w:pPr>
              <w:spacing w:after="0"/>
              <w:rPr>
                <w:sz w:val="22"/>
                <w:szCs w:val="22"/>
                <w:color w:val="auto"/>
              </w:rPr>
            </w:pPr>
          </w:p>
        </w:tc>
        <w:tc>
          <w:tcPr>
            <w:tcW w:w="47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Total property and equipment, net</w:t>
            </w:r>
          </w:p>
        </w:tc>
        <w:tc>
          <w:tcPr>
            <w:tcW w:w="460" w:type="dxa"/>
            <w:vAlign w:val="bottom"/>
            <w:tcBorders>
              <w:top w:val="single" w:sz="8" w:color="auto"/>
            </w:tcBorders>
          </w:tcPr>
          <w:p>
            <w:pPr>
              <w:jc w:val="right"/>
              <w:ind w:right="207"/>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105,114</w:t>
            </w:r>
          </w:p>
        </w:tc>
        <w:tc>
          <w:tcPr>
            <w:tcW w:w="60" w:type="dxa"/>
            <w:vAlign w:val="bottom"/>
            <w:gridSpan w:val="2"/>
          </w:tcPr>
          <w:p>
            <w:pPr>
              <w:spacing w:after="0"/>
              <w:rPr>
                <w:sz w:val="22"/>
                <w:szCs w:val="22"/>
                <w:color w:val="auto"/>
              </w:rPr>
            </w:pPr>
          </w:p>
        </w:tc>
        <w:tc>
          <w:tcPr>
            <w:tcW w:w="6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82,475</w:t>
            </w:r>
          </w:p>
        </w:tc>
      </w:tr>
      <w:tr>
        <w:trPr>
          <w:trHeight w:val="45"/>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0"/>
        </w:trPr>
        <w:tc>
          <w:tcPr>
            <w:tcW w:w="10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3656330</wp:posOffset>
                </wp:positionH>
                <wp:positionV relativeFrom="paragraph">
                  <wp:posOffset>-644525</wp:posOffset>
                </wp:positionV>
                <wp:extent cx="95250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9pt,-50.7499pt" to="362.9pt,-50.7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4646930</wp:posOffset>
                </wp:positionH>
                <wp:positionV relativeFrom="paragraph">
                  <wp:posOffset>-644525</wp:posOffset>
                </wp:positionV>
                <wp:extent cx="95250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9pt,-50.7499pt" to="440.9pt,-50.7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3656330</wp:posOffset>
                </wp:positionH>
                <wp:positionV relativeFrom="paragraph">
                  <wp:posOffset>-231140</wp:posOffset>
                </wp:positionV>
                <wp:extent cx="95250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9pt,-18.1999pt" to="362.9pt,-18.1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4646930</wp:posOffset>
                </wp:positionH>
                <wp:positionV relativeFrom="paragraph">
                  <wp:posOffset>-231140</wp:posOffset>
                </wp:positionV>
                <wp:extent cx="952500"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9pt,-18.1999pt" to="440.9pt,-18.1999pt" o:allowincell="f" strokecolor="#FFFFFF" strokeweight="0.14pt"/>
            </w:pict>
          </mc:Fallback>
        </mc:AlternateContent>
      </w:r>
    </w:p>
    <w:p>
      <w:pPr>
        <w:spacing w:after="0" w:line="177" w:lineRule="exact"/>
        <w:rPr>
          <w:sz w:val="20"/>
          <w:szCs w:val="20"/>
          <w:color w:val="auto"/>
        </w:rPr>
      </w:pPr>
    </w:p>
    <w:p>
      <w:pPr>
        <w:ind w:right="240" w:firstLine="720"/>
        <w:spacing w:after="0" w:line="282" w:lineRule="auto"/>
        <w:rPr>
          <w:sz w:val="20"/>
          <w:szCs w:val="20"/>
          <w:color w:val="auto"/>
        </w:rPr>
      </w:pPr>
      <w:r>
        <w:rPr>
          <w:rFonts w:ascii="Times New Roman" w:cs="Times New Roman" w:eastAsia="Times New Roman" w:hAnsi="Times New Roman"/>
          <w:sz w:val="20"/>
          <w:szCs w:val="20"/>
          <w:color w:val="auto"/>
        </w:rPr>
        <w:t>Depreciation expense related to property and equipment was $23.6 million, $16.1 million, and $13.3 million for the years ended December 31, 2025, 2024, and 2023, respectively.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Intangible Assets, Net</w:t>
      </w:r>
    </w:p>
    <w:p>
      <w:pPr>
        <w:spacing w:after="0" w:line="1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Intangible assets, net consisted of the following:</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8"/>
        </w:trPr>
        <w:tc>
          <w:tcPr>
            <w:tcW w:w="34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9"/>
        </w:trPr>
        <w:tc>
          <w:tcPr>
            <w:tcW w:w="3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gridSpan w:val="7"/>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7"/>
              </w:rPr>
              <w:t>December 31, 2025</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860" w:type="dxa"/>
            <w:vAlign w:val="bottom"/>
          </w:tcPr>
          <w:p>
            <w:pPr>
              <w:spacing w:after="0"/>
              <w:rPr>
                <w:sz w:val="19"/>
                <w:szCs w:val="19"/>
                <w:color w:val="auto"/>
              </w:rPr>
            </w:pPr>
          </w:p>
        </w:tc>
      </w:tr>
      <w:tr>
        <w:trPr>
          <w:trHeight w:val="38"/>
        </w:trPr>
        <w:tc>
          <w:tcPr>
            <w:tcW w:w="34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79"/>
        </w:trPr>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9"/>
        </w:trPr>
        <w:tc>
          <w:tcPr>
            <w:tcW w:w="3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10"/>
        </w:trPr>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6"/>
              </w:rPr>
              <w:t>Gross Assets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46"/>
              <w:spacing w:after="0"/>
              <w:rPr>
                <w:sz w:val="20"/>
                <w:szCs w:val="20"/>
                <w:color w:val="auto"/>
              </w:rPr>
            </w:pPr>
            <w:r>
              <w:rPr>
                <w:rFonts w:ascii="Times New Roman" w:cs="Times New Roman" w:eastAsia="Times New Roman" w:hAnsi="Times New Roman"/>
                <w:sz w:val="16"/>
                <w:szCs w:val="16"/>
                <w:b w:val="1"/>
                <w:bCs w:val="1"/>
                <w:color w:val="auto"/>
                <w:w w:val="96"/>
              </w:rPr>
              <w:t>Net Assets</w:t>
            </w:r>
          </w:p>
        </w:tc>
        <w:tc>
          <w:tcPr>
            <w:tcW w:w="6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6"/>
              </w:rPr>
              <w:t>Gross Assets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6"/>
              </w:rPr>
              <w:t>Net Assets</w:t>
            </w:r>
          </w:p>
        </w:tc>
      </w:tr>
      <w:tr>
        <w:trPr>
          <w:trHeight w:val="38"/>
        </w:trPr>
        <w:tc>
          <w:tcPr>
            <w:tcW w:w="34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305"/>
        </w:trPr>
        <w:tc>
          <w:tcPr>
            <w:tcW w:w="350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Developed technology</w:t>
            </w:r>
          </w:p>
        </w:tc>
        <w:tc>
          <w:tcPr>
            <w:tcW w:w="22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166,200</w:t>
            </w:r>
          </w:p>
        </w:tc>
        <w:tc>
          <w:tcPr>
            <w:tcW w:w="6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gridSpan w:val="2"/>
            <w:shd w:val="clear" w:color="auto" w:fill="DDDDDD"/>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(24,534)</w:t>
            </w:r>
          </w:p>
        </w:tc>
        <w:tc>
          <w:tcPr>
            <w:tcW w:w="220" w:type="dxa"/>
            <w:vAlign w:val="bottom"/>
            <w:tcBorders>
              <w:bottom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141,666</w:t>
            </w:r>
          </w:p>
        </w:tc>
        <w:tc>
          <w:tcPr>
            <w:tcW w:w="280" w:type="dxa"/>
            <w:vAlign w:val="bottom"/>
            <w:tcBorders>
              <w:bottom w:val="single" w:sz="8" w:color="DDDDDD"/>
            </w:tcBorders>
            <w:gridSpan w:val="2"/>
            <w:shd w:val="clear" w:color="auto" w:fill="DDDDDD"/>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96,700</w:t>
            </w:r>
          </w:p>
        </w:tc>
        <w:tc>
          <w:tcPr>
            <w:tcW w:w="380" w:type="dxa"/>
            <w:vAlign w:val="bottom"/>
            <w:tcBorders>
              <w:bottom w:val="single" w:sz="8" w:color="DDDDDD"/>
            </w:tcBorders>
            <w:gridSpan w:val="4"/>
            <w:shd w:val="clear" w:color="auto" w:fill="DDDDDD"/>
          </w:tcPr>
          <w:p>
            <w:pPr>
              <w:ind w:left="20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(10,575)</w:t>
            </w:r>
          </w:p>
        </w:tc>
        <w:tc>
          <w:tcPr>
            <w:tcW w:w="22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86,125</w:t>
            </w:r>
          </w:p>
        </w:tc>
      </w:tr>
      <w:tr>
        <w:trPr>
          <w:trHeight w:val="282"/>
        </w:trPr>
        <w:tc>
          <w:tcPr>
            <w:tcW w:w="3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Contract based royalty asset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2,827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4,302</w:t>
            </w:r>
          </w:p>
        </w:tc>
      </w:tr>
      <w:tr>
        <w:trPr>
          <w:trHeight w:val="42"/>
        </w:trPr>
        <w:tc>
          <w:tcPr>
            <w:tcW w:w="34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305"/>
        </w:trPr>
        <w:tc>
          <w:tcPr>
            <w:tcW w:w="350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Internal use software</w:t>
            </w:r>
          </w:p>
        </w:tc>
        <w:tc>
          <w:tcPr>
            <w:tcW w:w="220" w:type="dxa"/>
            <w:vAlign w:val="bottom"/>
            <w:tcBorders>
              <w:bottom w:val="single" w:sz="8" w:color="DDDDDD"/>
            </w:tcBorders>
            <w:shd w:val="clear" w:color="auto" w:fill="DDDDDD"/>
          </w:tcPr>
          <w:p>
            <w:pPr>
              <w:spacing w:after="0"/>
              <w:rPr>
                <w:sz w:val="24"/>
                <w:szCs w:val="24"/>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60" w:type="dxa"/>
            <w:vAlign w:val="bottom"/>
            <w:tcBorders>
              <w:bottom w:val="single" w:sz="8" w:color="DDDDDD"/>
            </w:tcBorders>
            <w:shd w:val="clear" w:color="auto" w:fill="DDDDDD"/>
          </w:tcPr>
          <w:p>
            <w:pPr>
              <w:spacing w:after="0"/>
              <w:rPr>
                <w:sz w:val="24"/>
                <w:szCs w:val="24"/>
                <w:color w:val="auto"/>
              </w:rPr>
            </w:pPr>
          </w:p>
        </w:tc>
        <w:tc>
          <w:tcPr>
            <w:tcW w:w="7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8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DDDDDD"/>
            </w:tcBorders>
            <w:shd w:val="clear" w:color="auto" w:fill="DDDDDD"/>
          </w:tcPr>
          <w:p>
            <w:pPr>
              <w:spacing w:after="0"/>
              <w:rPr>
                <w:sz w:val="24"/>
                <w:szCs w:val="24"/>
                <w:color w:val="auto"/>
              </w:rPr>
            </w:pPr>
          </w:p>
        </w:tc>
        <w:tc>
          <w:tcPr>
            <w:tcW w:w="7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9,434</w:t>
            </w:r>
          </w:p>
        </w:tc>
        <w:tc>
          <w:tcPr>
            <w:tcW w:w="8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DDDDDD"/>
            </w:tcBorders>
            <w:shd w:val="clear" w:color="auto" w:fill="DDDDDD"/>
          </w:tcPr>
          <w:p>
            <w:pPr>
              <w:spacing w:after="0"/>
              <w:rPr>
                <w:sz w:val="24"/>
                <w:szCs w:val="24"/>
                <w:color w:val="auto"/>
              </w:rPr>
            </w:pPr>
          </w:p>
        </w:tc>
        <w:tc>
          <w:tcPr>
            <w:tcW w:w="7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(9,434)</w:t>
            </w:r>
          </w:p>
        </w:tc>
        <w:tc>
          <w:tcPr>
            <w:tcW w:w="6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2"/>
        </w:trPr>
        <w:tc>
          <w:tcPr>
            <w:tcW w:w="3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Purchased software</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15,551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(11,920)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3,631</w:t>
            </w:r>
          </w:p>
        </w:tc>
      </w:tr>
      <w:tr>
        <w:trPr>
          <w:trHeight w:val="68"/>
        </w:trPr>
        <w:tc>
          <w:tcPr>
            <w:tcW w:w="3480" w:type="dxa"/>
            <w:vAlign w:val="bottom"/>
            <w:tcBorders>
              <w:bottom w:val="single" w:sz="8" w:color="DDDDDD"/>
            </w:tcBorders>
          </w:tcPr>
          <w:p>
            <w:pPr>
              <w:spacing w:after="0"/>
              <w:rPr>
                <w:sz w:val="5"/>
                <w:szCs w:val="5"/>
                <w:color w:val="auto"/>
              </w:rPr>
            </w:pPr>
          </w:p>
        </w:tc>
        <w:tc>
          <w:tcPr>
            <w:tcW w:w="20" w:type="dxa"/>
            <w:vAlign w:val="bottom"/>
            <w:tcBorders>
              <w:bottom w:val="single" w:sz="8" w:color="DDDDDD"/>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DDDDDD"/>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Borders>
              <w:bottom w:val="single" w:sz="8" w:color="DDDDDD"/>
            </w:tcBorders>
          </w:tcPr>
          <w:p>
            <w:pPr>
              <w:spacing w:after="0"/>
              <w:rPr>
                <w:sz w:val="5"/>
                <w:szCs w:val="5"/>
                <w:color w:val="auto"/>
              </w:rPr>
            </w:pPr>
          </w:p>
        </w:tc>
        <w:tc>
          <w:tcPr>
            <w:tcW w:w="20" w:type="dxa"/>
            <w:vAlign w:val="bottom"/>
            <w:tcBorders>
              <w:bottom w:val="single" w:sz="8" w:color="DDDDDD"/>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Borders>
              <w:bottom w:val="single" w:sz="8" w:color="DDDDDD"/>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DDDDDD"/>
            </w:tcBorders>
          </w:tcPr>
          <w:p>
            <w:pPr>
              <w:spacing w:after="0"/>
              <w:rPr>
                <w:sz w:val="5"/>
                <w:szCs w:val="5"/>
                <w:color w:val="auto"/>
              </w:rPr>
            </w:pPr>
          </w:p>
        </w:tc>
        <w:tc>
          <w:tcPr>
            <w:tcW w:w="20" w:type="dxa"/>
            <w:vAlign w:val="bottom"/>
            <w:tcBorders>
              <w:bottom w:val="single" w:sz="8" w:color="DDDDDD"/>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DDDDDD"/>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65"/>
        </w:trPr>
        <w:tc>
          <w:tcPr>
            <w:tcW w:w="3500" w:type="dxa"/>
            <w:vAlign w:val="bottom"/>
            <w:tcBorders>
              <w:top w:val="single" w:sz="8" w:color="DDDDDD"/>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color w:val="auto"/>
              </w:rPr>
              <w:t>Total amortizable intangible assets</w:t>
            </w:r>
          </w:p>
        </w:tc>
        <w:tc>
          <w:tcPr>
            <w:tcW w:w="220" w:type="dxa"/>
            <w:vAlign w:val="bottom"/>
            <w:tcBorders>
              <w:top w:val="single" w:sz="8" w:color="DDDDDD"/>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175,554</w:t>
            </w:r>
          </w:p>
        </w:tc>
        <w:tc>
          <w:tcPr>
            <w:tcW w:w="60" w:type="dxa"/>
            <w:vAlign w:val="bottom"/>
            <w:tcBorders>
              <w:top w:val="single" w:sz="8" w:color="DDDDDD"/>
              <w:bottom w:val="single" w:sz="8" w:color="DDDDDD"/>
            </w:tcBorders>
            <w:shd w:val="clear" w:color="auto" w:fill="DDDDDD"/>
          </w:tcPr>
          <w:p>
            <w:pPr>
              <w:spacing w:after="0"/>
              <w:rPr>
                <w:sz w:val="23"/>
                <w:szCs w:val="23"/>
                <w:color w:val="auto"/>
              </w:rPr>
            </w:pPr>
          </w:p>
        </w:tc>
        <w:tc>
          <w:tcPr>
            <w:tcW w:w="60" w:type="dxa"/>
            <w:vAlign w:val="bottom"/>
            <w:tcBorders>
              <w:top w:val="single" w:sz="8" w:color="DDDDDD"/>
              <w:bottom w:val="single" w:sz="8" w:color="DDDDDD"/>
            </w:tcBorders>
            <w:shd w:val="clear" w:color="auto" w:fill="DDDDDD"/>
          </w:tcPr>
          <w:p>
            <w:pPr>
              <w:spacing w:after="0"/>
              <w:rPr>
                <w:sz w:val="23"/>
                <w:szCs w:val="23"/>
                <w:color w:val="auto"/>
              </w:rPr>
            </w:pPr>
          </w:p>
        </w:tc>
        <w:tc>
          <w:tcPr>
            <w:tcW w:w="260" w:type="dxa"/>
            <w:vAlign w:val="bottom"/>
            <w:tcBorders>
              <w:top w:val="single" w:sz="8" w:color="DDDDDD"/>
              <w:bottom w:val="single" w:sz="8" w:color="DDDDDD"/>
            </w:tcBorders>
            <w:shd w:val="clear" w:color="auto" w:fill="DDDDDD"/>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(28,188)</w:t>
            </w:r>
          </w:p>
        </w:tc>
        <w:tc>
          <w:tcPr>
            <w:tcW w:w="220" w:type="dxa"/>
            <w:vAlign w:val="bottom"/>
            <w:tcBorders>
              <w:top w:val="single" w:sz="8" w:color="DDDDDD"/>
              <w:bottom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147,366</w:t>
            </w:r>
          </w:p>
        </w:tc>
        <w:tc>
          <w:tcPr>
            <w:tcW w:w="60" w:type="dxa"/>
            <w:vAlign w:val="bottom"/>
            <w:tcBorders>
              <w:top w:val="single" w:sz="8" w:color="DDDDDD"/>
              <w:bottom w:val="single" w:sz="8" w:color="DDDDDD"/>
            </w:tcBorders>
            <w:shd w:val="clear" w:color="auto" w:fill="DDDDDD"/>
          </w:tcPr>
          <w:p>
            <w:pPr>
              <w:spacing w:after="0"/>
              <w:rPr>
                <w:sz w:val="23"/>
                <w:szCs w:val="23"/>
                <w:color w:val="auto"/>
              </w:rPr>
            </w:pPr>
          </w:p>
        </w:tc>
        <w:tc>
          <w:tcPr>
            <w:tcW w:w="220" w:type="dxa"/>
            <w:vAlign w:val="bottom"/>
            <w:tcBorders>
              <w:top w:val="single" w:sz="8" w:color="DDDDDD"/>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127,585</w:t>
            </w:r>
          </w:p>
        </w:tc>
        <w:tc>
          <w:tcPr>
            <w:tcW w:w="80" w:type="dxa"/>
            <w:vAlign w:val="bottom"/>
            <w:tcBorders>
              <w:top w:val="single" w:sz="8" w:color="DDDDDD"/>
              <w:bottom w:val="single" w:sz="8" w:color="DDDDDD"/>
            </w:tcBorders>
            <w:shd w:val="clear" w:color="auto" w:fill="DDDDDD"/>
          </w:tcPr>
          <w:p>
            <w:pPr>
              <w:spacing w:after="0"/>
              <w:rPr>
                <w:sz w:val="23"/>
                <w:szCs w:val="23"/>
                <w:color w:val="auto"/>
              </w:rPr>
            </w:pPr>
          </w:p>
        </w:tc>
        <w:tc>
          <w:tcPr>
            <w:tcW w:w="40" w:type="dxa"/>
            <w:vAlign w:val="bottom"/>
            <w:tcBorders>
              <w:top w:val="single" w:sz="8" w:color="DDDDDD"/>
              <w:bottom w:val="single" w:sz="8" w:color="DDDDDD"/>
            </w:tcBorders>
            <w:shd w:val="clear" w:color="auto" w:fill="DDDDDD"/>
          </w:tcPr>
          <w:p>
            <w:pPr>
              <w:spacing w:after="0"/>
              <w:rPr>
                <w:sz w:val="23"/>
                <w:szCs w:val="23"/>
                <w:color w:val="auto"/>
              </w:rPr>
            </w:pPr>
          </w:p>
        </w:tc>
        <w:tc>
          <w:tcPr>
            <w:tcW w:w="20" w:type="dxa"/>
            <w:vAlign w:val="bottom"/>
            <w:tcBorders>
              <w:top w:val="single" w:sz="8" w:color="DDDDDD"/>
              <w:bottom w:val="single" w:sz="8" w:color="DDDDDD"/>
            </w:tcBorders>
            <w:shd w:val="clear" w:color="auto" w:fill="DDDDDD"/>
          </w:tcPr>
          <w:p>
            <w:pPr>
              <w:spacing w:after="0"/>
              <w:rPr>
                <w:sz w:val="23"/>
                <w:szCs w:val="23"/>
                <w:color w:val="auto"/>
              </w:rPr>
            </w:pPr>
          </w:p>
        </w:tc>
        <w:tc>
          <w:tcPr>
            <w:tcW w:w="240" w:type="dxa"/>
            <w:vAlign w:val="bottom"/>
            <w:tcBorders>
              <w:top w:val="single" w:sz="8" w:color="DDDDDD"/>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(33,527)</w:t>
            </w:r>
          </w:p>
        </w:tc>
        <w:tc>
          <w:tcPr>
            <w:tcW w:w="220" w:type="dxa"/>
            <w:vAlign w:val="bottom"/>
            <w:tcBorders>
              <w:top w:val="single" w:sz="8" w:color="DDDDDD"/>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94,058</w:t>
            </w:r>
          </w:p>
        </w:tc>
      </w:tr>
      <w:tr>
        <w:trPr>
          <w:trHeight w:val="282"/>
        </w:trPr>
        <w:tc>
          <w:tcPr>
            <w:tcW w:w="3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In-process research and development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69,500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69,500</w:t>
            </w:r>
          </w:p>
        </w:tc>
      </w:tr>
      <w:tr>
        <w:trPr>
          <w:trHeight w:val="68"/>
        </w:trPr>
        <w:tc>
          <w:tcPr>
            <w:tcW w:w="3480" w:type="dxa"/>
            <w:vAlign w:val="bottom"/>
            <w:tcBorders>
              <w:bottom w:val="single" w:sz="8" w:color="DDDDDD"/>
            </w:tcBorders>
          </w:tcPr>
          <w:p>
            <w:pPr>
              <w:spacing w:after="0"/>
              <w:rPr>
                <w:sz w:val="5"/>
                <w:szCs w:val="5"/>
                <w:color w:val="auto"/>
              </w:rPr>
            </w:pPr>
          </w:p>
        </w:tc>
        <w:tc>
          <w:tcPr>
            <w:tcW w:w="20" w:type="dxa"/>
            <w:vAlign w:val="bottom"/>
            <w:tcBorders>
              <w:bottom w:val="single" w:sz="8" w:color="DDDDDD"/>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DDDDDD"/>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Borders>
              <w:bottom w:val="single" w:sz="8" w:color="DDDDDD"/>
            </w:tcBorders>
          </w:tcPr>
          <w:p>
            <w:pPr>
              <w:spacing w:after="0"/>
              <w:rPr>
                <w:sz w:val="5"/>
                <w:szCs w:val="5"/>
                <w:color w:val="auto"/>
              </w:rPr>
            </w:pPr>
          </w:p>
        </w:tc>
        <w:tc>
          <w:tcPr>
            <w:tcW w:w="20" w:type="dxa"/>
            <w:vAlign w:val="bottom"/>
            <w:tcBorders>
              <w:bottom w:val="single" w:sz="8" w:color="DDDDDD"/>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60" w:type="dxa"/>
            <w:vAlign w:val="bottom"/>
            <w:tcBorders>
              <w:bottom w:val="single" w:sz="8" w:color="DDDDDD"/>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DDDDDD"/>
            </w:tcBorders>
          </w:tcPr>
          <w:p>
            <w:pPr>
              <w:spacing w:after="0"/>
              <w:rPr>
                <w:sz w:val="5"/>
                <w:szCs w:val="5"/>
                <w:color w:val="auto"/>
              </w:rPr>
            </w:pPr>
          </w:p>
        </w:tc>
        <w:tc>
          <w:tcPr>
            <w:tcW w:w="20" w:type="dxa"/>
            <w:vAlign w:val="bottom"/>
            <w:tcBorders>
              <w:bottom w:val="single" w:sz="8" w:color="DDDDDD"/>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DDDDDD"/>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87"/>
        </w:trPr>
        <w:tc>
          <w:tcPr>
            <w:tcW w:w="3500" w:type="dxa"/>
            <w:vAlign w:val="bottom"/>
            <w:tcBorders>
              <w:top w:val="single" w:sz="8" w:color="DDDDDD"/>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b w:val="1"/>
                <w:bCs w:val="1"/>
                <w:color w:val="auto"/>
              </w:rPr>
              <w:t>Total intangible assets</w:t>
            </w:r>
          </w:p>
        </w:tc>
        <w:tc>
          <w:tcPr>
            <w:tcW w:w="220" w:type="dxa"/>
            <w:vAlign w:val="bottom"/>
            <w:tcBorders>
              <w:top w:val="single" w:sz="8" w:color="DDDDDD"/>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175,554</w:t>
            </w:r>
          </w:p>
        </w:tc>
        <w:tc>
          <w:tcPr>
            <w:tcW w:w="60" w:type="dxa"/>
            <w:vAlign w:val="bottom"/>
            <w:tcBorders>
              <w:top w:val="single" w:sz="8" w:color="DDDDDD"/>
              <w:bottom w:val="single" w:sz="8" w:color="DDDDDD"/>
            </w:tcBorders>
            <w:shd w:val="clear" w:color="auto" w:fill="DDDDDD"/>
          </w:tcPr>
          <w:p>
            <w:pPr>
              <w:spacing w:after="0"/>
              <w:rPr>
                <w:sz w:val="24"/>
                <w:szCs w:val="24"/>
                <w:color w:val="auto"/>
              </w:rPr>
            </w:pPr>
          </w:p>
        </w:tc>
        <w:tc>
          <w:tcPr>
            <w:tcW w:w="60" w:type="dxa"/>
            <w:vAlign w:val="bottom"/>
            <w:tcBorders>
              <w:top w:val="single" w:sz="8" w:color="DDDDDD"/>
              <w:bottom w:val="single" w:sz="8" w:color="DDDDDD"/>
            </w:tcBorders>
            <w:shd w:val="clear" w:color="auto" w:fill="DDDDDD"/>
          </w:tcPr>
          <w:p>
            <w:pPr>
              <w:spacing w:after="0"/>
              <w:rPr>
                <w:sz w:val="24"/>
                <w:szCs w:val="24"/>
                <w:color w:val="auto"/>
              </w:rPr>
            </w:pPr>
          </w:p>
        </w:tc>
        <w:tc>
          <w:tcPr>
            <w:tcW w:w="260" w:type="dxa"/>
            <w:vAlign w:val="bottom"/>
            <w:tcBorders>
              <w:top w:val="single" w:sz="8" w:color="DDDDDD"/>
              <w:bottom w:val="single" w:sz="8" w:color="DDDDDD"/>
            </w:tcBorders>
            <w:shd w:val="clear" w:color="auto" w:fill="DDDDDD"/>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(28,188)</w:t>
            </w:r>
          </w:p>
        </w:tc>
        <w:tc>
          <w:tcPr>
            <w:tcW w:w="220" w:type="dxa"/>
            <w:vAlign w:val="bottom"/>
            <w:tcBorders>
              <w:top w:val="single" w:sz="8" w:color="DDDDDD"/>
              <w:bottom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147,366</w:t>
            </w:r>
          </w:p>
        </w:tc>
        <w:tc>
          <w:tcPr>
            <w:tcW w:w="60" w:type="dxa"/>
            <w:vAlign w:val="bottom"/>
            <w:tcBorders>
              <w:top w:val="single" w:sz="8" w:color="DDDDDD"/>
              <w:bottom w:val="single" w:sz="8" w:color="DDDDDD"/>
            </w:tcBorders>
            <w:shd w:val="clear" w:color="auto" w:fill="DDDDDD"/>
          </w:tcPr>
          <w:p>
            <w:pPr>
              <w:spacing w:after="0"/>
              <w:rPr>
                <w:sz w:val="24"/>
                <w:szCs w:val="24"/>
                <w:color w:val="auto"/>
              </w:rPr>
            </w:pPr>
          </w:p>
        </w:tc>
        <w:tc>
          <w:tcPr>
            <w:tcW w:w="220" w:type="dxa"/>
            <w:vAlign w:val="bottom"/>
            <w:tcBorders>
              <w:top w:val="single" w:sz="8" w:color="DDDDDD"/>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197,085</w:t>
            </w:r>
          </w:p>
        </w:tc>
        <w:tc>
          <w:tcPr>
            <w:tcW w:w="80" w:type="dxa"/>
            <w:vAlign w:val="bottom"/>
            <w:tcBorders>
              <w:top w:val="single" w:sz="8" w:color="DDDDDD"/>
              <w:bottom w:val="single" w:sz="8" w:color="DDDDDD"/>
            </w:tcBorders>
            <w:shd w:val="clear" w:color="auto" w:fill="DDDDDD"/>
          </w:tcPr>
          <w:p>
            <w:pPr>
              <w:spacing w:after="0"/>
              <w:rPr>
                <w:sz w:val="24"/>
                <w:szCs w:val="24"/>
                <w:color w:val="auto"/>
              </w:rPr>
            </w:pPr>
          </w:p>
        </w:tc>
        <w:tc>
          <w:tcPr>
            <w:tcW w:w="40" w:type="dxa"/>
            <w:vAlign w:val="bottom"/>
            <w:tcBorders>
              <w:top w:val="single" w:sz="8" w:color="DDDDDD"/>
              <w:bottom w:val="single" w:sz="8" w:color="DDDDDD"/>
            </w:tcBorders>
            <w:shd w:val="clear" w:color="auto" w:fill="DDDDDD"/>
          </w:tcPr>
          <w:p>
            <w:pPr>
              <w:spacing w:after="0"/>
              <w:rPr>
                <w:sz w:val="24"/>
                <w:szCs w:val="24"/>
                <w:color w:val="auto"/>
              </w:rPr>
            </w:pPr>
          </w:p>
        </w:tc>
        <w:tc>
          <w:tcPr>
            <w:tcW w:w="20" w:type="dxa"/>
            <w:vAlign w:val="bottom"/>
            <w:tcBorders>
              <w:top w:val="single" w:sz="8" w:color="DDDDDD"/>
              <w:bottom w:val="single" w:sz="8" w:color="DDDDDD"/>
            </w:tcBorders>
            <w:shd w:val="clear" w:color="auto" w:fill="DDDDDD"/>
          </w:tcPr>
          <w:p>
            <w:pPr>
              <w:spacing w:after="0"/>
              <w:rPr>
                <w:sz w:val="24"/>
                <w:szCs w:val="24"/>
                <w:color w:val="auto"/>
              </w:rPr>
            </w:pPr>
          </w:p>
        </w:tc>
        <w:tc>
          <w:tcPr>
            <w:tcW w:w="240" w:type="dxa"/>
            <w:vAlign w:val="bottom"/>
            <w:tcBorders>
              <w:top w:val="single" w:sz="8" w:color="DDDDDD"/>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(33,527)</w:t>
            </w:r>
          </w:p>
        </w:tc>
        <w:tc>
          <w:tcPr>
            <w:tcW w:w="220" w:type="dxa"/>
            <w:vAlign w:val="bottom"/>
            <w:tcBorders>
              <w:top w:val="single" w:sz="8" w:color="DDDDDD"/>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DDDDDD"/>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163,558</w:t>
            </w:r>
          </w:p>
        </w:tc>
      </w:tr>
      <w:tr>
        <w:trPr>
          <w:trHeight w:val="20"/>
        </w:trPr>
        <w:tc>
          <w:tcPr>
            <w:tcW w:w="3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ind w:right="80" w:firstLine="720"/>
        <w:spacing w:after="0" w:line="282" w:lineRule="auto"/>
        <w:rPr>
          <w:sz w:val="20"/>
          <w:szCs w:val="20"/>
          <w:color w:val="auto"/>
        </w:rPr>
      </w:pPr>
      <w:r>
        <w:rPr>
          <w:rFonts w:ascii="Times New Roman" w:cs="Times New Roman" w:eastAsia="Times New Roman" w:hAnsi="Times New Roman"/>
          <w:sz w:val="20"/>
          <w:szCs w:val="20"/>
          <w:color w:val="auto"/>
        </w:rPr>
        <w:t>Amortization expense for intangible assets was $16.6 million, $14.0 million, and $2.9 million, for the years ended December 31, 2025, 2024, and 2023, respectively.</w:t>
      </w:r>
    </w:p>
    <w:p>
      <w:pPr>
        <w:sectPr>
          <w:pgSz w:w="12240" w:h="15840" w:orient="portrait"/>
          <w:cols w:equalWidth="0" w:num="1">
            <w:col w:w="9900"/>
          </w:cols>
          <w:pgMar w:left="1180" w:top="852" w:right="1160"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900"/>
          </w:cols>
          <w:pgMar w:left="1180" w:top="852" w:right="1160" w:bottom="0" w:gutter="0" w:footer="0" w:header="0"/>
          <w:type w:val="continuous"/>
        </w:sectPr>
      </w:pPr>
    </w:p>
    <w:bookmarkStart w:id="78" w:name="page79"/>
    <w:bookmarkEnd w:id="78"/>
    <w:p>
      <w:pPr>
        <w:ind w:left="720"/>
        <w:spacing w:after="0"/>
        <w:rPr>
          <w:sz w:val="20"/>
          <w:szCs w:val="20"/>
          <w:color w:val="auto"/>
        </w:rPr>
      </w:pPr>
      <w:r>
        <w:rPr>
          <w:rFonts w:ascii="Times New Roman" w:cs="Times New Roman" w:eastAsia="Times New Roman" w:hAnsi="Times New Roman"/>
          <w:sz w:val="20"/>
          <w:szCs w:val="20"/>
          <w:color w:val="auto"/>
        </w:rPr>
        <w:t>The estimated aggregate future amortization expense for intangible assets and subject to amortization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is summarized as below:</w:t>
      </w:r>
    </w:p>
    <w:p>
      <w:pPr>
        <w:spacing w:after="0" w:line="181" w:lineRule="exact"/>
        <w:rPr>
          <w:sz w:val="20"/>
          <w:szCs w:val="20"/>
          <w:color w:val="auto"/>
        </w:rPr>
      </w:pPr>
    </w:p>
    <w:tbl>
      <w:tblPr>
        <w:tblLayout w:type="fixed"/>
        <w:tblInd w:w="214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r>
      <w:tr>
        <w:trPr>
          <w:trHeight w:val="38"/>
        </w:trPr>
        <w:tc>
          <w:tcPr>
            <w:tcW w:w="4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05"/>
        </w:trPr>
        <w:tc>
          <w:tcPr>
            <w:tcW w:w="42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23,859</w:t>
            </w:r>
          </w:p>
        </w:tc>
      </w:tr>
      <w:tr>
        <w:trPr>
          <w:trHeight w:val="282"/>
        </w:trPr>
        <w:tc>
          <w:tcPr>
            <w:tcW w:w="4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23,487</w:t>
            </w:r>
          </w:p>
        </w:tc>
      </w:tr>
      <w:tr>
        <w:trPr>
          <w:trHeight w:val="43"/>
        </w:trPr>
        <w:tc>
          <w:tcPr>
            <w:tcW w:w="4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04"/>
        </w:trPr>
        <w:tc>
          <w:tcPr>
            <w:tcW w:w="42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21,720</w:t>
            </w:r>
          </w:p>
        </w:tc>
      </w:tr>
      <w:tr>
        <w:trPr>
          <w:trHeight w:val="282"/>
        </w:trPr>
        <w:tc>
          <w:tcPr>
            <w:tcW w:w="42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19,850</w:t>
            </w:r>
          </w:p>
        </w:tc>
      </w:tr>
      <w:tr>
        <w:trPr>
          <w:trHeight w:val="43"/>
        </w:trPr>
        <w:tc>
          <w:tcPr>
            <w:tcW w:w="4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05"/>
        </w:trPr>
        <w:tc>
          <w:tcPr>
            <w:tcW w:w="42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2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19,799</w:t>
            </w:r>
          </w:p>
        </w:tc>
      </w:tr>
      <w:tr>
        <w:trPr>
          <w:trHeight w:val="282"/>
        </w:trPr>
        <w:tc>
          <w:tcPr>
            <w:tcW w:w="43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2031 and beyond</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38,651</w:t>
            </w:r>
          </w:p>
        </w:tc>
      </w:tr>
      <w:tr>
        <w:trPr>
          <w:trHeight w:val="43"/>
        </w:trPr>
        <w:tc>
          <w:tcPr>
            <w:tcW w:w="428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307"/>
        </w:trPr>
        <w:tc>
          <w:tcPr>
            <w:tcW w:w="428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147,366</w:t>
            </w:r>
          </w:p>
        </w:tc>
      </w:tr>
      <w:tr>
        <w:trPr>
          <w:trHeight w:val="20"/>
        </w:trPr>
        <w:tc>
          <w:tcPr>
            <w:tcW w:w="42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Accrued Expenses and Other Current Liabilities</w:t>
      </w:r>
    </w:p>
    <w:p>
      <w:pPr>
        <w:spacing w:after="0" w:line="1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Accrued expenses and other current liabilities consisted of the following:</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20" w:type="dxa"/>
            <w:vAlign w:val="bottom"/>
            <w:gridSpan w:val="5"/>
          </w:tcPr>
          <w:p>
            <w:pPr>
              <w:jc w:val="center"/>
              <w:ind w:left="245"/>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840" w:type="dxa"/>
            <w:vAlign w:val="bottom"/>
          </w:tcPr>
          <w:p>
            <w:pPr>
              <w:spacing w:after="0"/>
              <w:rPr>
                <w:sz w:val="18"/>
                <w:szCs w:val="18"/>
                <w:color w:val="auto"/>
              </w:rPr>
            </w:pPr>
          </w:p>
        </w:tc>
      </w:tr>
      <w:tr>
        <w:trPr>
          <w:trHeight w:val="38"/>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r>
      <w:tr>
        <w:trPr>
          <w:trHeight w:val="219"/>
        </w:trPr>
        <w:tc>
          <w:tcPr>
            <w:tcW w:w="10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8"/>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79"/>
        </w:trPr>
        <w:tc>
          <w:tcPr>
            <w:tcW w:w="10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gridSpan w:val="5"/>
          </w:tcPr>
          <w:p>
            <w:pPr>
              <w:jc w:val="center"/>
              <w:ind w:left="245"/>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40" w:type="dxa"/>
            <w:vAlign w:val="bottom"/>
          </w:tcPr>
          <w:p>
            <w:pPr>
              <w:spacing w:after="0"/>
              <w:rPr>
                <w:sz w:val="24"/>
                <w:szCs w:val="24"/>
                <w:color w:val="auto"/>
              </w:rPr>
            </w:pPr>
          </w:p>
        </w:tc>
      </w:tr>
      <w:tr>
        <w:trPr>
          <w:trHeight w:val="38"/>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04"/>
        </w:trPr>
        <w:tc>
          <w:tcPr>
            <w:tcW w:w="1060" w:type="dxa"/>
            <w:vAlign w:val="bottom"/>
          </w:tcPr>
          <w:p>
            <w:pPr>
              <w:spacing w:after="0"/>
              <w:rPr>
                <w:sz w:val="24"/>
                <w:szCs w:val="24"/>
                <w:color w:val="auto"/>
              </w:rPr>
            </w:pPr>
          </w:p>
        </w:tc>
        <w:tc>
          <w:tcPr>
            <w:tcW w:w="470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Accrued payroll and related benefits</w:t>
            </w:r>
          </w:p>
        </w:tc>
        <w:tc>
          <w:tcPr>
            <w:tcW w:w="500" w:type="dxa"/>
            <w:vAlign w:val="bottom"/>
            <w:tcBorders>
              <w:bottom w:val="single" w:sz="8" w:color="DDDDDD"/>
            </w:tcBorders>
            <w:shd w:val="clear" w:color="auto" w:fill="DDDDDD"/>
          </w:tcPr>
          <w:p>
            <w:pPr>
              <w:jc w:val="right"/>
              <w:ind w:right="246"/>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14,007</w:t>
            </w:r>
          </w:p>
        </w:tc>
        <w:tc>
          <w:tcPr>
            <w:tcW w:w="20" w:type="dxa"/>
            <w:vAlign w:val="bottom"/>
            <w:tcBorders>
              <w:bottom w:val="single" w:sz="8" w:color="DDDDDD"/>
            </w:tcBorders>
            <w:shd w:val="clear" w:color="auto" w:fill="DDDDDD"/>
          </w:tcPr>
          <w:p>
            <w:pPr>
              <w:spacing w:after="0"/>
              <w:rPr>
                <w:sz w:val="24"/>
                <w:szCs w:val="24"/>
                <w:color w:val="auto"/>
              </w:rPr>
            </w:pPr>
          </w:p>
        </w:tc>
        <w:tc>
          <w:tcPr>
            <w:tcW w:w="720" w:type="dxa"/>
            <w:vAlign w:val="bottom"/>
            <w:tcBorders>
              <w:bottom w:val="single" w:sz="8" w:color="DDDDDD"/>
            </w:tcBorders>
            <w:gridSpan w:val="3"/>
            <w:shd w:val="clear" w:color="auto" w:fill="DDDDDD"/>
          </w:tcPr>
          <w:p>
            <w:pPr>
              <w:jc w:val="right"/>
              <w:ind w:right="408"/>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12,381</w:t>
            </w:r>
          </w:p>
        </w:tc>
      </w:tr>
      <w:tr>
        <w:trPr>
          <w:trHeight w:val="282"/>
        </w:trPr>
        <w:tc>
          <w:tcPr>
            <w:tcW w:w="1060" w:type="dxa"/>
            <w:vAlign w:val="bottom"/>
          </w:tcPr>
          <w:p>
            <w:pPr>
              <w:spacing w:after="0"/>
              <w:rPr>
                <w:sz w:val="24"/>
                <w:szCs w:val="24"/>
                <w:color w:val="auto"/>
              </w:rPr>
            </w:pPr>
          </w:p>
        </w:tc>
        <w:tc>
          <w:tcPr>
            <w:tcW w:w="47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Revenue reserves</w:t>
            </w: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3,673</w:t>
            </w:r>
          </w:p>
        </w:tc>
      </w:tr>
      <w:tr>
        <w:trPr>
          <w:trHeight w:val="43"/>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05"/>
        </w:trPr>
        <w:tc>
          <w:tcPr>
            <w:tcW w:w="1060" w:type="dxa"/>
            <w:vAlign w:val="bottom"/>
          </w:tcPr>
          <w:p>
            <w:pPr>
              <w:spacing w:after="0"/>
              <w:rPr>
                <w:sz w:val="24"/>
                <w:szCs w:val="24"/>
                <w:color w:val="auto"/>
              </w:rPr>
            </w:pPr>
          </w:p>
        </w:tc>
        <w:tc>
          <w:tcPr>
            <w:tcW w:w="470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Sales based earnout liability, current</w:t>
            </w:r>
          </w:p>
        </w:tc>
        <w:tc>
          <w:tcPr>
            <w:tcW w:w="50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35,007</w:t>
            </w:r>
          </w:p>
        </w:tc>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660" w:type="dxa"/>
            <w:vAlign w:val="bottom"/>
            <w:tcBorders>
              <w:bottom w:val="single" w:sz="8" w:color="DDDDDD"/>
            </w:tcBorders>
            <w:shd w:val="clear" w:color="auto" w:fill="DDDDDD"/>
          </w:tcPr>
          <w:p>
            <w:pPr>
              <w:spacing w:after="0"/>
              <w:rPr>
                <w:sz w:val="24"/>
                <w:szCs w:val="24"/>
                <w:color w:val="auto"/>
              </w:rPr>
            </w:pPr>
          </w:p>
        </w:tc>
        <w:tc>
          <w:tcPr>
            <w:tcW w:w="8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23,953</w:t>
            </w:r>
          </w:p>
        </w:tc>
      </w:tr>
      <w:tr>
        <w:trPr>
          <w:trHeight w:val="282"/>
        </w:trPr>
        <w:tc>
          <w:tcPr>
            <w:tcW w:w="1060" w:type="dxa"/>
            <w:vAlign w:val="bottom"/>
          </w:tcPr>
          <w:p>
            <w:pPr>
              <w:spacing w:after="0"/>
              <w:rPr>
                <w:sz w:val="24"/>
                <w:szCs w:val="24"/>
                <w:color w:val="auto"/>
              </w:rPr>
            </w:pPr>
          </w:p>
        </w:tc>
        <w:tc>
          <w:tcPr>
            <w:tcW w:w="47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Acquisition consideration payable, current</w:t>
            </w:r>
          </w:p>
        </w:tc>
        <w:tc>
          <w:tcPr>
            <w:tcW w:w="5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37,760</w:t>
            </w:r>
          </w:p>
        </w:tc>
      </w:tr>
      <w:tr>
        <w:trPr>
          <w:trHeight w:val="43"/>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05"/>
        </w:trPr>
        <w:tc>
          <w:tcPr>
            <w:tcW w:w="1060" w:type="dxa"/>
            <w:vAlign w:val="bottom"/>
          </w:tcPr>
          <w:p>
            <w:pPr>
              <w:spacing w:after="0"/>
              <w:rPr>
                <w:sz w:val="24"/>
                <w:szCs w:val="24"/>
                <w:color w:val="auto"/>
              </w:rPr>
            </w:pPr>
          </w:p>
        </w:tc>
        <w:tc>
          <w:tcPr>
            <w:tcW w:w="470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Short term lease liability</w:t>
            </w:r>
          </w:p>
        </w:tc>
        <w:tc>
          <w:tcPr>
            <w:tcW w:w="50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2,478</w:t>
            </w:r>
          </w:p>
        </w:tc>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660" w:type="dxa"/>
            <w:vAlign w:val="bottom"/>
            <w:tcBorders>
              <w:bottom w:val="single" w:sz="8" w:color="DDDDDD"/>
            </w:tcBorders>
            <w:shd w:val="clear" w:color="auto" w:fill="DDDDDD"/>
          </w:tcPr>
          <w:p>
            <w:pPr>
              <w:spacing w:after="0"/>
              <w:rPr>
                <w:sz w:val="24"/>
                <w:szCs w:val="24"/>
                <w:color w:val="auto"/>
              </w:rPr>
            </w:pPr>
          </w:p>
        </w:tc>
        <w:tc>
          <w:tcPr>
            <w:tcW w:w="8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2,744</w:t>
            </w:r>
          </w:p>
        </w:tc>
      </w:tr>
      <w:tr>
        <w:trPr>
          <w:trHeight w:val="282"/>
        </w:trPr>
        <w:tc>
          <w:tcPr>
            <w:tcW w:w="1060" w:type="dxa"/>
            <w:vAlign w:val="bottom"/>
          </w:tcPr>
          <w:p>
            <w:pPr>
              <w:spacing w:after="0"/>
              <w:rPr>
                <w:sz w:val="24"/>
                <w:szCs w:val="24"/>
                <w:color w:val="auto"/>
              </w:rPr>
            </w:pPr>
          </w:p>
        </w:tc>
        <w:tc>
          <w:tcPr>
            <w:tcW w:w="47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Other accrued expenses</w:t>
            </w: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5,044</w:t>
            </w:r>
          </w:p>
        </w:tc>
      </w:tr>
      <w:tr>
        <w:trPr>
          <w:trHeight w:val="43"/>
        </w:trPr>
        <w:tc>
          <w:tcPr>
            <w:tcW w:w="1060" w:type="dxa"/>
            <w:vAlign w:val="bottom"/>
          </w:tcPr>
          <w:p>
            <w:pPr>
              <w:spacing w:after="0"/>
              <w:rPr>
                <w:sz w:val="3"/>
                <w:szCs w:val="3"/>
                <w:color w:val="auto"/>
              </w:rPr>
            </w:pPr>
          </w:p>
        </w:tc>
        <w:tc>
          <w:tcPr>
            <w:tcW w:w="468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306"/>
        </w:trPr>
        <w:tc>
          <w:tcPr>
            <w:tcW w:w="1060" w:type="dxa"/>
            <w:vAlign w:val="bottom"/>
          </w:tcPr>
          <w:p>
            <w:pPr>
              <w:spacing w:after="0"/>
              <w:rPr>
                <w:sz w:val="24"/>
                <w:szCs w:val="24"/>
                <w:color w:val="auto"/>
              </w:rPr>
            </w:pPr>
          </w:p>
        </w:tc>
        <w:tc>
          <w:tcPr>
            <w:tcW w:w="470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Total accrued expenses and other current liabilities</w:t>
            </w:r>
          </w:p>
        </w:tc>
        <w:tc>
          <w:tcPr>
            <w:tcW w:w="500" w:type="dxa"/>
            <w:vAlign w:val="bottom"/>
            <w:tcBorders>
              <w:bottom w:val="single" w:sz="8" w:color="DDDDDD"/>
            </w:tcBorders>
            <w:shd w:val="clear" w:color="auto" w:fill="DDDDDD"/>
          </w:tcPr>
          <w:p>
            <w:pPr>
              <w:jc w:val="right"/>
              <w:ind w:right="246"/>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62,678</w:t>
            </w:r>
          </w:p>
        </w:tc>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660" w:type="dxa"/>
            <w:vAlign w:val="bottom"/>
            <w:tcBorders>
              <w:bottom w:val="single" w:sz="8" w:color="DDDDDD"/>
            </w:tcBorders>
            <w:shd w:val="clear" w:color="auto" w:fill="DDDDDD"/>
          </w:tcPr>
          <w:p>
            <w:pPr>
              <w:jc w:val="right"/>
              <w:ind w:right="408"/>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85,555</w:t>
            </w:r>
          </w:p>
        </w:tc>
      </w:tr>
      <w:tr>
        <w:trPr>
          <w:trHeight w:val="20"/>
        </w:trPr>
        <w:tc>
          <w:tcPr>
            <w:tcW w:w="10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375"/>
        </w:trPr>
        <w:tc>
          <w:tcPr>
            <w:tcW w:w="57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Other Non-current Liabilities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1"/>
        </w:trPr>
        <w:tc>
          <w:tcPr>
            <w:tcW w:w="5760" w:type="dxa"/>
            <w:vAlign w:val="bottom"/>
            <w:gridSpan w:val="3"/>
          </w:tcPr>
          <w:p>
            <w:pPr>
              <w:ind w:left="720"/>
              <w:spacing w:after="0"/>
              <w:rPr>
                <w:sz w:val="20"/>
                <w:szCs w:val="20"/>
                <w:color w:val="auto"/>
              </w:rPr>
            </w:pPr>
            <w:r>
              <w:rPr>
                <w:rFonts w:ascii="Times New Roman" w:cs="Times New Roman" w:eastAsia="Times New Roman" w:hAnsi="Times New Roman"/>
                <w:sz w:val="20"/>
                <w:szCs w:val="20"/>
                <w:color w:val="auto"/>
              </w:rPr>
              <w:t>Other non-current liabilities consisted of the following:</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02"/>
        </w:trPr>
        <w:tc>
          <w:tcPr>
            <w:tcW w:w="10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gridSpan w:val="5"/>
          </w:tcPr>
          <w:p>
            <w:pPr>
              <w:jc w:val="center"/>
              <w:ind w:left="225"/>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40" w:type="dxa"/>
            <w:vAlign w:val="bottom"/>
          </w:tcPr>
          <w:p>
            <w:pPr>
              <w:spacing w:after="0"/>
              <w:rPr>
                <w:sz w:val="24"/>
                <w:szCs w:val="24"/>
                <w:color w:val="auto"/>
              </w:rPr>
            </w:pPr>
          </w:p>
        </w:tc>
      </w:tr>
      <w:tr>
        <w:trPr>
          <w:trHeight w:val="38"/>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r>
      <w:tr>
        <w:trPr>
          <w:trHeight w:val="218"/>
        </w:trPr>
        <w:tc>
          <w:tcPr>
            <w:tcW w:w="10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8"/>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79"/>
        </w:trPr>
        <w:tc>
          <w:tcPr>
            <w:tcW w:w="10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gridSpan w:val="5"/>
          </w:tcPr>
          <w:p>
            <w:pPr>
              <w:jc w:val="center"/>
              <w:ind w:left="225"/>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840" w:type="dxa"/>
            <w:vAlign w:val="bottom"/>
          </w:tcPr>
          <w:p>
            <w:pPr>
              <w:spacing w:after="0"/>
              <w:rPr>
                <w:sz w:val="24"/>
                <w:szCs w:val="24"/>
                <w:color w:val="auto"/>
              </w:rPr>
            </w:pPr>
          </w:p>
        </w:tc>
      </w:tr>
      <w:tr>
        <w:trPr>
          <w:trHeight w:val="38"/>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305"/>
        </w:trPr>
        <w:tc>
          <w:tcPr>
            <w:tcW w:w="1060" w:type="dxa"/>
            <w:vAlign w:val="bottom"/>
          </w:tcPr>
          <w:p>
            <w:pPr>
              <w:spacing w:after="0"/>
              <w:rPr>
                <w:sz w:val="24"/>
                <w:szCs w:val="24"/>
                <w:color w:val="auto"/>
              </w:rPr>
            </w:pPr>
          </w:p>
        </w:tc>
        <w:tc>
          <w:tcPr>
            <w:tcW w:w="468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Sales based earnout liability, non-current</w:t>
            </w:r>
          </w:p>
        </w:tc>
        <w:tc>
          <w:tcPr>
            <w:tcW w:w="20" w:type="dxa"/>
            <w:vAlign w:val="bottom"/>
            <w:tcBorders>
              <w:bottom w:val="single" w:sz="8" w:color="DDDDDD"/>
            </w:tcBorders>
            <w:shd w:val="clear" w:color="auto" w:fill="DDDDDD"/>
          </w:tcPr>
          <w:p>
            <w:pPr>
              <w:spacing w:after="0"/>
              <w:rPr>
                <w:sz w:val="24"/>
                <w:szCs w:val="24"/>
                <w:color w:val="auto"/>
              </w:rPr>
            </w:pPr>
          </w:p>
        </w:tc>
        <w:tc>
          <w:tcPr>
            <w:tcW w:w="500" w:type="dxa"/>
            <w:vAlign w:val="bottom"/>
            <w:tcBorders>
              <w:bottom w:val="single" w:sz="8" w:color="DDDDDD"/>
            </w:tcBorders>
            <w:shd w:val="clear" w:color="auto" w:fill="DDDDDD"/>
          </w:tcPr>
          <w:p>
            <w:pPr>
              <w:jc w:val="right"/>
              <w:ind w:right="266"/>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53,346</w:t>
            </w:r>
          </w:p>
        </w:tc>
        <w:tc>
          <w:tcPr>
            <w:tcW w:w="20" w:type="dxa"/>
            <w:vAlign w:val="bottom"/>
            <w:tcBorders>
              <w:bottom w:val="single" w:sz="8" w:color="DDDDDD"/>
            </w:tcBorders>
            <w:shd w:val="clear" w:color="auto" w:fill="DDDDDD"/>
          </w:tcPr>
          <w:p>
            <w:pPr>
              <w:spacing w:after="0"/>
              <w:rPr>
                <w:sz w:val="24"/>
                <w:szCs w:val="24"/>
                <w:color w:val="auto"/>
              </w:rPr>
            </w:pPr>
          </w:p>
        </w:tc>
        <w:tc>
          <w:tcPr>
            <w:tcW w:w="720" w:type="dxa"/>
            <w:vAlign w:val="bottom"/>
            <w:tcBorders>
              <w:bottom w:val="single" w:sz="8" w:color="DDDDDD"/>
            </w:tcBorders>
            <w:gridSpan w:val="3"/>
            <w:shd w:val="clear" w:color="auto" w:fill="DDDDDD"/>
          </w:tcPr>
          <w:p>
            <w:pPr>
              <w:jc w:val="right"/>
              <w:ind w:right="408"/>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73,303</w:t>
            </w:r>
          </w:p>
        </w:tc>
      </w:tr>
      <w:tr>
        <w:trPr>
          <w:trHeight w:val="282"/>
        </w:trPr>
        <w:tc>
          <w:tcPr>
            <w:tcW w:w="1060" w:type="dxa"/>
            <w:vAlign w:val="bottom"/>
          </w:tcPr>
          <w:p>
            <w:pPr>
              <w:spacing w:after="0"/>
              <w:rPr>
                <w:sz w:val="24"/>
                <w:szCs w:val="24"/>
                <w:color w:val="auto"/>
              </w:rPr>
            </w:pPr>
          </w:p>
        </w:tc>
        <w:tc>
          <w:tcPr>
            <w:tcW w:w="47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Long term lease liability</w:t>
            </w: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3,488</w:t>
            </w:r>
          </w:p>
        </w:tc>
      </w:tr>
      <w:tr>
        <w:trPr>
          <w:trHeight w:val="43"/>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840" w:type="dxa"/>
            <w:vAlign w:val="bottom"/>
          </w:tcPr>
          <w:p>
            <w:pPr>
              <w:spacing w:after="0"/>
              <w:rPr>
                <w:sz w:val="3"/>
                <w:szCs w:val="3"/>
                <w:color w:val="auto"/>
              </w:rPr>
            </w:pPr>
          </w:p>
        </w:tc>
      </w:tr>
      <w:tr>
        <w:trPr>
          <w:trHeight w:val="373"/>
        </w:trPr>
        <w:tc>
          <w:tcPr>
            <w:tcW w:w="1060" w:type="dxa"/>
            <w:vAlign w:val="bottom"/>
          </w:tcPr>
          <w:p>
            <w:pPr>
              <w:spacing w:after="0"/>
              <w:rPr>
                <w:sz w:val="24"/>
                <w:szCs w:val="24"/>
                <w:color w:val="auto"/>
              </w:rPr>
            </w:pPr>
          </w:p>
        </w:tc>
        <w:tc>
          <w:tcPr>
            <w:tcW w:w="468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20" w:type="dxa"/>
            <w:vAlign w:val="bottom"/>
            <w:tcBorders>
              <w:bottom w:val="single" w:sz="8" w:color="DDDDDD"/>
            </w:tcBorders>
            <w:shd w:val="clear" w:color="auto" w:fill="DDDDDD"/>
          </w:tcPr>
          <w:p>
            <w:pPr>
              <w:spacing w:after="0"/>
              <w:rPr>
                <w:sz w:val="24"/>
                <w:szCs w:val="24"/>
                <w:color w:val="auto"/>
              </w:rPr>
            </w:pPr>
          </w:p>
        </w:tc>
        <w:tc>
          <w:tcPr>
            <w:tcW w:w="500" w:type="dxa"/>
            <w:vAlign w:val="bottom"/>
            <w:tcBorders>
              <w:bottom w:val="single" w:sz="8" w:color="DDDDDD"/>
            </w:tcBorders>
            <w:shd w:val="clear" w:color="auto" w:fill="DDDDDD"/>
          </w:tcPr>
          <w:p>
            <w:pPr>
              <w:jc w:val="right"/>
              <w:ind w:right="266"/>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2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660" w:type="dxa"/>
            <w:vAlign w:val="bottom"/>
            <w:tcBorders>
              <w:bottom w:val="single" w:sz="8" w:color="DDDDDD"/>
            </w:tcBorders>
            <w:shd w:val="clear" w:color="auto" w:fill="DDDDDD"/>
          </w:tcPr>
          <w:p>
            <w:pPr>
              <w:jc w:val="right"/>
              <w:ind w:right="408"/>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2"/>
        </w:trPr>
        <w:tc>
          <w:tcPr>
            <w:tcW w:w="1060" w:type="dxa"/>
            <w:vAlign w:val="bottom"/>
          </w:tcPr>
          <w:p>
            <w:pPr>
              <w:spacing w:after="0"/>
              <w:rPr>
                <w:sz w:val="22"/>
                <w:szCs w:val="22"/>
                <w:color w:val="auto"/>
              </w:rPr>
            </w:pPr>
          </w:p>
        </w:tc>
        <w:tc>
          <w:tcPr>
            <w:tcW w:w="46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 other non-current liabilities</w:t>
            </w:r>
          </w:p>
        </w:tc>
        <w:tc>
          <w:tcPr>
            <w:tcW w:w="2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jc w:val="right"/>
              <w:ind w:right="266"/>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54,512</w:t>
            </w:r>
          </w:p>
        </w:tc>
        <w:tc>
          <w:tcPr>
            <w:tcW w:w="20" w:type="dxa"/>
            <w:vAlign w:val="bottom"/>
          </w:tcPr>
          <w:p>
            <w:pPr>
              <w:spacing w:after="0"/>
              <w:rPr>
                <w:sz w:val="22"/>
                <w:szCs w:val="22"/>
                <w:color w:val="auto"/>
              </w:rPr>
            </w:pPr>
          </w:p>
        </w:tc>
        <w:tc>
          <w:tcPr>
            <w:tcW w:w="60" w:type="dxa"/>
            <w:vAlign w:val="bottom"/>
            <w:gridSpan w:val="2"/>
          </w:tcPr>
          <w:p>
            <w:pPr>
              <w:spacing w:after="0"/>
              <w:rPr>
                <w:sz w:val="22"/>
                <w:szCs w:val="22"/>
                <w:color w:val="auto"/>
              </w:rPr>
            </w:pPr>
          </w:p>
        </w:tc>
        <w:tc>
          <w:tcPr>
            <w:tcW w:w="660" w:type="dxa"/>
            <w:vAlign w:val="bottom"/>
            <w:tcBorders>
              <w:top w:val="single" w:sz="8" w:color="auto"/>
            </w:tcBorders>
          </w:tcPr>
          <w:p>
            <w:pPr>
              <w:jc w:val="right"/>
              <w:ind w:right="408"/>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76,791</w:t>
            </w:r>
          </w:p>
        </w:tc>
      </w:tr>
      <w:tr>
        <w:trPr>
          <w:trHeight w:val="46"/>
        </w:trPr>
        <w:tc>
          <w:tcPr>
            <w:tcW w:w="1060" w:type="dxa"/>
            <w:vAlign w:val="bottom"/>
          </w:tcPr>
          <w:p>
            <w:pPr>
              <w:spacing w:after="0"/>
              <w:rPr>
                <w:sz w:val="3"/>
                <w:szCs w:val="3"/>
                <w:color w:val="auto"/>
              </w:rPr>
            </w:pPr>
          </w:p>
        </w:tc>
        <w:tc>
          <w:tcPr>
            <w:tcW w:w="46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0"/>
        </w:trPr>
        <w:tc>
          <w:tcPr>
            <w:tcW w:w="10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3648710</wp:posOffset>
                </wp:positionH>
                <wp:positionV relativeFrom="paragraph">
                  <wp:posOffset>-231775</wp:posOffset>
                </wp:positionV>
                <wp:extent cx="94996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9960" cy="4763"/>
                        </a:xfrm>
                        <a:prstGeom prst="line">
                          <a:avLst/>
                        </a:prstGeom>
                        <a:solidFill>
                          <a:srgbClr val="FFFFFF"/>
                        </a:solidFill>
                        <a:ln w="1776">
                          <a:solidFill>
                            <a:srgbClr val="FFFFFF"/>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3pt,-18.2499pt" to="362.1pt,-18.2499pt" o:allowincell="f" strokecolor="#FFFFFF" strokeweight="0.1398pt"/>
            </w:pict>
          </mc:Fallback>
        </mc:AlternateContent>
        <mc:AlternateContent>
          <mc:Choice Requires="wps">
            <w:drawing>
              <wp:anchor simplePos="0" relativeHeight="251657728" behindDoc="1" locked="0" layoutInCell="0" allowOverlap="1">
                <wp:simplePos x="0" y="0"/>
                <wp:positionH relativeFrom="column">
                  <wp:posOffset>4648835</wp:posOffset>
                </wp:positionH>
                <wp:positionV relativeFrom="paragraph">
                  <wp:posOffset>-231775</wp:posOffset>
                </wp:positionV>
                <wp:extent cx="95059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0595" cy="4763"/>
                        </a:xfrm>
                        <a:prstGeom prst="line">
                          <a:avLst/>
                        </a:prstGeom>
                        <a:solidFill>
                          <a:srgbClr val="FFFFFF"/>
                        </a:solidFill>
                        <a:ln w="1776">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6.05pt,-18.2499pt" to="440.9pt,-18.2499pt" o:allowincell="f" strokecolor="#FFFFFF" strokeweight="0.1398pt"/>
            </w:pict>
          </mc:Fallback>
        </mc:AlternateConten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5. Leases</w:t>
      </w:r>
    </w:p>
    <w:p>
      <w:pPr>
        <w:spacing w:after="0" w:line="134" w:lineRule="exact"/>
        <w:rPr>
          <w:sz w:val="20"/>
          <w:szCs w:val="20"/>
          <w:color w:val="auto"/>
        </w:rPr>
      </w:pPr>
    </w:p>
    <w:p>
      <w:pPr>
        <w:ind w:right="200" w:firstLine="720"/>
        <w:spacing w:after="0" w:line="266" w:lineRule="auto"/>
        <w:rPr>
          <w:sz w:val="20"/>
          <w:szCs w:val="20"/>
          <w:color w:val="auto"/>
        </w:rPr>
      </w:pPr>
      <w:r>
        <w:rPr>
          <w:rFonts w:ascii="Times New Roman" w:cs="Times New Roman" w:eastAsia="Times New Roman" w:hAnsi="Times New Roman"/>
          <w:sz w:val="20"/>
          <w:szCs w:val="20"/>
          <w:color w:val="auto"/>
        </w:rPr>
        <w:t>The Company leases real estate property under operating leases. The Company leases office space in California, Michigan, Malaysia, Japan, Taiwan, the Netherlands, Finland, India, and Ukraine all under non-cancellable operating leases with various expiration dates through May 2029.</w:t>
      </w:r>
    </w:p>
    <w:p>
      <w:pPr>
        <w:spacing w:after="0" w:line="195"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20"/>
          <w:szCs w:val="20"/>
          <w:color w:val="auto"/>
        </w:rPr>
        <w:t>The remaining lease terms vary from a few months to 4 years. For certain of its leases, the Company has options to extend the lease term for periods varying from one to 5 years. These renewal options are not considered in the remaining lease term unless it is reasonably certain that the Company will exercise such options. The Company also has variable lease payments that are primarily composed of common area maintenance and utility charges.</w:t>
      </w:r>
    </w:p>
    <w:p>
      <w:pPr>
        <w:sectPr>
          <w:pgSz w:w="12240" w:h="15840" w:orient="portrait"/>
          <w:cols w:equalWidth="0" w:num="1">
            <w:col w:w="9880"/>
          </w:cols>
          <w:pgMar w:left="1180" w:top="856"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80"/>
          </w:cols>
          <w:pgMar w:left="1180" w:top="856" w:right="1180" w:bottom="0" w:gutter="0" w:footer="0" w:header="0"/>
          <w:type w:val="continuous"/>
        </w:sectPr>
      </w:pPr>
    </w:p>
    <w:bookmarkStart w:id="79" w:name="page80"/>
    <w:bookmarkEnd w:id="79"/>
    <w:p>
      <w:pPr>
        <w:ind w:left="720"/>
        <w:spacing w:after="0"/>
        <w:rPr>
          <w:sz w:val="20"/>
          <w:szCs w:val="20"/>
          <w:color w:val="auto"/>
        </w:rPr>
      </w:pPr>
      <w:r>
        <w:rPr>
          <w:rFonts w:ascii="Times New Roman" w:cs="Times New Roman" w:eastAsia="Times New Roman" w:hAnsi="Times New Roman"/>
          <w:sz w:val="20"/>
          <w:szCs w:val="20"/>
          <w:color w:val="auto"/>
        </w:rPr>
        <w:t>The table below presents the lease-related assets and liabilities recorded on the consolidated balance sheets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301" w:lineRule="exact"/>
        <w:rPr>
          <w:sz w:val="20"/>
          <w:szCs w:val="20"/>
          <w:color w:val="auto"/>
        </w:rPr>
      </w:pPr>
    </w:p>
    <w:tbl>
      <w:tblPr>
        <w:tblLayout w:type="fixed"/>
        <w:tblInd w:w="106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gridSpan w:val="3"/>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20" w:type="dxa"/>
            <w:vAlign w:val="bottom"/>
          </w:tcPr>
          <w:p>
            <w:pPr>
              <w:spacing w:after="0"/>
              <w:rPr>
                <w:sz w:val="18"/>
                <w:szCs w:val="18"/>
                <w:color w:val="auto"/>
              </w:rPr>
            </w:pPr>
          </w:p>
        </w:tc>
      </w:tr>
      <w:tr>
        <w:trPr>
          <w:trHeight w:val="38"/>
        </w:trPr>
        <w:tc>
          <w:tcPr>
            <w:tcW w:w="4700" w:type="dxa"/>
            <w:vAlign w:val="bottom"/>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r>
      <w:tr>
        <w:trPr>
          <w:trHeight w:val="219"/>
        </w:trPr>
        <w:tc>
          <w:tcPr>
            <w:tcW w:w="4700" w:type="dxa"/>
            <w:vAlign w:val="bottom"/>
          </w:tcPr>
          <w:p>
            <w:pPr>
              <w:spacing w:after="0"/>
              <w:rPr>
                <w:sz w:val="19"/>
                <w:szCs w:val="19"/>
                <w:color w:val="auto"/>
              </w:rPr>
            </w:pPr>
          </w:p>
        </w:tc>
        <w:tc>
          <w:tcPr>
            <w:tcW w:w="15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8"/>
        </w:trPr>
        <w:tc>
          <w:tcPr>
            <w:tcW w:w="47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79"/>
        </w:trPr>
        <w:tc>
          <w:tcPr>
            <w:tcW w:w="4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20" w:type="dxa"/>
            <w:vAlign w:val="bottom"/>
          </w:tcPr>
          <w:p>
            <w:pPr>
              <w:spacing w:after="0"/>
              <w:rPr>
                <w:sz w:val="24"/>
                <w:szCs w:val="24"/>
                <w:color w:val="auto"/>
              </w:rPr>
            </w:pPr>
          </w:p>
        </w:tc>
      </w:tr>
      <w:tr>
        <w:trPr>
          <w:trHeight w:val="38"/>
        </w:trPr>
        <w:tc>
          <w:tcPr>
            <w:tcW w:w="4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820" w:type="dxa"/>
            <w:vAlign w:val="bottom"/>
          </w:tcPr>
          <w:p>
            <w:pPr>
              <w:spacing w:after="0"/>
              <w:rPr>
                <w:sz w:val="3"/>
                <w:szCs w:val="3"/>
                <w:color w:val="auto"/>
              </w:rPr>
            </w:pPr>
          </w:p>
        </w:tc>
      </w:tr>
      <w:tr>
        <w:trPr>
          <w:trHeight w:val="324"/>
        </w:trPr>
        <w:tc>
          <w:tcPr>
            <w:tcW w:w="470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Right-of-use assets</w:t>
            </w:r>
          </w:p>
        </w:tc>
        <w:tc>
          <w:tcPr>
            <w:tcW w:w="540" w:type="dxa"/>
            <w:vAlign w:val="bottom"/>
            <w:tcBorders>
              <w:bottom w:val="single" w:sz="8" w:color="DDDDDD"/>
            </w:tcBorders>
            <w:shd w:val="clear" w:color="auto" w:fill="DDDDDD"/>
          </w:tcPr>
          <w:p>
            <w:pPr>
              <w:jc w:val="right"/>
              <w:ind w:right="307"/>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DDDDDD"/>
            </w:tcBorders>
            <w:shd w:val="clear" w:color="auto" w:fill="DDDDDD"/>
          </w:tcPr>
          <w:p>
            <w:pPr>
              <w:jc w:val="right"/>
              <w:ind w:right="45"/>
              <w:spacing w:after="0"/>
              <w:rPr>
                <w:sz w:val="20"/>
                <w:szCs w:val="20"/>
                <w:color w:val="auto"/>
              </w:rPr>
            </w:pPr>
            <w:r>
              <w:rPr>
                <w:rFonts w:ascii="Times New Roman" w:cs="Times New Roman" w:eastAsia="Times New Roman" w:hAnsi="Times New Roman"/>
                <w:sz w:val="20"/>
                <w:szCs w:val="20"/>
                <w:color w:val="auto"/>
              </w:rPr>
              <w:t>4,089</w:t>
            </w:r>
          </w:p>
        </w:tc>
        <w:tc>
          <w:tcPr>
            <w:tcW w:w="740" w:type="dxa"/>
            <w:vAlign w:val="bottom"/>
            <w:tcBorders>
              <w:bottom w:val="single" w:sz="8" w:color="DDDDDD"/>
            </w:tcBorders>
            <w:gridSpan w:val="2"/>
            <w:shd w:val="clear" w:color="auto" w:fill="DDDDDD"/>
          </w:tcPr>
          <w:p>
            <w:pPr>
              <w:jc w:val="right"/>
              <w:ind w:right="45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DDDDDD"/>
            </w:tcBorders>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6,569</w:t>
            </w:r>
          </w:p>
        </w:tc>
      </w:tr>
      <w:tr>
        <w:trPr>
          <w:trHeight w:val="243"/>
        </w:trPr>
        <w:tc>
          <w:tcPr>
            <w:tcW w:w="4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Lease liabilities included in accrued expenses and other</w:t>
            </w:r>
          </w:p>
        </w:tc>
        <w:tc>
          <w:tcPr>
            <w:tcW w:w="5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61"/>
        </w:trPr>
        <w:tc>
          <w:tcPr>
            <w:tcW w:w="4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current liabilities</w:t>
            </w:r>
          </w:p>
        </w:tc>
        <w:tc>
          <w:tcPr>
            <w:tcW w:w="540" w:type="dxa"/>
            <w:vAlign w:val="bottom"/>
          </w:tcPr>
          <w:p>
            <w:pPr>
              <w:spacing w:after="0"/>
              <w:rPr>
                <w:sz w:val="22"/>
                <w:szCs w:val="22"/>
                <w:color w:val="auto"/>
              </w:rPr>
            </w:pPr>
          </w:p>
        </w:tc>
        <w:tc>
          <w:tcPr>
            <w:tcW w:w="960" w:type="dxa"/>
            <w:vAlign w:val="bottom"/>
          </w:tcPr>
          <w:p>
            <w:pPr>
              <w:jc w:val="right"/>
              <w:ind w:right="45"/>
              <w:spacing w:after="0"/>
              <w:rPr>
                <w:sz w:val="20"/>
                <w:szCs w:val="20"/>
                <w:color w:val="auto"/>
              </w:rPr>
            </w:pPr>
            <w:r>
              <w:rPr>
                <w:rFonts w:ascii="Times New Roman" w:cs="Times New Roman" w:eastAsia="Times New Roman" w:hAnsi="Times New Roman"/>
                <w:sz w:val="20"/>
                <w:szCs w:val="20"/>
                <w:color w:val="auto"/>
              </w:rPr>
              <w:t>2,478</w:t>
            </w: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2,744</w:t>
            </w:r>
          </w:p>
        </w:tc>
      </w:tr>
      <w:tr>
        <w:trPr>
          <w:trHeight w:val="42"/>
        </w:trPr>
        <w:tc>
          <w:tcPr>
            <w:tcW w:w="4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325"/>
        </w:trPr>
        <w:tc>
          <w:tcPr>
            <w:tcW w:w="470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Lease liabilities included in other non-current liabilities</w:t>
            </w:r>
          </w:p>
        </w:tc>
        <w:tc>
          <w:tcPr>
            <w:tcW w:w="5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ind w:right="45"/>
              <w:spacing w:after="0"/>
              <w:rPr>
                <w:sz w:val="20"/>
                <w:szCs w:val="20"/>
                <w:color w:val="auto"/>
              </w:rPr>
            </w:pPr>
            <w:r>
              <w:rPr>
                <w:rFonts w:ascii="Times New Roman" w:cs="Times New Roman" w:eastAsia="Times New Roman" w:hAnsi="Times New Roman"/>
                <w:sz w:val="20"/>
                <w:szCs w:val="20"/>
                <w:color w:val="auto"/>
              </w:rPr>
              <w:t>1,132</w:t>
            </w:r>
          </w:p>
        </w:tc>
        <w:tc>
          <w:tcPr>
            <w:tcW w:w="60" w:type="dxa"/>
            <w:vAlign w:val="bottom"/>
            <w:tcBorders>
              <w:bottom w:val="single" w:sz="8" w:color="DDDDDD"/>
            </w:tcBorders>
            <w:shd w:val="clear" w:color="auto" w:fill="DDDDDD"/>
          </w:tcPr>
          <w:p>
            <w:pPr>
              <w:spacing w:after="0"/>
              <w:rPr>
                <w:sz w:val="24"/>
                <w:szCs w:val="24"/>
                <w:color w:val="auto"/>
              </w:rPr>
            </w:pPr>
          </w:p>
        </w:tc>
        <w:tc>
          <w:tcPr>
            <w:tcW w:w="680" w:type="dxa"/>
            <w:vAlign w:val="bottom"/>
            <w:tcBorders>
              <w:bottom w:val="single" w:sz="8" w:color="DDDDDD"/>
            </w:tcBorders>
            <w:shd w:val="clear" w:color="auto" w:fill="DDDDDD"/>
          </w:tcPr>
          <w:p>
            <w:pPr>
              <w:spacing w:after="0"/>
              <w:rPr>
                <w:sz w:val="24"/>
                <w:szCs w:val="24"/>
                <w:color w:val="auto"/>
              </w:rPr>
            </w:pPr>
          </w:p>
        </w:tc>
        <w:tc>
          <w:tcPr>
            <w:tcW w:w="820" w:type="dxa"/>
            <w:vAlign w:val="bottom"/>
            <w:tcBorders>
              <w:bottom w:val="single" w:sz="8" w:color="DDDDDD"/>
            </w:tcBorders>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3,488</w:t>
            </w:r>
          </w:p>
        </w:tc>
      </w:tr>
      <w:tr>
        <w:trPr>
          <w:trHeight w:val="263"/>
        </w:trPr>
        <w:tc>
          <w:tcPr>
            <w:tcW w:w="4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Total operating lease liabilities</w:t>
            </w:r>
          </w:p>
        </w:tc>
        <w:tc>
          <w:tcPr>
            <w:tcW w:w="540" w:type="dxa"/>
            <w:vAlign w:val="bottom"/>
            <w:tcBorders>
              <w:top w:val="single" w:sz="8" w:color="auto"/>
            </w:tcBorders>
          </w:tcPr>
          <w:p>
            <w:pPr>
              <w:jc w:val="right"/>
              <w:ind w:right="307"/>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20"/>
                <w:szCs w:val="20"/>
                <w:color w:val="auto"/>
              </w:rPr>
              <w:t>3,610</w:t>
            </w:r>
          </w:p>
        </w:tc>
        <w:tc>
          <w:tcPr>
            <w:tcW w:w="60" w:type="dxa"/>
            <w:vAlign w:val="bottom"/>
          </w:tcPr>
          <w:p>
            <w:pPr>
              <w:spacing w:after="0"/>
              <w:rPr>
                <w:sz w:val="22"/>
                <w:szCs w:val="22"/>
                <w:color w:val="auto"/>
              </w:rPr>
            </w:pPr>
          </w:p>
        </w:tc>
        <w:tc>
          <w:tcPr>
            <w:tcW w:w="6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6,232</w:t>
            </w:r>
          </w:p>
        </w:tc>
      </w:tr>
      <w:tr>
        <w:trPr>
          <w:trHeight w:val="82"/>
        </w:trPr>
        <w:tc>
          <w:tcPr>
            <w:tcW w:w="4700" w:type="dxa"/>
            <w:vAlign w:val="bottom"/>
            <w:tcBorders>
              <w:bottom w:val="single" w:sz="8" w:color="DDDDDD"/>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0" w:type="dxa"/>
            <w:vAlign w:val="bottom"/>
            <w:tcBorders>
              <w:bottom w:val="single" w:sz="8" w:color="DDDDDD"/>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265"/>
        </w:trPr>
        <w:tc>
          <w:tcPr>
            <w:tcW w:w="4700" w:type="dxa"/>
            <w:vAlign w:val="bottom"/>
            <w:shd w:val="clear" w:color="auto" w:fill="DDDDDD"/>
          </w:tcPr>
          <w:p>
            <w:pPr>
              <w:ind w:left="60"/>
              <w:spacing w:after="0" w:line="222" w:lineRule="exact"/>
              <w:rPr>
                <w:sz w:val="20"/>
                <w:szCs w:val="20"/>
                <w:color w:val="auto"/>
              </w:rPr>
            </w:pPr>
            <w:r>
              <w:rPr>
                <w:rFonts w:ascii="Times New Roman" w:cs="Times New Roman" w:eastAsia="Times New Roman" w:hAnsi="Times New Roman"/>
                <w:sz w:val="20"/>
                <w:szCs w:val="20"/>
                <w:color w:val="auto"/>
              </w:rPr>
              <w:t>Weighted-average remaining lease term (years)</w:t>
            </w:r>
          </w:p>
        </w:tc>
        <w:tc>
          <w:tcPr>
            <w:tcW w:w="540" w:type="dxa"/>
            <w:vAlign w:val="bottom"/>
            <w:shd w:val="clear" w:color="auto" w:fill="DDDDDD"/>
          </w:tcPr>
          <w:p>
            <w:pPr>
              <w:spacing w:after="0"/>
              <w:rPr>
                <w:sz w:val="23"/>
                <w:szCs w:val="23"/>
                <w:color w:val="auto"/>
              </w:rPr>
            </w:pPr>
          </w:p>
        </w:tc>
        <w:tc>
          <w:tcPr>
            <w:tcW w:w="960" w:type="dxa"/>
            <w:vAlign w:val="bottom"/>
            <w:shd w:val="clear" w:color="auto" w:fill="DDDDDD"/>
          </w:tcPr>
          <w:p>
            <w:pPr>
              <w:jc w:val="right"/>
              <w:ind w:right="165"/>
              <w:spacing w:after="0"/>
              <w:rPr>
                <w:sz w:val="20"/>
                <w:szCs w:val="20"/>
                <w:color w:val="auto"/>
              </w:rPr>
            </w:pPr>
            <w:r>
              <w:rPr>
                <w:rFonts w:ascii="Times New Roman" w:cs="Times New Roman" w:eastAsia="Times New Roman" w:hAnsi="Times New Roman"/>
                <w:sz w:val="20"/>
                <w:szCs w:val="20"/>
                <w:color w:val="auto"/>
              </w:rPr>
              <w:t>1.6</w:t>
            </w:r>
          </w:p>
        </w:tc>
        <w:tc>
          <w:tcPr>
            <w:tcW w:w="60" w:type="dxa"/>
            <w:vAlign w:val="bottom"/>
            <w:shd w:val="clear" w:color="auto" w:fill="DDDDDD"/>
          </w:tcPr>
          <w:p>
            <w:pPr>
              <w:spacing w:after="0"/>
              <w:rPr>
                <w:sz w:val="23"/>
                <w:szCs w:val="23"/>
                <w:color w:val="auto"/>
              </w:rPr>
            </w:pPr>
          </w:p>
        </w:tc>
        <w:tc>
          <w:tcPr>
            <w:tcW w:w="680" w:type="dxa"/>
            <w:vAlign w:val="bottom"/>
            <w:shd w:val="clear" w:color="auto" w:fill="DDDDDD"/>
          </w:tcPr>
          <w:p>
            <w:pPr>
              <w:spacing w:after="0"/>
              <w:rPr>
                <w:sz w:val="23"/>
                <w:szCs w:val="23"/>
                <w:color w:val="auto"/>
              </w:rPr>
            </w:pPr>
          </w:p>
        </w:tc>
        <w:tc>
          <w:tcPr>
            <w:tcW w:w="820" w:type="dxa"/>
            <w:vAlign w:val="bottom"/>
            <w:shd w:val="clear" w:color="auto" w:fill="DDDDDD"/>
          </w:tcPr>
          <w:p>
            <w:pPr>
              <w:jc w:val="right"/>
              <w:ind w:right="160"/>
              <w:spacing w:after="0"/>
              <w:rPr>
                <w:sz w:val="20"/>
                <w:szCs w:val="20"/>
                <w:color w:val="auto"/>
              </w:rPr>
            </w:pPr>
            <w:r>
              <w:rPr>
                <w:rFonts w:ascii="Times New Roman" w:cs="Times New Roman" w:eastAsia="Times New Roman" w:hAnsi="Times New Roman"/>
                <w:sz w:val="20"/>
                <w:szCs w:val="20"/>
                <w:color w:val="auto"/>
              </w:rPr>
              <w:t>2.4</w:t>
            </w:r>
          </w:p>
        </w:tc>
      </w:tr>
      <w:tr>
        <w:trPr>
          <w:trHeight w:val="282"/>
        </w:trPr>
        <w:tc>
          <w:tcPr>
            <w:tcW w:w="47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5.3 %</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3656330</wp:posOffset>
                </wp:positionH>
                <wp:positionV relativeFrom="paragraph">
                  <wp:posOffset>-1144905</wp:posOffset>
                </wp:positionV>
                <wp:extent cx="95250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9pt,-90.1499pt" to="362.9pt,-90.1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4646930</wp:posOffset>
                </wp:positionH>
                <wp:positionV relativeFrom="paragraph">
                  <wp:posOffset>-1144905</wp:posOffset>
                </wp:positionV>
                <wp:extent cx="95250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9pt,-90.1499pt" to="440.9pt,-90.1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3656330</wp:posOffset>
                </wp:positionH>
                <wp:positionV relativeFrom="paragraph">
                  <wp:posOffset>-579120</wp:posOffset>
                </wp:positionV>
                <wp:extent cx="95250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9pt,-45.5999pt" to="362.9pt,-45.5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4646930</wp:posOffset>
                </wp:positionH>
                <wp:positionV relativeFrom="paragraph">
                  <wp:posOffset>-579120</wp:posOffset>
                </wp:positionV>
                <wp:extent cx="95250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9pt,-45.5999pt" to="440.9pt,-45.5999pt" o:allowincell="f" strokecolor="#FFFFFF" strokeweight="0.14pt"/>
            </w:pict>
          </mc:Fallback>
        </mc:AlternateContent>
      </w:r>
    </w:p>
    <w:p>
      <w:pPr>
        <w:spacing w:after="0" w:line="3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table below presents certain information related to the lease costs for operating leases for the years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2024, and 2023:</w:t>
      </w:r>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8"/>
          </w:tcPr>
          <w:p>
            <w:pPr>
              <w:jc w:val="center"/>
              <w:ind w:left="467"/>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860" w:type="dxa"/>
            <w:vAlign w:val="bottom"/>
          </w:tcPr>
          <w:p>
            <w:pPr>
              <w:spacing w:after="0"/>
              <w:rPr>
                <w:sz w:val="18"/>
                <w:szCs w:val="18"/>
                <w:color w:val="auto"/>
              </w:rPr>
            </w:pPr>
          </w:p>
        </w:tc>
      </w:tr>
      <w:tr>
        <w:trPr>
          <w:trHeight w:val="38"/>
        </w:trPr>
        <w:tc>
          <w:tcPr>
            <w:tcW w:w="33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8"/>
        </w:trPr>
        <w:tc>
          <w:tcPr>
            <w:tcW w:w="3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center"/>
              <w:ind w:right="20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ind w:right="34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0"/>
        </w:trPr>
        <w:tc>
          <w:tcPr>
            <w:tcW w:w="33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79"/>
        </w:trPr>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
        </w:trPr>
        <w:tc>
          <w:tcPr>
            <w:tcW w:w="33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r>
      <w:tr>
        <w:trPr>
          <w:trHeight w:val="305"/>
        </w:trPr>
        <w:tc>
          <w:tcPr>
            <w:tcW w:w="340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Operating lease cost</w:t>
            </w:r>
          </w:p>
        </w:tc>
        <w:tc>
          <w:tcPr>
            <w:tcW w:w="300" w:type="dxa"/>
            <w:vAlign w:val="bottom"/>
            <w:tcBorders>
              <w:bottom w:val="single" w:sz="8" w:color="DDDDDD"/>
            </w:tcBorders>
            <w:shd w:val="clear" w:color="auto" w:fill="DDDDDD"/>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3,261</w:t>
            </w:r>
          </w:p>
        </w:tc>
        <w:tc>
          <w:tcPr>
            <w:tcW w:w="360" w:type="dxa"/>
            <w:vAlign w:val="bottom"/>
            <w:tcBorders>
              <w:bottom w:val="single" w:sz="8" w:color="DDDDDD"/>
            </w:tcBorders>
            <w:gridSpan w:val="3"/>
            <w:shd w:val="clear" w:color="auto" w:fill="DDDDDD"/>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3,098</w:t>
            </w:r>
          </w:p>
        </w:tc>
        <w:tc>
          <w:tcPr>
            <w:tcW w:w="400" w:type="dxa"/>
            <w:vAlign w:val="bottom"/>
            <w:tcBorders>
              <w:bottom w:val="single" w:sz="8" w:color="DDDDDD"/>
            </w:tcBorders>
            <w:gridSpan w:val="3"/>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3,024</w:t>
            </w:r>
          </w:p>
        </w:tc>
      </w:tr>
      <w:tr>
        <w:trPr>
          <w:trHeight w:val="282"/>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Short-term lease cost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758</w:t>
            </w:r>
          </w:p>
        </w:tc>
      </w:tr>
      <w:tr>
        <w:trPr>
          <w:trHeight w:val="43"/>
        </w:trPr>
        <w:tc>
          <w:tcPr>
            <w:tcW w:w="338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325"/>
        </w:trPr>
        <w:tc>
          <w:tcPr>
            <w:tcW w:w="340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Variable lease cost</w:t>
            </w:r>
          </w:p>
        </w:tc>
        <w:tc>
          <w:tcPr>
            <w:tcW w:w="300" w:type="dxa"/>
            <w:vAlign w:val="bottom"/>
            <w:tcBorders>
              <w:bottom w:val="single" w:sz="8" w:color="DDDDDD"/>
            </w:tcBorders>
            <w:shd w:val="clear" w:color="auto" w:fill="DDDDDD"/>
          </w:tcPr>
          <w:p>
            <w:pPr>
              <w:spacing w:after="0"/>
              <w:rPr>
                <w:sz w:val="24"/>
                <w:szCs w:val="24"/>
                <w:color w:val="auto"/>
              </w:rPr>
            </w:pP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3,312</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DDDDDD"/>
            </w:tcBorders>
            <w:shd w:val="clear" w:color="auto" w:fill="DDDDDD"/>
          </w:tcPr>
          <w:p>
            <w:pPr>
              <w:spacing w:after="0"/>
              <w:rPr>
                <w:sz w:val="24"/>
                <w:szCs w:val="24"/>
                <w:color w:val="auto"/>
              </w:rPr>
            </w:pP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1,481</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1,022</w:t>
            </w:r>
          </w:p>
        </w:tc>
      </w:tr>
      <w:tr>
        <w:trPr>
          <w:trHeight w:val="263"/>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Total lease cost</w:t>
            </w:r>
          </w:p>
        </w:tc>
        <w:tc>
          <w:tcPr>
            <w:tcW w:w="3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8,140</w:t>
            </w:r>
          </w:p>
        </w:tc>
        <w:tc>
          <w:tcPr>
            <w:tcW w:w="60" w:type="dxa"/>
            <w:vAlign w:val="bottom"/>
            <w:gridSpan w:val="2"/>
          </w:tcPr>
          <w:p>
            <w:pPr>
              <w:spacing w:after="0"/>
              <w:rPr>
                <w:sz w:val="22"/>
                <w:szCs w:val="22"/>
                <w:color w:val="auto"/>
              </w:rPr>
            </w:pPr>
          </w:p>
        </w:tc>
        <w:tc>
          <w:tcPr>
            <w:tcW w:w="3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5,617</w:t>
            </w:r>
          </w:p>
        </w:tc>
        <w:tc>
          <w:tcPr>
            <w:tcW w:w="60" w:type="dxa"/>
            <w:vAlign w:val="bottom"/>
            <w:gridSpan w:val="2"/>
          </w:tcPr>
          <w:p>
            <w:pPr>
              <w:spacing w:after="0"/>
              <w:rPr>
                <w:sz w:val="22"/>
                <w:szCs w:val="22"/>
                <w:color w:val="auto"/>
              </w:rPr>
            </w:pPr>
          </w:p>
        </w:tc>
        <w:tc>
          <w:tcPr>
            <w:tcW w:w="34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4,804</w:t>
            </w:r>
          </w:p>
        </w:tc>
      </w:tr>
      <w:tr>
        <w:trPr>
          <w:trHeight w:val="44"/>
        </w:trPr>
        <w:tc>
          <w:tcPr>
            <w:tcW w:w="33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0"/>
        </w:trPr>
        <w:tc>
          <w:tcPr>
            <w:tcW w:w="3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3036570</wp:posOffset>
                </wp:positionH>
                <wp:positionV relativeFrom="paragraph">
                  <wp:posOffset>-231775</wp:posOffset>
                </wp:positionV>
                <wp:extent cx="762000"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9.1pt,-18.2499pt" to="299.1pt,-18.2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3836670</wp:posOffset>
                </wp:positionH>
                <wp:positionV relativeFrom="paragraph">
                  <wp:posOffset>-231775</wp:posOffset>
                </wp:positionV>
                <wp:extent cx="76200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2.1pt,-18.2499pt" to="362.1pt,-18.2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4636770</wp:posOffset>
                </wp:positionH>
                <wp:positionV relativeFrom="paragraph">
                  <wp:posOffset>-231775</wp:posOffset>
                </wp:positionV>
                <wp:extent cx="76200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1pt,-18.2499pt" to="425.1pt,-18.2499pt" o:allowincell="f" strokecolor="#FFFFFF" strokeweight="0.14pt"/>
            </w:pict>
          </mc:Fallback>
        </mc:AlternateContent>
      </w:r>
    </w:p>
    <w:p>
      <w:pPr>
        <w:spacing w:after="0" w:line="177" w:lineRule="exact"/>
        <w:rPr>
          <w:sz w:val="20"/>
          <w:szCs w:val="20"/>
          <w:color w:val="auto"/>
        </w:rPr>
      </w:pPr>
    </w:p>
    <w:p>
      <w:pPr>
        <w:ind w:right="440" w:firstLine="720"/>
        <w:spacing w:after="0" w:line="282" w:lineRule="auto"/>
        <w:rPr>
          <w:sz w:val="20"/>
          <w:szCs w:val="20"/>
          <w:color w:val="auto"/>
        </w:rPr>
      </w:pPr>
      <w:r>
        <w:rPr>
          <w:rFonts w:ascii="Times New Roman" w:cs="Times New Roman" w:eastAsia="Times New Roman" w:hAnsi="Times New Roman"/>
          <w:sz w:val="20"/>
          <w:szCs w:val="20"/>
          <w:color w:val="auto"/>
        </w:rPr>
        <w:t>Cash paid for operating lease liabilities was $3.4 million, $3.1 million, and $3.1 million for the years ended December 31, 2025, 2024, and 2023 respectively.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Lease Cash Flows</w:t>
      </w:r>
    </w:p>
    <w:p>
      <w:pPr>
        <w:spacing w:after="0" w:line="134" w:lineRule="exact"/>
        <w:rPr>
          <w:sz w:val="20"/>
          <w:szCs w:val="20"/>
          <w:color w:val="auto"/>
        </w:rPr>
      </w:pPr>
    </w:p>
    <w:p>
      <w:pPr>
        <w:jc w:val="both"/>
        <w:ind w:firstLine="720"/>
        <w:spacing w:after="0" w:line="309" w:lineRule="auto"/>
        <w:rPr>
          <w:sz w:val="20"/>
          <w:szCs w:val="20"/>
          <w:color w:val="auto"/>
        </w:rPr>
      </w:pPr>
      <w:r>
        <w:rPr>
          <w:rFonts w:ascii="Times New Roman" w:cs="Times New Roman" w:eastAsia="Times New Roman" w:hAnsi="Times New Roman"/>
          <w:sz w:val="19"/>
          <w:szCs w:val="19"/>
          <w:color w:val="auto"/>
        </w:rPr>
        <w:t>The table below reconciles the undiscounted cash flows for each of the first five years and total of the remaining years, as applicable, to the operating lease liabilities recorded on the consolidated balance sheet as of December 31, 2025:</w:t>
      </w:r>
    </w:p>
    <w:p>
      <w:pPr>
        <w:spacing w:after="0" w:line="229" w:lineRule="exact"/>
        <w:rPr>
          <w:sz w:val="20"/>
          <w:szCs w:val="20"/>
          <w:color w:val="auto"/>
        </w:rPr>
      </w:pPr>
    </w:p>
    <w:tbl>
      <w:tblPr>
        <w:tblLayout w:type="fixed"/>
        <w:tblInd w:w="136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r>
      <w:tr>
        <w:trPr>
          <w:trHeight w:val="38"/>
        </w:trPr>
        <w:tc>
          <w:tcPr>
            <w:tcW w:w="5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04"/>
        </w:trPr>
        <w:tc>
          <w:tcPr>
            <w:tcW w:w="584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2,760</w:t>
            </w:r>
          </w:p>
        </w:tc>
      </w:tr>
      <w:tr>
        <w:trPr>
          <w:trHeight w:val="282"/>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720</w:t>
            </w:r>
          </w:p>
        </w:tc>
      </w:tr>
      <w:tr>
        <w:trPr>
          <w:trHeight w:val="43"/>
        </w:trPr>
        <w:tc>
          <w:tcPr>
            <w:tcW w:w="58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05"/>
        </w:trPr>
        <w:tc>
          <w:tcPr>
            <w:tcW w:w="584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225</w:t>
            </w:r>
          </w:p>
        </w:tc>
      </w:tr>
      <w:tr>
        <w:trPr>
          <w:trHeight w:val="282"/>
        </w:trPr>
        <w:tc>
          <w:tcPr>
            <w:tcW w:w="58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w:t>
            </w:r>
          </w:p>
        </w:tc>
      </w:tr>
      <w:tr>
        <w:trPr>
          <w:trHeight w:val="43"/>
        </w:trPr>
        <w:tc>
          <w:tcPr>
            <w:tcW w:w="58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85"/>
        </w:trPr>
        <w:tc>
          <w:tcPr>
            <w:tcW w:w="586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minimum lease payments</w:t>
            </w:r>
          </w:p>
        </w:tc>
        <w:tc>
          <w:tcPr>
            <w:tcW w:w="160" w:type="dxa"/>
            <w:vAlign w:val="bottom"/>
            <w:tcBorders>
              <w:bottom w:val="single" w:sz="8" w:color="DDDDDD"/>
            </w:tcBorders>
            <w:shd w:val="clear" w:color="auto" w:fill="DDDDDD"/>
          </w:tcPr>
          <w:p>
            <w:pPr>
              <w:spacing w:after="0"/>
              <w:rPr>
                <w:sz w:val="24"/>
                <w:szCs w:val="24"/>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3,788</w:t>
            </w:r>
          </w:p>
        </w:tc>
      </w:tr>
      <w:tr>
        <w:trPr>
          <w:trHeight w:val="282"/>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Less: amount of lease payments representing interest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r>
      <w:tr>
        <w:trPr>
          <w:trHeight w:val="43"/>
        </w:trPr>
        <w:tc>
          <w:tcPr>
            <w:tcW w:w="58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84"/>
        </w:trPr>
        <w:tc>
          <w:tcPr>
            <w:tcW w:w="586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Present value of future minimum lease payments</w:t>
            </w:r>
          </w:p>
        </w:tc>
        <w:tc>
          <w:tcPr>
            <w:tcW w:w="160" w:type="dxa"/>
            <w:vAlign w:val="bottom"/>
            <w:tcBorders>
              <w:bottom w:val="single" w:sz="8" w:color="DDDDDD"/>
            </w:tcBorders>
            <w:shd w:val="clear" w:color="auto" w:fill="DDDDDD"/>
          </w:tcPr>
          <w:p>
            <w:pPr>
              <w:spacing w:after="0"/>
              <w:rPr>
                <w:sz w:val="24"/>
                <w:szCs w:val="24"/>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3,610</w:t>
            </w:r>
          </w:p>
        </w:tc>
      </w:tr>
      <w:tr>
        <w:trPr>
          <w:trHeight w:val="282"/>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Less: current obligations under leases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(2,478)</w:t>
            </w:r>
          </w:p>
        </w:tc>
      </w:tr>
      <w:tr>
        <w:trPr>
          <w:trHeight w:val="43"/>
        </w:trPr>
        <w:tc>
          <w:tcPr>
            <w:tcW w:w="58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307"/>
        </w:trPr>
        <w:tc>
          <w:tcPr>
            <w:tcW w:w="586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Long-term lease liabilities</w:t>
            </w:r>
          </w:p>
        </w:tc>
        <w:tc>
          <w:tcPr>
            <w:tcW w:w="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1,132</w:t>
            </w:r>
          </w:p>
        </w:tc>
      </w:tr>
      <w:tr>
        <w:trPr>
          <w:trHeight w:val="20"/>
        </w:trPr>
        <w:tc>
          <w:tcPr>
            <w:tcW w:w="5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740"/>
          </w:cols>
          <w:pgMar w:left="1180" w:top="856"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740"/>
          </w:cols>
          <w:pgMar w:left="1180" w:top="856" w:right="1320" w:bottom="0" w:gutter="0" w:footer="0" w:header="0"/>
          <w:type w:val="continuous"/>
        </w:sectPr>
      </w:pPr>
    </w:p>
    <w:bookmarkStart w:id="80" w:name="page81"/>
    <w:bookmarkEnd w:id="80"/>
    <w:p>
      <w:pPr>
        <w:ind w:left="10" w:right="6860" w:hanging="10"/>
        <w:spacing w:after="0" w:line="397" w:lineRule="auto"/>
        <w:tabs>
          <w:tab w:leader="none" w:pos="210" w:val="left"/>
        </w:tabs>
        <w:numPr>
          <w:ilvl w:val="0"/>
          <w:numId w:val="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Commitments and Contingencies Purchase Commitments</w:t>
      </w:r>
    </w:p>
    <w:p>
      <w:pPr>
        <w:spacing w:after="0" w:line="1" w:lineRule="exact"/>
        <w:rPr>
          <w:sz w:val="20"/>
          <w:szCs w:val="20"/>
          <w:color w:val="auto"/>
        </w:rPr>
      </w:pPr>
    </w:p>
    <w:p>
      <w:pPr>
        <w:ind w:left="10" w:right="120" w:firstLine="720"/>
        <w:spacing w:after="0" w:line="254" w:lineRule="auto"/>
        <w:rPr>
          <w:sz w:val="20"/>
          <w:szCs w:val="20"/>
          <w:color w:val="auto"/>
        </w:rPr>
      </w:pPr>
      <w:r>
        <w:rPr>
          <w:rFonts w:ascii="Times New Roman" w:cs="Times New Roman" w:eastAsia="Times New Roman" w:hAnsi="Times New Roman"/>
          <w:sz w:val="20"/>
          <w:szCs w:val="20"/>
          <w:color w:val="auto"/>
        </w:rPr>
        <w:t>The Company purchases components from a variety of suppliers and uses several contract manufacturers to provide manufacturing services for its products. During the normal course of business, in order to manage manufacturing lead times and to help ensure adequate component supply, the Company enters into agreements with the Company’s contract manufacturers and suppliers that allow them to procure inventory based upon criteria as defined by the Company. A portion of the Company’s reported purchase commitments arising from these agreements consists of firm, non-cancelable purchase commitments. In certain instances, these agreements allow the Company the option to cancel, reschedule, and adjust the Company’s requirements based on its business needs prior to when production starts. However, in situations where the Company is unable to cancel, reschedule, or adjust the purchase commitment due to changing customer demand, excess inventories could result in material inventory provisions. Total future non-cancelable purchase commitments as of December 31, 2025 were as follows:</w:t>
      </w:r>
    </w:p>
    <w:p>
      <w:pPr>
        <w:spacing w:after="0" w:line="359" w:lineRule="exact"/>
        <w:rPr>
          <w:sz w:val="20"/>
          <w:szCs w:val="20"/>
          <w:color w:val="auto"/>
        </w:rPr>
      </w:pPr>
    </w:p>
    <w:tbl>
      <w:tblPr>
        <w:tblLayout w:type="fixed"/>
        <w:tblInd w:w="245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r>
      <w:tr>
        <w:trPr>
          <w:trHeight w:val="38"/>
        </w:trPr>
        <w:tc>
          <w:tcPr>
            <w:tcW w:w="3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04"/>
        </w:trPr>
        <w:tc>
          <w:tcPr>
            <w:tcW w:w="36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10,566</w:t>
            </w:r>
          </w:p>
        </w:tc>
      </w:tr>
      <w:tr>
        <w:trPr>
          <w:trHeight w:val="282"/>
        </w:trPr>
        <w:tc>
          <w:tcPr>
            <w:tcW w:w="3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9,392</w:t>
            </w:r>
          </w:p>
        </w:tc>
      </w:tr>
      <w:tr>
        <w:trPr>
          <w:trHeight w:val="43"/>
        </w:trPr>
        <w:tc>
          <w:tcPr>
            <w:tcW w:w="3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25"/>
        </w:trPr>
        <w:tc>
          <w:tcPr>
            <w:tcW w:w="368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2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8,098</w:t>
            </w:r>
          </w:p>
        </w:tc>
      </w:tr>
      <w:tr>
        <w:trPr>
          <w:trHeight w:val="263"/>
        </w:trPr>
        <w:tc>
          <w:tcPr>
            <w:tcW w:w="37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28,056</w:t>
            </w:r>
          </w:p>
        </w:tc>
      </w:tr>
      <w:tr>
        <w:trPr>
          <w:trHeight w:val="44"/>
        </w:trPr>
        <w:tc>
          <w:tcPr>
            <w:tcW w:w="36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
        </w:trPr>
        <w:tc>
          <w:tcPr>
            <w:tcW w:w="3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3905250</wp:posOffset>
                </wp:positionH>
                <wp:positionV relativeFrom="paragraph">
                  <wp:posOffset>-231775</wp:posOffset>
                </wp:positionV>
                <wp:extent cx="829310"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31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5pt,-18.2499pt" to="372.8pt,-18.2499pt" o:allowincell="f" strokecolor="#FFFFFF" strokeweight="0.1399pt"/>
            </w:pict>
          </mc:Fallback>
        </mc:AlternateContent>
      </w:r>
    </w:p>
    <w:p>
      <w:pPr>
        <w:spacing w:after="0" w:line="2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Indemnification</w:t>
      </w:r>
    </w:p>
    <w:p>
      <w:pPr>
        <w:spacing w:after="0" w:line="134" w:lineRule="exact"/>
        <w:rPr>
          <w:sz w:val="20"/>
          <w:szCs w:val="20"/>
          <w:color w:val="auto"/>
        </w:rPr>
      </w:pPr>
    </w:p>
    <w:p>
      <w:pPr>
        <w:ind w:left="10" w:firstLine="720"/>
        <w:spacing w:after="0" w:line="253" w:lineRule="auto"/>
        <w:rPr>
          <w:sz w:val="20"/>
          <w:szCs w:val="20"/>
          <w:color w:val="auto"/>
        </w:rPr>
      </w:pPr>
      <w:r>
        <w:rPr>
          <w:rFonts w:ascii="Times New Roman" w:cs="Times New Roman" w:eastAsia="Times New Roman" w:hAnsi="Times New Roman"/>
          <w:sz w:val="20"/>
          <w:szCs w:val="20"/>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specified environmental matters, and certain income taxes. Further, the Company’s obligations under these agreements may be limited in terms of time, amount, or the scope of its responsibility and in some instances, the Company may have recourse against third 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spacing w:after="0" w:line="3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Legal Matters</w:t>
      </w:r>
    </w:p>
    <w:p>
      <w:pPr>
        <w:spacing w:after="0" w:line="134" w:lineRule="exact"/>
        <w:rPr>
          <w:sz w:val="20"/>
          <w:szCs w:val="20"/>
          <w:color w:val="auto"/>
        </w:rPr>
      </w:pPr>
    </w:p>
    <w:p>
      <w:pPr>
        <w:ind w:left="10" w:right="160" w:firstLine="720"/>
        <w:spacing w:after="0" w:line="261" w:lineRule="auto"/>
        <w:rPr>
          <w:sz w:val="20"/>
          <w:szCs w:val="20"/>
          <w:color w:val="auto"/>
        </w:rPr>
      </w:pPr>
      <w:r>
        <w:rPr>
          <w:rFonts w:ascii="Times New Roman" w:cs="Times New Roman" w:eastAsia="Times New Roman" w:hAnsi="Times New Roman"/>
          <w:sz w:val="20"/>
          <w:szCs w:val="20"/>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w:t>
      </w:r>
    </w:p>
    <w:p>
      <w:pPr>
        <w:spacing w:after="0" w:line="109" w:lineRule="exact"/>
        <w:rPr>
          <w:sz w:val="20"/>
          <w:szCs w:val="20"/>
          <w:color w:val="auto"/>
        </w:rPr>
      </w:pPr>
    </w:p>
    <w:p>
      <w:pPr>
        <w:ind w:left="210" w:hanging="210"/>
        <w:spacing w:after="0"/>
        <w:tabs>
          <w:tab w:leader="none" w:pos="210" w:val="left"/>
        </w:tabs>
        <w:numPr>
          <w:ilvl w:val="0"/>
          <w:numId w:val="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Stockholders’ Equity</w:t>
      </w:r>
    </w:p>
    <w:p>
      <w:pPr>
        <w:spacing w:after="0" w:line="134" w:lineRule="exact"/>
        <w:rPr>
          <w:sz w:val="20"/>
          <w:szCs w:val="20"/>
          <w:color w:val="auto"/>
        </w:rPr>
      </w:pPr>
    </w:p>
    <w:p>
      <w:pPr>
        <w:jc w:val="both"/>
        <w:ind w:left="10" w:right="80" w:firstLine="720"/>
        <w:spacing w:after="0" w:line="258" w:lineRule="auto"/>
        <w:rPr>
          <w:sz w:val="20"/>
          <w:szCs w:val="20"/>
          <w:color w:val="auto"/>
        </w:rPr>
      </w:pPr>
      <w:r>
        <w:rPr>
          <w:rFonts w:ascii="Times New Roman" w:cs="Times New Roman" w:eastAsia="Times New Roman" w:hAnsi="Times New Roman"/>
          <w:sz w:val="20"/>
          <w:szCs w:val="20"/>
          <w:color w:val="auto"/>
        </w:rPr>
        <w:t>The Company’s certificate of incorporation, as amended and currently in effect, authorizes the Company to issue 200,000,000 shares of common stock and 10,000,000 shares of preferred stock, par value $0.0001 per share. Each share of common stock is entitled to one vote. The holders of common stock are also entitled to receive dividends whenever funds are legally available and when and if declared by the board of directors, subject to the prior rights of holders of all classes of preferred stock outstanding. The Company has never declared any dividends. As of December 31, 2025 and 2024, there were no shares of preferred stock outstanding.</w:t>
      </w:r>
    </w:p>
    <w:p>
      <w:pPr>
        <w:spacing w:after="0" w:line="7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At-The-Market offering</w:t>
      </w:r>
    </w:p>
    <w:p>
      <w:pPr>
        <w:spacing w:after="0" w:line="136" w:lineRule="exact"/>
        <w:rPr>
          <w:sz w:val="20"/>
          <w:szCs w:val="20"/>
          <w:color w:val="auto"/>
        </w:rPr>
      </w:pPr>
    </w:p>
    <w:p>
      <w:pPr>
        <w:jc w:val="both"/>
        <w:ind w:left="10" w:right="40" w:firstLine="720"/>
        <w:spacing w:after="0" w:line="279" w:lineRule="auto"/>
        <w:rPr>
          <w:sz w:val="20"/>
          <w:szCs w:val="20"/>
          <w:color w:val="auto"/>
        </w:rPr>
      </w:pPr>
      <w:r>
        <w:rPr>
          <w:rFonts w:ascii="Times New Roman" w:cs="Times New Roman" w:eastAsia="Times New Roman" w:hAnsi="Times New Roman"/>
          <w:sz w:val="19"/>
          <w:szCs w:val="19"/>
          <w:color w:val="auto"/>
        </w:rPr>
        <w:t>On February 27, 2024, the Company entered into a Sales Agreement ("Sales Agreement"), with Stifel, Nicolaus &amp; Company, Incorporated ("Stifel"), under which the Company may offer and sell from time to time at its sole discretion, up to an aggregate of 1,200,000 shares of its common stock, par value $0.0001 per share, through Stifel as its sales agent. The Company used the net proceeds from the shares of common stock offered and sold to replenish funds expended to satisfy</w:t>
      </w:r>
    </w:p>
    <w:p>
      <w:pPr>
        <w:sectPr>
          <w:pgSz w:w="12240" w:h="15840" w:orient="portrait"/>
          <w:cols w:equalWidth="0" w:num="1">
            <w:col w:w="9890"/>
          </w:cols>
          <w:pgMar w:left="1170" w:top="1212" w:right="1180"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90"/>
          </w:cols>
          <w:pgMar w:left="1170" w:top="1212" w:right="1180" w:bottom="0" w:gutter="0" w:footer="0" w:header="0"/>
          <w:type w:val="continuous"/>
        </w:sectPr>
      </w:pPr>
    </w:p>
    <w:bookmarkStart w:id="81" w:name="page82"/>
    <w:bookmarkEnd w:id="81"/>
    <w:p>
      <w:pPr>
        <w:ind w:right="160"/>
        <w:spacing w:after="0" w:line="256" w:lineRule="auto"/>
        <w:rPr>
          <w:sz w:val="20"/>
          <w:szCs w:val="20"/>
          <w:color w:val="auto"/>
        </w:rPr>
      </w:pPr>
      <w:r>
        <w:rPr>
          <w:rFonts w:ascii="Times New Roman" w:cs="Times New Roman" w:eastAsia="Times New Roman" w:hAnsi="Times New Roman"/>
          <w:sz w:val="20"/>
          <w:szCs w:val="20"/>
          <w:color w:val="auto"/>
        </w:rPr>
        <w:t>anticipated tax withholding and remittance obligations related to the net settlement upon vesting of RSUs granted to employees under the equity incentive plans. The Company has filed a prospectus supplement pursuant to the Sales Agreement for the offer and sale of up to an aggregate of 1,200,000 shares of its common stock. Subject to the terms and conditions of the Sales Agreement, Stifel will sell the common stock from time to time, based upon instructions from the Company. The Company agreed to pay Stifel a commission of up to 3% of the gross sales proceeds of any common stock sold through Stifel under the Sales Agreement.</w:t>
      </w:r>
    </w:p>
    <w:p>
      <w:pPr>
        <w:spacing w:after="0" w:line="89"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color w:val="auto"/>
        </w:rPr>
        <w:t>During the year ended December 31, 2025, the Company sold 263,400 shares of its common stock to Stifel under the Sales Agreement at a weighted average price of $251.26 per share resulting in net proceeds to the Company of $64.3 million, after deducting underwriting discounts and commissions of $1.3 million and offering costs of $0.6 million. During the year ended December 31, 2024, the Company sold 332,500 shares of its common stock to Stifel under the Sales Agreement at a weighted average price of $151.91 per share resulting in net proceeds to the Company of $48.8 million, after deducting underwriting discounts and commissions of $1.0 million and offering costs of $0.7 million.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Follow-on public offering</w:t>
      </w:r>
    </w:p>
    <w:p>
      <w:pPr>
        <w:spacing w:after="0" w:line="136" w:lineRule="exact"/>
        <w:rPr>
          <w:sz w:val="20"/>
          <w:szCs w:val="20"/>
          <w:color w:val="auto"/>
        </w:rPr>
      </w:pPr>
    </w:p>
    <w:p>
      <w:pPr>
        <w:ind w:right="380" w:firstLine="720"/>
        <w:spacing w:after="0" w:line="266" w:lineRule="auto"/>
        <w:rPr>
          <w:sz w:val="20"/>
          <w:szCs w:val="20"/>
          <w:color w:val="auto"/>
        </w:rPr>
      </w:pPr>
      <w:r>
        <w:rPr>
          <w:rFonts w:ascii="Times New Roman" w:cs="Times New Roman" w:eastAsia="Times New Roman" w:hAnsi="Times New Roman"/>
          <w:sz w:val="20"/>
          <w:szCs w:val="20"/>
          <w:color w:val="auto"/>
        </w:rPr>
        <w:t>On June 27, 2025, the Company completed a follow-on public offering, in which it issued and sold 2,012,500 shares of its common stock, resulting in net proceeds to the Company of $387.3 million after deducting underwriting discounts and commissions of $14.1 million and deferred offering costs of $1.1 million.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Stock-based Compensation</w:t>
      </w:r>
    </w:p>
    <w:p>
      <w:pPr>
        <w:spacing w:after="0" w:line="1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SiTime Corporation 2019 Stock Incentive Plan</w:t>
      </w:r>
    </w:p>
    <w:p>
      <w:pPr>
        <w:spacing w:after="0" w:line="130"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auto"/>
        </w:rPr>
        <w:t>The SiTime Corporation 2019 Stock Incentive Plan (the “2019 Plan”) provides for the grant of incentive stock options, non-statutory stock options, restricted stock awards, restricted stock unit awards, stock appreciation rights, performance stock awards, and other forms of equity compensation (collectively, “stock awards”), and cash awards, all of which may be granted to employees (including officers), directors, and consultants or affiliates. Awards granted under the 2019 Plan vest at the rate specified by the plan administrator, for restricted stock unit awards primarily within the quarter up to five years. As of December 31, 2025, 2.2 million shares were available for future issuance.</w:t>
      </w:r>
    </w:p>
    <w:p>
      <w:pPr>
        <w:spacing w:after="0" w:line="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SiTime Corporation 2022 Inducement Award Plan</w:t>
      </w:r>
    </w:p>
    <w:p>
      <w:pPr>
        <w:spacing w:after="0" w:line="136"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The SiTime Corporation 2022 Inducement Award Plan (the "2022 Plan"), which initially reserved 250,000 shares of the Company's common stock, provides for the grant of incentive stock options, non-statutory stock options, restricted stock awards, restricted stock unit awards, stock appreciation rights, and other forms of equity compensation and cash awards, all of which may be granted to employees (including officers). Awards granted under the 2022 Plan vest at the rate specified by the plan administrator, for restricted stock unit awards primarily over one to four years. In February 2023, the Company amended and restated the 2022 Plan to reserve an additional 250,000 shares of the Company's common stock. As of December 31, 2025, 176,524 shares were available for future issuance.</w:t>
      </w:r>
    </w:p>
    <w:p>
      <w:pPr>
        <w:spacing w:after="0" w:line="8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b w:val="1"/>
          <w:bCs w:val="1"/>
          <w:i w:val="1"/>
          <w:iCs w:val="1"/>
          <w:color w:val="auto"/>
        </w:rPr>
        <w:t>Bonus and Retention Plans</w:t>
      </w:r>
    </w:p>
    <w:p>
      <w:pPr>
        <w:spacing w:after="0" w:line="136" w:lineRule="exact"/>
        <w:rPr>
          <w:sz w:val="20"/>
          <w:szCs w:val="20"/>
          <w:color w:val="auto"/>
        </w:rPr>
      </w:pPr>
    </w:p>
    <w:p>
      <w:pPr>
        <w:ind w:firstLine="720"/>
        <w:spacing w:after="0" w:line="252" w:lineRule="auto"/>
        <w:rPr>
          <w:sz w:val="20"/>
          <w:szCs w:val="20"/>
          <w:color w:val="auto"/>
        </w:rPr>
      </w:pPr>
      <w:r>
        <w:rPr>
          <w:rFonts w:ascii="Times New Roman" w:cs="Times New Roman" w:eastAsia="Times New Roman" w:hAnsi="Times New Roman"/>
          <w:sz w:val="20"/>
          <w:szCs w:val="20"/>
          <w:color w:val="auto"/>
        </w:rPr>
        <w:t>On August 4, 2020, the Compensation Committee of the Board adopted and approved the Executive Bonus and Retention Plan (the "Bonus and Retention Plan"). In January 2023 and March 2024, the Compensation Committee approved target bonus amounts and performance goals for the fiscal year 2023 (the “2023 Goals”) and fiscal year 2024 (the "2024 Goals"), respectively. In February 2025, the Compensation Committee approved target bonus amounts based on the achievement of revenue and individual performance goals for the fiscal year 2025 (the "2025 Goals"). The 2023 Goals, 2024 Goals, and 2025 Goals are based on the achievement of revenue and Non-GAAP operating profit, as well as individual performance goals. The awards for the actual payouts are granted in the quarter following the end of the performance period and vest as per the Compensation Committee approval. The target bonuses were granted based on a fixed dollar amount to be settled in RSUs on the vesting date and hence the awards have been classified as liability-based awards until settled. Such expense is included in the non-cash adjustment within stock-based compensation expense on the consolidated cash flow statements. The liability of $5.9 million for the 2025 Goals was recorded as accrued expenses and other current liabilities in the consolidated balance sheet as of December 31, 2025. Actual payouts ranged from 0% to 45% of target for the 2023 Goals, ranged from 170% to 200% of target for the 2024 Goals and 2025 Goals, in each case based on performance.</w:t>
      </w:r>
    </w:p>
    <w:p>
      <w:pPr>
        <w:spacing w:after="0" w:line="100" w:lineRule="exact"/>
        <w:rPr>
          <w:sz w:val="20"/>
          <w:szCs w:val="20"/>
          <w:color w:val="auto"/>
        </w:rPr>
      </w:pPr>
    </w:p>
    <w:p>
      <w:pPr>
        <w:ind w:right="20" w:firstLine="720"/>
        <w:spacing w:after="0" w:line="258" w:lineRule="auto"/>
        <w:rPr>
          <w:sz w:val="20"/>
          <w:szCs w:val="20"/>
          <w:color w:val="auto"/>
        </w:rPr>
      </w:pPr>
      <w:r>
        <w:rPr>
          <w:rFonts w:ascii="Times New Roman" w:cs="Times New Roman" w:eastAsia="Times New Roman" w:hAnsi="Times New Roman"/>
          <w:sz w:val="20"/>
          <w:szCs w:val="20"/>
          <w:color w:val="auto"/>
        </w:rPr>
        <w:t>In April 2022, the Company adopted a bonus plan for certain employees. The target bonuses are granted based on a fixed dollar amount to be settled in RSUs in the quarter following the end of the performance period. Due to the fixed dollar amount targets, the awards have been classified as liability-based awards until settled. Once settled, these awards are reflected as RSUs granted in the table below. Such expense is included in the non-cash adjustment within stock-based compensation expense on the consolidated cash flow statements and was $3.9 million for the year ended December 31,</w:t>
      </w:r>
    </w:p>
    <w:p>
      <w:pPr>
        <w:sectPr>
          <w:pgSz w:w="12240" w:h="15840" w:orient="portrait"/>
          <w:cols w:equalWidth="0" w:num="1">
            <w:col w:w="9860"/>
          </w:cols>
          <w:pgMar w:left="1180" w:top="856" w:right="1200" w:bottom="0" w:gutter="0" w:footer="0" w:header="0"/>
        </w:sectPr>
      </w:pPr>
    </w:p>
    <w:p>
      <w:pPr>
        <w:spacing w:after="0" w:line="38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60"/>
          </w:cols>
          <w:pgMar w:left="1180" w:top="856" w:right="1200" w:bottom="0" w:gutter="0" w:footer="0" w:header="0"/>
          <w:type w:val="continuous"/>
        </w:sectPr>
      </w:pPr>
    </w:p>
    <w:bookmarkStart w:id="82" w:name="page83"/>
    <w:bookmarkEnd w:id="82"/>
    <w:p>
      <w:pPr>
        <w:ind w:right="620"/>
        <w:spacing w:after="0" w:line="282" w:lineRule="auto"/>
        <w:rPr>
          <w:sz w:val="20"/>
          <w:szCs w:val="20"/>
          <w:color w:val="auto"/>
        </w:rPr>
      </w:pPr>
      <w:r>
        <w:rPr>
          <w:rFonts w:ascii="Times New Roman" w:cs="Times New Roman" w:eastAsia="Times New Roman" w:hAnsi="Times New Roman"/>
          <w:sz w:val="20"/>
          <w:szCs w:val="20"/>
          <w:color w:val="auto"/>
        </w:rPr>
        <w:t>2025. The liability of $1.1 million was recorded as accrued expenses and other current liabilities in the consolidated balance sheet as of December 31, 2025.</w:t>
      </w:r>
    </w:p>
    <w:p>
      <w:pPr>
        <w:spacing w:after="0" w:line="60"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color w:val="auto"/>
        </w:rPr>
        <w:t>In February 2022, the Compensation Committee of the Company approved and granted to certain of the Company’s executive officers MYPSUs with vesting based on achievement of stock price targets, which are measured based on the 60-trading day average per share closing price of the Company’s common stock on the Nasdaq Global Market during the performance periods of up to six years from the date of grant, subject to the continued service of the grantee through the vest date. The grant-date fair value of each MYPSU was determined using a Monte Carlo simulation model. The assumptions used in the Monte Carlo simulation included expected volatility of 44.4%, risk free rate of 1.83%, no expected dividend yield, expected term of six years and possible future stock prices over the performance period based on historical stock and market prices. The Company recognizes the expense related to the MYPSUs on a graded-vesting method over the requisite service period. To date, no MYPSUs have vested.</w:t>
      </w:r>
    </w:p>
    <w:p>
      <w:pPr>
        <w:spacing w:after="0" w:line="90" w:lineRule="exact"/>
        <w:rPr>
          <w:sz w:val="20"/>
          <w:szCs w:val="20"/>
          <w:color w:val="auto"/>
        </w:rPr>
      </w:pPr>
    </w:p>
    <w:p>
      <w:pPr>
        <w:ind w:right="40" w:firstLine="720"/>
        <w:spacing w:after="0" w:line="254" w:lineRule="auto"/>
        <w:rPr>
          <w:sz w:val="20"/>
          <w:szCs w:val="20"/>
          <w:color w:val="auto"/>
        </w:rPr>
      </w:pPr>
      <w:r>
        <w:rPr>
          <w:rFonts w:ascii="Times New Roman" w:cs="Times New Roman" w:eastAsia="Times New Roman" w:hAnsi="Times New Roman"/>
          <w:sz w:val="20"/>
          <w:szCs w:val="20"/>
          <w:color w:val="auto"/>
        </w:rPr>
        <w:t>In February 2023 and March 2023, the Compensation Committee of the Company approved PRSUs for the year 2023 with performance goals based on the achievement of revenue over a one year performance period (the “PRSU 2023 Goals”) and achievement of relative total stockholder return with a two year performance period (the "2023 TSR PRSU Goals"). The grant-date fair value of each PRSU with 2023 TSR PRSU Goals was determined using a Monte Carlo simulation model. The assumptions used in the Monte Carlo simulation included expected volatility of 84.0% and 83.8%, risk free rate of 4.67% and 4.05%, no expected dividend yield, and expected term of 1.9 years and 1.8 years for the awards approved in February 2023 and March 2023, respectively. The Company recognizes the expense related to the PRSUs with PRSU 2023 Goals and PRSUs with 2023 TSR PRSU Goals on a graded-vesting method over the requisite performance period. These grants are included in the PRSU awards granted in the table below.</w:t>
      </w:r>
    </w:p>
    <w:p>
      <w:pPr>
        <w:spacing w:after="0" w:line="89" w:lineRule="exact"/>
        <w:rPr>
          <w:sz w:val="20"/>
          <w:szCs w:val="20"/>
          <w:color w:val="auto"/>
        </w:rPr>
      </w:pPr>
    </w:p>
    <w:p>
      <w:pPr>
        <w:ind w:right="40" w:firstLine="720"/>
        <w:spacing w:after="0" w:line="267" w:lineRule="auto"/>
        <w:rPr>
          <w:sz w:val="20"/>
          <w:szCs w:val="20"/>
          <w:color w:val="auto"/>
        </w:rPr>
      </w:pPr>
      <w:r>
        <w:rPr>
          <w:rFonts w:ascii="Times New Roman" w:cs="Times New Roman" w:eastAsia="Times New Roman" w:hAnsi="Times New Roman"/>
          <w:sz w:val="19"/>
          <w:szCs w:val="19"/>
          <w:color w:val="auto"/>
        </w:rPr>
        <w:t>In March 2024 and August 2024, the Compensation Committee of the Company approved PRSUs for the fiscal year 2024 with performance goals based on the achievement of relative total stockholder return with a two year and a three year performance period (the "2024 TSR PRSU Goals"). The grant-date fair value of each PRSU was determined using Monte Carlo simulation model. The assumptions used in the Monte Carlo simulation for the March 2024 awards included expected volatility of 74.7%, risk free rate of 4.5%, no expected dividend yield and expected term of 2.8 years. The assumptions used in the Monte Carlo simulation for the August 2024 awards included expected volatility ranging from</w:t>
      </w:r>
    </w:p>
    <w:p>
      <w:pPr>
        <w:spacing w:after="0" w:line="2"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20"/>
          <w:szCs w:val="20"/>
          <w:color w:val="auto"/>
        </w:rPr>
        <w:t>60.5% to 71.9%, risk free rate ranging from 3.9% to 4.3%, no expected dividend yield and expected term ranging from 1.4 years to 2.4 years. The Company recognizes the expense related to the 2024 TSR PRSU Goals on a graded-vesting method over the requisite performance period. These grants are included in the PRSU awards granted in the table below.</w:t>
      </w:r>
    </w:p>
    <w:p>
      <w:pPr>
        <w:spacing w:after="0" w:line="87" w:lineRule="exact"/>
        <w:rPr>
          <w:sz w:val="20"/>
          <w:szCs w:val="20"/>
          <w:color w:val="auto"/>
        </w:rPr>
      </w:pPr>
    </w:p>
    <w:p>
      <w:pPr>
        <w:ind w:right="140" w:firstLine="720"/>
        <w:spacing w:after="0" w:line="255" w:lineRule="auto"/>
        <w:rPr>
          <w:sz w:val="20"/>
          <w:szCs w:val="20"/>
          <w:color w:val="auto"/>
        </w:rPr>
      </w:pPr>
      <w:r>
        <w:rPr>
          <w:rFonts w:ascii="Times New Roman" w:cs="Times New Roman" w:eastAsia="Times New Roman" w:hAnsi="Times New Roman"/>
          <w:sz w:val="20"/>
          <w:szCs w:val="20"/>
          <w:color w:val="auto"/>
        </w:rPr>
        <w:t>In February 2025, the Compensation Committee of the Company approved PRSUs for the fiscal year 2025 with performance goals based on the achievement of relative total stockholder return with a three year performance period (the "2025 TSR PRSU Goals"). The grant-date fair value of each PRSU was determined using Monte Carlo simulation model. The assumptions used in the Monte Carlo simulation for the awards included expected volatility ranging from 72.6% to 72.9%, risk free rate of 4.3%, no expected dividend yield and expected term of 2.9 years. The Company recognizes the expense related to the 2025 TSR PRSU Goals on a graded-vesting method over the requisite performance period. These grants are included in the PRSU awards granted in the table below.</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following table summarizes the RSU, PRSU, and MYPSU awards activity for the year ended December 31,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pacing w:after="0" w:line="301"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3"/>
          </w:tcPr>
          <w:p>
            <w:pPr>
              <w:ind w:left="760"/>
              <w:spacing w:after="0"/>
              <w:rPr>
                <w:sz w:val="20"/>
                <w:szCs w:val="20"/>
                <w:color w:val="auto"/>
              </w:rPr>
            </w:pPr>
            <w:r>
              <w:rPr>
                <w:rFonts w:ascii="Times New Roman" w:cs="Times New Roman" w:eastAsia="Times New Roman" w:hAnsi="Times New Roman"/>
                <w:sz w:val="16"/>
                <w:szCs w:val="16"/>
                <w:b w:val="1"/>
                <w:bCs w:val="1"/>
                <w:color w:val="auto"/>
              </w:rPr>
              <w:t>RSU</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PRSU</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MYPSU</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2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Grant Date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193"/>
        </w:trPr>
        <w:tc>
          <w:tcPr>
            <w:tcW w:w="2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6"/>
                <w:szCs w:val="16"/>
                <w:color w:val="auto"/>
              </w:rPr>
            </w:pP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6"/>
                <w:szCs w:val="16"/>
                <w:color w:val="auto"/>
              </w:rPr>
            </w:pPr>
          </w:p>
        </w:tc>
        <w:tc>
          <w:tcPr>
            <w:tcW w:w="900" w:type="dxa"/>
            <w:vAlign w:val="bottom"/>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8"/>
                <w:szCs w:val="18"/>
                <w:color w:val="auto"/>
              </w:rPr>
            </w:pPr>
          </w:p>
        </w:tc>
        <w:tc>
          <w:tcPr>
            <w:tcW w:w="90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0" w:type="dxa"/>
            <w:vAlign w:val="bottom"/>
          </w:tcPr>
          <w:p>
            <w:pPr>
              <w:spacing w:after="0"/>
              <w:rPr>
                <w:sz w:val="1"/>
                <w:szCs w:val="1"/>
                <w:color w:val="auto"/>
              </w:rPr>
            </w:pPr>
          </w:p>
        </w:tc>
      </w:tr>
      <w:tr>
        <w:trPr>
          <w:trHeight w:val="38"/>
        </w:trPr>
        <w:tc>
          <w:tcPr>
            <w:tcW w:w="298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2"/>
          </w:tcPr>
          <w:p>
            <w:pPr>
              <w:spacing w:after="0"/>
              <w:rPr>
                <w:sz w:val="20"/>
                <w:szCs w:val="20"/>
                <w:color w:val="auto"/>
              </w:rPr>
            </w:pPr>
          </w:p>
        </w:tc>
        <w:tc>
          <w:tcPr>
            <w:tcW w:w="440" w:type="dxa"/>
            <w:vAlign w:val="bottom"/>
            <w:gridSpan w:val="2"/>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300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Unvested at December 31, 2024</w:t>
            </w: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915,152</w:t>
            </w:r>
          </w:p>
        </w:tc>
        <w:tc>
          <w:tcPr>
            <w:tcW w:w="340" w:type="dxa"/>
            <w:vAlign w:val="bottom"/>
            <w:tcBorders>
              <w:bottom w:val="single" w:sz="8" w:color="DDDDDD"/>
            </w:tcBorders>
            <w:gridSpan w:val="2"/>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960" w:type="dxa"/>
            <w:vAlign w:val="bottom"/>
            <w:tcBorders>
              <w:bottom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210,044</w:t>
            </w:r>
          </w:p>
        </w:tc>
        <w:tc>
          <w:tcPr>
            <w:tcW w:w="6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DDDDDD"/>
            </w:tcBorders>
            <w:shd w:val="clear" w:color="auto" w:fill="DDDDDD"/>
          </w:tcPr>
          <w:p>
            <w:pPr>
              <w:spacing w:after="0"/>
              <w:rPr>
                <w:sz w:val="24"/>
                <w:szCs w:val="24"/>
                <w:color w:val="auto"/>
              </w:rPr>
            </w:pPr>
          </w:p>
        </w:tc>
        <w:tc>
          <w:tcPr>
            <w:tcW w:w="6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960" w:type="dxa"/>
            <w:vAlign w:val="bottom"/>
            <w:tcBorders>
              <w:bottom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285,880</w:t>
            </w:r>
          </w:p>
        </w:tc>
        <w:tc>
          <w:tcPr>
            <w:tcW w:w="440" w:type="dxa"/>
            <w:vAlign w:val="bottom"/>
            <w:tcBorders>
              <w:bottom w:val="single" w:sz="8" w:color="DDDDDD"/>
            </w:tcBorders>
            <w:gridSpan w:val="2"/>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0"/>
        </w:trPr>
        <w:tc>
          <w:tcPr>
            <w:tcW w:w="3000" w:type="dxa"/>
            <w:vAlign w:val="bottom"/>
            <w:tcBorders>
              <w:top w:val="single" w:sz="8" w:color="DDDDDD"/>
              <w:bottom w:val="single" w:sz="8" w:color="DDDDDD"/>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DDDDDD"/>
            </w:tcBorders>
          </w:tcPr>
          <w:p>
            <w:pPr>
              <w:spacing w:after="0" w:line="20" w:lineRule="exact"/>
              <w:rPr>
                <w:sz w:val="1"/>
                <w:szCs w:val="1"/>
                <w:color w:val="auto"/>
              </w:rPr>
            </w:pPr>
          </w:p>
        </w:tc>
        <w:tc>
          <w:tcPr>
            <w:tcW w:w="620" w:type="dxa"/>
            <w:vAlign w:val="bottom"/>
            <w:tcBorders>
              <w:top w:val="single" w:sz="8" w:color="DDDDDD"/>
              <w:bottom w:val="single" w:sz="8" w:color="DDDDDD"/>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40" w:type="dxa"/>
            <w:vAlign w:val="bottom"/>
            <w:tcBorders>
              <w:top w:val="single" w:sz="8" w:color="DDDDDD"/>
              <w:bottom w:val="single" w:sz="8" w:color="DDDDDD"/>
            </w:tcBorders>
            <w:vMerge w:val="restart"/>
          </w:tcPr>
          <w:p>
            <w:pPr>
              <w:spacing w:after="0" w:line="20" w:lineRule="exact"/>
              <w:rPr>
                <w:sz w:val="1"/>
                <w:szCs w:val="1"/>
                <w:color w:val="auto"/>
              </w:rPr>
            </w:pPr>
          </w:p>
        </w:tc>
        <w:tc>
          <w:tcPr>
            <w:tcW w:w="20" w:type="dxa"/>
            <w:vAlign w:val="bottom"/>
            <w:tcBorders>
              <w:top w:val="single" w:sz="8" w:color="DDDDDD"/>
              <w:bottom w:val="single" w:sz="8" w:color="DDDDDD"/>
            </w:tcBorders>
            <w:vMerge w:val="restart"/>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300" w:type="dxa"/>
            <w:vAlign w:val="bottom"/>
            <w:tcBorders>
              <w:top w:val="single" w:sz="8" w:color="DDDDDD"/>
            </w:tcBorders>
          </w:tcPr>
          <w:p>
            <w:pPr>
              <w:spacing w:after="0" w:line="20" w:lineRule="exact"/>
              <w:rPr>
                <w:sz w:val="1"/>
                <w:szCs w:val="1"/>
                <w:color w:val="auto"/>
              </w:rPr>
            </w:pPr>
          </w:p>
        </w:tc>
        <w:tc>
          <w:tcPr>
            <w:tcW w:w="600" w:type="dxa"/>
            <w:vAlign w:val="bottom"/>
            <w:tcBorders>
              <w:top w:val="single" w:sz="8" w:color="DDDDDD"/>
              <w:bottom w:val="single" w:sz="8" w:color="DDDDDD"/>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4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380" w:type="dxa"/>
            <w:vAlign w:val="bottom"/>
            <w:tcBorders>
              <w:top w:val="single" w:sz="8" w:color="DDDDDD"/>
            </w:tcBorders>
          </w:tcPr>
          <w:p>
            <w:pPr>
              <w:spacing w:after="0" w:line="20" w:lineRule="exact"/>
              <w:rPr>
                <w:sz w:val="1"/>
                <w:szCs w:val="1"/>
                <w:color w:val="auto"/>
              </w:rPr>
            </w:pPr>
          </w:p>
        </w:tc>
        <w:tc>
          <w:tcPr>
            <w:tcW w:w="520" w:type="dxa"/>
            <w:vAlign w:val="bottom"/>
            <w:tcBorders>
              <w:top w:val="single" w:sz="8" w:color="DDDDDD"/>
              <w:bottom w:val="single" w:sz="8" w:color="DDDDDD"/>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20"/>
        </w:trPr>
        <w:tc>
          <w:tcPr>
            <w:tcW w:w="3000" w:type="dxa"/>
            <w:vAlign w:val="bottom"/>
            <w:gridSpan w:val="2"/>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442,745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155,565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00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(629,986)</w:t>
            </w:r>
          </w:p>
        </w:tc>
        <w:tc>
          <w:tcPr>
            <w:tcW w:w="6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DDDDDD"/>
            </w:tcBorders>
            <w:shd w:val="clear" w:color="auto" w:fill="DDDDDD"/>
          </w:tcPr>
          <w:p>
            <w:pPr>
              <w:spacing w:after="0"/>
              <w:rPr>
                <w:sz w:val="24"/>
                <w:szCs w:val="24"/>
                <w:color w:val="auto"/>
              </w:rPr>
            </w:pPr>
          </w:p>
        </w:tc>
        <w:tc>
          <w:tcPr>
            <w:tcW w:w="6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960" w:type="dxa"/>
            <w:vAlign w:val="bottom"/>
            <w:tcBorders>
              <w:bottom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(53,090)</w:t>
            </w:r>
          </w:p>
        </w:tc>
        <w:tc>
          <w:tcPr>
            <w:tcW w:w="60" w:type="dxa"/>
            <w:vAlign w:val="bottom"/>
            <w:tcBorders>
              <w:bottom w:val="single" w:sz="8" w:color="DDDDDD"/>
            </w:tcBorders>
            <w:shd w:val="clear" w:color="auto" w:fill="DDDDDD"/>
          </w:tcPr>
          <w:p>
            <w:pPr>
              <w:spacing w:after="0"/>
              <w:rPr>
                <w:sz w:val="24"/>
                <w:szCs w:val="24"/>
                <w:color w:val="auto"/>
              </w:rPr>
            </w:pPr>
          </w:p>
        </w:tc>
        <w:tc>
          <w:tcPr>
            <w:tcW w:w="300" w:type="dxa"/>
            <w:vAlign w:val="bottom"/>
            <w:tcBorders>
              <w:bottom w:val="single" w:sz="8" w:color="DDDDDD"/>
            </w:tcBorders>
            <w:shd w:val="clear" w:color="auto" w:fill="DDDDDD"/>
          </w:tcPr>
          <w:p>
            <w:pPr>
              <w:spacing w:after="0"/>
              <w:rPr>
                <w:sz w:val="24"/>
                <w:szCs w:val="24"/>
                <w:color w:val="auto"/>
              </w:rPr>
            </w:pPr>
          </w:p>
        </w:tc>
        <w:tc>
          <w:tcPr>
            <w:tcW w:w="6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DDDDDD"/>
            </w:tcBorders>
            <w:shd w:val="clear" w:color="auto" w:fill="DDDDDD"/>
          </w:tcPr>
          <w:p>
            <w:pPr>
              <w:spacing w:after="0"/>
              <w:rPr>
                <w:sz w:val="24"/>
                <w:szCs w:val="24"/>
                <w:color w:val="auto"/>
              </w:rPr>
            </w:pPr>
          </w:p>
        </w:tc>
        <w:tc>
          <w:tcPr>
            <w:tcW w:w="380" w:type="dxa"/>
            <w:vAlign w:val="bottom"/>
            <w:tcBorders>
              <w:bottom w:val="single" w:sz="8" w:color="DDDDDD"/>
            </w:tcBorders>
            <w:shd w:val="clear" w:color="auto" w:fill="DDDDDD"/>
          </w:tcPr>
          <w:p>
            <w:pPr>
              <w:spacing w:after="0"/>
              <w:rPr>
                <w:sz w:val="24"/>
                <w:szCs w:val="24"/>
                <w:color w:val="auto"/>
              </w:rPr>
            </w:pPr>
          </w:p>
        </w:tc>
        <w:tc>
          <w:tcPr>
            <w:tcW w:w="5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3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298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40" w:type="dxa"/>
            <w:vAlign w:val="bottom"/>
            <w:tcBorders>
              <w:bottom w:val="single" w:sz="8" w:color="DDDDDD"/>
            </w:tcBorders>
            <w:gridSpan w:val="2"/>
          </w:tcPr>
          <w:p>
            <w:pPr>
              <w:spacing w:after="0"/>
              <w:rPr>
                <w:sz w:val="3"/>
                <w:szCs w:val="3"/>
                <w:color w:val="auto"/>
              </w:rPr>
            </w:pPr>
          </w:p>
        </w:tc>
        <w:tc>
          <w:tcPr>
            <w:tcW w:w="620" w:type="dxa"/>
            <w:vAlign w:val="bottom"/>
            <w:tcBorders>
              <w:bottom w:val="single" w:sz="8" w:color="DDDDDD"/>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60" w:type="dxa"/>
            <w:vAlign w:val="bottom"/>
            <w:tcBorders>
              <w:bottom w:val="single" w:sz="8" w:color="DDDDDD"/>
            </w:tcBorders>
            <w:gridSpan w:val="2"/>
          </w:tcPr>
          <w:p>
            <w:pPr>
              <w:spacing w:after="0"/>
              <w:rPr>
                <w:sz w:val="3"/>
                <w:szCs w:val="3"/>
                <w:color w:val="auto"/>
              </w:rPr>
            </w:pPr>
          </w:p>
        </w:tc>
        <w:tc>
          <w:tcPr>
            <w:tcW w:w="600" w:type="dxa"/>
            <w:vAlign w:val="bottom"/>
            <w:tcBorders>
              <w:bottom w:val="single" w:sz="8" w:color="DDDDDD"/>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40" w:type="dxa"/>
            <w:vAlign w:val="bottom"/>
            <w:tcBorders>
              <w:bottom w:val="single" w:sz="8" w:color="DDDDDD"/>
            </w:tcBorders>
            <w:gridSpan w:val="2"/>
          </w:tcPr>
          <w:p>
            <w:pPr>
              <w:spacing w:after="0"/>
              <w:rPr>
                <w:sz w:val="3"/>
                <w:szCs w:val="3"/>
                <w:color w:val="auto"/>
              </w:rPr>
            </w:pPr>
          </w:p>
        </w:tc>
        <w:tc>
          <w:tcPr>
            <w:tcW w:w="520" w:type="dxa"/>
            <w:vAlign w:val="bottom"/>
            <w:tcBorders>
              <w:bottom w:val="single" w:sz="8" w:color="DDDDDD"/>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00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18"/>
                <w:szCs w:val="18"/>
                <w:b w:val="1"/>
                <w:bCs w:val="1"/>
                <w:color w:val="auto"/>
              </w:rPr>
              <w:t>Unvested at December 31, 2025</w:t>
            </w:r>
          </w:p>
        </w:tc>
        <w:tc>
          <w:tcPr>
            <w:tcW w:w="9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682,991</w:t>
            </w:r>
          </w:p>
        </w:tc>
        <w:tc>
          <w:tcPr>
            <w:tcW w:w="340" w:type="dxa"/>
            <w:vAlign w:val="bottom"/>
            <w:tcBorders>
              <w:bottom w:val="single" w:sz="8" w:color="DDDDDD"/>
            </w:tcBorders>
            <w:gridSpan w:val="2"/>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960" w:type="dxa"/>
            <w:vAlign w:val="bottom"/>
            <w:tcBorders>
              <w:bottom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312,519</w:t>
            </w:r>
          </w:p>
        </w:tc>
        <w:tc>
          <w:tcPr>
            <w:tcW w:w="360" w:type="dxa"/>
            <w:vAlign w:val="bottom"/>
            <w:tcBorders>
              <w:bottom w:val="single" w:sz="8" w:color="DDDDDD"/>
            </w:tcBorders>
            <w:gridSpan w:val="2"/>
            <w:shd w:val="clear" w:color="auto" w:fill="DDDDDD"/>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960" w:type="dxa"/>
            <w:vAlign w:val="bottom"/>
            <w:tcBorders>
              <w:bottom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285,880</w:t>
            </w:r>
          </w:p>
        </w:tc>
        <w:tc>
          <w:tcPr>
            <w:tcW w:w="440" w:type="dxa"/>
            <w:vAlign w:val="bottom"/>
            <w:tcBorders>
              <w:bottom w:val="single" w:sz="8" w:color="DDDDDD"/>
            </w:tcBorders>
            <w:gridSpan w:val="2"/>
            <w:shd w:val="clear" w:color="auto" w:fill="DDDDDD"/>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374650</wp:posOffset>
                </wp:positionH>
                <wp:positionV relativeFrom="paragraph">
                  <wp:posOffset>-783590</wp:posOffset>
                </wp:positionV>
                <wp:extent cx="190500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0" cy="4763"/>
                        </a:xfrm>
                        <a:prstGeom prst="line">
                          <a:avLst/>
                        </a:prstGeom>
                        <a:solidFill>
                          <a:srgbClr val="FFFFFF"/>
                        </a:solidFill>
                        <a:ln w="38101">
                          <a:solidFill>
                            <a:srgbClr val="FFFFFF"/>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5pt,-61.6999pt" to="179.5pt,-61.6999pt" o:allowincell="f" strokecolor="#FFFFFF" strokeweight="3.0001pt"/>
            </w:pict>
          </mc:Fallback>
        </mc:AlternateContent>
        <mc:AlternateContent>
          <mc:Choice Requires="wps">
            <w:drawing>
              <wp:anchor simplePos="0" relativeHeight="251657728" behindDoc="1" locked="0" layoutInCell="0" allowOverlap="1">
                <wp:simplePos x="0" y="0"/>
                <wp:positionH relativeFrom="column">
                  <wp:posOffset>2279650</wp:posOffset>
                </wp:positionH>
                <wp:positionV relativeFrom="paragraph">
                  <wp:posOffset>-765175</wp:posOffset>
                </wp:positionV>
                <wp:extent cx="57150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5pt,-60.2499pt" to="224.5pt,-60.2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2851150</wp:posOffset>
                </wp:positionH>
                <wp:positionV relativeFrom="paragraph">
                  <wp:posOffset>-783590</wp:posOffset>
                </wp:positionV>
                <wp:extent cx="64770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38101">
                          <a:solidFill>
                            <a:srgbClr val="FFFFFF"/>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4.5pt,-61.6999pt" to="275.5pt,-61.6999pt" o:allowincell="f" strokecolor="#FFFFFF" strokeweight="3.0001pt"/>
            </w:pict>
          </mc:Fallback>
        </mc:AlternateContent>
        <mc:AlternateContent>
          <mc:Choice Requires="wps">
            <w:drawing>
              <wp:anchor simplePos="0" relativeHeight="251657728" behindDoc="1" locked="0" layoutInCell="0" allowOverlap="1">
                <wp:simplePos x="0" y="0"/>
                <wp:positionH relativeFrom="column">
                  <wp:posOffset>3498850</wp:posOffset>
                </wp:positionH>
                <wp:positionV relativeFrom="paragraph">
                  <wp:posOffset>-765175</wp:posOffset>
                </wp:positionV>
                <wp:extent cx="57150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5pt,-60.2499pt" to="320.5pt,-60.2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4070350</wp:posOffset>
                </wp:positionH>
                <wp:positionV relativeFrom="paragraph">
                  <wp:posOffset>-783590</wp:posOffset>
                </wp:positionV>
                <wp:extent cx="64770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7700" cy="4763"/>
                        </a:xfrm>
                        <a:prstGeom prst="line">
                          <a:avLst/>
                        </a:prstGeom>
                        <a:solidFill>
                          <a:srgbClr val="FFFFFF"/>
                        </a:solidFill>
                        <a:ln w="38101">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5pt,-61.6999pt" to="371.5pt,-61.6999pt" o:allowincell="f" strokecolor="#FFFFFF" strokeweight="3.0001pt"/>
            </w:pict>
          </mc:Fallback>
        </mc:AlternateContent>
        <mc:AlternateContent>
          <mc:Choice Requires="wps">
            <w:drawing>
              <wp:anchor simplePos="0" relativeHeight="251657728" behindDoc="1" locked="0" layoutInCell="0" allowOverlap="1">
                <wp:simplePos x="0" y="0"/>
                <wp:positionH relativeFrom="column">
                  <wp:posOffset>4718050</wp:posOffset>
                </wp:positionH>
                <wp:positionV relativeFrom="paragraph">
                  <wp:posOffset>-765175</wp:posOffset>
                </wp:positionV>
                <wp:extent cx="57150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15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5pt,-60.2499pt" to="416.5pt,-60.2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5289550</wp:posOffset>
                </wp:positionH>
                <wp:positionV relativeFrom="paragraph">
                  <wp:posOffset>-783590</wp:posOffset>
                </wp:positionV>
                <wp:extent cx="60960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38101">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6.5pt,-61.6999pt" to="464.5pt,-61.6999pt" o:allowincell="f" strokecolor="#FFFFFF" strokeweight="3.0001pt"/>
            </w:pict>
          </mc:Fallback>
        </mc:AlternateContent>
      </w:r>
    </w:p>
    <w:p>
      <w:pPr>
        <w:spacing w:after="0" w:line="297" w:lineRule="exact"/>
        <w:rPr>
          <w:sz w:val="20"/>
          <w:szCs w:val="20"/>
          <w:color w:val="auto"/>
        </w:rPr>
      </w:pPr>
    </w:p>
    <w:p>
      <w:pPr>
        <w:ind w:firstLine="720"/>
        <w:spacing w:after="0" w:line="279" w:lineRule="auto"/>
        <w:rPr>
          <w:sz w:val="20"/>
          <w:szCs w:val="20"/>
          <w:color w:val="auto"/>
        </w:rPr>
      </w:pPr>
      <w:r>
        <w:rPr>
          <w:rFonts w:ascii="Times New Roman" w:cs="Times New Roman" w:eastAsia="Times New Roman" w:hAnsi="Times New Roman"/>
          <w:sz w:val="19"/>
          <w:szCs w:val="19"/>
          <w:color w:val="auto"/>
        </w:rPr>
        <w:t>The difference between the number of RSUs vested and the shares of common stock issued during the year ended December 31, 2025 and 2024 is the result of RSUs withheld in satisfaction of minimum tax withholding obligations associated with the vesting. The weighted-average grant date fair value for RSUs granted for the years ended December 31, 2025, 2024, and 2023 was $186.4, $117.0, and $120.1 per share, respectively. The weighted-average grant date fair value</w:t>
      </w:r>
    </w:p>
    <w:p>
      <w:pPr>
        <w:spacing w:after="0" w:line="240"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80"/>
          </w:cols>
          <w:pgMar w:left="1180" w:top="856" w:right="1180" w:bottom="0" w:gutter="0" w:footer="0" w:header="0"/>
        </w:sectPr>
      </w:pPr>
    </w:p>
    <w:bookmarkStart w:id="83" w:name="page84"/>
    <w:bookmarkEnd w:id="83"/>
    <w:p>
      <w:pPr>
        <w:ind w:right="80"/>
        <w:spacing w:after="0" w:line="261" w:lineRule="auto"/>
        <w:rPr>
          <w:sz w:val="20"/>
          <w:szCs w:val="20"/>
          <w:color w:val="auto"/>
        </w:rPr>
      </w:pPr>
      <w:r>
        <w:rPr>
          <w:rFonts w:ascii="Times New Roman" w:cs="Times New Roman" w:eastAsia="Times New Roman" w:hAnsi="Times New Roman"/>
          <w:sz w:val="20"/>
          <w:szCs w:val="20"/>
          <w:color w:val="auto"/>
        </w:rPr>
        <w:t>for PRSUs granted for the years ended December 31, 2025 and 2024 was $187.8 and $82.8 per share, respectively. No PRSUs were granted for the year ended December 31, 2023. No MYPSUs were granted for the years ended December 31, 2025, 2024, and 2023. The total grant date fair value, as of the vesting date, of awards vested during the years ended December 31, 2025, 2024, and 2023 were $90.6 million, $80.2 million, and $55.6 million, respectively.</w:t>
      </w:r>
    </w:p>
    <w:p>
      <w:pPr>
        <w:spacing w:after="0" w:line="200" w:lineRule="exact"/>
        <w:rPr>
          <w:sz w:val="20"/>
          <w:szCs w:val="20"/>
          <w:color w:val="auto"/>
        </w:rPr>
      </w:pPr>
    </w:p>
    <w:p>
      <w:pPr>
        <w:ind w:right="260" w:firstLine="720"/>
        <w:spacing w:after="0" w:line="282" w:lineRule="auto"/>
        <w:rPr>
          <w:sz w:val="20"/>
          <w:szCs w:val="20"/>
          <w:color w:val="auto"/>
        </w:rPr>
      </w:pPr>
      <w:r>
        <w:rPr>
          <w:rFonts w:ascii="Times New Roman" w:cs="Times New Roman" w:eastAsia="Times New Roman" w:hAnsi="Times New Roman"/>
          <w:sz w:val="20"/>
          <w:szCs w:val="20"/>
          <w:color w:val="auto"/>
        </w:rPr>
        <w:t>Total stock-based compensation expense for employees recognized in the consolidated statements of operations and comprehensive loss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8"/>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0" w:type="dxa"/>
            <w:vAlign w:val="bottom"/>
          </w:tcPr>
          <w:p>
            <w:pPr>
              <w:spacing w:after="0"/>
              <w:rPr>
                <w:sz w:val="3"/>
                <w:szCs w:val="3"/>
                <w:color w:val="auto"/>
              </w:rPr>
            </w:pPr>
          </w:p>
        </w:tc>
        <w:tc>
          <w:tcPr>
            <w:tcW w:w="5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8"/>
        </w:trPr>
        <w:tc>
          <w:tcPr>
            <w:tcW w:w="40" w:type="dxa"/>
            <w:vAlign w:val="bottom"/>
          </w:tcPr>
          <w:p>
            <w:pPr>
              <w:spacing w:after="0"/>
              <w:rPr>
                <w:sz w:val="3"/>
                <w:szCs w:val="3"/>
                <w:color w:val="auto"/>
              </w:rPr>
            </w:pPr>
          </w:p>
        </w:tc>
        <w:tc>
          <w:tcPr>
            <w:tcW w:w="5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 based awards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5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5"/>
        </w:trPr>
        <w:tc>
          <w:tcPr>
            <w:tcW w:w="40" w:type="dxa"/>
            <w:vAlign w:val="bottom"/>
            <w:tcBorders>
              <w:bottom w:val="single" w:sz="8" w:color="DDDDDD"/>
            </w:tcBorders>
            <w:shd w:val="clear" w:color="auto" w:fill="DDDDDD"/>
          </w:tcPr>
          <w:p>
            <w:pPr>
              <w:spacing w:after="0"/>
              <w:rPr>
                <w:sz w:val="24"/>
                <w:szCs w:val="24"/>
                <w:color w:val="auto"/>
              </w:rPr>
            </w:pPr>
          </w:p>
        </w:tc>
        <w:tc>
          <w:tcPr>
            <w:tcW w:w="5800" w:type="dxa"/>
            <w:vAlign w:val="bottom"/>
            <w:tcBorders>
              <w:bottom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320" w:type="dxa"/>
            <w:vAlign w:val="bottom"/>
            <w:tcBorders>
              <w:bottom w:val="single" w:sz="8" w:color="DDDDDD"/>
            </w:tcBorders>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2,838</w:t>
            </w:r>
          </w:p>
        </w:tc>
        <w:tc>
          <w:tcPr>
            <w:tcW w:w="220" w:type="dxa"/>
            <w:vAlign w:val="bottom"/>
            <w:tcBorders>
              <w:bottom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1,553</w:t>
            </w:r>
          </w:p>
        </w:tc>
        <w:tc>
          <w:tcPr>
            <w:tcW w:w="400" w:type="dxa"/>
            <w:vAlign w:val="bottom"/>
            <w:tcBorders>
              <w:bottom w:val="single" w:sz="8" w:color="DDDDDD"/>
            </w:tcBorders>
            <w:gridSpan w:val="3"/>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2,765</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38,417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34,247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30,893</w:t>
            </w: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5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5"/>
        </w:trPr>
        <w:tc>
          <w:tcPr>
            <w:tcW w:w="40" w:type="dxa"/>
            <w:vAlign w:val="bottom"/>
            <w:tcBorders>
              <w:bottom w:val="single" w:sz="8" w:color="DDDDDD"/>
            </w:tcBorders>
            <w:shd w:val="clear" w:color="auto" w:fill="DDDDDD"/>
          </w:tcPr>
          <w:p>
            <w:pPr>
              <w:spacing w:after="0"/>
              <w:rPr>
                <w:sz w:val="24"/>
                <w:szCs w:val="24"/>
                <w:color w:val="auto"/>
              </w:rPr>
            </w:pPr>
          </w:p>
        </w:tc>
        <w:tc>
          <w:tcPr>
            <w:tcW w:w="5800" w:type="dxa"/>
            <w:vAlign w:val="bottom"/>
            <w:tcBorders>
              <w:bottom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52,216</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40" w:type="dxa"/>
            <w:vAlign w:val="bottom"/>
            <w:tcBorders>
              <w:bottom w:val="single" w:sz="8" w:color="DDDDDD"/>
            </w:tcBorders>
            <w:shd w:val="clear" w:color="auto" w:fill="DDDDDD"/>
          </w:tcPr>
          <w:p>
            <w:pPr>
              <w:spacing w:after="0"/>
              <w:rPr>
                <w:sz w:val="24"/>
                <w:szCs w:val="24"/>
                <w:color w:val="auto"/>
              </w:rPr>
            </w:pPr>
          </w:p>
        </w:tc>
        <w:tc>
          <w:tcPr>
            <w:tcW w:w="1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47,632</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ind w:right="1"/>
              <w:spacing w:after="0"/>
              <w:rPr>
                <w:sz w:val="20"/>
                <w:szCs w:val="20"/>
                <w:color w:val="auto"/>
              </w:rPr>
            </w:pPr>
            <w:r>
              <w:rPr>
                <w:rFonts w:ascii="Times New Roman" w:cs="Times New Roman" w:eastAsia="Times New Roman" w:hAnsi="Times New Roman"/>
                <w:sz w:val="20"/>
                <w:szCs w:val="20"/>
                <w:color w:val="auto"/>
              </w:rPr>
              <w:t>39,111</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93,471</w:t>
            </w:r>
          </w:p>
        </w:tc>
        <w:tc>
          <w:tcPr>
            <w:tcW w:w="80" w:type="dxa"/>
            <w:vAlign w:val="bottom"/>
            <w:gridSpan w:val="2"/>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83,432</w:t>
            </w:r>
          </w:p>
        </w:tc>
        <w:tc>
          <w:tcPr>
            <w:tcW w:w="80" w:type="dxa"/>
            <w:vAlign w:val="bottom"/>
            <w:gridSpan w:val="2"/>
          </w:tcPr>
          <w:p>
            <w:pPr>
              <w:spacing w:after="0"/>
              <w:rPr>
                <w:sz w:val="22"/>
                <w:szCs w:val="22"/>
                <w:color w:val="auto"/>
              </w:rPr>
            </w:pPr>
          </w:p>
        </w:tc>
        <w:tc>
          <w:tcPr>
            <w:tcW w:w="32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72,769</w:t>
            </w:r>
          </w:p>
        </w:tc>
        <w:tc>
          <w:tcPr>
            <w:tcW w:w="0" w:type="dxa"/>
            <w:vAlign w:val="bottom"/>
          </w:tcPr>
          <w:p>
            <w:pPr>
              <w:spacing w:after="0"/>
              <w:rPr>
                <w:sz w:val="1"/>
                <w:szCs w:val="1"/>
                <w:color w:val="auto"/>
              </w:rPr>
            </w:pPr>
          </w:p>
        </w:tc>
      </w:tr>
      <w:tr>
        <w:trPr>
          <w:trHeight w:val="82"/>
        </w:trPr>
        <w:tc>
          <w:tcPr>
            <w:tcW w:w="40" w:type="dxa"/>
            <w:vAlign w:val="bottom"/>
            <w:tcBorders>
              <w:bottom w:val="single" w:sz="8" w:color="DDDDDD"/>
            </w:tcBorders>
          </w:tcPr>
          <w:p>
            <w:pPr>
              <w:spacing w:after="0"/>
              <w:rPr>
                <w:sz w:val="7"/>
                <w:szCs w:val="7"/>
                <w:color w:val="auto"/>
              </w:rPr>
            </w:pPr>
          </w:p>
        </w:tc>
        <w:tc>
          <w:tcPr>
            <w:tcW w:w="5740" w:type="dxa"/>
            <w:vAlign w:val="bottom"/>
            <w:tcBorders>
              <w:bottom w:val="single" w:sz="8" w:color="DDDDDD"/>
            </w:tcBorders>
          </w:tcPr>
          <w:p>
            <w:pPr>
              <w:spacing w:after="0"/>
              <w:rPr>
                <w:sz w:val="7"/>
                <w:szCs w:val="7"/>
                <w:color w:val="auto"/>
              </w:rPr>
            </w:pPr>
          </w:p>
        </w:tc>
        <w:tc>
          <w:tcPr>
            <w:tcW w:w="40" w:type="dxa"/>
            <w:vAlign w:val="bottom"/>
            <w:tcBorders>
              <w:bottom w:val="single" w:sz="8" w:color="DDDDDD"/>
            </w:tcBorders>
          </w:tcPr>
          <w:p>
            <w:pPr>
              <w:spacing w:after="0"/>
              <w:rPr>
                <w:sz w:val="7"/>
                <w:szCs w:val="7"/>
                <w:color w:val="auto"/>
              </w:rPr>
            </w:pPr>
          </w:p>
        </w:tc>
        <w:tc>
          <w:tcPr>
            <w:tcW w:w="20" w:type="dxa"/>
            <w:vAlign w:val="bottom"/>
            <w:tcBorders>
              <w:bottom w:val="single" w:sz="8" w:color="DDDDDD"/>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60" w:type="dxa"/>
            <w:vAlign w:val="bottom"/>
            <w:tcBorders>
              <w:bottom w:val="single" w:sz="8" w:color="DDDDDD"/>
            </w:tcBorders>
          </w:tcPr>
          <w:p>
            <w:pPr>
              <w:spacing w:after="0"/>
              <w:rPr>
                <w:sz w:val="7"/>
                <w:szCs w:val="7"/>
                <w:color w:val="auto"/>
              </w:rPr>
            </w:pPr>
          </w:p>
        </w:tc>
        <w:tc>
          <w:tcPr>
            <w:tcW w:w="20" w:type="dxa"/>
            <w:vAlign w:val="bottom"/>
            <w:tcBorders>
              <w:bottom w:val="single" w:sz="8" w:color="DDDDDD"/>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60" w:type="dxa"/>
            <w:vAlign w:val="bottom"/>
            <w:tcBorders>
              <w:bottom w:val="single" w:sz="8" w:color="DDDDDD"/>
            </w:tcBorders>
          </w:tcPr>
          <w:p>
            <w:pPr>
              <w:spacing w:after="0"/>
              <w:rPr>
                <w:sz w:val="7"/>
                <w:szCs w:val="7"/>
                <w:color w:val="auto"/>
              </w:rPr>
            </w:pPr>
          </w:p>
        </w:tc>
        <w:tc>
          <w:tcPr>
            <w:tcW w:w="20" w:type="dxa"/>
            <w:vAlign w:val="bottom"/>
            <w:tcBorders>
              <w:bottom w:val="single" w:sz="8" w:color="DDDDDD"/>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0" w:type="dxa"/>
            <w:vAlign w:val="bottom"/>
            <w:shd w:val="clear" w:color="auto" w:fill="DDDDDD"/>
          </w:tcPr>
          <w:p>
            <w:pPr>
              <w:spacing w:after="0"/>
              <w:rPr>
                <w:sz w:val="20"/>
                <w:szCs w:val="20"/>
                <w:color w:val="auto"/>
              </w:rPr>
            </w:pPr>
          </w:p>
        </w:tc>
        <w:tc>
          <w:tcPr>
            <w:tcW w:w="574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20" w:type="dxa"/>
            <w:vAlign w:val="bottom"/>
            <w:shd w:val="clear" w:color="auto" w:fill="DDDDDD"/>
          </w:tcPr>
          <w:p>
            <w:pPr>
              <w:spacing w:after="0"/>
              <w:rPr>
                <w:sz w:val="20"/>
                <w:szCs w:val="20"/>
                <w:color w:val="auto"/>
              </w:rPr>
            </w:pPr>
          </w:p>
        </w:tc>
        <w:tc>
          <w:tcPr>
            <w:tcW w:w="98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16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20" w:type="dxa"/>
            <w:vAlign w:val="bottom"/>
            <w:shd w:val="clear" w:color="auto" w:fill="DDDDDD"/>
          </w:tcPr>
          <w:p>
            <w:pPr>
              <w:spacing w:after="0"/>
              <w:rPr>
                <w:sz w:val="20"/>
                <w:szCs w:val="20"/>
                <w:color w:val="auto"/>
              </w:rPr>
            </w:pPr>
          </w:p>
        </w:tc>
        <w:tc>
          <w:tcPr>
            <w:tcW w:w="9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40" w:type="dxa"/>
            <w:vAlign w:val="bottom"/>
          </w:tcPr>
          <w:p>
            <w:pPr>
              <w:spacing w:after="0"/>
              <w:rPr>
                <w:sz w:val="22"/>
                <w:szCs w:val="22"/>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Liability based awards - to be settled in equity</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5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40" w:type="dxa"/>
            <w:vAlign w:val="bottom"/>
            <w:tcBorders>
              <w:bottom w:val="single" w:sz="8" w:color="DDDDDD"/>
            </w:tcBorders>
            <w:shd w:val="clear" w:color="auto" w:fill="DDDDDD"/>
          </w:tcPr>
          <w:p>
            <w:pPr>
              <w:spacing w:after="0"/>
              <w:rPr>
                <w:sz w:val="24"/>
                <w:szCs w:val="24"/>
                <w:color w:val="auto"/>
              </w:rPr>
            </w:pPr>
          </w:p>
        </w:tc>
        <w:tc>
          <w:tcPr>
            <w:tcW w:w="5800" w:type="dxa"/>
            <w:vAlign w:val="bottom"/>
            <w:tcBorders>
              <w:bottom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20"/>
                <w:szCs w:val="20"/>
                <w:color w:val="auto"/>
              </w:rPr>
              <w:t>Cost of revenue</w:t>
            </w:r>
          </w:p>
        </w:tc>
        <w:tc>
          <w:tcPr>
            <w:tcW w:w="320" w:type="dxa"/>
            <w:vAlign w:val="bottom"/>
            <w:tcBorders>
              <w:bottom w:val="single" w:sz="8" w:color="DDDDDD"/>
            </w:tcBorders>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288</w:t>
            </w:r>
          </w:p>
        </w:tc>
        <w:tc>
          <w:tcPr>
            <w:tcW w:w="220" w:type="dxa"/>
            <w:vAlign w:val="bottom"/>
            <w:tcBorders>
              <w:bottom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400" w:type="dxa"/>
            <w:vAlign w:val="bottom"/>
            <w:tcBorders>
              <w:bottom w:val="single" w:sz="8" w:color="DDDDDD"/>
            </w:tcBorders>
            <w:gridSpan w:val="3"/>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32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4,112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2,017</w:t>
            </w: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5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5"/>
        </w:trPr>
        <w:tc>
          <w:tcPr>
            <w:tcW w:w="40" w:type="dxa"/>
            <w:vAlign w:val="bottom"/>
            <w:tcBorders>
              <w:bottom w:val="single" w:sz="8" w:color="DDDDDD"/>
            </w:tcBorders>
            <w:shd w:val="clear" w:color="auto" w:fill="DDDDDD"/>
          </w:tcPr>
          <w:p>
            <w:pPr>
              <w:spacing w:after="0"/>
              <w:rPr>
                <w:sz w:val="24"/>
                <w:szCs w:val="24"/>
                <w:color w:val="auto"/>
              </w:rPr>
            </w:pPr>
          </w:p>
        </w:tc>
        <w:tc>
          <w:tcPr>
            <w:tcW w:w="5800" w:type="dxa"/>
            <w:vAlign w:val="bottom"/>
            <w:tcBorders>
              <w:bottom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5,669</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40" w:type="dxa"/>
            <w:vAlign w:val="bottom"/>
            <w:tcBorders>
              <w:bottom w:val="single" w:sz="8" w:color="DDDDDD"/>
            </w:tcBorders>
            <w:shd w:val="clear" w:color="auto" w:fill="DDDDDD"/>
          </w:tcPr>
          <w:p>
            <w:pPr>
              <w:spacing w:after="0"/>
              <w:rPr>
                <w:sz w:val="24"/>
                <w:szCs w:val="24"/>
                <w:color w:val="auto"/>
              </w:rPr>
            </w:pPr>
          </w:p>
        </w:tc>
        <w:tc>
          <w:tcPr>
            <w:tcW w:w="1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5,401</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1,892</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10,069</w:t>
            </w:r>
          </w:p>
        </w:tc>
        <w:tc>
          <w:tcPr>
            <w:tcW w:w="80" w:type="dxa"/>
            <w:vAlign w:val="bottom"/>
            <w:gridSpan w:val="2"/>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9,202</w:t>
            </w:r>
          </w:p>
        </w:tc>
        <w:tc>
          <w:tcPr>
            <w:tcW w:w="80" w:type="dxa"/>
            <w:vAlign w:val="bottom"/>
            <w:gridSpan w:val="2"/>
          </w:tcPr>
          <w:p>
            <w:pPr>
              <w:spacing w:after="0"/>
              <w:rPr>
                <w:sz w:val="22"/>
                <w:szCs w:val="22"/>
                <w:color w:val="auto"/>
              </w:rPr>
            </w:pPr>
          </w:p>
        </w:tc>
        <w:tc>
          <w:tcPr>
            <w:tcW w:w="32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3,984</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57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40" w:type="dxa"/>
            <w:vAlign w:val="bottom"/>
            <w:tcBorders>
              <w:top w:val="single" w:sz="8" w:color="DDDDDD"/>
              <w:bottom w:val="single" w:sz="8" w:color="DDDDDD"/>
            </w:tcBorders>
            <w:shd w:val="clear" w:color="auto" w:fill="DDDDDD"/>
          </w:tcPr>
          <w:p>
            <w:pPr>
              <w:spacing w:after="0"/>
              <w:rPr>
                <w:sz w:val="24"/>
                <w:szCs w:val="24"/>
                <w:color w:val="auto"/>
              </w:rPr>
            </w:pPr>
          </w:p>
        </w:tc>
        <w:tc>
          <w:tcPr>
            <w:tcW w:w="5800" w:type="dxa"/>
            <w:vAlign w:val="bottom"/>
            <w:tcBorders>
              <w:top w:val="single" w:sz="8" w:color="DDDDDD"/>
              <w:bottom w:val="single" w:sz="8" w:color="DDDDDD"/>
            </w:tcBorders>
            <w:gridSpan w:val="3"/>
            <w:shd w:val="clear" w:color="auto" w:fill="DDDDDD"/>
          </w:tcPr>
          <w:p>
            <w:pPr>
              <w:ind w:left="100"/>
              <w:spacing w:after="0"/>
              <w:rPr>
                <w:sz w:val="20"/>
                <w:szCs w:val="20"/>
                <w:color w:val="auto"/>
              </w:rPr>
            </w:pPr>
            <w:r>
              <w:rPr>
                <w:rFonts w:ascii="Times New Roman" w:cs="Times New Roman" w:eastAsia="Times New Roman" w:hAnsi="Times New Roman"/>
                <w:sz w:val="20"/>
                <w:szCs w:val="20"/>
                <w:color w:val="auto"/>
              </w:rPr>
              <w:t>Total stock-based compensation - equity and liability based</w:t>
            </w:r>
          </w:p>
        </w:tc>
        <w:tc>
          <w:tcPr>
            <w:tcW w:w="320" w:type="dxa"/>
            <w:vAlign w:val="bottom"/>
            <w:tcBorders>
              <w:top w:val="single" w:sz="8" w:color="auto"/>
              <w:bottom w:val="single" w:sz="8" w:color="DDDDDD"/>
            </w:tcBorders>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103,540</w:t>
            </w:r>
          </w:p>
        </w:tc>
        <w:tc>
          <w:tcPr>
            <w:tcW w:w="60" w:type="dxa"/>
            <w:vAlign w:val="bottom"/>
            <w:tcBorders>
              <w:top w:val="single" w:sz="8" w:color="DDDDDD"/>
              <w:bottom w:val="single" w:sz="8" w:color="DDDDDD"/>
            </w:tcBorders>
            <w:shd w:val="clear" w:color="auto" w:fill="DDDDDD"/>
          </w:tcPr>
          <w:p>
            <w:pPr>
              <w:spacing w:after="0"/>
              <w:rPr>
                <w:sz w:val="24"/>
                <w:szCs w:val="24"/>
                <w:color w:val="auto"/>
              </w:rPr>
            </w:pPr>
          </w:p>
        </w:tc>
        <w:tc>
          <w:tcPr>
            <w:tcW w:w="20" w:type="dxa"/>
            <w:vAlign w:val="bottom"/>
            <w:tcBorders>
              <w:top w:val="single" w:sz="8" w:color="DDDDDD"/>
              <w:bottom w:val="single" w:sz="8" w:color="DDDDDD"/>
            </w:tcBorders>
            <w:shd w:val="clear" w:color="auto" w:fill="DDDDDD"/>
          </w:tcPr>
          <w:p>
            <w:pPr>
              <w:spacing w:after="0"/>
              <w:rPr>
                <w:sz w:val="24"/>
                <w:szCs w:val="24"/>
                <w:color w:val="auto"/>
              </w:rPr>
            </w:pPr>
          </w:p>
        </w:tc>
        <w:tc>
          <w:tcPr>
            <w:tcW w:w="14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92,634</w:t>
            </w:r>
          </w:p>
        </w:tc>
        <w:tc>
          <w:tcPr>
            <w:tcW w:w="60" w:type="dxa"/>
            <w:vAlign w:val="bottom"/>
            <w:tcBorders>
              <w:top w:val="single" w:sz="8" w:color="DDDDDD"/>
              <w:bottom w:val="single" w:sz="8" w:color="DDDDDD"/>
            </w:tcBorders>
            <w:shd w:val="clear" w:color="auto" w:fill="DDDDDD"/>
          </w:tcPr>
          <w:p>
            <w:pPr>
              <w:spacing w:after="0"/>
              <w:rPr>
                <w:sz w:val="24"/>
                <w:szCs w:val="24"/>
                <w:color w:val="auto"/>
              </w:rPr>
            </w:pPr>
          </w:p>
        </w:tc>
        <w:tc>
          <w:tcPr>
            <w:tcW w:w="20" w:type="dxa"/>
            <w:vAlign w:val="bottom"/>
            <w:tcBorders>
              <w:top w:val="single" w:sz="8" w:color="DDDDDD"/>
              <w:bottom w:val="single" w:sz="8" w:color="DDDDDD"/>
            </w:tcBorders>
            <w:shd w:val="clear" w:color="auto" w:fill="DDDDDD"/>
          </w:tcPr>
          <w:p>
            <w:pPr>
              <w:spacing w:after="0"/>
              <w:rPr>
                <w:sz w:val="24"/>
                <w:szCs w:val="24"/>
                <w:color w:val="auto"/>
              </w:rPr>
            </w:pPr>
          </w:p>
        </w:tc>
        <w:tc>
          <w:tcPr>
            <w:tcW w:w="320" w:type="dxa"/>
            <w:vAlign w:val="bottom"/>
            <w:tcBorders>
              <w:top w:val="single" w:sz="8" w:color="auto"/>
              <w:bottom w:val="single" w:sz="8" w:color="DDDDDD"/>
            </w:tcBorders>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76,753</w:t>
            </w:r>
          </w:p>
        </w:tc>
        <w:tc>
          <w:tcPr>
            <w:tcW w:w="0" w:type="dxa"/>
            <w:vAlign w:val="bottom"/>
          </w:tcPr>
          <w:p>
            <w:pPr>
              <w:spacing w:after="0"/>
              <w:rPr>
                <w:sz w:val="1"/>
                <w:szCs w:val="1"/>
                <w:color w:val="auto"/>
              </w:rPr>
            </w:pPr>
          </w:p>
        </w:tc>
      </w:tr>
      <w:tr>
        <w:trPr>
          <w:trHeight w:val="20"/>
        </w:trPr>
        <w:tc>
          <w:tcPr>
            <w:tcW w:w="40" w:type="dxa"/>
            <w:vAlign w:val="bottom"/>
            <w:tcBorders>
              <w:top w:val="single" w:sz="8" w:color="DDDDDD"/>
            </w:tcBorders>
          </w:tcPr>
          <w:p>
            <w:pPr>
              <w:spacing w:after="0" w:line="20" w:lineRule="exact"/>
              <w:rPr>
                <w:sz w:val="1"/>
                <w:szCs w:val="1"/>
                <w:color w:val="auto"/>
              </w:rPr>
            </w:pPr>
          </w:p>
        </w:tc>
        <w:tc>
          <w:tcPr>
            <w:tcW w:w="5740" w:type="dxa"/>
            <w:vAlign w:val="bottom"/>
            <w:tcBorders>
              <w:top w:val="single" w:sz="8" w:color="DDDDDD"/>
            </w:tcBorders>
          </w:tcPr>
          <w:p>
            <w:pPr>
              <w:spacing w:after="0" w:line="20" w:lineRule="exact"/>
              <w:rPr>
                <w:sz w:val="1"/>
                <w:szCs w:val="1"/>
                <w:color w:val="auto"/>
              </w:rPr>
            </w:pPr>
          </w:p>
        </w:tc>
        <w:tc>
          <w:tcPr>
            <w:tcW w:w="4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DDDDDD"/>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40" w:type="dxa"/>
            <w:vAlign w:val="bottom"/>
            <w:shd w:val="clear" w:color="auto" w:fill="DDDDDD"/>
          </w:tcPr>
          <w:p>
            <w:pPr>
              <w:spacing w:after="0"/>
              <w:rPr>
                <w:sz w:val="22"/>
                <w:szCs w:val="22"/>
                <w:color w:val="auto"/>
              </w:rPr>
            </w:pPr>
          </w:p>
        </w:tc>
        <w:tc>
          <w:tcPr>
            <w:tcW w:w="57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Stock-based compensation expense recorded to additional paid-in</w:t>
            </w:r>
          </w:p>
        </w:tc>
        <w:tc>
          <w:tcPr>
            <w:tcW w:w="4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98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160" w:type="dxa"/>
            <w:vAlign w:val="bottom"/>
            <w:shd w:val="clear" w:color="auto" w:fill="DDDDDD"/>
          </w:tcPr>
          <w:p>
            <w:pPr>
              <w:spacing w:after="0"/>
              <w:rPr>
                <w:sz w:val="22"/>
                <w:szCs w:val="22"/>
                <w:color w:val="auto"/>
              </w:rPr>
            </w:pPr>
          </w:p>
        </w:tc>
        <w:tc>
          <w:tcPr>
            <w:tcW w:w="6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980" w:type="dxa"/>
            <w:vAlign w:val="bottom"/>
            <w:shd w:val="clear" w:color="auto" w:fill="DDDDDD"/>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40" w:type="dxa"/>
            <w:vAlign w:val="bottom"/>
            <w:tcBorders>
              <w:bottom w:val="single" w:sz="8" w:color="DDDDDD"/>
            </w:tcBorders>
            <w:shd w:val="clear" w:color="auto" w:fill="DDDDDD"/>
          </w:tcPr>
          <w:p>
            <w:pPr>
              <w:spacing w:after="0"/>
              <w:rPr>
                <w:sz w:val="24"/>
                <w:szCs w:val="24"/>
                <w:color w:val="auto"/>
              </w:rPr>
            </w:pPr>
          </w:p>
        </w:tc>
        <w:tc>
          <w:tcPr>
            <w:tcW w:w="574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capital</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40" w:type="dxa"/>
            <w:vAlign w:val="bottom"/>
            <w:tcBorders>
              <w:bottom w:val="single" w:sz="8" w:color="DDDDDD"/>
            </w:tcBorders>
            <w:shd w:val="clear" w:color="auto" w:fill="DDDDDD"/>
          </w:tcPr>
          <w:p>
            <w:pPr>
              <w:spacing w:after="0"/>
              <w:rPr>
                <w:sz w:val="24"/>
                <w:szCs w:val="24"/>
                <w:color w:val="auto"/>
              </w:rPr>
            </w:pPr>
          </w:p>
        </w:tc>
        <w:tc>
          <w:tcPr>
            <w:tcW w:w="116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Equity based awards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93,471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83,432</w:t>
            </w:r>
          </w:p>
        </w:tc>
        <w:tc>
          <w:tcPr>
            <w:tcW w:w="40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72,769</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57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40" w:type="dxa"/>
            <w:vAlign w:val="bottom"/>
            <w:tcBorders>
              <w:bottom w:val="single" w:sz="8" w:color="DDDDDD"/>
            </w:tcBorders>
            <w:shd w:val="clear" w:color="auto" w:fill="DDDDDD"/>
          </w:tcPr>
          <w:p>
            <w:pPr>
              <w:spacing w:after="0"/>
              <w:rPr>
                <w:sz w:val="24"/>
                <w:szCs w:val="24"/>
                <w:color w:val="auto"/>
              </w:rPr>
            </w:pPr>
          </w:p>
        </w:tc>
        <w:tc>
          <w:tcPr>
            <w:tcW w:w="5800" w:type="dxa"/>
            <w:vAlign w:val="bottom"/>
            <w:tcBorders>
              <w:bottom w:val="single" w:sz="8" w:color="DDDDDD"/>
            </w:tcBorders>
            <w:gridSpan w:val="3"/>
            <w:shd w:val="clear" w:color="auto" w:fill="DDDDDD"/>
          </w:tcPr>
          <w:p>
            <w:pPr>
              <w:spacing w:after="0"/>
              <w:rPr>
                <w:sz w:val="20"/>
                <w:szCs w:val="20"/>
                <w:color w:val="auto"/>
              </w:rPr>
            </w:pPr>
            <w:r>
              <w:rPr>
                <w:rFonts w:ascii="Times New Roman" w:cs="Times New Roman" w:eastAsia="Times New Roman" w:hAnsi="Times New Roman"/>
                <w:sz w:val="20"/>
                <w:szCs w:val="20"/>
                <w:color w:val="auto"/>
              </w:rPr>
              <w:t>Liability based awards - settled in equity</w:t>
            </w: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9,391</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40" w:type="dxa"/>
            <w:vAlign w:val="bottom"/>
            <w:tcBorders>
              <w:bottom w:val="single" w:sz="8" w:color="DDDDDD"/>
            </w:tcBorders>
            <w:shd w:val="clear" w:color="auto" w:fill="DDDDDD"/>
          </w:tcPr>
          <w:p>
            <w:pPr>
              <w:spacing w:after="0"/>
              <w:rPr>
                <w:sz w:val="24"/>
                <w:szCs w:val="24"/>
                <w:color w:val="auto"/>
              </w:rPr>
            </w:pPr>
          </w:p>
        </w:tc>
        <w:tc>
          <w:tcPr>
            <w:tcW w:w="1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4,554</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3,869</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Stock compensation expense capitalized to / (amortized from) to</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58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inventory</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3"/>
        </w:trPr>
        <w:tc>
          <w:tcPr>
            <w:tcW w:w="40" w:type="dxa"/>
            <w:vAlign w:val="bottom"/>
            <w:tcBorders>
              <w:bottom w:val="single" w:sz="8" w:color="DDDDDD"/>
            </w:tcBorders>
          </w:tcPr>
          <w:p>
            <w:pPr>
              <w:spacing w:after="0"/>
              <w:rPr>
                <w:sz w:val="3"/>
                <w:szCs w:val="3"/>
                <w:color w:val="auto"/>
              </w:rPr>
            </w:pPr>
          </w:p>
        </w:tc>
        <w:tc>
          <w:tcPr>
            <w:tcW w:w="5780" w:type="dxa"/>
            <w:vAlign w:val="bottom"/>
            <w:tcBorders>
              <w:bottom w:val="single" w:sz="8" w:color="DDDDDD"/>
            </w:tcBorders>
            <w:gridSpan w:val="2"/>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40" w:type="dxa"/>
            <w:vAlign w:val="bottom"/>
            <w:shd w:val="clear" w:color="auto" w:fill="DDDDDD"/>
          </w:tcPr>
          <w:p>
            <w:pPr>
              <w:spacing w:after="0"/>
              <w:rPr>
                <w:sz w:val="20"/>
                <w:szCs w:val="20"/>
                <w:color w:val="auto"/>
              </w:rPr>
            </w:pPr>
          </w:p>
        </w:tc>
        <w:tc>
          <w:tcPr>
            <w:tcW w:w="5740" w:type="dxa"/>
            <w:vAlign w:val="bottom"/>
            <w:shd w:val="clear" w:color="auto" w:fill="DDDDDD"/>
          </w:tcPr>
          <w:p>
            <w:pPr>
              <w:ind w:left="100"/>
              <w:spacing w:after="0"/>
              <w:rPr>
                <w:sz w:val="20"/>
                <w:szCs w:val="20"/>
                <w:color w:val="auto"/>
              </w:rPr>
            </w:pPr>
            <w:r>
              <w:rPr>
                <w:rFonts w:ascii="Times New Roman" w:cs="Times New Roman" w:eastAsia="Times New Roman" w:hAnsi="Times New Roman"/>
                <w:sz w:val="20"/>
                <w:szCs w:val="20"/>
                <w:color w:val="auto"/>
              </w:rPr>
              <w:t>Total stock-based compensation expense recorded to additional paid-</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20" w:type="dxa"/>
            <w:vAlign w:val="bottom"/>
            <w:shd w:val="clear" w:color="auto" w:fill="DDDDDD"/>
          </w:tcPr>
          <w:p>
            <w:pPr>
              <w:spacing w:after="0"/>
              <w:rPr>
                <w:sz w:val="20"/>
                <w:szCs w:val="20"/>
                <w:color w:val="auto"/>
              </w:rPr>
            </w:pPr>
          </w:p>
        </w:tc>
        <w:tc>
          <w:tcPr>
            <w:tcW w:w="98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16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20" w:type="dxa"/>
            <w:vAlign w:val="bottom"/>
            <w:shd w:val="clear" w:color="auto" w:fill="DDDDDD"/>
          </w:tcPr>
          <w:p>
            <w:pPr>
              <w:spacing w:after="0"/>
              <w:rPr>
                <w:sz w:val="20"/>
                <w:szCs w:val="20"/>
                <w:color w:val="auto"/>
              </w:rPr>
            </w:pPr>
          </w:p>
        </w:tc>
        <w:tc>
          <w:tcPr>
            <w:tcW w:w="98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0" w:type="dxa"/>
            <w:vAlign w:val="bottom"/>
            <w:tcBorders>
              <w:bottom w:val="single" w:sz="8" w:color="DDDDDD"/>
            </w:tcBorders>
            <w:shd w:val="clear" w:color="auto" w:fill="DDDDDD"/>
          </w:tcPr>
          <w:p>
            <w:pPr>
              <w:spacing w:after="0"/>
              <w:rPr>
                <w:sz w:val="24"/>
                <w:szCs w:val="24"/>
                <w:color w:val="auto"/>
              </w:rPr>
            </w:pPr>
          </w:p>
        </w:tc>
        <w:tc>
          <w:tcPr>
            <w:tcW w:w="5740" w:type="dxa"/>
            <w:vAlign w:val="bottom"/>
            <w:tcBorders>
              <w:bottom w:val="single" w:sz="8" w:color="DDDDDD"/>
            </w:tcBorders>
            <w:shd w:val="clear" w:color="auto" w:fill="DDDDDD"/>
          </w:tcPr>
          <w:p>
            <w:pPr>
              <w:ind w:left="100"/>
              <w:spacing w:after="0"/>
              <w:rPr>
                <w:sz w:val="20"/>
                <w:szCs w:val="20"/>
                <w:color w:val="auto"/>
              </w:rPr>
            </w:pPr>
            <w:r>
              <w:rPr>
                <w:rFonts w:ascii="Times New Roman" w:cs="Times New Roman" w:eastAsia="Times New Roman" w:hAnsi="Times New Roman"/>
                <w:sz w:val="20"/>
                <w:szCs w:val="20"/>
                <w:color w:val="auto"/>
              </w:rPr>
              <w:t>in capital</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102,353</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89,122</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76,638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3702685</wp:posOffset>
                </wp:positionH>
                <wp:positionV relativeFrom="paragraph">
                  <wp:posOffset>-3324860</wp:posOffset>
                </wp:positionV>
                <wp:extent cx="82486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86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55pt,-261.7999pt" to="356.5pt,-261.7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4578985</wp:posOffset>
                </wp:positionH>
                <wp:positionV relativeFrom="paragraph">
                  <wp:posOffset>-3324860</wp:posOffset>
                </wp:positionV>
                <wp:extent cx="82486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86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55pt,-261.7999pt" to="425.5pt,-261.7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5455285</wp:posOffset>
                </wp:positionH>
                <wp:positionV relativeFrom="paragraph">
                  <wp:posOffset>-3324860</wp:posOffset>
                </wp:positionV>
                <wp:extent cx="82550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55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55pt,-261.7999pt" to="494.55pt,-261.7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3702685</wp:posOffset>
                </wp:positionH>
                <wp:positionV relativeFrom="paragraph">
                  <wp:posOffset>-2117725</wp:posOffset>
                </wp:positionV>
                <wp:extent cx="82486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86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55pt,-166.7499pt" to="356.5pt,-166.7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4578985</wp:posOffset>
                </wp:positionH>
                <wp:positionV relativeFrom="paragraph">
                  <wp:posOffset>-2117725</wp:posOffset>
                </wp:positionV>
                <wp:extent cx="824865"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86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55pt,-166.7499pt" to="425.5pt,-166.7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5455285</wp:posOffset>
                </wp:positionH>
                <wp:positionV relativeFrom="paragraph">
                  <wp:posOffset>-2117725</wp:posOffset>
                </wp:positionV>
                <wp:extent cx="82550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55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55pt,-166.7499pt" to="494.55pt,-166.7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3702685</wp:posOffset>
                </wp:positionH>
                <wp:positionV relativeFrom="paragraph">
                  <wp:posOffset>-1680210</wp:posOffset>
                </wp:positionV>
                <wp:extent cx="82486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86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55pt,-132.2999pt" to="356.5pt,-132.2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4578985</wp:posOffset>
                </wp:positionH>
                <wp:positionV relativeFrom="paragraph">
                  <wp:posOffset>-1680210</wp:posOffset>
                </wp:positionV>
                <wp:extent cx="82486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86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0.55pt,-132.2999pt" to="425.5pt,-132.2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5455285</wp:posOffset>
                </wp:positionH>
                <wp:positionV relativeFrom="paragraph">
                  <wp:posOffset>-1680210</wp:posOffset>
                </wp:positionV>
                <wp:extent cx="82550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55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9.55pt,-132.2999pt" to="494.55pt,-132.2999pt" o:allowincell="f" strokecolor="#FFFFFF" strokeweight="0.1399pt"/>
            </w:pict>
          </mc:Fallback>
        </mc:AlternateContent>
      </w:r>
    </w:p>
    <w:p>
      <w:pPr>
        <w:spacing w:after="0" w:line="177" w:lineRule="exact"/>
        <w:rPr>
          <w:sz w:val="20"/>
          <w:szCs w:val="20"/>
          <w:color w:val="auto"/>
        </w:rPr>
      </w:pPr>
    </w:p>
    <w:p>
      <w:pPr>
        <w:ind w:right="700" w:firstLine="720"/>
        <w:spacing w:after="0" w:line="282" w:lineRule="auto"/>
        <w:rPr>
          <w:sz w:val="20"/>
          <w:szCs w:val="20"/>
          <w:color w:val="auto"/>
        </w:rPr>
      </w:pPr>
      <w:r>
        <w:rPr>
          <w:rFonts w:ascii="Times New Roman" w:cs="Times New Roman" w:eastAsia="Times New Roman" w:hAnsi="Times New Roman"/>
          <w:sz w:val="20"/>
          <w:szCs w:val="20"/>
          <w:color w:val="auto"/>
        </w:rPr>
        <w:t>The following table presents the unrecognized compensation costs and related weighted average period of recognition as of December 31, 2025:</w:t>
      </w:r>
    </w:p>
    <w:p>
      <w:pPr>
        <w:spacing w:after="0" w:line="250"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6"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3575050</wp:posOffset>
                </wp:positionH>
                <wp:positionV relativeFrom="paragraph">
                  <wp:posOffset>36195</wp:posOffset>
                </wp:positionV>
                <wp:extent cx="270573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0573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5pt,2.85pt" to="494.55pt,2.85pt" o:allowincell="f" strokecolor="#000000" strokeweight="0.96pt"/>
            </w:pict>
          </mc:Fallback>
        </mc:AlternateConten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Unrecognized Compensation</w:t>
            </w:r>
          </w:p>
        </w:tc>
        <w:tc>
          <w:tcPr>
            <w:tcW w:w="60" w:type="dxa"/>
            <w:vAlign w:val="bottom"/>
          </w:tcPr>
          <w:p>
            <w:pPr>
              <w:spacing w:after="0"/>
              <w:rPr>
                <w:sz w:val="16"/>
                <w:szCs w:val="16"/>
                <w:color w:val="auto"/>
              </w:rPr>
            </w:pPr>
          </w:p>
        </w:tc>
        <w:tc>
          <w:tcPr>
            <w:tcW w:w="2100" w:type="dxa"/>
            <w:vAlign w:val="bottom"/>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Weighted Average Period of</w:t>
            </w:r>
          </w:p>
        </w:tc>
      </w:tr>
      <w:tr>
        <w:trPr>
          <w:trHeight w:val="210"/>
        </w:trPr>
        <w:tc>
          <w:tcPr>
            <w:tcW w:w="5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right"/>
              <w:ind w:right="263"/>
              <w:spacing w:after="0"/>
              <w:rPr>
                <w:sz w:val="20"/>
                <w:szCs w:val="20"/>
                <w:color w:val="auto"/>
              </w:rPr>
            </w:pPr>
            <w:r>
              <w:rPr>
                <w:rFonts w:ascii="Times New Roman" w:cs="Times New Roman" w:eastAsia="Times New Roman" w:hAnsi="Times New Roman"/>
                <w:sz w:val="16"/>
                <w:szCs w:val="16"/>
                <w:b w:val="1"/>
                <w:bCs w:val="1"/>
                <w:color w:val="auto"/>
              </w:rPr>
              <w:t>Costs (in thousands)</w:t>
            </w:r>
          </w:p>
        </w:tc>
        <w:tc>
          <w:tcPr>
            <w:tcW w:w="60" w:type="dxa"/>
            <w:vAlign w:val="bottom"/>
          </w:tcPr>
          <w:p>
            <w:pPr>
              <w:spacing w:after="0"/>
              <w:rPr>
                <w:sz w:val="18"/>
                <w:szCs w:val="18"/>
                <w:color w:val="auto"/>
              </w:rPr>
            </w:pPr>
          </w:p>
        </w:tc>
        <w:tc>
          <w:tcPr>
            <w:tcW w:w="210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Recognition (in years)</w:t>
            </w:r>
          </w:p>
        </w:tc>
      </w:tr>
      <w:tr>
        <w:trPr>
          <w:trHeight w:val="38"/>
        </w:trPr>
        <w:tc>
          <w:tcPr>
            <w:tcW w:w="562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284"/>
        </w:trPr>
        <w:tc>
          <w:tcPr>
            <w:tcW w:w="564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RSUs</w:t>
            </w:r>
          </w:p>
        </w:tc>
        <w:tc>
          <w:tcPr>
            <w:tcW w:w="24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86,650</w:t>
            </w:r>
          </w:p>
        </w:tc>
        <w:tc>
          <w:tcPr>
            <w:tcW w:w="60" w:type="dxa"/>
            <w:vAlign w:val="bottom"/>
            <w:tcBorders>
              <w:bottom w:val="single" w:sz="8" w:color="DDDDDD"/>
            </w:tcBorders>
            <w:shd w:val="clear" w:color="auto" w:fill="DDDDDD"/>
          </w:tcPr>
          <w:p>
            <w:pPr>
              <w:spacing w:after="0"/>
              <w:rPr>
                <w:sz w:val="24"/>
                <w:szCs w:val="24"/>
                <w:color w:val="auto"/>
              </w:rPr>
            </w:pPr>
          </w:p>
        </w:tc>
        <w:tc>
          <w:tcPr>
            <w:tcW w:w="21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82"/>
        </w:trPr>
        <w:tc>
          <w:tcPr>
            <w:tcW w:w="56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PRSUs</w:t>
            </w:r>
          </w:p>
        </w:tc>
        <w:tc>
          <w:tcPr>
            <w:tcW w:w="2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19,730</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43"/>
        </w:trPr>
        <w:tc>
          <w:tcPr>
            <w:tcW w:w="5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160" w:type="dxa"/>
            <w:vAlign w:val="bottom"/>
            <w:gridSpan w:val="2"/>
          </w:tcPr>
          <w:p>
            <w:pPr>
              <w:spacing w:after="0"/>
              <w:rPr>
                <w:sz w:val="3"/>
                <w:szCs w:val="3"/>
                <w:color w:val="auto"/>
              </w:rPr>
            </w:pPr>
          </w:p>
        </w:tc>
      </w:tr>
      <w:tr>
        <w:trPr>
          <w:trHeight w:val="305"/>
        </w:trPr>
        <w:tc>
          <w:tcPr>
            <w:tcW w:w="564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MYPSUs</w:t>
            </w:r>
          </w:p>
        </w:tc>
        <w:tc>
          <w:tcPr>
            <w:tcW w:w="240" w:type="dxa"/>
            <w:vAlign w:val="bottom"/>
            <w:tcBorders>
              <w:bottom w:val="single" w:sz="8" w:color="DDDDDD"/>
            </w:tcBorders>
            <w:shd w:val="clear" w:color="auto" w:fill="DDDDDD"/>
          </w:tcPr>
          <w:p>
            <w:pPr>
              <w:spacing w:after="0"/>
              <w:rPr>
                <w:sz w:val="24"/>
                <w:szCs w:val="24"/>
                <w:color w:val="auto"/>
              </w:rPr>
            </w:pPr>
          </w:p>
        </w:tc>
        <w:tc>
          <w:tcPr>
            <w:tcW w:w="1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216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0.2</w:t>
            </w:r>
          </w:p>
        </w:tc>
      </w:tr>
      <w:tr>
        <w:trPr>
          <w:trHeight w:val="282"/>
        </w:trPr>
        <w:tc>
          <w:tcPr>
            <w:tcW w:w="56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Liability-based awards</w:t>
            </w:r>
          </w:p>
        </w:tc>
        <w:tc>
          <w:tcPr>
            <w:tcW w:w="2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4,518</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0.3</w:t>
            </w:r>
          </w:p>
        </w:tc>
      </w:tr>
      <w:tr>
        <w:trPr>
          <w:trHeight w:val="43"/>
        </w:trPr>
        <w:tc>
          <w:tcPr>
            <w:tcW w:w="562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2100" w:type="dxa"/>
            <w:vAlign w:val="bottom"/>
            <w:tcBorders>
              <w:bottom w:val="single" w:sz="8" w:color="DDDDDD"/>
            </w:tcBorders>
          </w:tcPr>
          <w:p>
            <w:pPr>
              <w:spacing w:after="0"/>
              <w:rPr>
                <w:sz w:val="3"/>
                <w:szCs w:val="3"/>
                <w:color w:val="auto"/>
              </w:rPr>
            </w:pPr>
          </w:p>
        </w:tc>
      </w:tr>
      <w:tr>
        <w:trPr>
          <w:trHeight w:val="307"/>
        </w:trPr>
        <w:tc>
          <w:tcPr>
            <w:tcW w:w="564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unrecognized compensation costs</w:t>
            </w:r>
          </w:p>
        </w:tc>
        <w:tc>
          <w:tcPr>
            <w:tcW w:w="24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860" w:type="dxa"/>
            <w:vAlign w:val="bottom"/>
            <w:tcBorders>
              <w:bottom w:val="single" w:sz="8" w:color="DDDDDD"/>
            </w:tcBorders>
            <w:shd w:val="clear" w:color="auto" w:fill="DDDDDD"/>
          </w:tcPr>
          <w:p>
            <w:pPr>
              <w:jc w:val="right"/>
              <w:ind w:right="3"/>
              <w:spacing w:after="0"/>
              <w:rPr>
                <w:sz w:val="20"/>
                <w:szCs w:val="20"/>
                <w:color w:val="auto"/>
              </w:rPr>
            </w:pPr>
            <w:r>
              <w:rPr>
                <w:rFonts w:ascii="Times New Roman" w:cs="Times New Roman" w:eastAsia="Times New Roman" w:hAnsi="Times New Roman"/>
                <w:sz w:val="20"/>
                <w:szCs w:val="20"/>
                <w:color w:val="auto"/>
              </w:rPr>
              <w:t>111,065</w:t>
            </w:r>
          </w:p>
        </w:tc>
        <w:tc>
          <w:tcPr>
            <w:tcW w:w="60" w:type="dxa"/>
            <w:vAlign w:val="bottom"/>
            <w:tcBorders>
              <w:bottom w:val="single" w:sz="8" w:color="DDDDDD"/>
            </w:tcBorders>
            <w:shd w:val="clear" w:color="auto" w:fill="DDDDDD"/>
          </w:tcPr>
          <w:p>
            <w:pPr>
              <w:spacing w:after="0"/>
              <w:rPr>
                <w:sz w:val="24"/>
                <w:szCs w:val="24"/>
                <w:color w:val="auto"/>
              </w:rPr>
            </w:pPr>
          </w:p>
        </w:tc>
        <w:tc>
          <w:tcPr>
            <w:tcW w:w="2100" w:type="dxa"/>
            <w:vAlign w:val="bottom"/>
            <w:tcBorders>
              <w:bottom w:val="single" w:sz="8" w:color="DDDDDD"/>
            </w:tcBorders>
            <w:shd w:val="clear" w:color="auto" w:fill="DDDDDD"/>
          </w:tcPr>
          <w:p>
            <w:pPr>
              <w:spacing w:after="0"/>
              <w:rPr>
                <w:sz w:val="24"/>
                <w:szCs w:val="24"/>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1180" w:top="85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900"/>
          </w:cols>
          <w:pgMar w:left="1180" w:top="856" w:right="116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color w:val="auto"/>
        </w:rPr>
        <w:t>9. Income Taxes</w:t>
      </w:r>
    </w:p>
    <w:p>
      <w:pPr>
        <w:spacing w:after="0" w:line="1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components of income (loss) before income taxes were as follows:</w:t>
      </w:r>
    </w:p>
    <w:p>
      <w:pPr>
        <w:spacing w:after="0" w:line="200" w:lineRule="exact"/>
        <w:rPr>
          <w:sz w:val="20"/>
          <w:szCs w:val="20"/>
          <w:color w:val="auto"/>
        </w:rPr>
      </w:pPr>
    </w:p>
    <w:p>
      <w:pPr>
        <w:spacing w:after="0" w:line="202"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7"/>
          </w:tcPr>
          <w:p>
            <w:pPr>
              <w:jc w:val="center"/>
              <w:ind w:left="548"/>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960" w:type="dxa"/>
            <w:vAlign w:val="bottom"/>
          </w:tcPr>
          <w:p>
            <w:pPr>
              <w:spacing w:after="0"/>
              <w:rPr>
                <w:sz w:val="18"/>
                <w:szCs w:val="18"/>
                <w:color w:val="auto"/>
              </w:rPr>
            </w:pPr>
          </w:p>
        </w:tc>
      </w:tr>
      <w:tr>
        <w:trPr>
          <w:trHeight w:val="38"/>
        </w:trPr>
        <w:tc>
          <w:tcPr>
            <w:tcW w:w="36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18"/>
        </w:trPr>
        <w:tc>
          <w:tcPr>
            <w:tcW w:w="3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center"/>
              <w:ind w:right="22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8"/>
        </w:trPr>
        <w:tc>
          <w:tcPr>
            <w:tcW w:w="36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79"/>
        </w:trPr>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
        </w:trPr>
        <w:tc>
          <w:tcPr>
            <w:tcW w:w="36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305"/>
        </w:trPr>
        <w:tc>
          <w:tcPr>
            <w:tcW w:w="370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320" w:type="dxa"/>
            <w:vAlign w:val="bottom"/>
            <w:tcBorders>
              <w:bottom w:val="single" w:sz="8" w:color="DDDDDD"/>
            </w:tcBorders>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(43,529)</w:t>
            </w:r>
          </w:p>
        </w:tc>
        <w:tc>
          <w:tcPr>
            <w:tcW w:w="400" w:type="dxa"/>
            <w:vAlign w:val="bottom"/>
            <w:tcBorders>
              <w:bottom w:val="single" w:sz="8" w:color="DDDDDD"/>
            </w:tcBorders>
            <w:gridSpan w:val="3"/>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(93,691)</w:t>
            </w:r>
          </w:p>
        </w:tc>
        <w:tc>
          <w:tcPr>
            <w:tcW w:w="420" w:type="dxa"/>
            <w:vAlign w:val="bottom"/>
            <w:tcBorders>
              <w:bottom w:val="single" w:sz="8" w:color="DDDDDD"/>
            </w:tcBorders>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(81,208)</w:t>
            </w:r>
          </w:p>
        </w:tc>
      </w:tr>
      <w:tr>
        <w:trPr>
          <w:trHeight w:val="282"/>
        </w:trPr>
        <w:tc>
          <w:tcPr>
            <w:tcW w:w="37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Foreign</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w:t>
            </w:r>
          </w:p>
        </w:tc>
      </w:tr>
      <w:tr>
        <w:trPr>
          <w:trHeight w:val="43"/>
        </w:trPr>
        <w:tc>
          <w:tcPr>
            <w:tcW w:w="368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Borders>
              <w:bottom w:val="single" w:sz="8" w:color="DDDDDD"/>
            </w:tcBorders>
          </w:tcPr>
          <w:p>
            <w:pPr>
              <w:spacing w:after="0"/>
              <w:rPr>
                <w:sz w:val="3"/>
                <w:szCs w:val="3"/>
                <w:color w:val="auto"/>
              </w:rPr>
            </w:pPr>
          </w:p>
        </w:tc>
        <w:tc>
          <w:tcPr>
            <w:tcW w:w="20" w:type="dxa"/>
            <w:vAlign w:val="bottom"/>
            <w:tcBorders>
              <w:bottom w:val="single" w:sz="8" w:color="DDDDDD"/>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DDDDDD"/>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307"/>
        </w:trPr>
        <w:tc>
          <w:tcPr>
            <w:tcW w:w="368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(42,305)</w:t>
            </w:r>
          </w:p>
        </w:tc>
        <w:tc>
          <w:tcPr>
            <w:tcW w:w="400" w:type="dxa"/>
            <w:vAlign w:val="bottom"/>
            <w:tcBorders>
              <w:bottom w:val="single" w:sz="8" w:color="DDDDDD"/>
            </w:tcBorders>
            <w:gridSpan w:val="3"/>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(93,115)</w:t>
            </w:r>
          </w:p>
        </w:tc>
        <w:tc>
          <w:tcPr>
            <w:tcW w:w="420" w:type="dxa"/>
            <w:vAlign w:val="bottom"/>
            <w:tcBorders>
              <w:bottom w:val="single" w:sz="8" w:color="DDDDDD"/>
            </w:tcBorders>
            <w:gridSpan w:val="2"/>
            <w:shd w:val="clear" w:color="auto" w:fill="DDDDDD"/>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(80,383)</w:t>
            </w:r>
          </w:p>
        </w:tc>
      </w:tr>
      <w:tr>
        <w:trPr>
          <w:trHeight w:val="20"/>
        </w:trPr>
        <w:tc>
          <w:tcPr>
            <w:tcW w:w="36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components of income tax expense were as follows:</w:t>
      </w:r>
    </w:p>
    <w:p>
      <w:pPr>
        <w:spacing w:after="0" w:line="321" w:lineRule="exact"/>
        <w:rPr>
          <w:sz w:val="20"/>
          <w:szCs w:val="20"/>
          <w:color w:val="auto"/>
        </w:rPr>
      </w:pPr>
    </w:p>
    <w:tbl>
      <w:tblPr>
        <w:tblLayout w:type="fixed"/>
        <w:tblInd w:w="108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40" w:type="dxa"/>
            <w:vAlign w:val="bottom"/>
            <w:gridSpan w:val="7"/>
          </w:tcPr>
          <w:p>
            <w:pPr>
              <w:jc w:val="center"/>
              <w:ind w:left="23"/>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960" w:type="dxa"/>
            <w:vAlign w:val="bottom"/>
          </w:tcPr>
          <w:p>
            <w:pPr>
              <w:spacing w:after="0"/>
              <w:rPr>
                <w:sz w:val="18"/>
                <w:szCs w:val="18"/>
                <w:color w:val="auto"/>
              </w:rPr>
            </w:pPr>
          </w:p>
        </w:tc>
      </w:tr>
      <w:tr>
        <w:trPr>
          <w:trHeight w:val="38"/>
        </w:trPr>
        <w:tc>
          <w:tcPr>
            <w:tcW w:w="3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19"/>
        </w:trPr>
        <w:tc>
          <w:tcPr>
            <w:tcW w:w="3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center"/>
              <w:ind w:right="22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8"/>
        </w:trPr>
        <w:tc>
          <w:tcPr>
            <w:tcW w:w="3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79"/>
        </w:trPr>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7"/>
        </w:trPr>
        <w:tc>
          <w:tcPr>
            <w:tcW w:w="3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Current Provision:</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
        </w:trPr>
        <w:tc>
          <w:tcPr>
            <w:tcW w:w="3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360" w:type="dxa"/>
            <w:vAlign w:val="bottom"/>
            <w:gridSpan w:val="2"/>
          </w:tcPr>
          <w:p>
            <w:pPr>
              <w:spacing w:after="0"/>
              <w:rPr>
                <w:sz w:val="3"/>
                <w:szCs w:val="3"/>
                <w:color w:val="auto"/>
              </w:rPr>
            </w:pPr>
          </w:p>
        </w:tc>
        <w:tc>
          <w:tcPr>
            <w:tcW w:w="102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305"/>
        </w:trPr>
        <w:tc>
          <w:tcPr>
            <w:tcW w:w="3700" w:type="dxa"/>
            <w:vAlign w:val="bottom"/>
            <w:tcBorders>
              <w:bottom w:val="single" w:sz="8" w:color="DDDDDD"/>
            </w:tcBorders>
            <w:gridSpan w:val="2"/>
            <w:shd w:val="clear" w:color="auto" w:fill="DDDDDD"/>
          </w:tcPr>
          <w:p>
            <w:pPr>
              <w:ind w:left="220"/>
              <w:spacing w:after="0"/>
              <w:rPr>
                <w:sz w:val="20"/>
                <w:szCs w:val="20"/>
                <w:color w:val="auto"/>
              </w:rPr>
            </w:pPr>
            <w:r>
              <w:rPr>
                <w:rFonts w:ascii="Times New Roman" w:cs="Times New Roman" w:eastAsia="Times New Roman" w:hAnsi="Times New Roman"/>
                <w:sz w:val="20"/>
                <w:szCs w:val="20"/>
                <w:color w:val="auto"/>
              </w:rPr>
              <w:t>Federal</w:t>
            </w:r>
          </w:p>
        </w:tc>
        <w:tc>
          <w:tcPr>
            <w:tcW w:w="840" w:type="dxa"/>
            <w:vAlign w:val="bottom"/>
            <w:tcBorders>
              <w:bottom w:val="single" w:sz="8" w:color="DDDDDD"/>
            </w:tcBorders>
            <w:shd w:val="clear" w:color="auto" w:fill="DDDDDD"/>
          </w:tcPr>
          <w:p>
            <w:pPr>
              <w:jc w:val="right"/>
              <w:ind w:right="607"/>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DDDDDD"/>
            </w:tcBorders>
            <w:gridSpan w:val="4"/>
            <w:shd w:val="clear" w:color="auto" w:fill="DDDDDD"/>
          </w:tcPr>
          <w:p>
            <w:pPr>
              <w:jc w:val="right"/>
              <w:ind w:right="90"/>
              <w:spacing w:after="0"/>
              <w:rPr>
                <w:sz w:val="20"/>
                <w:szCs w:val="20"/>
                <w:color w:val="auto"/>
              </w:rPr>
            </w:pPr>
            <w:r>
              <w:rPr>
                <w:rFonts w:ascii="Times New Roman" w:cs="Times New Roman" w:eastAsia="Times New Roman" w:hAnsi="Times New Roman"/>
                <w:sz w:val="20"/>
                <w:szCs w:val="20"/>
                <w:color w:val="auto"/>
              </w:rPr>
              <w:t>—  $</w:t>
            </w:r>
          </w:p>
        </w:tc>
        <w:tc>
          <w:tcPr>
            <w:tcW w:w="1380" w:type="dxa"/>
            <w:vAlign w:val="bottom"/>
            <w:tcBorders>
              <w:bottom w:val="single" w:sz="8" w:color="DDDDDD"/>
            </w:tcBorders>
            <w:gridSpan w:val="3"/>
            <w:shd w:val="clear" w:color="auto" w:fill="DDDDDD"/>
          </w:tcPr>
          <w:p>
            <w:pPr>
              <w:jc w:val="right"/>
              <w:ind w:right="100"/>
              <w:spacing w:after="0"/>
              <w:rPr>
                <w:sz w:val="20"/>
                <w:szCs w:val="20"/>
                <w:color w:val="auto"/>
              </w:rPr>
            </w:pPr>
            <w:r>
              <w:rPr>
                <w:rFonts w:ascii="Times New Roman" w:cs="Times New Roman" w:eastAsia="Times New Roman" w:hAnsi="Times New Roman"/>
                <w:sz w:val="20"/>
                <w:szCs w:val="20"/>
                <w:color w:val="auto"/>
              </w:rPr>
              <w:t>—  $</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2"/>
        </w:trPr>
        <w:tc>
          <w:tcPr>
            <w:tcW w:w="370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State</w:t>
            </w:r>
          </w:p>
        </w:tc>
        <w:tc>
          <w:tcPr>
            <w:tcW w:w="8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42"/>
        </w:trPr>
        <w:tc>
          <w:tcPr>
            <w:tcW w:w="3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350"/>
        </w:trPr>
        <w:tc>
          <w:tcPr>
            <w:tcW w:w="3700" w:type="dxa"/>
            <w:vAlign w:val="bottom"/>
            <w:tcBorders>
              <w:bottom w:val="single" w:sz="8" w:color="DDDDDD"/>
            </w:tcBorders>
            <w:gridSpan w:val="2"/>
            <w:shd w:val="clear" w:color="auto" w:fill="DDDDDD"/>
          </w:tcPr>
          <w:p>
            <w:pPr>
              <w:ind w:left="220"/>
              <w:spacing w:after="0"/>
              <w:rPr>
                <w:sz w:val="20"/>
                <w:szCs w:val="20"/>
                <w:color w:val="auto"/>
              </w:rPr>
            </w:pPr>
            <w:r>
              <w:rPr>
                <w:rFonts w:ascii="Times New Roman" w:cs="Times New Roman" w:eastAsia="Times New Roman" w:hAnsi="Times New Roman"/>
                <w:sz w:val="20"/>
                <w:szCs w:val="20"/>
                <w:color w:val="auto"/>
              </w:rPr>
              <w:t>Foreign</w:t>
            </w:r>
          </w:p>
        </w:tc>
        <w:tc>
          <w:tcPr>
            <w:tcW w:w="840" w:type="dxa"/>
            <w:vAlign w:val="bottom"/>
            <w:tcBorders>
              <w:bottom w:val="single" w:sz="8" w:color="DDDDDD"/>
            </w:tcBorders>
            <w:shd w:val="clear" w:color="auto" w:fill="DDDDDD"/>
          </w:tcPr>
          <w:p>
            <w:pPr>
              <w:spacing w:after="0"/>
              <w:rPr>
                <w:sz w:val="24"/>
                <w:szCs w:val="24"/>
                <w:color w:val="auto"/>
              </w:rPr>
            </w:pPr>
          </w:p>
        </w:tc>
        <w:tc>
          <w:tcPr>
            <w:tcW w:w="4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w w:val="96"/>
              </w:rPr>
              <w:t>(597)</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(485)</w:t>
            </w:r>
          </w:p>
        </w:tc>
        <w:tc>
          <w:tcPr>
            <w:tcW w:w="60" w:type="dxa"/>
            <w:vAlign w:val="bottom"/>
            <w:tcBorders>
              <w:bottom w:val="single" w:sz="8" w:color="DDDDDD"/>
            </w:tcBorders>
            <w:shd w:val="clear" w:color="auto" w:fill="DDDDDD"/>
          </w:tcPr>
          <w:p>
            <w:pPr>
              <w:spacing w:after="0"/>
              <w:rPr>
                <w:sz w:val="24"/>
                <w:szCs w:val="24"/>
                <w:color w:val="auto"/>
              </w:rPr>
            </w:pPr>
          </w:p>
        </w:tc>
        <w:tc>
          <w:tcPr>
            <w:tcW w:w="36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(151)</w:t>
            </w:r>
          </w:p>
        </w:tc>
      </w:tr>
      <w:tr>
        <w:trPr>
          <w:trHeight w:val="243"/>
        </w:trPr>
        <w:tc>
          <w:tcPr>
            <w:tcW w:w="3700" w:type="dxa"/>
            <w:vAlign w:val="bottom"/>
            <w:tcBorders>
              <w:top w:val="single" w:sz="8" w:color="DDDDDD"/>
            </w:tcBorders>
            <w:gridSpan w:val="2"/>
          </w:tcPr>
          <w:p>
            <w:pPr>
              <w:ind w:left="40"/>
              <w:spacing w:after="0"/>
              <w:rPr>
                <w:sz w:val="20"/>
                <w:szCs w:val="20"/>
                <w:color w:val="auto"/>
              </w:rPr>
            </w:pPr>
            <w:r>
              <w:rPr>
                <w:rFonts w:ascii="Times New Roman" w:cs="Times New Roman" w:eastAsia="Times New Roman" w:hAnsi="Times New Roman"/>
                <w:sz w:val="20"/>
                <w:szCs w:val="20"/>
                <w:color w:val="auto"/>
              </w:rPr>
              <w:t>Total current provision</w:t>
            </w:r>
          </w:p>
        </w:tc>
        <w:tc>
          <w:tcPr>
            <w:tcW w:w="8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6"/>
              </w:rPr>
              <w:t>(598)</w:t>
            </w:r>
          </w:p>
        </w:tc>
        <w:tc>
          <w:tcPr>
            <w:tcW w:w="40" w:type="dxa"/>
            <w:vAlign w:val="bottom"/>
            <w:tcBorders>
              <w:top w:val="single" w:sz="8" w:color="DDDDDD"/>
            </w:tcBorders>
          </w:tcPr>
          <w:p>
            <w:pPr>
              <w:spacing w:after="0"/>
              <w:rPr>
                <w:sz w:val="21"/>
                <w:szCs w:val="21"/>
                <w:color w:val="auto"/>
              </w:rPr>
            </w:pPr>
          </w:p>
        </w:tc>
        <w:tc>
          <w:tcPr>
            <w:tcW w:w="20" w:type="dxa"/>
            <w:vAlign w:val="bottom"/>
            <w:tcBorders>
              <w:top w:val="single" w:sz="8" w:color="DDDDDD"/>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(486)</w:t>
            </w:r>
          </w:p>
        </w:tc>
        <w:tc>
          <w:tcPr>
            <w:tcW w:w="60" w:type="dxa"/>
            <w:vAlign w:val="bottom"/>
            <w:tcBorders>
              <w:top w:val="single" w:sz="8" w:color="DDDDDD"/>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42"/>
        </w:trPr>
        <w:tc>
          <w:tcPr>
            <w:tcW w:w="3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325"/>
        </w:trPr>
        <w:tc>
          <w:tcPr>
            <w:tcW w:w="370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Total deferred provision</w:t>
            </w:r>
          </w:p>
        </w:tc>
        <w:tc>
          <w:tcPr>
            <w:tcW w:w="840" w:type="dxa"/>
            <w:vAlign w:val="bottom"/>
            <w:tcBorders>
              <w:bottom w:val="single" w:sz="8" w:color="DDDDDD"/>
            </w:tcBorders>
            <w:shd w:val="clear" w:color="auto" w:fill="DDDDDD"/>
          </w:tcPr>
          <w:p>
            <w:pPr>
              <w:spacing w:after="0"/>
              <w:rPr>
                <w:sz w:val="24"/>
                <w:szCs w:val="24"/>
                <w:color w:val="auto"/>
              </w:rPr>
            </w:pPr>
          </w:p>
        </w:tc>
        <w:tc>
          <w:tcPr>
            <w:tcW w:w="4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shd w:val="clear" w:color="auto" w:fill="DDDDDD"/>
          </w:tcPr>
          <w:p>
            <w:pPr>
              <w:spacing w:after="0"/>
              <w:rPr>
                <w:sz w:val="24"/>
                <w:szCs w:val="24"/>
                <w:color w:val="auto"/>
              </w:rPr>
            </w:pPr>
          </w:p>
        </w:tc>
        <w:tc>
          <w:tcPr>
            <w:tcW w:w="36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3"/>
        </w:trPr>
        <w:tc>
          <w:tcPr>
            <w:tcW w:w="37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income tax provision</w:t>
            </w:r>
          </w:p>
        </w:tc>
        <w:tc>
          <w:tcPr>
            <w:tcW w:w="840" w:type="dxa"/>
            <w:vAlign w:val="bottom"/>
            <w:tcBorders>
              <w:top w:val="single" w:sz="8" w:color="auto"/>
            </w:tcBorders>
          </w:tcPr>
          <w:p>
            <w:pPr>
              <w:jc w:val="right"/>
              <w:ind w:right="587"/>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6"/>
              </w:rPr>
              <w:t>(598)</w:t>
            </w:r>
          </w:p>
        </w:tc>
        <w:tc>
          <w:tcPr>
            <w:tcW w:w="60" w:type="dxa"/>
            <w:vAlign w:val="bottom"/>
            <w:gridSpan w:val="2"/>
          </w:tcPr>
          <w:p>
            <w:pPr>
              <w:spacing w:after="0"/>
              <w:rPr>
                <w:sz w:val="22"/>
                <w:szCs w:val="22"/>
                <w:color w:val="auto"/>
              </w:rPr>
            </w:pPr>
          </w:p>
        </w:tc>
        <w:tc>
          <w:tcPr>
            <w:tcW w:w="3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(486)</w:t>
            </w:r>
          </w:p>
        </w:tc>
        <w:tc>
          <w:tcPr>
            <w:tcW w:w="60" w:type="dxa"/>
            <w:vAlign w:val="bottom"/>
          </w:tcPr>
          <w:p>
            <w:pPr>
              <w:spacing w:after="0"/>
              <w:rPr>
                <w:sz w:val="22"/>
                <w:szCs w:val="22"/>
                <w:color w:val="auto"/>
              </w:rPr>
            </w:pPr>
          </w:p>
        </w:tc>
        <w:tc>
          <w:tcPr>
            <w:tcW w:w="36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w:t>
            </w:r>
          </w:p>
        </w:tc>
      </w:tr>
      <w:tr>
        <w:trPr>
          <w:trHeight w:val="44"/>
        </w:trPr>
        <w:tc>
          <w:tcPr>
            <w:tcW w:w="36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
        </w:trPr>
        <w:tc>
          <w:tcPr>
            <w:tcW w:w="3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3032760</wp:posOffset>
                </wp:positionH>
                <wp:positionV relativeFrom="paragraph">
                  <wp:posOffset>-644525</wp:posOffset>
                </wp:positionV>
                <wp:extent cx="828040"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8.8pt,-50.7499pt" to="304pt,-50.7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3898900</wp:posOffset>
                </wp:positionH>
                <wp:positionV relativeFrom="paragraph">
                  <wp:posOffset>-644525</wp:posOffset>
                </wp:positionV>
                <wp:extent cx="82931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31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pt,-50.7499pt" to="372.3pt,-50.7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4766310</wp:posOffset>
                </wp:positionH>
                <wp:positionV relativeFrom="paragraph">
                  <wp:posOffset>-644525</wp:posOffset>
                </wp:positionV>
                <wp:extent cx="82804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3pt,-50.7499pt" to="440.5pt,-50.7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3032760</wp:posOffset>
                </wp:positionH>
                <wp:positionV relativeFrom="paragraph">
                  <wp:posOffset>-231775</wp:posOffset>
                </wp:positionV>
                <wp:extent cx="82804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8.8pt,-18.2499pt" to="304pt,-18.2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3898900</wp:posOffset>
                </wp:positionH>
                <wp:positionV relativeFrom="paragraph">
                  <wp:posOffset>-231775</wp:posOffset>
                </wp:positionV>
                <wp:extent cx="82931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31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pt,-18.2499pt" to="372.3pt,-18.2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4766310</wp:posOffset>
                </wp:positionH>
                <wp:positionV relativeFrom="paragraph">
                  <wp:posOffset>-231775</wp:posOffset>
                </wp:positionV>
                <wp:extent cx="828040"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5.3pt,-18.2499pt" to="440.5pt,-18.2499pt" o:allowincell="f" strokecolor="#FFFFFF" strokeweight="0.1399pt"/>
            </w:pict>
          </mc:Fallback>
        </mc:AlternateContent>
      </w:r>
    </w:p>
    <w:p>
      <w:pPr>
        <w:spacing w:after="0" w:line="57"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material components of the deferred tax assets and liabilities consisted of net operating loss carry-forwards, capitalized research and development costs, and tax credit carry-forwards.</w:t>
      </w:r>
    </w:p>
    <w:p>
      <w:pPr>
        <w:spacing w:after="0" w:line="252"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8"/>
          </w:tcPr>
          <w:p>
            <w:pPr>
              <w:jc w:val="center"/>
              <w:ind w:left="543"/>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4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center"/>
              <w:ind w:right="8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4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6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assets (liabilities):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4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60" w:type="dxa"/>
            <w:vAlign w:val="bottom"/>
            <w:tcBorders>
              <w:bottom w:val="single" w:sz="8" w:color="DDDDDD"/>
            </w:tcBorders>
            <w:shd w:val="clear" w:color="auto" w:fill="DDDDDD"/>
          </w:tcPr>
          <w:p>
            <w:pPr>
              <w:spacing w:after="0"/>
              <w:rPr>
                <w:sz w:val="24"/>
                <w:szCs w:val="24"/>
                <w:color w:val="auto"/>
              </w:rPr>
            </w:pPr>
          </w:p>
        </w:tc>
        <w:tc>
          <w:tcPr>
            <w:tcW w:w="414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Deferred tax assets:</w:t>
            </w: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spacing w:after="0"/>
              <w:rPr>
                <w:sz w:val="24"/>
                <w:szCs w:val="24"/>
                <w:color w:val="auto"/>
              </w:rPr>
            </w:pP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114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4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Accrual, write-down and other</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11,560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12,863</w:t>
            </w: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9,169</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4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60" w:type="dxa"/>
            <w:vAlign w:val="bottom"/>
            <w:tcBorders>
              <w:bottom w:val="single" w:sz="8" w:color="DDDDDD"/>
            </w:tcBorders>
            <w:shd w:val="clear" w:color="auto" w:fill="DDDDDD"/>
          </w:tcPr>
          <w:p>
            <w:pPr>
              <w:spacing w:after="0"/>
              <w:rPr>
                <w:sz w:val="24"/>
                <w:szCs w:val="24"/>
                <w:color w:val="auto"/>
              </w:rPr>
            </w:pPr>
          </w:p>
        </w:tc>
        <w:tc>
          <w:tcPr>
            <w:tcW w:w="412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Acquired assets</w:t>
            </w:r>
          </w:p>
        </w:tc>
        <w:tc>
          <w:tcPr>
            <w:tcW w:w="2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6,161</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4,623</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1,650</w:t>
            </w: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4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Capitalized research and development</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35,673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46,495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37,706</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4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60" w:type="dxa"/>
            <w:vAlign w:val="bottom"/>
            <w:tcBorders>
              <w:bottom w:val="single" w:sz="8" w:color="DDDDDD"/>
            </w:tcBorders>
            <w:shd w:val="clear" w:color="auto" w:fill="DDDDDD"/>
          </w:tcPr>
          <w:p>
            <w:pPr>
              <w:spacing w:after="0"/>
              <w:rPr>
                <w:sz w:val="24"/>
                <w:szCs w:val="24"/>
                <w:color w:val="auto"/>
              </w:rPr>
            </w:pPr>
          </w:p>
        </w:tc>
        <w:tc>
          <w:tcPr>
            <w:tcW w:w="4140" w:type="dxa"/>
            <w:vAlign w:val="bottom"/>
            <w:tcBorders>
              <w:bottom w:val="single" w:sz="8" w:color="DDDDDD"/>
            </w:tcBorders>
            <w:gridSpan w:val="2"/>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Credits</w:t>
            </w: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5,657</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60" w:type="dxa"/>
            <w:vAlign w:val="bottom"/>
            <w:tcBorders>
              <w:bottom w:val="single" w:sz="8" w:color="DDDDDD"/>
            </w:tcBorders>
            <w:shd w:val="clear" w:color="auto" w:fill="DDDDDD"/>
          </w:tcPr>
          <w:p>
            <w:pPr>
              <w:spacing w:after="0"/>
              <w:rPr>
                <w:sz w:val="24"/>
                <w:szCs w:val="24"/>
                <w:color w:val="auto"/>
              </w:rPr>
            </w:pP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5,657</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5,657</w:t>
            </w: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41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Net operating loss and credits carry forwards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78,252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58,689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54,212</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4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60" w:type="dxa"/>
            <w:vAlign w:val="bottom"/>
            <w:tcBorders>
              <w:top w:val="single" w:sz="8" w:color="DDDDDD"/>
              <w:bottom w:val="single" w:sz="8" w:color="DDDDDD"/>
            </w:tcBorders>
            <w:shd w:val="clear" w:color="auto" w:fill="DDDDDD"/>
          </w:tcPr>
          <w:p>
            <w:pPr>
              <w:spacing w:after="0"/>
              <w:rPr>
                <w:sz w:val="24"/>
                <w:szCs w:val="24"/>
                <w:color w:val="auto"/>
              </w:rPr>
            </w:pPr>
          </w:p>
        </w:tc>
        <w:tc>
          <w:tcPr>
            <w:tcW w:w="4140" w:type="dxa"/>
            <w:vAlign w:val="bottom"/>
            <w:tcBorders>
              <w:top w:val="single" w:sz="8" w:color="DDDDDD"/>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Gross deferred tax assets</w:t>
            </w:r>
          </w:p>
        </w:tc>
        <w:tc>
          <w:tcPr>
            <w:tcW w:w="320" w:type="dxa"/>
            <w:vAlign w:val="bottom"/>
            <w:tcBorders>
              <w:top w:val="single" w:sz="8" w:color="auto"/>
              <w:bottom w:val="single" w:sz="8" w:color="DDDDDD"/>
            </w:tcBorders>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137,303</w:t>
            </w:r>
          </w:p>
        </w:tc>
        <w:tc>
          <w:tcPr>
            <w:tcW w:w="40" w:type="dxa"/>
            <w:vAlign w:val="bottom"/>
            <w:tcBorders>
              <w:top w:val="single" w:sz="8" w:color="DDDDDD"/>
              <w:bottom w:val="single" w:sz="8" w:color="DDDDDD"/>
            </w:tcBorders>
            <w:shd w:val="clear" w:color="auto" w:fill="DDDDDD"/>
          </w:tcPr>
          <w:p>
            <w:pPr>
              <w:spacing w:after="0"/>
              <w:rPr>
                <w:sz w:val="24"/>
                <w:szCs w:val="24"/>
                <w:color w:val="auto"/>
              </w:rPr>
            </w:pPr>
          </w:p>
        </w:tc>
        <w:tc>
          <w:tcPr>
            <w:tcW w:w="20" w:type="dxa"/>
            <w:vAlign w:val="bottom"/>
            <w:tcBorders>
              <w:top w:val="single" w:sz="8" w:color="DDDDDD"/>
              <w:bottom w:val="single" w:sz="8" w:color="DDDDDD"/>
            </w:tcBorders>
            <w:shd w:val="clear" w:color="auto" w:fill="DDDDDD"/>
          </w:tcPr>
          <w:p>
            <w:pPr>
              <w:spacing w:after="0"/>
              <w:rPr>
                <w:sz w:val="24"/>
                <w:szCs w:val="24"/>
                <w:color w:val="auto"/>
              </w:rPr>
            </w:pPr>
          </w:p>
        </w:tc>
        <w:tc>
          <w:tcPr>
            <w:tcW w:w="16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128,327</w:t>
            </w:r>
          </w:p>
        </w:tc>
        <w:tc>
          <w:tcPr>
            <w:tcW w:w="60" w:type="dxa"/>
            <w:vAlign w:val="bottom"/>
            <w:tcBorders>
              <w:top w:val="single" w:sz="8" w:color="DDDDDD"/>
              <w:bottom w:val="single" w:sz="8" w:color="DDDDDD"/>
            </w:tcBorders>
            <w:shd w:val="clear" w:color="auto" w:fill="DDDDDD"/>
          </w:tcPr>
          <w:p>
            <w:pPr>
              <w:spacing w:after="0"/>
              <w:rPr>
                <w:sz w:val="24"/>
                <w:szCs w:val="24"/>
                <w:color w:val="auto"/>
              </w:rPr>
            </w:pPr>
          </w:p>
        </w:tc>
        <w:tc>
          <w:tcPr>
            <w:tcW w:w="20" w:type="dxa"/>
            <w:vAlign w:val="bottom"/>
            <w:tcBorders>
              <w:top w:val="single" w:sz="8" w:color="DDDDDD"/>
              <w:bottom w:val="single" w:sz="8" w:color="DDDDDD"/>
            </w:tcBorders>
            <w:shd w:val="clear" w:color="auto" w:fill="DDDDDD"/>
          </w:tcPr>
          <w:p>
            <w:pPr>
              <w:spacing w:after="0"/>
              <w:rPr>
                <w:sz w:val="24"/>
                <w:szCs w:val="24"/>
                <w:color w:val="auto"/>
              </w:rPr>
            </w:pPr>
          </w:p>
        </w:tc>
        <w:tc>
          <w:tcPr>
            <w:tcW w:w="340" w:type="dxa"/>
            <w:vAlign w:val="bottom"/>
            <w:tcBorders>
              <w:top w:val="single" w:sz="8" w:color="auto"/>
              <w:bottom w:val="single" w:sz="8" w:color="DDDDDD"/>
            </w:tcBorders>
            <w:shd w:val="clear" w:color="auto" w:fill="DDDDD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108,394</w:t>
            </w: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Deferred tax liabilities:</w:t>
            </w:r>
          </w:p>
        </w:tc>
        <w:tc>
          <w:tcPr>
            <w:tcW w:w="3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4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5"/>
        </w:trPr>
        <w:tc>
          <w:tcPr>
            <w:tcW w:w="60" w:type="dxa"/>
            <w:vAlign w:val="bottom"/>
            <w:tcBorders>
              <w:bottom w:val="single" w:sz="8" w:color="DDDDDD"/>
            </w:tcBorders>
            <w:shd w:val="clear" w:color="auto" w:fill="DDDDDD"/>
          </w:tcPr>
          <w:p>
            <w:pPr>
              <w:spacing w:after="0"/>
              <w:rPr>
                <w:sz w:val="24"/>
                <w:szCs w:val="24"/>
                <w:color w:val="auto"/>
              </w:rPr>
            </w:pPr>
          </w:p>
        </w:tc>
        <w:tc>
          <w:tcPr>
            <w:tcW w:w="4140" w:type="dxa"/>
            <w:vAlign w:val="bottom"/>
            <w:tcBorders>
              <w:bottom w:val="single" w:sz="8" w:color="DDDDDD"/>
            </w:tcBorders>
            <w:gridSpan w:val="2"/>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20" w:type="dxa"/>
            <w:vAlign w:val="bottom"/>
            <w:tcBorders>
              <w:bottom w:val="single" w:sz="8" w:color="DDDDDD"/>
            </w:tcBorders>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(909)</w:t>
            </w:r>
          </w:p>
        </w:tc>
        <w:tc>
          <w:tcPr>
            <w:tcW w:w="220" w:type="dxa"/>
            <w:vAlign w:val="bottom"/>
            <w:tcBorders>
              <w:bottom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(2,277)</w:t>
            </w:r>
          </w:p>
        </w:tc>
        <w:tc>
          <w:tcPr>
            <w:tcW w:w="420" w:type="dxa"/>
            <w:vAlign w:val="bottom"/>
            <w:tcBorders>
              <w:bottom w:val="single" w:sz="8" w:color="DDDDDD"/>
            </w:tcBorders>
            <w:gridSpan w:val="3"/>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(2,622)</w:t>
            </w:r>
          </w:p>
        </w:tc>
        <w:tc>
          <w:tcPr>
            <w:tcW w:w="0" w:type="dxa"/>
            <w:vAlign w:val="bottom"/>
          </w:tcPr>
          <w:p>
            <w:pPr>
              <w:spacing w:after="0"/>
              <w:rPr>
                <w:sz w:val="1"/>
                <w:szCs w:val="1"/>
                <w:color w:val="auto"/>
              </w:rPr>
            </w:pPr>
          </w:p>
        </w:tc>
      </w:tr>
      <w:tr>
        <w:trPr>
          <w:trHeight w:val="20"/>
        </w:trPr>
        <w:tc>
          <w:tcPr>
            <w:tcW w:w="60" w:type="dxa"/>
            <w:vAlign w:val="bottom"/>
            <w:tcBorders>
              <w:top w:val="single" w:sz="8" w:color="DDDDDD"/>
            </w:tcBorders>
          </w:tcPr>
          <w:p>
            <w:pPr>
              <w:spacing w:after="0" w:line="20" w:lineRule="exact"/>
              <w:rPr>
                <w:sz w:val="1"/>
                <w:szCs w:val="1"/>
                <w:color w:val="auto"/>
              </w:rPr>
            </w:pPr>
          </w:p>
        </w:tc>
        <w:tc>
          <w:tcPr>
            <w:tcW w:w="4140" w:type="dxa"/>
            <w:vAlign w:val="bottom"/>
            <w:tcBorders>
              <w:top w:val="single" w:sz="8" w:color="DDDDDD"/>
            </w:tcBorders>
            <w:gridSpan w:val="2"/>
            <w:vMerge w:val="restart"/>
          </w:tcPr>
          <w:p>
            <w:pPr>
              <w:spacing w:after="0"/>
              <w:rPr>
                <w:sz w:val="20"/>
                <w:szCs w:val="20"/>
                <w:color w:val="auto"/>
              </w:rPr>
            </w:pPr>
            <w:r>
              <w:rPr>
                <w:rFonts w:ascii="Times New Roman" w:cs="Times New Roman" w:eastAsia="Times New Roman" w:hAnsi="Times New Roman"/>
                <w:sz w:val="20"/>
                <w:szCs w:val="20"/>
                <w:color w:val="auto"/>
              </w:rPr>
              <w:t>Gross deferred tax liabilities</w:t>
            </w:r>
          </w:p>
        </w:tc>
        <w:tc>
          <w:tcPr>
            <w:tcW w:w="320" w:type="dxa"/>
            <w:vAlign w:val="bottom"/>
            <w:tcBorders>
              <w:top w:val="single" w:sz="8" w:color="auto"/>
            </w:tcBorders>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(909)</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(2,277)</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rPr>
              <w:t>(2,622)</w:t>
            </w:r>
          </w:p>
        </w:tc>
        <w:tc>
          <w:tcPr>
            <w:tcW w:w="0" w:type="dxa"/>
            <w:vAlign w:val="bottom"/>
          </w:tcPr>
          <w:p>
            <w:pPr>
              <w:spacing w:after="0" w:line="20" w:lineRule="exact"/>
              <w:rPr>
                <w:sz w:val="1"/>
                <w:szCs w:val="1"/>
                <w:color w:val="auto"/>
              </w:rPr>
            </w:pPr>
          </w:p>
        </w:tc>
      </w:tr>
      <w:tr>
        <w:trPr>
          <w:trHeight w:val="222"/>
        </w:trPr>
        <w:tc>
          <w:tcPr>
            <w:tcW w:w="60" w:type="dxa"/>
            <w:vAlign w:val="bottom"/>
          </w:tcPr>
          <w:p>
            <w:pPr>
              <w:spacing w:after="0"/>
              <w:rPr>
                <w:sz w:val="19"/>
                <w:szCs w:val="19"/>
                <w:color w:val="auto"/>
              </w:rPr>
            </w:pPr>
          </w:p>
        </w:tc>
        <w:tc>
          <w:tcPr>
            <w:tcW w:w="4140" w:type="dxa"/>
            <w:vAlign w:val="bottom"/>
            <w:gridSpan w:val="2"/>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220" w:type="dxa"/>
            <w:vAlign w:val="bottom"/>
            <w:gridSpan w:val="3"/>
          </w:tcPr>
          <w:p>
            <w:pPr>
              <w:jc w:val="right"/>
              <w:spacing w:after="0" w:line="222" w:lineRule="exact"/>
              <w:rPr>
                <w:sz w:val="20"/>
                <w:szCs w:val="20"/>
                <w:color w:val="auto"/>
              </w:rPr>
            </w:pPr>
            <w:r>
              <w:rPr>
                <w:rFonts w:ascii="Times New Roman" w:cs="Times New Roman" w:eastAsia="Times New Roman" w:hAnsi="Times New Roman"/>
                <w:sz w:val="20"/>
                <w:szCs w:val="20"/>
                <w:color w:val="auto"/>
              </w:rPr>
              <w:t>$</w:t>
            </w:r>
          </w:p>
        </w:tc>
        <w:tc>
          <w:tcPr>
            <w:tcW w:w="1140" w:type="dxa"/>
            <w:vAlign w:val="bottom"/>
            <w:vMerge w:val="continue"/>
          </w:tcPr>
          <w:p>
            <w:pPr>
              <w:spacing w:after="0"/>
              <w:rPr>
                <w:sz w:val="19"/>
                <w:szCs w:val="19"/>
                <w:color w:val="auto"/>
              </w:rPr>
            </w:pPr>
          </w:p>
        </w:tc>
        <w:tc>
          <w:tcPr>
            <w:tcW w:w="420" w:type="dxa"/>
            <w:vAlign w:val="bottom"/>
            <w:gridSpan w:val="3"/>
          </w:tcPr>
          <w:p>
            <w:pPr>
              <w:jc w:val="right"/>
              <w:ind w:right="80"/>
              <w:spacing w:after="0" w:line="222" w:lineRule="exact"/>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4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60" w:type="dxa"/>
            <w:vAlign w:val="bottom"/>
            <w:tcBorders>
              <w:top w:val="single" w:sz="8" w:color="DDDDDD"/>
              <w:bottom w:val="single" w:sz="8" w:color="DDDDDD"/>
            </w:tcBorders>
            <w:shd w:val="clear" w:color="auto" w:fill="DDDDDD"/>
          </w:tcPr>
          <w:p>
            <w:pPr>
              <w:spacing w:after="0"/>
              <w:rPr>
                <w:sz w:val="24"/>
                <w:szCs w:val="24"/>
                <w:color w:val="auto"/>
              </w:rPr>
            </w:pPr>
          </w:p>
        </w:tc>
        <w:tc>
          <w:tcPr>
            <w:tcW w:w="4140" w:type="dxa"/>
            <w:vAlign w:val="bottom"/>
            <w:tcBorders>
              <w:top w:val="single" w:sz="8" w:color="DDDDDD"/>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Total gross deferred tax assets</w:t>
            </w:r>
          </w:p>
        </w:tc>
        <w:tc>
          <w:tcPr>
            <w:tcW w:w="320" w:type="dxa"/>
            <w:vAlign w:val="bottom"/>
            <w:tcBorders>
              <w:top w:val="single" w:sz="8" w:color="auto"/>
              <w:bottom w:val="single" w:sz="8" w:color="DDDDDD"/>
            </w:tcBorders>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136,394</w:t>
            </w:r>
          </w:p>
        </w:tc>
        <w:tc>
          <w:tcPr>
            <w:tcW w:w="40" w:type="dxa"/>
            <w:vAlign w:val="bottom"/>
            <w:tcBorders>
              <w:top w:val="single" w:sz="8" w:color="DDDDDD"/>
              <w:bottom w:val="single" w:sz="8" w:color="DDDDDD"/>
            </w:tcBorders>
            <w:shd w:val="clear" w:color="auto" w:fill="DDDDDD"/>
          </w:tcPr>
          <w:p>
            <w:pPr>
              <w:spacing w:after="0"/>
              <w:rPr>
                <w:sz w:val="24"/>
                <w:szCs w:val="24"/>
                <w:color w:val="auto"/>
              </w:rPr>
            </w:pPr>
          </w:p>
        </w:tc>
        <w:tc>
          <w:tcPr>
            <w:tcW w:w="20" w:type="dxa"/>
            <w:vAlign w:val="bottom"/>
            <w:tcBorders>
              <w:top w:val="single" w:sz="8" w:color="DDDDDD"/>
              <w:bottom w:val="single" w:sz="8" w:color="DDDDDD"/>
            </w:tcBorders>
            <w:shd w:val="clear" w:color="auto" w:fill="DDDDDD"/>
          </w:tcPr>
          <w:p>
            <w:pPr>
              <w:spacing w:after="0"/>
              <w:rPr>
                <w:sz w:val="24"/>
                <w:szCs w:val="24"/>
                <w:color w:val="auto"/>
              </w:rPr>
            </w:pPr>
          </w:p>
        </w:tc>
        <w:tc>
          <w:tcPr>
            <w:tcW w:w="16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126,050</w:t>
            </w:r>
          </w:p>
        </w:tc>
        <w:tc>
          <w:tcPr>
            <w:tcW w:w="60" w:type="dxa"/>
            <w:vAlign w:val="bottom"/>
            <w:tcBorders>
              <w:top w:val="single" w:sz="8" w:color="DDDDDD"/>
              <w:bottom w:val="single" w:sz="8" w:color="DDDDDD"/>
            </w:tcBorders>
            <w:shd w:val="clear" w:color="auto" w:fill="DDDDDD"/>
          </w:tcPr>
          <w:p>
            <w:pPr>
              <w:spacing w:after="0"/>
              <w:rPr>
                <w:sz w:val="24"/>
                <w:szCs w:val="24"/>
                <w:color w:val="auto"/>
              </w:rPr>
            </w:pPr>
          </w:p>
        </w:tc>
        <w:tc>
          <w:tcPr>
            <w:tcW w:w="20" w:type="dxa"/>
            <w:vAlign w:val="bottom"/>
            <w:tcBorders>
              <w:top w:val="single" w:sz="8" w:color="DDDDDD"/>
              <w:bottom w:val="single" w:sz="8" w:color="DDDDDD"/>
            </w:tcBorders>
            <w:shd w:val="clear" w:color="auto" w:fill="DDDDDD"/>
          </w:tcPr>
          <w:p>
            <w:pPr>
              <w:spacing w:after="0"/>
              <w:rPr>
                <w:sz w:val="24"/>
                <w:szCs w:val="24"/>
                <w:color w:val="auto"/>
              </w:rPr>
            </w:pPr>
          </w:p>
        </w:tc>
        <w:tc>
          <w:tcPr>
            <w:tcW w:w="340" w:type="dxa"/>
            <w:vAlign w:val="bottom"/>
            <w:tcBorders>
              <w:top w:val="single" w:sz="8" w:color="auto"/>
              <w:bottom w:val="single" w:sz="8" w:color="DDDDDD"/>
            </w:tcBorders>
            <w:shd w:val="clear" w:color="auto" w:fill="DDDDD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105,772</w:t>
            </w:r>
          </w:p>
        </w:tc>
        <w:tc>
          <w:tcPr>
            <w:tcW w:w="0" w:type="dxa"/>
            <w:vAlign w:val="bottom"/>
          </w:tcPr>
          <w:p>
            <w:pPr>
              <w:spacing w:after="0"/>
              <w:rPr>
                <w:sz w:val="1"/>
                <w:szCs w:val="1"/>
                <w:color w:val="auto"/>
              </w:rPr>
            </w:pPr>
          </w:p>
        </w:tc>
      </w:tr>
      <w:tr>
        <w:trPr>
          <w:trHeight w:val="282"/>
        </w:trPr>
        <w:tc>
          <w:tcPr>
            <w:tcW w:w="6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(136,394)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(126,050)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(105,772)</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4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80" w:type="dxa"/>
            <w:vAlign w:val="bottom"/>
            <w:gridSpan w:val="2"/>
          </w:tcPr>
          <w:p>
            <w:pPr>
              <w:spacing w:after="0"/>
              <w:rPr>
                <w:sz w:val="3"/>
                <w:szCs w:val="3"/>
                <w:color w:val="auto"/>
              </w:rPr>
            </w:pPr>
          </w:p>
        </w:tc>
        <w:tc>
          <w:tcPr>
            <w:tcW w:w="1200" w:type="dxa"/>
            <w:vAlign w:val="bottom"/>
            <w:gridSpan w:val="2"/>
          </w:tcPr>
          <w:p>
            <w:pPr>
              <w:spacing w:after="0"/>
              <w:rPr>
                <w:sz w:val="3"/>
                <w:szCs w:val="3"/>
                <w:color w:val="auto"/>
              </w:rPr>
            </w:pPr>
          </w:p>
        </w:tc>
        <w:tc>
          <w:tcPr>
            <w:tcW w:w="36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60" w:type="dxa"/>
            <w:vAlign w:val="bottom"/>
            <w:tcBorders>
              <w:top w:val="single" w:sz="8" w:color="DDDDDD"/>
              <w:bottom w:val="single" w:sz="8" w:color="DDDDDD"/>
            </w:tcBorders>
            <w:shd w:val="clear" w:color="auto" w:fill="DDDDDD"/>
          </w:tcPr>
          <w:p>
            <w:pPr>
              <w:spacing w:after="0"/>
              <w:rPr>
                <w:sz w:val="24"/>
                <w:szCs w:val="24"/>
                <w:color w:val="auto"/>
              </w:rPr>
            </w:pPr>
          </w:p>
        </w:tc>
        <w:tc>
          <w:tcPr>
            <w:tcW w:w="4140" w:type="dxa"/>
            <w:vAlign w:val="bottom"/>
            <w:tcBorders>
              <w:top w:val="single" w:sz="8" w:color="DDDDDD"/>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Total net deferred tax assets</w:t>
            </w:r>
          </w:p>
        </w:tc>
        <w:tc>
          <w:tcPr>
            <w:tcW w:w="320" w:type="dxa"/>
            <w:vAlign w:val="bottom"/>
            <w:tcBorders>
              <w:top w:val="single" w:sz="8" w:color="auto"/>
              <w:bottom w:val="single" w:sz="8" w:color="DDDDDD"/>
            </w:tcBorders>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Borders>
              <w:top w:val="single" w:sz="8" w:color="DDDDDD"/>
              <w:bottom w:val="single" w:sz="8" w:color="DDDDDD"/>
            </w:tcBorders>
            <w:shd w:val="clear" w:color="auto" w:fill="DDDDDD"/>
          </w:tcPr>
          <w:p>
            <w:pPr>
              <w:spacing w:after="0"/>
              <w:rPr>
                <w:sz w:val="24"/>
                <w:szCs w:val="24"/>
                <w:color w:val="auto"/>
              </w:rPr>
            </w:pPr>
          </w:p>
        </w:tc>
        <w:tc>
          <w:tcPr>
            <w:tcW w:w="20" w:type="dxa"/>
            <w:vAlign w:val="bottom"/>
            <w:tcBorders>
              <w:top w:val="single" w:sz="8" w:color="DDDDDD"/>
              <w:bottom w:val="single" w:sz="8" w:color="DDDDDD"/>
            </w:tcBorders>
            <w:shd w:val="clear" w:color="auto" w:fill="DDDDDD"/>
          </w:tcPr>
          <w:p>
            <w:pPr>
              <w:spacing w:after="0"/>
              <w:rPr>
                <w:sz w:val="24"/>
                <w:szCs w:val="24"/>
                <w:color w:val="auto"/>
              </w:rPr>
            </w:pPr>
          </w:p>
        </w:tc>
        <w:tc>
          <w:tcPr>
            <w:tcW w:w="16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top w:val="single" w:sz="8" w:color="DDDDDD"/>
              <w:bottom w:val="single" w:sz="8" w:color="DDDDDD"/>
            </w:tcBorders>
            <w:shd w:val="clear" w:color="auto" w:fill="DDDDDD"/>
          </w:tcPr>
          <w:p>
            <w:pPr>
              <w:spacing w:after="0"/>
              <w:rPr>
                <w:sz w:val="24"/>
                <w:szCs w:val="24"/>
                <w:color w:val="auto"/>
              </w:rPr>
            </w:pPr>
          </w:p>
        </w:tc>
        <w:tc>
          <w:tcPr>
            <w:tcW w:w="20" w:type="dxa"/>
            <w:vAlign w:val="bottom"/>
            <w:tcBorders>
              <w:top w:val="single" w:sz="8" w:color="DDDDDD"/>
              <w:bottom w:val="single" w:sz="8" w:color="DDDDDD"/>
            </w:tcBorders>
            <w:shd w:val="clear" w:color="auto" w:fill="DDDDDD"/>
          </w:tcPr>
          <w:p>
            <w:pPr>
              <w:spacing w:after="0"/>
              <w:rPr>
                <w:sz w:val="24"/>
                <w:szCs w:val="24"/>
                <w:color w:val="auto"/>
              </w:rPr>
            </w:pPr>
          </w:p>
        </w:tc>
        <w:tc>
          <w:tcPr>
            <w:tcW w:w="340" w:type="dxa"/>
            <w:vAlign w:val="bottom"/>
            <w:tcBorders>
              <w:top w:val="single" w:sz="8" w:color="auto"/>
              <w:bottom w:val="single" w:sz="8" w:color="DDDDDD"/>
            </w:tcBorders>
            <w:shd w:val="clear" w:color="auto" w:fill="DDDDDD"/>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4046855</wp:posOffset>
                </wp:positionH>
                <wp:positionV relativeFrom="paragraph">
                  <wp:posOffset>-1263650</wp:posOffset>
                </wp:positionV>
                <wp:extent cx="82677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677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65pt,-99.4999pt" to="383.75pt,-99.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-1263650</wp:posOffset>
                </wp:positionV>
                <wp:extent cx="82677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677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99.4999pt" to="452.9pt,-99.4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521335</wp:posOffset>
                </wp:positionH>
                <wp:positionV relativeFrom="paragraph">
                  <wp:posOffset>-856615</wp:posOffset>
                </wp:positionV>
                <wp:extent cx="266065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6065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5pt,-67.4499pt" to="250.55pt,-67.44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3181985</wp:posOffset>
                </wp:positionH>
                <wp:positionV relativeFrom="paragraph">
                  <wp:posOffset>-850900</wp:posOffset>
                </wp:positionV>
                <wp:extent cx="826770" cy="0"/>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677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40" o:spid="_x0000_s11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0.55pt,-67pt" to="315.65pt,-67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4046855</wp:posOffset>
                </wp:positionH>
                <wp:positionV relativeFrom="paragraph">
                  <wp:posOffset>-850900</wp:posOffset>
                </wp:positionV>
                <wp:extent cx="82677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677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8.65pt,-67pt" to="383.75pt,-67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4925060</wp:posOffset>
                </wp:positionH>
                <wp:positionV relativeFrom="paragraph">
                  <wp:posOffset>-850900</wp:posOffset>
                </wp:positionV>
                <wp:extent cx="826770"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677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8pt,-67pt" to="452.9pt,-67pt" o:allowincell="f" strokecolor="#FFFFFF" strokeweight="0.1399pt"/>
            </w:pict>
          </mc:Fallback>
        </mc:AlternateContent>
      </w:r>
    </w:p>
    <w:p>
      <w:pPr>
        <w:sectPr>
          <w:pgSz w:w="12240" w:h="15840" w:orient="portrait"/>
          <w:cols w:equalWidth="0" w:num="1">
            <w:col w:w="9680"/>
          </w:cols>
          <w:pgMar w:left="1180" w:top="1212"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680"/>
          </w:cols>
          <w:pgMar w:left="1180" w:top="1212" w:right="1380" w:bottom="0" w:gutter="0" w:footer="0" w:header="0"/>
          <w:type w:val="continuous"/>
        </w:sectPr>
      </w:pPr>
    </w:p>
    <w:bookmarkStart w:id="85" w:name="page86"/>
    <w:bookmarkEnd w:id="85"/>
    <w:p>
      <w:pPr>
        <w:ind w:firstLine="720"/>
        <w:spacing w:after="0" w:line="282" w:lineRule="auto"/>
        <w:rPr>
          <w:sz w:val="20"/>
          <w:szCs w:val="20"/>
          <w:color w:val="auto"/>
        </w:rPr>
      </w:pPr>
      <w:r>
        <w:rPr>
          <w:rFonts w:ascii="Times New Roman" w:cs="Times New Roman" w:eastAsia="Times New Roman" w:hAnsi="Times New Roman"/>
          <w:sz w:val="20"/>
          <w:szCs w:val="20"/>
          <w:color w:val="auto"/>
        </w:rPr>
        <w:t>The net valuation allowance increased by $10.3 million and $20.3 million for the year ended December 31, 2025 and 2024 respectively.</w:t>
      </w:r>
    </w:p>
    <w:p>
      <w:pPr>
        <w:spacing w:after="0" w:line="60" w:lineRule="exact"/>
        <w:rPr>
          <w:sz w:val="20"/>
          <w:szCs w:val="20"/>
          <w:color w:val="auto"/>
        </w:rPr>
      </w:pPr>
    </w:p>
    <w:p>
      <w:pPr>
        <w:jc w:val="both"/>
        <w:ind w:right="40" w:firstLine="720"/>
        <w:spacing w:after="0" w:line="266" w:lineRule="auto"/>
        <w:rPr>
          <w:sz w:val="20"/>
          <w:szCs w:val="20"/>
          <w:color w:val="auto"/>
        </w:rPr>
      </w:pPr>
      <w:r>
        <w:rPr>
          <w:rFonts w:ascii="Times New Roman" w:cs="Times New Roman" w:eastAsia="Times New Roman" w:hAnsi="Times New Roman"/>
          <w:sz w:val="20"/>
          <w:szCs w:val="20"/>
          <w:color w:val="auto"/>
        </w:rPr>
        <w:t>Beginning in 2025 annual reporting period, we adopted ASU 2023-09 prospectively. A reconciliation of the U.S. federal statutory income tax rate to our effective tax rate pursuant to the disclosure requirements of ASU 2023-09 for the year ended December 31, 2025 is as follows:</w:t>
      </w:r>
    </w:p>
    <w:p>
      <w:pPr>
        <w:spacing w:after="0" w:line="159" w:lineRule="exact"/>
        <w:rPr>
          <w:sz w:val="20"/>
          <w:szCs w:val="20"/>
          <w:color w:val="auto"/>
        </w:rPr>
      </w:pPr>
    </w:p>
    <w:tbl>
      <w:tblPr>
        <w:tblLayout w:type="fixed"/>
        <w:tblInd w:w="138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3"/>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0" w:type="dxa"/>
            <w:vAlign w:val="bottom"/>
          </w:tcPr>
          <w:p>
            <w:pPr>
              <w:spacing w:after="0"/>
              <w:rPr>
                <w:sz w:val="1"/>
                <w:szCs w:val="1"/>
                <w:color w:val="auto"/>
              </w:rPr>
            </w:pPr>
          </w:p>
        </w:tc>
      </w:tr>
      <w:tr>
        <w:trPr>
          <w:trHeight w:val="50"/>
        </w:trPr>
        <w:tc>
          <w:tcPr>
            <w:tcW w:w="41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41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40" w:type="dxa"/>
            <w:vAlign w:val="bottom"/>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89"/>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1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U.S. federal statutory income tax rate</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(8,884)</w:t>
            </w:r>
          </w:p>
        </w:tc>
        <w:tc>
          <w:tcPr>
            <w:tcW w:w="36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300"/>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1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80" w:type="dxa"/>
            <w:vAlign w:val="bottom"/>
            <w:shd w:val="clear" w:color="auto" w:fill="DDDDDD"/>
          </w:tcPr>
          <w:p>
            <w:pPr>
              <w:spacing w:after="0"/>
              <w:rPr>
                <w:sz w:val="24"/>
                <w:szCs w:val="24"/>
                <w:color w:val="auto"/>
              </w:rPr>
            </w:pPr>
          </w:p>
        </w:tc>
        <w:tc>
          <w:tcPr>
            <w:tcW w:w="1200" w:type="dxa"/>
            <w:vAlign w:val="bottom"/>
            <w:shd w:val="clear" w:color="auto" w:fill="DDDDDD"/>
          </w:tcPr>
          <w:p>
            <w:pPr>
              <w:jc w:val="right"/>
              <w:ind w:right="66"/>
              <w:spacing w:after="0"/>
              <w:rPr>
                <w:sz w:val="20"/>
                <w:szCs w:val="20"/>
                <w:color w:val="auto"/>
              </w:rPr>
            </w:pPr>
            <w:r>
              <w:rPr>
                <w:rFonts w:ascii="Times New Roman" w:cs="Times New Roman" w:eastAsia="Times New Roman" w:hAnsi="Times New Roman"/>
                <w:sz w:val="20"/>
                <w:szCs w:val="20"/>
                <w:color w:val="auto"/>
              </w:rPr>
              <w:t>10,341</w:t>
            </w:r>
          </w:p>
        </w:tc>
        <w:tc>
          <w:tcPr>
            <w:tcW w:w="36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24.4 %</w:t>
            </w:r>
          </w:p>
        </w:tc>
        <w:tc>
          <w:tcPr>
            <w:tcW w:w="0" w:type="dxa"/>
            <w:vAlign w:val="bottom"/>
          </w:tcPr>
          <w:p>
            <w:pPr>
              <w:spacing w:after="0"/>
              <w:rPr>
                <w:sz w:val="1"/>
                <w:szCs w:val="1"/>
                <w:color w:val="auto"/>
              </w:rPr>
            </w:pPr>
          </w:p>
        </w:tc>
      </w:tr>
      <w:tr>
        <w:trPr>
          <w:trHeight w:val="300"/>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1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180" w:type="dxa"/>
            <w:vAlign w:val="bottom"/>
            <w:shd w:val="clear" w:color="auto" w:fill="DDDDDD"/>
          </w:tcPr>
          <w:p>
            <w:pPr>
              <w:spacing w:after="0"/>
              <w:rPr>
                <w:sz w:val="24"/>
                <w:szCs w:val="24"/>
                <w:color w:val="auto"/>
              </w:rPr>
            </w:pPr>
          </w:p>
        </w:tc>
        <w:tc>
          <w:tcPr>
            <w:tcW w:w="120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94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Excess tax expense from share-based</w:t>
            </w:r>
          </w:p>
        </w:tc>
        <w:tc>
          <w:tcPr>
            <w:tcW w:w="180" w:type="dxa"/>
            <w:vAlign w:val="bottom"/>
          </w:tcPr>
          <w:p>
            <w:pPr>
              <w:spacing w:after="0"/>
              <w:rPr>
                <w:sz w:val="23"/>
                <w:szCs w:val="2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(13,469)</w:t>
            </w:r>
          </w:p>
        </w:tc>
        <w:tc>
          <w:tcPr>
            <w:tcW w:w="360" w:type="dxa"/>
            <w:vAlign w:val="bottom"/>
          </w:tcPr>
          <w:p>
            <w:pPr>
              <w:spacing w:after="0"/>
              <w:rPr>
                <w:sz w:val="23"/>
                <w:szCs w:val="2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0" w:type="dxa"/>
            <w:vAlign w:val="bottom"/>
          </w:tcPr>
          <w:p>
            <w:pPr>
              <w:spacing w:after="0"/>
              <w:rPr>
                <w:sz w:val="1"/>
                <w:szCs w:val="1"/>
                <w:color w:val="auto"/>
              </w:rPr>
            </w:pPr>
          </w:p>
        </w:tc>
      </w:tr>
      <w:tr>
        <w:trPr>
          <w:trHeight w:val="253"/>
        </w:trPr>
        <w:tc>
          <w:tcPr>
            <w:tcW w:w="4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compensation</w:t>
            </w:r>
          </w:p>
        </w:tc>
        <w:tc>
          <w:tcPr>
            <w:tcW w:w="18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180" w:type="dxa"/>
            <w:vAlign w:val="bottom"/>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Non-deductible executive compensation</w:t>
            </w:r>
          </w:p>
        </w:tc>
        <w:tc>
          <w:tcPr>
            <w:tcW w:w="180" w:type="dxa"/>
            <w:vAlign w:val="bottom"/>
            <w:shd w:val="clear" w:color="auto" w:fill="DDDDDD"/>
          </w:tcPr>
          <w:p>
            <w:pPr>
              <w:spacing w:after="0"/>
              <w:rPr>
                <w:sz w:val="24"/>
                <w:szCs w:val="24"/>
                <w:color w:val="auto"/>
              </w:rPr>
            </w:pPr>
          </w:p>
        </w:tc>
        <w:tc>
          <w:tcPr>
            <w:tcW w:w="1200" w:type="dxa"/>
            <w:vAlign w:val="bottom"/>
            <w:shd w:val="clear" w:color="auto" w:fill="DDDDDD"/>
          </w:tcPr>
          <w:p>
            <w:pPr>
              <w:jc w:val="right"/>
              <w:ind w:right="66"/>
              <w:spacing w:after="0"/>
              <w:rPr>
                <w:sz w:val="20"/>
                <w:szCs w:val="20"/>
                <w:color w:val="auto"/>
              </w:rPr>
            </w:pPr>
            <w:r>
              <w:rPr>
                <w:rFonts w:ascii="Times New Roman" w:cs="Times New Roman" w:eastAsia="Times New Roman" w:hAnsi="Times New Roman"/>
                <w:sz w:val="20"/>
                <w:szCs w:val="20"/>
                <w:color w:val="auto"/>
              </w:rPr>
              <w:t>9,240</w:t>
            </w:r>
          </w:p>
        </w:tc>
        <w:tc>
          <w:tcPr>
            <w:tcW w:w="36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21.8 %</w:t>
            </w:r>
          </w:p>
        </w:tc>
        <w:tc>
          <w:tcPr>
            <w:tcW w:w="0" w:type="dxa"/>
            <w:vAlign w:val="bottom"/>
          </w:tcPr>
          <w:p>
            <w:pPr>
              <w:spacing w:after="0"/>
              <w:rPr>
                <w:sz w:val="1"/>
                <w:szCs w:val="1"/>
                <w:color w:val="auto"/>
              </w:rPr>
            </w:pPr>
          </w:p>
        </w:tc>
      </w:tr>
      <w:tr>
        <w:trPr>
          <w:trHeight w:val="296"/>
        </w:trPr>
        <w:tc>
          <w:tcPr>
            <w:tcW w:w="4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Non-deductible non-U.S. equity compensation</w:t>
            </w:r>
          </w:p>
        </w:tc>
        <w:tc>
          <w:tcPr>
            <w:tcW w:w="180" w:type="dxa"/>
            <w:vAlign w:val="bottom"/>
          </w:tcPr>
          <w:p>
            <w:pPr>
              <w:spacing w:after="0"/>
              <w:rPr>
                <w:sz w:val="24"/>
                <w:szCs w:val="24"/>
                <w:color w:val="auto"/>
              </w:rPr>
            </w:pPr>
          </w:p>
        </w:tc>
        <w:tc>
          <w:tcPr>
            <w:tcW w:w="1200" w:type="dxa"/>
            <w:vAlign w:val="bottom"/>
          </w:tcPr>
          <w:p>
            <w:pPr>
              <w:jc w:val="right"/>
              <w:ind w:right="66"/>
              <w:spacing w:after="0"/>
              <w:rPr>
                <w:sz w:val="20"/>
                <w:szCs w:val="20"/>
                <w:color w:val="auto"/>
              </w:rPr>
            </w:pPr>
            <w:r>
              <w:rPr>
                <w:rFonts w:ascii="Times New Roman" w:cs="Times New Roman" w:eastAsia="Times New Roman" w:hAnsi="Times New Roman"/>
                <w:sz w:val="20"/>
                <w:szCs w:val="20"/>
                <w:color w:val="auto"/>
              </w:rPr>
              <w:t>2,756</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6.5 %</w:t>
            </w:r>
          </w:p>
        </w:tc>
        <w:tc>
          <w:tcPr>
            <w:tcW w:w="0" w:type="dxa"/>
            <w:vAlign w:val="bottom"/>
          </w:tcPr>
          <w:p>
            <w:pPr>
              <w:spacing w:after="0"/>
              <w:rPr>
                <w:sz w:val="1"/>
                <w:szCs w:val="1"/>
                <w:color w:val="auto"/>
              </w:rPr>
            </w:pPr>
          </w:p>
        </w:tc>
      </w:tr>
      <w:tr>
        <w:trPr>
          <w:trHeight w:val="304"/>
        </w:trPr>
        <w:tc>
          <w:tcPr>
            <w:tcW w:w="4180" w:type="dxa"/>
            <w:vAlign w:val="bottom"/>
            <w:shd w:val="clear" w:color="auto" w:fill="DDDDDD"/>
          </w:tcPr>
          <w:p>
            <w:pPr>
              <w:spacing w:after="0"/>
              <w:rPr>
                <w:sz w:val="24"/>
                <w:szCs w:val="24"/>
                <w:color w:val="auto"/>
              </w:rPr>
            </w:pPr>
          </w:p>
        </w:tc>
        <w:tc>
          <w:tcPr>
            <w:tcW w:w="180" w:type="dxa"/>
            <w:vAlign w:val="bottom"/>
            <w:shd w:val="clear" w:color="auto" w:fill="DDDDDD"/>
          </w:tcPr>
          <w:p>
            <w:pPr>
              <w:spacing w:after="0"/>
              <w:rPr>
                <w:sz w:val="24"/>
                <w:szCs w:val="24"/>
                <w:color w:val="auto"/>
              </w:rPr>
            </w:pPr>
          </w:p>
        </w:tc>
        <w:tc>
          <w:tcPr>
            <w:tcW w:w="1200" w:type="dxa"/>
            <w:vAlign w:val="bottom"/>
            <w:shd w:val="clear" w:color="auto" w:fill="DDDDDD"/>
          </w:tcPr>
          <w:p>
            <w:pPr>
              <w:spacing w:after="0"/>
              <w:rPr>
                <w:sz w:val="24"/>
                <w:szCs w:val="24"/>
                <w:color w:val="auto"/>
              </w:rPr>
            </w:pPr>
          </w:p>
        </w:tc>
        <w:tc>
          <w:tcPr>
            <w:tcW w:w="360" w:type="dxa"/>
            <w:vAlign w:val="bottom"/>
            <w:shd w:val="clear" w:color="auto" w:fill="DDDDDD"/>
          </w:tcPr>
          <w:p>
            <w:pPr>
              <w:spacing w:after="0"/>
              <w:rPr>
                <w:sz w:val="24"/>
                <w:szCs w:val="24"/>
                <w:color w:val="auto"/>
              </w:rPr>
            </w:pPr>
          </w:p>
        </w:tc>
        <w:tc>
          <w:tcPr>
            <w:tcW w:w="940" w:type="dxa"/>
            <w:vAlign w:val="bottom"/>
            <w:shd w:val="clear" w:color="auto" w:fill="DDDDDD"/>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1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Other Adjustments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4180" w:type="dxa"/>
            <w:vAlign w:val="bottom"/>
            <w:tcBorders>
              <w:bottom w:val="single" w:sz="8" w:color="DDDDDD"/>
            </w:tcBorders>
            <w:shd w:val="clear" w:color="auto" w:fill="DDDDDD"/>
          </w:tcPr>
          <w:p>
            <w:pPr>
              <w:ind w:left="180"/>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DDDDDD"/>
            </w:tcBorders>
            <w:shd w:val="clear" w:color="auto" w:fill="DDDDDD"/>
          </w:tcPr>
          <w:p>
            <w:pPr>
              <w:spacing w:after="0"/>
              <w:rPr>
                <w:sz w:val="24"/>
                <w:szCs w:val="24"/>
                <w:color w:val="auto"/>
              </w:rPr>
            </w:pPr>
          </w:p>
        </w:tc>
        <w:tc>
          <w:tcPr>
            <w:tcW w:w="1200" w:type="dxa"/>
            <w:vAlign w:val="bottom"/>
            <w:tcBorders>
              <w:bottom w:val="single" w:sz="8" w:color="DDDDDD"/>
            </w:tcBorders>
            <w:shd w:val="clear" w:color="auto" w:fill="DDDDDD"/>
          </w:tcPr>
          <w:p>
            <w:pPr>
              <w:jc w:val="right"/>
              <w:ind w:right="66"/>
              <w:spacing w:after="0"/>
              <w:rPr>
                <w:sz w:val="20"/>
                <w:szCs w:val="20"/>
                <w:color w:val="auto"/>
              </w:rPr>
            </w:pPr>
            <w:r>
              <w:rPr>
                <w:rFonts w:ascii="Times New Roman" w:cs="Times New Roman" w:eastAsia="Times New Roman" w:hAnsi="Times New Roman"/>
                <w:sz w:val="20"/>
                <w:szCs w:val="20"/>
                <w:color w:val="auto"/>
              </w:rPr>
              <w:t>614</w:t>
            </w:r>
          </w:p>
        </w:tc>
        <w:tc>
          <w:tcPr>
            <w:tcW w:w="360" w:type="dxa"/>
            <w:vAlign w:val="bottom"/>
            <w:tcBorders>
              <w:bottom w:val="single" w:sz="8" w:color="DDDDDD"/>
            </w:tcBorders>
            <w:shd w:val="clear" w:color="auto" w:fill="DDDDDD"/>
          </w:tcPr>
          <w:p>
            <w:pPr>
              <w:spacing w:after="0"/>
              <w:rPr>
                <w:sz w:val="24"/>
                <w:szCs w:val="24"/>
                <w:color w:val="auto"/>
              </w:rPr>
            </w:pPr>
          </w:p>
        </w:tc>
        <w:tc>
          <w:tcPr>
            <w:tcW w:w="9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1.5 %</w:t>
            </w:r>
          </w:p>
        </w:tc>
        <w:tc>
          <w:tcPr>
            <w:tcW w:w="0" w:type="dxa"/>
            <w:vAlign w:val="bottom"/>
          </w:tcPr>
          <w:p>
            <w:pPr>
              <w:spacing w:after="0"/>
              <w:rPr>
                <w:sz w:val="1"/>
                <w:szCs w:val="1"/>
                <w:color w:val="auto"/>
              </w:rPr>
            </w:pPr>
          </w:p>
        </w:tc>
      </w:tr>
      <w:tr>
        <w:trPr>
          <w:trHeight w:val="373"/>
        </w:trPr>
        <w:tc>
          <w:tcPr>
            <w:tcW w:w="4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1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Effective tax rate</w:t>
            </w:r>
          </w:p>
        </w:tc>
        <w:tc>
          <w:tcPr>
            <w:tcW w:w="18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DDDDDD"/>
          </w:tcPr>
          <w:p>
            <w:pPr>
              <w:jc w:val="right"/>
              <w:ind w:right="66"/>
              <w:spacing w:after="0"/>
              <w:rPr>
                <w:sz w:val="20"/>
                <w:szCs w:val="20"/>
                <w:color w:val="auto"/>
              </w:rPr>
            </w:pPr>
            <w:r>
              <w:rPr>
                <w:rFonts w:ascii="Times New Roman" w:cs="Times New Roman" w:eastAsia="Times New Roman" w:hAnsi="Times New Roman"/>
                <w:sz w:val="20"/>
                <w:szCs w:val="20"/>
                <w:color w:val="auto"/>
              </w:rPr>
              <w:t>598</w:t>
            </w:r>
          </w:p>
        </w:tc>
        <w:tc>
          <w:tcPr>
            <w:tcW w:w="360" w:type="dxa"/>
            <w:vAlign w:val="bottom"/>
            <w:shd w:val="clear" w:color="auto" w:fill="DDDDDD"/>
          </w:tcPr>
          <w:p>
            <w:pPr>
              <w:spacing w:after="0"/>
              <w:rPr>
                <w:sz w:val="24"/>
                <w:szCs w:val="24"/>
                <w:color w:val="auto"/>
              </w:rPr>
            </w:pPr>
          </w:p>
        </w:tc>
        <w:tc>
          <w:tcPr>
            <w:tcW w:w="94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1.4 %</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reconciliation of the Company’s effective tax rate to the statutory U.S. federal rate for the prior years is as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398" w:lineRule="exact"/>
        <w:rPr>
          <w:sz w:val="20"/>
          <w:szCs w:val="20"/>
          <w:color w:val="auto"/>
        </w:rPr>
      </w:pPr>
    </w:p>
    <w:tbl>
      <w:tblPr>
        <w:tblLayout w:type="fixed"/>
        <w:tblInd w:w="150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38"/>
        </w:trPr>
        <w:tc>
          <w:tcPr>
            <w:tcW w:w="4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315"/>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8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8"/>
        </w:trPr>
        <w:tc>
          <w:tcPr>
            <w:tcW w:w="4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353"/>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r>
      <w:tr>
        <w:trPr>
          <w:trHeight w:val="352"/>
        </w:trPr>
        <w:tc>
          <w:tcPr>
            <w:tcW w:w="418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US Federal rate benefit</w:t>
            </w:r>
          </w:p>
        </w:tc>
        <w:tc>
          <w:tcPr>
            <w:tcW w:w="20" w:type="dxa"/>
            <w:vAlign w:val="bottom"/>
            <w:tcBorders>
              <w:bottom w:val="single" w:sz="8" w:color="DDDDDD"/>
            </w:tcBorders>
            <w:shd w:val="clear" w:color="auto" w:fill="DDDDDD"/>
          </w:tcPr>
          <w:p>
            <w:pPr>
              <w:spacing w:after="0"/>
              <w:rPr>
                <w:sz w:val="24"/>
                <w:szCs w:val="24"/>
                <w:color w:val="auto"/>
              </w:rPr>
            </w:pPr>
          </w:p>
        </w:tc>
        <w:tc>
          <w:tcPr>
            <w:tcW w:w="13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30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(21.0)%</w:t>
            </w:r>
          </w:p>
        </w:tc>
      </w:tr>
      <w:tr>
        <w:trPr>
          <w:trHeight w:val="330"/>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RSU excess tax benefit</w:t>
            </w:r>
          </w:p>
        </w:tc>
        <w:tc>
          <w:tcPr>
            <w:tcW w:w="1300" w:type="dxa"/>
            <w:vAlign w:val="bottom"/>
          </w:tcPr>
          <w:p>
            <w:pPr>
              <w:jc w:val="right"/>
              <w:ind w:right="85"/>
              <w:spacing w:after="0"/>
              <w:rPr>
                <w:sz w:val="20"/>
                <w:szCs w:val="20"/>
                <w:color w:val="auto"/>
              </w:rPr>
            </w:pPr>
            <w:r>
              <w:rPr>
                <w:rFonts w:ascii="Times New Roman" w:cs="Times New Roman" w:eastAsia="Times New Roman" w:hAnsi="Times New Roman"/>
                <w:sz w:val="20"/>
                <w:szCs w:val="20"/>
                <w:color w:val="auto"/>
              </w:rPr>
              <w:t>(15.5)</w:t>
            </w:r>
          </w:p>
        </w:tc>
        <w:tc>
          <w:tcPr>
            <w:tcW w:w="138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(12.9)</w:t>
            </w:r>
          </w:p>
        </w:tc>
      </w:tr>
      <w:tr>
        <w:trPr>
          <w:trHeight w:val="43"/>
        </w:trPr>
        <w:tc>
          <w:tcPr>
            <w:tcW w:w="4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353"/>
        </w:trPr>
        <w:tc>
          <w:tcPr>
            <w:tcW w:w="418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Section 162(m) limitation</w:t>
            </w:r>
          </w:p>
        </w:tc>
        <w:tc>
          <w:tcPr>
            <w:tcW w:w="20" w:type="dxa"/>
            <w:vAlign w:val="bottom"/>
            <w:tcBorders>
              <w:bottom w:val="single" w:sz="8" w:color="DDDDDD"/>
            </w:tcBorders>
            <w:shd w:val="clear" w:color="auto" w:fill="DDDDDD"/>
          </w:tcPr>
          <w:p>
            <w:pPr>
              <w:spacing w:after="0"/>
              <w:rPr>
                <w:sz w:val="24"/>
                <w:szCs w:val="24"/>
                <w:color w:val="auto"/>
              </w:rPr>
            </w:pPr>
          </w:p>
        </w:tc>
        <w:tc>
          <w:tcPr>
            <w:tcW w:w="1300" w:type="dxa"/>
            <w:vAlign w:val="bottom"/>
            <w:tcBorders>
              <w:bottom w:val="single" w:sz="8" w:color="DDDDDD"/>
            </w:tcBorders>
            <w:shd w:val="clear" w:color="auto" w:fill="DDDDDD"/>
          </w:tcPr>
          <w:p>
            <w:pPr>
              <w:jc w:val="right"/>
              <w:ind w:right="165"/>
              <w:spacing w:after="0"/>
              <w:rPr>
                <w:sz w:val="20"/>
                <w:szCs w:val="20"/>
                <w:color w:val="auto"/>
              </w:rPr>
            </w:pPr>
            <w:r>
              <w:rPr>
                <w:rFonts w:ascii="Times New Roman" w:cs="Times New Roman" w:eastAsia="Times New Roman" w:hAnsi="Times New Roman"/>
                <w:sz w:val="20"/>
                <w:szCs w:val="20"/>
                <w:color w:val="auto"/>
              </w:rPr>
              <w:t>10.4</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300" w:type="dxa"/>
            <w:vAlign w:val="bottom"/>
            <w:tcBorders>
              <w:bottom w:val="single" w:sz="8" w:color="DDDDDD"/>
            </w:tcBorders>
            <w:shd w:val="clear" w:color="auto" w:fill="DDDDDD"/>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330"/>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Permanent differences and others</w:t>
            </w:r>
          </w:p>
        </w:tc>
        <w:tc>
          <w:tcPr>
            <w:tcW w:w="1300" w:type="dxa"/>
            <w:vAlign w:val="bottom"/>
          </w:tcPr>
          <w:p>
            <w:pPr>
              <w:jc w:val="right"/>
              <w:ind w:right="165"/>
              <w:spacing w:after="0"/>
              <w:rPr>
                <w:sz w:val="20"/>
                <w:szCs w:val="20"/>
                <w:color w:val="auto"/>
              </w:rPr>
            </w:pPr>
            <w:r>
              <w:rPr>
                <w:rFonts w:ascii="Times New Roman" w:cs="Times New Roman" w:eastAsia="Times New Roman" w:hAnsi="Times New Roman"/>
                <w:sz w:val="20"/>
                <w:szCs w:val="20"/>
                <w:color w:val="auto"/>
              </w:rPr>
              <w:t>5.0</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7.0</w:t>
            </w:r>
          </w:p>
        </w:tc>
      </w:tr>
      <w:tr>
        <w:trPr>
          <w:trHeight w:val="43"/>
        </w:trPr>
        <w:tc>
          <w:tcPr>
            <w:tcW w:w="4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r>
      <w:tr>
        <w:trPr>
          <w:trHeight w:val="373"/>
        </w:trPr>
        <w:tc>
          <w:tcPr>
            <w:tcW w:w="418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20" w:type="dxa"/>
            <w:vAlign w:val="bottom"/>
            <w:tcBorders>
              <w:bottom w:val="single" w:sz="8" w:color="DDDDDD"/>
            </w:tcBorders>
            <w:shd w:val="clear" w:color="auto" w:fill="DDDDDD"/>
          </w:tcPr>
          <w:p>
            <w:pPr>
              <w:spacing w:after="0"/>
              <w:rPr>
                <w:sz w:val="24"/>
                <w:szCs w:val="24"/>
                <w:color w:val="auto"/>
              </w:rPr>
            </w:pPr>
          </w:p>
        </w:tc>
        <w:tc>
          <w:tcPr>
            <w:tcW w:w="1300" w:type="dxa"/>
            <w:vAlign w:val="bottom"/>
            <w:tcBorders>
              <w:bottom w:val="single" w:sz="8" w:color="DDDDDD"/>
            </w:tcBorders>
            <w:shd w:val="clear" w:color="auto" w:fill="DDDDDD"/>
          </w:tcPr>
          <w:p>
            <w:pPr>
              <w:jc w:val="right"/>
              <w:ind w:right="165"/>
              <w:spacing w:after="0"/>
              <w:rPr>
                <w:sz w:val="20"/>
                <w:szCs w:val="20"/>
                <w:color w:val="auto"/>
              </w:rPr>
            </w:pPr>
            <w:r>
              <w:rPr>
                <w:rFonts w:ascii="Times New Roman" w:cs="Times New Roman" w:eastAsia="Times New Roman" w:hAnsi="Times New Roman"/>
                <w:sz w:val="20"/>
                <w:szCs w:val="20"/>
                <w:color w:val="auto"/>
              </w:rPr>
              <w:t>21.6</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300" w:type="dxa"/>
            <w:vAlign w:val="bottom"/>
            <w:tcBorders>
              <w:bottom w:val="single" w:sz="8" w:color="DDDDDD"/>
            </w:tcBorders>
            <w:shd w:val="clear" w:color="auto" w:fill="DDDDDD"/>
          </w:tcPr>
          <w:p>
            <w:pPr>
              <w:jc w:val="right"/>
              <w:ind w:right="160"/>
              <w:spacing w:after="0"/>
              <w:rPr>
                <w:sz w:val="20"/>
                <w:szCs w:val="20"/>
                <w:color w:val="auto"/>
              </w:rPr>
            </w:pPr>
            <w:r>
              <w:rPr>
                <w:rFonts w:ascii="Times New Roman" w:cs="Times New Roman" w:eastAsia="Times New Roman" w:hAnsi="Times New Roman"/>
                <w:sz w:val="20"/>
                <w:szCs w:val="20"/>
                <w:color w:val="auto"/>
              </w:rPr>
              <w:t>27.1</w:t>
            </w:r>
          </w:p>
        </w:tc>
      </w:tr>
      <w:tr>
        <w:trPr>
          <w:trHeight w:val="310"/>
        </w:trPr>
        <w:tc>
          <w:tcPr>
            <w:tcW w:w="4200" w:type="dxa"/>
            <w:vAlign w:val="bottom"/>
            <w:tcBorders>
              <w:top w:val="single" w:sz="8" w:color="DDDDDD"/>
            </w:tcBorders>
            <w:gridSpan w:val="2"/>
          </w:tcPr>
          <w:p>
            <w:pPr>
              <w:ind w:left="60"/>
              <w:spacing w:after="0"/>
              <w:rPr>
                <w:sz w:val="20"/>
                <w:szCs w:val="20"/>
                <w:color w:val="auto"/>
              </w:rPr>
            </w:pPr>
            <w:r>
              <w:rPr>
                <w:rFonts w:ascii="Times New Roman" w:cs="Times New Roman" w:eastAsia="Times New Roman" w:hAnsi="Times New Roman"/>
                <w:sz w:val="20"/>
                <w:szCs w:val="20"/>
                <w:color w:val="auto"/>
              </w:rPr>
              <w:t>Net tax expense</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0.5 %</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0.2 %</w:t>
            </w:r>
          </w:p>
        </w:tc>
      </w:tr>
      <w:tr>
        <w:trPr>
          <w:trHeight w:val="45"/>
        </w:trPr>
        <w:tc>
          <w:tcPr>
            <w:tcW w:w="41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956310</wp:posOffset>
                </wp:positionH>
                <wp:positionV relativeFrom="paragraph">
                  <wp:posOffset>-268605</wp:posOffset>
                </wp:positionV>
                <wp:extent cx="2659380"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59380" cy="4763"/>
                        </a:xfrm>
                        <a:prstGeom prst="line">
                          <a:avLst/>
                        </a:prstGeom>
                        <a:solidFill>
                          <a:srgbClr val="FFFFFF"/>
                        </a:solidFill>
                        <a:ln w="12955">
                          <a:solidFill>
                            <a:srgbClr val="FFFFFF"/>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5.3pt,-21.1499pt" to="284.7pt,-21.1499pt" o:allowincell="f" strokecolor="#FFFFFF" strokeweight="1.0201pt"/>
            </w:pict>
          </mc:Fallback>
        </mc:AlternateContent>
        <mc:AlternateContent>
          <mc:Choice Requires="wps">
            <w:drawing>
              <wp:anchor simplePos="0" relativeHeight="251657728" behindDoc="1" locked="0" layoutInCell="0" allowOverlap="1">
                <wp:simplePos x="0" y="0"/>
                <wp:positionH relativeFrom="column">
                  <wp:posOffset>3615690</wp:posOffset>
                </wp:positionH>
                <wp:positionV relativeFrom="paragraph">
                  <wp:posOffset>-262255</wp:posOffset>
                </wp:positionV>
                <wp:extent cx="82613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613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7pt,-20.6499pt" to="349.75pt,-20.64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4491990</wp:posOffset>
                </wp:positionH>
                <wp:positionV relativeFrom="paragraph">
                  <wp:posOffset>-262255</wp:posOffset>
                </wp:positionV>
                <wp:extent cx="826770"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677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7pt,-20.6499pt" to="418.8pt,-20.6499pt" o:allowincell="f" strokecolor="#FFFFFF" strokeweight="0.14pt"/>
            </w:pict>
          </mc:Fallback>
        </mc:AlternateContent>
      </w:r>
    </w:p>
    <w:p>
      <w:pPr>
        <w:sectPr>
          <w:pgSz w:w="12240" w:h="15840" w:orient="portrait"/>
          <w:cols w:equalWidth="0" w:num="1">
            <w:col w:w="9740"/>
          </w:cols>
          <w:pgMar w:left="1180" w:top="856"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740"/>
          </w:cols>
          <w:pgMar w:left="1180" w:top="856" w:right="1320" w:bottom="0" w:gutter="0" w:footer="0" w:header="0"/>
          <w:type w:val="continuous"/>
        </w:sectPr>
      </w:pPr>
    </w:p>
    <w:bookmarkStart w:id="86" w:name="page87"/>
    <w:bookmarkEnd w:id="86"/>
    <w:p>
      <w:pPr>
        <w:ind w:right="220" w:firstLine="720"/>
        <w:spacing w:after="0" w:line="266" w:lineRule="auto"/>
        <w:rPr>
          <w:sz w:val="20"/>
          <w:szCs w:val="20"/>
          <w:color w:val="auto"/>
        </w:rPr>
      </w:pPr>
      <w:r>
        <w:rPr>
          <w:rFonts w:ascii="Times New Roman" w:cs="Times New Roman" w:eastAsia="Times New Roman" w:hAnsi="Times New Roman"/>
          <w:sz w:val="20"/>
          <w:szCs w:val="20"/>
          <w:color w:val="auto"/>
        </w:rPr>
        <w:t>The reported amount of income tax expense differs from an expected amount based on statutory rates primarily due to the Company’s valuation allowance, the stock-based compensation windfall, and the disallowed executive compensation.</w:t>
      </w:r>
    </w:p>
    <w:p>
      <w:pPr>
        <w:spacing w:after="0" w:line="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Cash paid for income taxes, net of refunds received, by jurisdiction, pursuant to the disclosure requirements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ASU 2023-09 for the year ended December 31, 2025 is as follows:</w:t>
      </w:r>
    </w:p>
    <w:p>
      <w:pPr>
        <w:spacing w:after="0" w:line="180" w:lineRule="exact"/>
        <w:rPr>
          <w:sz w:val="20"/>
          <w:szCs w:val="20"/>
          <w:color w:val="auto"/>
        </w:rPr>
      </w:pPr>
    </w:p>
    <w:tbl>
      <w:tblPr>
        <w:tblLayout w:type="fixed"/>
        <w:tblInd w:w="1380" w:type="dxa"/>
        <w:tblCellMar>
          <w:top w:w="0" w:type="dxa"/>
          <w:left w:w="0" w:type="dxa"/>
          <w:bottom w:w="0" w:type="dxa"/>
          <w:right w:w="0" w:type="dxa"/>
        </w:tblCellMar>
      </w:tblPr>
      <w:tr>
        <w:trPr>
          <w:trHeight w:val="194"/>
        </w:trPr>
        <w:tc>
          <w:tcPr>
            <w:tcW w:w="5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w w:val="97"/>
              </w:rPr>
              <w:t>Year Ended</w:t>
            </w:r>
          </w:p>
        </w:tc>
      </w:tr>
      <w:tr>
        <w:trPr>
          <w:trHeight w:val="210"/>
        </w:trPr>
        <w:tc>
          <w:tcPr>
            <w:tcW w:w="5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28"/>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38"/>
        </w:trPr>
        <w:tc>
          <w:tcPr>
            <w:tcW w:w="5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315"/>
        </w:trPr>
        <w:tc>
          <w:tcPr>
            <w:tcW w:w="5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38"/>
        </w:trPr>
        <w:tc>
          <w:tcPr>
            <w:tcW w:w="5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8"/>
        </w:trPr>
        <w:tc>
          <w:tcPr>
            <w:tcW w:w="5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370"/>
        </w:trPr>
        <w:tc>
          <w:tcPr>
            <w:tcW w:w="55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Foreign</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2"/>
        </w:trPr>
        <w:tc>
          <w:tcPr>
            <w:tcW w:w="5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305"/>
        </w:trPr>
        <w:tc>
          <w:tcPr>
            <w:tcW w:w="556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India</w:t>
            </w:r>
          </w:p>
        </w:tc>
        <w:tc>
          <w:tcPr>
            <w:tcW w:w="2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221</w:t>
            </w:r>
          </w:p>
        </w:tc>
      </w:tr>
      <w:tr>
        <w:trPr>
          <w:trHeight w:val="282"/>
        </w:trPr>
        <w:tc>
          <w:tcPr>
            <w:tcW w:w="55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Japan</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43"/>
        </w:trPr>
        <w:tc>
          <w:tcPr>
            <w:tcW w:w="5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305"/>
        </w:trPr>
        <w:tc>
          <w:tcPr>
            <w:tcW w:w="556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Ukraine</w:t>
            </w:r>
          </w:p>
        </w:tc>
        <w:tc>
          <w:tcPr>
            <w:tcW w:w="220" w:type="dxa"/>
            <w:vAlign w:val="bottom"/>
            <w:tcBorders>
              <w:bottom w:val="single" w:sz="8" w:color="DDDDDD"/>
            </w:tcBorders>
            <w:shd w:val="clear" w:color="auto" w:fill="DDDDDD"/>
          </w:tcPr>
          <w:p>
            <w:pPr>
              <w:spacing w:after="0"/>
              <w:rPr>
                <w:sz w:val="24"/>
                <w:szCs w:val="24"/>
                <w:color w:val="auto"/>
              </w:rPr>
            </w:pPr>
          </w:p>
        </w:tc>
        <w:tc>
          <w:tcPr>
            <w:tcW w:w="12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82"/>
        </w:trPr>
        <w:tc>
          <w:tcPr>
            <w:tcW w:w="556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Malaysia</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43"/>
        </w:trPr>
        <w:tc>
          <w:tcPr>
            <w:tcW w:w="5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325"/>
        </w:trPr>
        <w:tc>
          <w:tcPr>
            <w:tcW w:w="556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220" w:type="dxa"/>
            <w:vAlign w:val="bottom"/>
            <w:tcBorders>
              <w:bottom w:val="single" w:sz="8" w:color="DDDDDD"/>
            </w:tcBorders>
            <w:shd w:val="clear" w:color="auto" w:fill="DDDDDD"/>
          </w:tcPr>
          <w:p>
            <w:pPr>
              <w:spacing w:after="0"/>
              <w:rPr>
                <w:sz w:val="24"/>
                <w:szCs w:val="24"/>
                <w:color w:val="auto"/>
              </w:rPr>
            </w:pPr>
          </w:p>
        </w:tc>
        <w:tc>
          <w:tcPr>
            <w:tcW w:w="12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39</w:t>
            </w:r>
          </w:p>
        </w:tc>
      </w:tr>
      <w:tr>
        <w:trPr>
          <w:trHeight w:val="264"/>
        </w:trPr>
        <w:tc>
          <w:tcPr>
            <w:tcW w:w="556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Cash paid for income taxes, net of refunds received</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402</w:t>
            </w:r>
          </w:p>
        </w:tc>
      </w:tr>
      <w:tr>
        <w:trPr>
          <w:trHeight w:val="43"/>
        </w:trPr>
        <w:tc>
          <w:tcPr>
            <w:tcW w:w="55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
        </w:trPr>
        <w:tc>
          <w:tcPr>
            <w:tcW w:w="5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4408170</wp:posOffset>
                </wp:positionH>
                <wp:positionV relativeFrom="paragraph">
                  <wp:posOffset>-231140</wp:posOffset>
                </wp:positionV>
                <wp:extent cx="952500"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25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1pt,-18.1999pt" to="422.1pt,-18.1999pt" o:allowincell="f" strokecolor="#FFFFFF" strokeweight="0.14pt"/>
            </w:pict>
          </mc:Fallback>
        </mc:AlternateContent>
      </w:r>
    </w:p>
    <w:p>
      <w:pPr>
        <w:spacing w:after="0" w:line="57" w:lineRule="exact"/>
        <w:rPr>
          <w:sz w:val="20"/>
          <w:szCs w:val="20"/>
          <w:color w:val="auto"/>
        </w:rPr>
      </w:pPr>
    </w:p>
    <w:p>
      <w:pPr>
        <w:jc w:val="both"/>
        <w:ind w:right="220" w:firstLine="720"/>
        <w:spacing w:after="0" w:line="266" w:lineRule="auto"/>
        <w:rPr>
          <w:sz w:val="20"/>
          <w:szCs w:val="20"/>
          <w:color w:val="auto"/>
        </w:rPr>
      </w:pPr>
      <w:r>
        <w:rPr>
          <w:rFonts w:ascii="Times New Roman" w:cs="Times New Roman" w:eastAsia="Times New Roman" w:hAnsi="Times New Roman"/>
          <w:sz w:val="20"/>
          <w:szCs w:val="20"/>
          <w:color w:val="auto"/>
        </w:rPr>
        <w:t>As of December 31, 2025 and 2024, based on the available objective evidence, management believes it is more likely than not that the net deferred tax assets will not be realized. Accordingly, management has applied a full valuation allowance against its net deferred tax assets at December 31, 2025 and 2024.</w:t>
      </w:r>
    </w:p>
    <w:p>
      <w:pPr>
        <w:spacing w:after="0" w:line="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At December 31, 2025 and 2024, the Company has federal net operating loss carry-forwards of approximately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$344.3 million and $250.7 million, respectively, and state net operating loss carry-forwards of approximately $85.1 million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$84.5 million, respectively. At December 31, 2025 and 2024, the Company has net operating loss carryforwards for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foreign income tax purposes of approximately $0.2 million and $2.0 million, respectively. These federal, state, and foreign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operating loss carry-forwards will expire beginning in 2028.</w:t>
      </w:r>
    </w:p>
    <w:p>
      <w:pPr>
        <w:spacing w:after="0" w:line="110"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20"/>
          <w:szCs w:val="20"/>
          <w:color w:val="auto"/>
        </w:rPr>
        <w:t>At December 31, 2025 and 2024, the Company also has federal research and development tax credit carry-forwards of approximately $3.9 million and $3.9 million, respectively, and state research and development tax credit carry-forwards of approximately $3.6 million and $3.6 million, respectively. The federal tax credits begin to expire in 2025, and the California tax credits carry forward indefinitely.</w:t>
      </w:r>
    </w:p>
    <w:p>
      <w:pPr>
        <w:spacing w:after="0" w:line="80" w:lineRule="exact"/>
        <w:rPr>
          <w:sz w:val="20"/>
          <w:szCs w:val="20"/>
          <w:color w:val="auto"/>
        </w:rPr>
      </w:pPr>
    </w:p>
    <w:p>
      <w:pPr>
        <w:ind w:right="100" w:firstLine="720"/>
        <w:spacing w:after="0" w:line="271" w:lineRule="auto"/>
        <w:rPr>
          <w:sz w:val="20"/>
          <w:szCs w:val="20"/>
          <w:color w:val="auto"/>
        </w:rPr>
      </w:pPr>
      <w:r>
        <w:rPr>
          <w:rFonts w:ascii="Times New Roman" w:cs="Times New Roman" w:eastAsia="Times New Roman" w:hAnsi="Times New Roman"/>
          <w:sz w:val="19"/>
          <w:szCs w:val="19"/>
          <w:color w:val="auto"/>
        </w:rPr>
        <w:t>As of December 31, 2025 and 2024, the Company had $2.5 million and $2.5 million of total unrecognized tax benefits. The Company currently has a full valuation allowance against its net deferred tax assets which would impact the timing of the effective tax rate benefit should any of these uncertain tax positions be favorably settled in the future. If the Company is able to eventually recognize these uncertain tax positions, none of the unrecognized benefit would reduce the Company’s effective tax rate due to full valuation allowance of the Company’s deferred tax assets. The Company’s policy is to record interest and penalties related to unrecognized tax benefits as income tax expense. During the years ended December 31, 2025 and 2024, the Company had immaterial amounts related to the accrual of interest and penalties.</w:t>
      </w:r>
    </w:p>
    <w:p>
      <w:pPr>
        <w:spacing w:after="0" w:line="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 reconciliation of the beginning and ending unrecognized tax benefit amount is as follows:</w:t>
      </w:r>
    </w:p>
    <w:p>
      <w:pPr>
        <w:spacing w:after="0" w:line="322" w:lineRule="exact"/>
        <w:rPr>
          <w:sz w:val="20"/>
          <w:szCs w:val="20"/>
          <w:color w:val="auto"/>
        </w:rPr>
      </w:pPr>
    </w:p>
    <w:tbl>
      <w:tblPr>
        <w:tblLayout w:type="fixed"/>
        <w:tblInd w:w="1700" w:type="dxa"/>
        <w:tblCellMar>
          <w:top w:w="0" w:type="dxa"/>
          <w:left w:w="0" w:type="dxa"/>
          <w:bottom w:w="0" w:type="dxa"/>
          <w:right w:w="0" w:type="dxa"/>
        </w:tblCellMar>
      </w:tblPr>
      <w:tr>
        <w:trPr>
          <w:trHeight w:val="210"/>
        </w:trPr>
        <w:tc>
          <w:tcPr>
            <w:tcW w:w="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40" w:type="dxa"/>
            <w:vAlign w:val="bottom"/>
          </w:tcPr>
          <w:p>
            <w:pPr>
              <w:spacing w:after="0"/>
              <w:rPr>
                <w:sz w:val="18"/>
                <w:szCs w:val="18"/>
                <w:color w:val="auto"/>
              </w:rPr>
            </w:pPr>
          </w:p>
        </w:tc>
      </w:tr>
      <w:tr>
        <w:trPr>
          <w:trHeight w:val="38"/>
        </w:trPr>
        <w:tc>
          <w:tcPr>
            <w:tcW w:w="60" w:type="dxa"/>
            <w:vAlign w:val="bottom"/>
          </w:tcPr>
          <w:p>
            <w:pPr>
              <w:spacing w:after="0"/>
              <w:rPr>
                <w:sz w:val="3"/>
                <w:szCs w:val="3"/>
                <w:color w:val="auto"/>
              </w:rPr>
            </w:pPr>
          </w:p>
        </w:tc>
        <w:tc>
          <w:tcPr>
            <w:tcW w:w="37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19"/>
        </w:trPr>
        <w:tc>
          <w:tcPr>
            <w:tcW w:w="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38"/>
        </w:trPr>
        <w:tc>
          <w:tcPr>
            <w:tcW w:w="60" w:type="dxa"/>
            <w:vAlign w:val="bottom"/>
          </w:tcPr>
          <w:p>
            <w:pPr>
              <w:spacing w:after="0"/>
              <w:rPr>
                <w:sz w:val="3"/>
                <w:szCs w:val="3"/>
                <w:color w:val="auto"/>
              </w:rPr>
            </w:pPr>
          </w:p>
        </w:tc>
        <w:tc>
          <w:tcPr>
            <w:tcW w:w="37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79"/>
        </w:trPr>
        <w:tc>
          <w:tcPr>
            <w:tcW w:w="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40" w:type="dxa"/>
            <w:vAlign w:val="bottom"/>
          </w:tcPr>
          <w:p>
            <w:pPr>
              <w:spacing w:after="0"/>
              <w:rPr>
                <w:sz w:val="24"/>
                <w:szCs w:val="24"/>
                <w:color w:val="auto"/>
              </w:rPr>
            </w:pPr>
          </w:p>
        </w:tc>
      </w:tr>
      <w:tr>
        <w:trPr>
          <w:trHeight w:val="38"/>
        </w:trPr>
        <w:tc>
          <w:tcPr>
            <w:tcW w:w="60" w:type="dxa"/>
            <w:vAlign w:val="bottom"/>
          </w:tcPr>
          <w:p>
            <w:pPr>
              <w:spacing w:after="0"/>
              <w:rPr>
                <w:sz w:val="3"/>
                <w:szCs w:val="3"/>
                <w:color w:val="auto"/>
              </w:rPr>
            </w:pPr>
          </w:p>
        </w:tc>
        <w:tc>
          <w:tcPr>
            <w:tcW w:w="37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05"/>
        </w:trPr>
        <w:tc>
          <w:tcPr>
            <w:tcW w:w="60" w:type="dxa"/>
            <w:vAlign w:val="bottom"/>
            <w:tcBorders>
              <w:bottom w:val="single" w:sz="8" w:color="DDDDDD"/>
            </w:tcBorders>
            <w:shd w:val="clear" w:color="auto" w:fill="DDDDDD"/>
          </w:tcPr>
          <w:p>
            <w:pPr>
              <w:spacing w:after="0"/>
              <w:rPr>
                <w:sz w:val="24"/>
                <w:szCs w:val="24"/>
                <w:color w:val="auto"/>
              </w:rPr>
            </w:pPr>
          </w:p>
        </w:tc>
        <w:tc>
          <w:tcPr>
            <w:tcW w:w="3740" w:type="dxa"/>
            <w:vAlign w:val="bottom"/>
            <w:tcBorders>
              <w:bottom w:val="single" w:sz="8" w:color="DDDDDD"/>
            </w:tcBorders>
            <w:gridSpan w:val="2"/>
            <w:shd w:val="clear" w:color="auto" w:fill="DDDDDD"/>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320" w:type="dxa"/>
            <w:vAlign w:val="bottom"/>
            <w:tcBorders>
              <w:bottom w:val="single" w:sz="8" w:color="DDDDDD"/>
            </w:tcBorders>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2,505</w:t>
            </w:r>
          </w:p>
        </w:tc>
        <w:tc>
          <w:tcPr>
            <w:tcW w:w="540" w:type="dxa"/>
            <w:vAlign w:val="bottom"/>
            <w:tcBorders>
              <w:bottom w:val="single" w:sz="8" w:color="DDDDDD"/>
            </w:tcBorders>
            <w:gridSpan w:val="2"/>
            <w:shd w:val="clear" w:color="auto" w:fill="DDDDDD"/>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2,271</w:t>
            </w:r>
          </w:p>
        </w:tc>
      </w:tr>
      <w:tr>
        <w:trPr>
          <w:trHeight w:val="261"/>
        </w:trPr>
        <w:tc>
          <w:tcPr>
            <w:tcW w:w="60" w:type="dxa"/>
            <w:vAlign w:val="bottom"/>
          </w:tcPr>
          <w:p>
            <w:pPr>
              <w:spacing w:after="0"/>
              <w:rPr>
                <w:sz w:val="22"/>
                <w:szCs w:val="22"/>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Increase in balance related to tax position</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1"/>
        </w:trPr>
        <w:tc>
          <w:tcPr>
            <w:tcW w:w="60" w:type="dxa"/>
            <w:vAlign w:val="bottom"/>
          </w:tcPr>
          <w:p>
            <w:pPr>
              <w:spacing w:after="0"/>
              <w:rPr>
                <w:sz w:val="22"/>
                <w:szCs w:val="22"/>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taken during prior periods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w:t>
            </w:r>
          </w:p>
        </w:tc>
      </w:tr>
      <w:tr>
        <w:trPr>
          <w:trHeight w:val="43"/>
        </w:trPr>
        <w:tc>
          <w:tcPr>
            <w:tcW w:w="60" w:type="dxa"/>
            <w:vAlign w:val="bottom"/>
          </w:tcPr>
          <w:p>
            <w:pPr>
              <w:spacing w:after="0"/>
              <w:rPr>
                <w:sz w:val="3"/>
                <w:szCs w:val="3"/>
                <w:color w:val="auto"/>
              </w:rPr>
            </w:pPr>
          </w:p>
        </w:tc>
        <w:tc>
          <w:tcPr>
            <w:tcW w:w="37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0"/>
        </w:trPr>
        <w:tc>
          <w:tcPr>
            <w:tcW w:w="60" w:type="dxa"/>
            <w:vAlign w:val="bottom"/>
            <w:shd w:val="clear" w:color="auto" w:fill="DDDDDD"/>
          </w:tcPr>
          <w:p>
            <w:pPr>
              <w:spacing w:after="0"/>
              <w:rPr>
                <w:sz w:val="20"/>
                <w:szCs w:val="20"/>
                <w:color w:val="auto"/>
              </w:rPr>
            </w:pPr>
          </w:p>
        </w:tc>
        <w:tc>
          <w:tcPr>
            <w:tcW w:w="372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Decrease in balance related to tax position</w:t>
            </w:r>
          </w:p>
        </w:tc>
        <w:tc>
          <w:tcPr>
            <w:tcW w:w="20" w:type="dxa"/>
            <w:vAlign w:val="bottom"/>
            <w:shd w:val="clear" w:color="auto" w:fill="DDDDDD"/>
          </w:tcPr>
          <w:p>
            <w:pPr>
              <w:spacing w:after="0"/>
              <w:rPr>
                <w:sz w:val="20"/>
                <w:szCs w:val="20"/>
                <w:color w:val="auto"/>
              </w:rPr>
            </w:pPr>
          </w:p>
        </w:tc>
        <w:tc>
          <w:tcPr>
            <w:tcW w:w="320" w:type="dxa"/>
            <w:vAlign w:val="bottom"/>
            <w:shd w:val="clear" w:color="auto" w:fill="DDDDDD"/>
          </w:tcPr>
          <w:p>
            <w:pPr>
              <w:spacing w:after="0"/>
              <w:rPr>
                <w:sz w:val="20"/>
                <w:szCs w:val="20"/>
                <w:color w:val="auto"/>
              </w:rPr>
            </w:pPr>
          </w:p>
        </w:tc>
        <w:tc>
          <w:tcPr>
            <w:tcW w:w="980" w:type="dxa"/>
            <w:vAlign w:val="bottom"/>
            <w:shd w:val="clear" w:color="auto" w:fill="DDDDDD"/>
          </w:tcPr>
          <w:p>
            <w:pPr>
              <w:spacing w:after="0"/>
              <w:rPr>
                <w:sz w:val="20"/>
                <w:szCs w:val="20"/>
                <w:color w:val="auto"/>
              </w:rPr>
            </w:pPr>
          </w:p>
        </w:tc>
        <w:tc>
          <w:tcPr>
            <w:tcW w:w="60" w:type="dxa"/>
            <w:vAlign w:val="bottom"/>
            <w:shd w:val="clear" w:color="auto" w:fill="DDDDDD"/>
          </w:tcPr>
          <w:p>
            <w:pPr>
              <w:spacing w:after="0"/>
              <w:rPr>
                <w:sz w:val="20"/>
                <w:szCs w:val="20"/>
                <w:color w:val="auto"/>
              </w:rPr>
            </w:pPr>
          </w:p>
        </w:tc>
        <w:tc>
          <w:tcPr>
            <w:tcW w:w="4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r>
      <w:tr>
        <w:trPr>
          <w:trHeight w:val="349"/>
        </w:trPr>
        <w:tc>
          <w:tcPr>
            <w:tcW w:w="60" w:type="dxa"/>
            <w:vAlign w:val="bottom"/>
            <w:tcBorders>
              <w:bottom w:val="single" w:sz="8" w:color="DDDDDD"/>
            </w:tcBorders>
            <w:shd w:val="clear" w:color="auto" w:fill="DDDDDD"/>
          </w:tcPr>
          <w:p>
            <w:pPr>
              <w:spacing w:after="0"/>
              <w:rPr>
                <w:sz w:val="24"/>
                <w:szCs w:val="24"/>
                <w:color w:val="auto"/>
              </w:rPr>
            </w:pPr>
          </w:p>
        </w:tc>
        <w:tc>
          <w:tcPr>
            <w:tcW w:w="3720" w:type="dxa"/>
            <w:vAlign w:val="bottom"/>
            <w:tcBorders>
              <w:bottom w:val="single" w:sz="8" w:color="DDDDDD"/>
            </w:tcBorders>
            <w:shd w:val="clear" w:color="auto" w:fill="DDDDDD"/>
          </w:tcPr>
          <w:p>
            <w:pPr>
              <w:spacing w:after="0"/>
              <w:rPr>
                <w:sz w:val="20"/>
                <w:szCs w:val="20"/>
                <w:color w:val="auto"/>
              </w:rPr>
            </w:pPr>
            <w:r>
              <w:rPr>
                <w:rFonts w:ascii="Times New Roman" w:cs="Times New Roman" w:eastAsia="Times New Roman" w:hAnsi="Times New Roman"/>
                <w:sz w:val="20"/>
                <w:szCs w:val="20"/>
                <w:color w:val="auto"/>
              </w:rPr>
              <w:t>taken during the current period</w:t>
            </w:r>
          </w:p>
        </w:tc>
        <w:tc>
          <w:tcPr>
            <w:tcW w:w="2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DDDDDD"/>
            </w:tcBorders>
            <w:shd w:val="clear" w:color="auto" w:fill="DDDDDD"/>
          </w:tcPr>
          <w:p>
            <w:pPr>
              <w:spacing w:after="0"/>
              <w:rPr>
                <w:sz w:val="24"/>
                <w:szCs w:val="24"/>
                <w:color w:val="auto"/>
              </w:rPr>
            </w:pPr>
          </w:p>
        </w:tc>
        <w:tc>
          <w:tcPr>
            <w:tcW w:w="480" w:type="dxa"/>
            <w:vAlign w:val="bottom"/>
            <w:tcBorders>
              <w:bottom w:val="single" w:sz="8" w:color="DDDDDD"/>
            </w:tcBorders>
            <w:shd w:val="clear" w:color="auto" w:fill="DDDDDD"/>
          </w:tcPr>
          <w:p>
            <w:pPr>
              <w:spacing w:after="0"/>
              <w:rPr>
                <w:sz w:val="24"/>
                <w:szCs w:val="24"/>
                <w:color w:val="auto"/>
              </w:rPr>
            </w:pPr>
          </w:p>
        </w:tc>
        <w:tc>
          <w:tcPr>
            <w:tcW w:w="8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43"/>
        </w:trPr>
        <w:tc>
          <w:tcPr>
            <w:tcW w:w="60" w:type="dxa"/>
            <w:vAlign w:val="bottom"/>
            <w:tcBorders>
              <w:top w:val="single" w:sz="8" w:color="DDDDDD"/>
            </w:tcBorders>
          </w:tcPr>
          <w:p>
            <w:pPr>
              <w:spacing w:after="0"/>
              <w:rPr>
                <w:sz w:val="21"/>
                <w:szCs w:val="21"/>
                <w:color w:val="auto"/>
              </w:rPr>
            </w:pPr>
          </w:p>
        </w:tc>
        <w:tc>
          <w:tcPr>
            <w:tcW w:w="3740" w:type="dxa"/>
            <w:vAlign w:val="bottom"/>
            <w:tcBorders>
              <w:top w:val="single" w:sz="8" w:color="DDDDDD"/>
            </w:tcBorders>
            <w:gridSpan w:val="2"/>
          </w:tcPr>
          <w:p>
            <w:pPr>
              <w:spacing w:after="0"/>
              <w:rPr>
                <w:sz w:val="20"/>
                <w:szCs w:val="20"/>
                <w:color w:val="auto"/>
              </w:rPr>
            </w:pPr>
            <w:r>
              <w:rPr>
                <w:rFonts w:ascii="Times New Roman" w:cs="Times New Roman" w:eastAsia="Times New Roman" w:hAnsi="Times New Roman"/>
                <w:sz w:val="20"/>
                <w:szCs w:val="20"/>
                <w:color w:val="auto"/>
              </w:rPr>
              <w:t>Ending balance</w:t>
            </w:r>
          </w:p>
        </w:tc>
        <w:tc>
          <w:tcPr>
            <w:tcW w:w="32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2,535</w:t>
            </w:r>
          </w:p>
        </w:tc>
        <w:tc>
          <w:tcPr>
            <w:tcW w:w="60" w:type="dxa"/>
            <w:vAlign w:val="bottom"/>
            <w:tcBorders>
              <w:top w:val="single" w:sz="8" w:color="DDDDDD"/>
            </w:tcBorders>
          </w:tcPr>
          <w:p>
            <w:pPr>
              <w:spacing w:after="0"/>
              <w:rPr>
                <w:sz w:val="21"/>
                <w:szCs w:val="21"/>
                <w:color w:val="auto"/>
              </w:rPr>
            </w:pPr>
          </w:p>
        </w:tc>
        <w:tc>
          <w:tcPr>
            <w:tcW w:w="48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2,505</w:t>
            </w:r>
          </w:p>
        </w:tc>
      </w:tr>
      <w:tr>
        <w:trPr>
          <w:trHeight w:val="44"/>
        </w:trPr>
        <w:tc>
          <w:tcPr>
            <w:tcW w:w="60" w:type="dxa"/>
            <w:vAlign w:val="bottom"/>
          </w:tcPr>
          <w:p>
            <w:pPr>
              <w:spacing w:after="0"/>
              <w:rPr>
                <w:sz w:val="3"/>
                <w:szCs w:val="3"/>
                <w:color w:val="auto"/>
              </w:rPr>
            </w:pPr>
          </w:p>
        </w:tc>
        <w:tc>
          <w:tcPr>
            <w:tcW w:w="37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0"/>
        </w:trPr>
        <w:tc>
          <w:tcPr>
            <w:tcW w:w="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3493770</wp:posOffset>
                </wp:positionH>
                <wp:positionV relativeFrom="paragraph">
                  <wp:posOffset>-231775</wp:posOffset>
                </wp:positionV>
                <wp:extent cx="829310"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31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1pt,-18.2499pt" to="340.4pt,-18.24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4361180</wp:posOffset>
                </wp:positionH>
                <wp:positionV relativeFrom="paragraph">
                  <wp:posOffset>-231775</wp:posOffset>
                </wp:positionV>
                <wp:extent cx="828040"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3.4pt,-18.2499pt" to="408.6pt,-18.2499pt" o:allowincell="f" strokecolor="#FFFFFF" strokeweight="0.1399pt"/>
            </w:pict>
          </mc:Fallback>
        </mc:AlternateContent>
      </w:r>
    </w:p>
    <w:p>
      <w:pPr>
        <w:spacing w:after="0" w:line="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These amounts are related to certain deferred tax assets with a corresponding valuation allowance.</w:t>
      </w:r>
    </w:p>
    <w:p>
      <w:pPr>
        <w:sectPr>
          <w:pgSz w:w="12240" w:h="15840" w:orient="portrait"/>
          <w:cols w:equalWidth="0" w:num="1">
            <w:col w:w="9840"/>
          </w:cols>
          <w:pgMar w:left="1180" w:top="856"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40"/>
          </w:cols>
          <w:pgMar w:left="1180" w:top="856" w:right="1220" w:bottom="0" w:gutter="0" w:footer="0" w:header="0"/>
          <w:type w:val="continuous"/>
        </w:sectPr>
      </w:pPr>
    </w:p>
    <w:bookmarkStart w:id="87" w:name="page88"/>
    <w:bookmarkEnd w:id="87"/>
    <w:p>
      <w:pPr>
        <w:ind w:right="20" w:firstLine="720"/>
        <w:spacing w:after="0" w:line="261" w:lineRule="auto"/>
        <w:rPr>
          <w:sz w:val="20"/>
          <w:szCs w:val="20"/>
          <w:color w:val="auto"/>
        </w:rPr>
      </w:pPr>
      <w:r>
        <w:rPr>
          <w:rFonts w:ascii="Times New Roman" w:cs="Times New Roman" w:eastAsia="Times New Roman" w:hAnsi="Times New Roman"/>
          <w:sz w:val="20"/>
          <w:szCs w:val="20"/>
          <w:color w:val="auto"/>
        </w:rPr>
        <w:t>The Company files tax returns as prescribed by the tax laws of the jurisdictions in which it operates. In the normal course of business, the Company is subject to examination by federal, state, local, and foreign jurisdictions, where applicable. Due to the Company’s net losses, its federal, state and local, and foreign tax returns since inception are subject to audit.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401(k) Plan</w:t>
      </w:r>
    </w:p>
    <w:p>
      <w:pPr>
        <w:spacing w:after="0" w:line="134" w:lineRule="exact"/>
        <w:rPr>
          <w:sz w:val="20"/>
          <w:szCs w:val="20"/>
          <w:color w:val="auto"/>
        </w:rPr>
      </w:pPr>
    </w:p>
    <w:p>
      <w:pPr>
        <w:ind w:right="60" w:firstLine="720"/>
        <w:spacing w:after="0" w:line="272" w:lineRule="auto"/>
        <w:rPr>
          <w:sz w:val="20"/>
          <w:szCs w:val="20"/>
          <w:color w:val="auto"/>
        </w:rPr>
      </w:pPr>
      <w:r>
        <w:rPr>
          <w:rFonts w:ascii="Times New Roman" w:cs="Times New Roman" w:eastAsia="Times New Roman" w:hAnsi="Times New Roman"/>
          <w:sz w:val="19"/>
          <w:szCs w:val="19"/>
          <w:color w:val="auto"/>
        </w:rPr>
        <w:t>The Company has a 401(k) retirement plan for the U.S. based employees that qualifies as a defined contribution plan. All U.S. based employees are eligible to participate on the first day of the month following their hire date with the Company. Under the defined contribution plan, employees may contribute up to the lesser of 90% of their pre-tax salaries per year or the maximum contribution allowed under the Code. The Company may make discretionary matching contributions, if deferral contributions are made by the employees. The Company’s matching contributions for the years ended December 31, 2025, 2024, and 2023 resulted in expense of $1.6 million, $1.4 million, and $1.3 million respectively.</w:t>
      </w:r>
    </w:p>
    <w:p>
      <w:pPr>
        <w:spacing w:after="0" w:line="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addition, other eligible employees outside of the U.S. receive retirement benefits under various statutory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Expenses under the Company's statutory plans were not material for any of the periods presented.</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Segment Information and Operations by Geographic Area</w:t>
      </w:r>
    </w:p>
    <w:p>
      <w:pPr>
        <w:spacing w:after="0" w:line="134"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The Company operates in one reportable segment related to the design, development, and sale of silicon timing systems solutions. The chief operating decision maker for the Company is the Chief Executive Officer (the "CEO"). The Company’s CEO reviews operating results on an aggregate basis and manages the Company’s operations as a whole for the purpose of evaluating financial performance and allocating resources. Accordingly, the Company has determined that it has a single reportable and operating segment structure.</w:t>
      </w:r>
    </w:p>
    <w:p>
      <w:pPr>
        <w:spacing w:after="0" w:line="84"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The CEO uses aggregate net income to allocate resources (including employees, financial, or capital resources) in the annual budgeting and forecasting process and uses that measure as a basis for evaluating financial performance quarterly by comparing the actuals with historical budgets.</w:t>
      </w:r>
    </w:p>
    <w:p>
      <w:pPr>
        <w:spacing w:after="0" w:line="69" w:lineRule="exact"/>
        <w:rPr>
          <w:sz w:val="20"/>
          <w:szCs w:val="20"/>
          <w:color w:val="auto"/>
        </w:rPr>
      </w:pPr>
    </w:p>
    <w:p>
      <w:pPr>
        <w:ind w:firstLine="720"/>
        <w:spacing w:after="0" w:line="281" w:lineRule="auto"/>
        <w:rPr>
          <w:sz w:val="20"/>
          <w:szCs w:val="20"/>
          <w:color w:val="auto"/>
        </w:rPr>
      </w:pPr>
      <w:r>
        <w:rPr>
          <w:rFonts w:ascii="Times New Roman" w:cs="Times New Roman" w:eastAsia="Times New Roman" w:hAnsi="Times New Roman"/>
          <w:sz w:val="19"/>
          <w:szCs w:val="19"/>
          <w:color w:val="auto"/>
        </w:rPr>
        <w:t>The accounting policies of the Company’s single segment are the same as those described in the summary of significant accounting policies within Note 1 of this Annual Report on Form 10-K. The CEO assesses performance for the Company and decides how to allocate resources based on net income that is also reported on the consolidated income statement as net income (loss). The measure of segment assets is reported on the consolidated balance sheets as total assets.</w:t>
      </w:r>
    </w:p>
    <w:p>
      <w:pPr>
        <w:spacing w:after="0" w:line="57" w:lineRule="exact"/>
        <w:rPr>
          <w:sz w:val="20"/>
          <w:szCs w:val="20"/>
          <w:color w:val="auto"/>
        </w:rPr>
      </w:pPr>
    </w:p>
    <w:p>
      <w:pPr>
        <w:ind w:right="460" w:firstLine="720"/>
        <w:spacing w:after="0" w:line="288" w:lineRule="auto"/>
        <w:rPr>
          <w:sz w:val="20"/>
          <w:szCs w:val="20"/>
          <w:color w:val="auto"/>
        </w:rPr>
      </w:pPr>
      <w:r>
        <w:rPr>
          <w:rFonts w:ascii="Times New Roman" w:cs="Times New Roman" w:eastAsia="Times New Roman" w:hAnsi="Times New Roman"/>
          <w:sz w:val="20"/>
          <w:szCs w:val="20"/>
          <w:color w:val="auto"/>
        </w:rPr>
        <w:t>The table below provides information about the Company’s revenue, significant segment expenses and other segment expenses.</w:t>
      </w:r>
    </w:p>
    <w:p>
      <w:pPr>
        <w:spacing w:after="0" w:line="126"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4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6"/>
          </w:tcPr>
          <w:p>
            <w:pPr>
              <w:jc w:val="center"/>
              <w:ind w:left="543"/>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60" w:type="dxa"/>
            <w:vAlign w:val="bottom"/>
          </w:tcPr>
          <w:p>
            <w:pPr>
              <w:spacing w:after="0"/>
              <w:rPr>
                <w:sz w:val="18"/>
                <w:szCs w:val="18"/>
                <w:color w:val="auto"/>
              </w:rPr>
            </w:pPr>
          </w:p>
        </w:tc>
      </w:tr>
      <w:tr>
        <w:trPr>
          <w:trHeight w:val="38"/>
        </w:trPr>
        <w:tc>
          <w:tcPr>
            <w:tcW w:w="41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315"/>
        </w:trPr>
        <w:tc>
          <w:tcPr>
            <w:tcW w:w="4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8"/>
        </w:trPr>
        <w:tc>
          <w:tcPr>
            <w:tcW w:w="41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79"/>
        </w:trPr>
        <w:tc>
          <w:tcPr>
            <w:tcW w:w="4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
        </w:trPr>
        <w:tc>
          <w:tcPr>
            <w:tcW w:w="4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353"/>
        </w:trPr>
        <w:tc>
          <w:tcPr>
            <w:tcW w:w="416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Revenue</w:t>
            </w:r>
          </w:p>
        </w:tc>
        <w:tc>
          <w:tcPr>
            <w:tcW w:w="340" w:type="dxa"/>
            <w:vAlign w:val="bottom"/>
            <w:tcBorders>
              <w:bottom w:val="single" w:sz="8" w:color="DDDDDD"/>
            </w:tcBorders>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326,660</w:t>
            </w:r>
          </w:p>
        </w:tc>
        <w:tc>
          <w:tcPr>
            <w:tcW w:w="8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202,697</w:t>
            </w:r>
          </w:p>
        </w:tc>
        <w:tc>
          <w:tcPr>
            <w:tcW w:w="8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143,993</w:t>
            </w:r>
          </w:p>
        </w:tc>
      </w:tr>
      <w:tr>
        <w:trPr>
          <w:trHeight w:val="330"/>
        </w:trPr>
        <w:tc>
          <w:tcPr>
            <w:tcW w:w="4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2"/>
        </w:trPr>
        <w:tc>
          <w:tcPr>
            <w:tcW w:w="4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353"/>
        </w:trPr>
        <w:tc>
          <w:tcPr>
            <w:tcW w:w="416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Product costs</w:t>
            </w:r>
          </w:p>
        </w:tc>
        <w:tc>
          <w:tcPr>
            <w:tcW w:w="3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97,304</w:t>
            </w:r>
          </w:p>
        </w:tc>
        <w:tc>
          <w:tcPr>
            <w:tcW w:w="8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61,626</w:t>
            </w:r>
          </w:p>
        </w:tc>
        <w:tc>
          <w:tcPr>
            <w:tcW w:w="8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42,612</w:t>
            </w:r>
          </w:p>
        </w:tc>
      </w:tr>
      <w:tr>
        <w:trPr>
          <w:trHeight w:val="330"/>
        </w:trPr>
        <w:tc>
          <w:tcPr>
            <w:tcW w:w="4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15,472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8,474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6,718</w:t>
            </w:r>
          </w:p>
        </w:tc>
      </w:tr>
      <w:tr>
        <w:trPr>
          <w:trHeight w:val="43"/>
        </w:trPr>
        <w:tc>
          <w:tcPr>
            <w:tcW w:w="4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353"/>
        </w:trPr>
        <w:tc>
          <w:tcPr>
            <w:tcW w:w="416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Amortization</w:t>
            </w:r>
          </w:p>
        </w:tc>
        <w:tc>
          <w:tcPr>
            <w:tcW w:w="3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15,460</w:t>
            </w:r>
          </w:p>
        </w:tc>
        <w:tc>
          <w:tcPr>
            <w:tcW w:w="8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12,103</w:t>
            </w:r>
          </w:p>
        </w:tc>
        <w:tc>
          <w:tcPr>
            <w:tcW w:w="8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681</w:t>
            </w:r>
          </w:p>
        </w:tc>
      </w:tr>
      <w:tr>
        <w:trPr>
          <w:trHeight w:val="330"/>
        </w:trPr>
        <w:tc>
          <w:tcPr>
            <w:tcW w:w="4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manufacturing overheads</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23,438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16,000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11,894</w:t>
            </w:r>
          </w:p>
        </w:tc>
      </w:tr>
      <w:tr>
        <w:trPr>
          <w:trHeight w:val="43"/>
        </w:trPr>
        <w:tc>
          <w:tcPr>
            <w:tcW w:w="4160" w:type="dxa"/>
            <w:vAlign w:val="bottom"/>
            <w:tcBorders>
              <w:bottom w:val="single" w:sz="8" w:color="DDDDDD"/>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DDDDDD"/>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DDDDDD"/>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333"/>
        </w:trPr>
        <w:tc>
          <w:tcPr>
            <w:tcW w:w="416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Gross profit</w:t>
            </w:r>
          </w:p>
        </w:tc>
        <w:tc>
          <w:tcPr>
            <w:tcW w:w="3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174,986</w:t>
            </w:r>
          </w:p>
        </w:tc>
        <w:tc>
          <w:tcPr>
            <w:tcW w:w="8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104,494</w:t>
            </w:r>
          </w:p>
        </w:tc>
        <w:tc>
          <w:tcPr>
            <w:tcW w:w="8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82,088</w:t>
            </w:r>
          </w:p>
        </w:tc>
      </w:tr>
      <w:tr>
        <w:trPr>
          <w:trHeight w:val="330"/>
        </w:trPr>
        <w:tc>
          <w:tcPr>
            <w:tcW w:w="4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2"/>
        </w:trPr>
        <w:tc>
          <w:tcPr>
            <w:tcW w:w="4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353"/>
        </w:trPr>
        <w:tc>
          <w:tcPr>
            <w:tcW w:w="4160" w:type="dxa"/>
            <w:vAlign w:val="bottom"/>
            <w:tcBorders>
              <w:bottom w:val="single" w:sz="8" w:color="DDDDDD"/>
            </w:tcBorders>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Acquisition related costs</w:t>
            </w:r>
          </w:p>
        </w:tc>
        <w:tc>
          <w:tcPr>
            <w:tcW w:w="3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6,567</w:t>
            </w:r>
          </w:p>
        </w:tc>
        <w:tc>
          <w:tcPr>
            <w:tcW w:w="8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10,722</w:t>
            </w:r>
          </w:p>
        </w:tc>
        <w:tc>
          <w:tcPr>
            <w:tcW w:w="80" w:type="dxa"/>
            <w:vAlign w:val="bottom"/>
            <w:tcBorders>
              <w:bottom w:val="single" w:sz="8" w:color="DDDDDD"/>
            </w:tcBorders>
            <w:shd w:val="clear" w:color="auto" w:fill="DDDDDD"/>
          </w:tcPr>
          <w:p>
            <w:pPr>
              <w:spacing w:after="0"/>
              <w:rPr>
                <w:sz w:val="24"/>
                <w:szCs w:val="24"/>
                <w:color w:val="auto"/>
              </w:rPr>
            </w:pPr>
          </w:p>
        </w:tc>
        <w:tc>
          <w:tcPr>
            <w:tcW w:w="340" w:type="dxa"/>
            <w:vAlign w:val="bottom"/>
            <w:tcBorders>
              <w:bottom w:val="single" w:sz="8" w:color="DDDDDD"/>
            </w:tcBorders>
            <w:shd w:val="clear" w:color="auto" w:fill="DDDDDD"/>
          </w:tcPr>
          <w:p>
            <w:pPr>
              <w:spacing w:after="0"/>
              <w:rPr>
                <w:sz w:val="24"/>
                <w:szCs w:val="24"/>
                <w:color w:val="auto"/>
              </w:rPr>
            </w:pPr>
          </w:p>
        </w:tc>
        <w:tc>
          <w:tcPr>
            <w:tcW w:w="9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7,728</w:t>
            </w:r>
          </w:p>
        </w:tc>
      </w:tr>
      <w:tr>
        <w:trPr>
          <w:trHeight w:val="330"/>
        </w:trPr>
        <w:tc>
          <w:tcPr>
            <w:tcW w:w="4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income</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(24,830)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(22,883)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(26,958)</w:t>
            </w:r>
          </w:p>
        </w:tc>
      </w:tr>
      <w:tr>
        <w:trPr>
          <w:trHeight w:val="43"/>
        </w:trPr>
        <w:tc>
          <w:tcPr>
            <w:tcW w:w="4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374"/>
        </w:trPr>
        <w:tc>
          <w:tcPr>
            <w:tcW w:w="4160" w:type="dxa"/>
            <w:vAlign w:val="bottom"/>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 xml:space="preserve">Other segment items </w:t>
            </w:r>
            <w:r>
              <w:rPr>
                <w:rFonts w:ascii="Times New Roman" w:cs="Times New Roman" w:eastAsia="Times New Roman" w:hAnsi="Times New Roman"/>
                <w:sz w:val="25"/>
                <w:szCs w:val="25"/>
                <w:color w:val="auto"/>
                <w:vertAlign w:val="superscript"/>
              </w:rPr>
              <w:t>(a)</w:t>
            </w:r>
          </w:p>
        </w:tc>
        <w:tc>
          <w:tcPr>
            <w:tcW w:w="34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236,152</w:t>
            </w:r>
          </w:p>
        </w:tc>
        <w:tc>
          <w:tcPr>
            <w:tcW w:w="80" w:type="dxa"/>
            <w:vAlign w:val="bottom"/>
            <w:shd w:val="clear" w:color="auto" w:fill="DDDDDD"/>
          </w:tcPr>
          <w:p>
            <w:pPr>
              <w:spacing w:after="0"/>
              <w:rPr>
                <w:sz w:val="24"/>
                <w:szCs w:val="24"/>
                <w:color w:val="auto"/>
              </w:rPr>
            </w:pPr>
          </w:p>
        </w:tc>
        <w:tc>
          <w:tcPr>
            <w:tcW w:w="180" w:type="dxa"/>
            <w:vAlign w:val="bottom"/>
            <w:tcBorders>
              <w:bottom w:val="single" w:sz="8" w:color="auto"/>
            </w:tcBorders>
            <w:shd w:val="clear" w:color="auto" w:fill="DDDDDD"/>
          </w:tcPr>
          <w:p>
            <w:pPr>
              <w:spacing w:after="0"/>
              <w:rPr>
                <w:sz w:val="24"/>
                <w:szCs w:val="24"/>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210,256</w:t>
            </w:r>
          </w:p>
        </w:tc>
        <w:tc>
          <w:tcPr>
            <w:tcW w:w="80" w:type="dxa"/>
            <w:vAlign w:val="bottom"/>
            <w:shd w:val="clear" w:color="auto" w:fill="DDDDDD"/>
          </w:tcPr>
          <w:p>
            <w:pPr>
              <w:spacing w:after="0"/>
              <w:rPr>
                <w:sz w:val="24"/>
                <w:szCs w:val="24"/>
                <w:color w:val="auto"/>
              </w:rPr>
            </w:pPr>
          </w:p>
        </w:tc>
        <w:tc>
          <w:tcPr>
            <w:tcW w:w="340" w:type="dxa"/>
            <w:vAlign w:val="bottom"/>
            <w:tcBorders>
              <w:bottom w:val="single" w:sz="8" w:color="auto"/>
            </w:tcBorders>
            <w:shd w:val="clear" w:color="auto" w:fill="DDDDDD"/>
          </w:tcPr>
          <w:p>
            <w:pPr>
              <w:spacing w:after="0"/>
              <w:rPr>
                <w:sz w:val="24"/>
                <w:szCs w:val="24"/>
                <w:color w:val="auto"/>
              </w:rPr>
            </w:pPr>
          </w:p>
        </w:tc>
        <w:tc>
          <w:tcPr>
            <w:tcW w:w="96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181,853</w:t>
            </w:r>
          </w:p>
        </w:tc>
      </w:tr>
      <w:tr>
        <w:trPr>
          <w:trHeight w:val="20"/>
        </w:trPr>
        <w:tc>
          <w:tcPr>
            <w:tcW w:w="4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0"/>
        </w:trPr>
        <w:tc>
          <w:tcPr>
            <w:tcW w:w="41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Net loss</w:t>
            </w:r>
          </w:p>
        </w:tc>
        <w:tc>
          <w:tcPr>
            <w:tcW w:w="34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(42,903)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(93,601)</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(80,535)</w:t>
            </w:r>
          </w:p>
        </w:tc>
      </w:tr>
      <w:tr>
        <w:trPr>
          <w:trHeight w:val="46"/>
        </w:trPr>
        <w:tc>
          <w:tcPr>
            <w:tcW w:w="41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
        </w:trPr>
        <w:tc>
          <w:tcPr>
            <w:tcW w:w="4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3103880</wp:posOffset>
                </wp:positionH>
                <wp:positionV relativeFrom="paragraph">
                  <wp:posOffset>-237490</wp:posOffset>
                </wp:positionV>
                <wp:extent cx="82486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865"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4pt,-18.6999pt" to="309.35pt,-18.6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3980180</wp:posOffset>
                </wp:positionH>
                <wp:positionV relativeFrom="paragraph">
                  <wp:posOffset>-237490</wp:posOffset>
                </wp:positionV>
                <wp:extent cx="824230"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423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4pt,-18.6999pt" to="378.3pt,-18.6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4855210</wp:posOffset>
                </wp:positionH>
                <wp:positionV relativeFrom="paragraph">
                  <wp:posOffset>-237490</wp:posOffset>
                </wp:positionV>
                <wp:extent cx="825500"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550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2.3pt,-18.6999pt" to="447.3pt,-18.6999pt" o:allowincell="f" strokecolor="#FFFFFF" strokeweight="0.14pt"/>
            </w:pict>
          </mc:Fallback>
        </mc:AlternateContent>
      </w:r>
    </w:p>
    <w:p>
      <w:pPr>
        <w:sectPr>
          <w:pgSz w:w="12240" w:h="15840" w:orient="portrait"/>
          <w:cols w:equalWidth="0" w:num="1">
            <w:col w:w="9860"/>
          </w:cols>
          <w:pgMar w:left="1180" w:top="856"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60"/>
          </w:cols>
          <w:pgMar w:left="1180" w:top="856" w:right="1200" w:bottom="0" w:gutter="0" w:footer="0" w:header="0"/>
          <w:type w:val="continuous"/>
        </w:sectPr>
      </w:pPr>
    </w:p>
    <w:bookmarkStart w:id="88" w:name="page89"/>
    <w:bookmarkEnd w:id="88"/>
    <w:p>
      <w:pPr>
        <w:ind w:right="540" w:firstLine="720"/>
        <w:spacing w:after="0" w:line="237" w:lineRule="auto"/>
        <w:rPr>
          <w:sz w:val="20"/>
          <w:szCs w:val="20"/>
          <w:color w:val="auto"/>
        </w:rPr>
      </w:pPr>
      <w:r>
        <w:rPr>
          <w:rFonts w:ascii="Times New Roman" w:cs="Times New Roman" w:eastAsia="Times New Roman" w:hAnsi="Times New Roman"/>
          <w:sz w:val="25"/>
          <w:szCs w:val="25"/>
          <w:color w:val="auto"/>
          <w:vertAlign w:val="superscript"/>
        </w:rPr>
        <w:t>(a)</w:t>
      </w:r>
      <w:r>
        <w:rPr>
          <w:rFonts w:ascii="Times New Roman" w:cs="Times New Roman" w:eastAsia="Times New Roman" w:hAnsi="Times New Roman"/>
          <w:sz w:val="20"/>
          <w:szCs w:val="20"/>
          <w:color w:val="auto"/>
        </w:rPr>
        <w:t>Other segment items include research and development expenses and selling, general and administrative expenses, primarily in the nature of nonmanufacturing expenses including salaries and stock-based compensation for employees, consulting expenses, certain other expenses, and taxes.</w:t>
      </w:r>
    </w:p>
    <w:p>
      <w:pPr>
        <w:spacing w:after="0" w:line="102" w:lineRule="exact"/>
        <w:rPr>
          <w:sz w:val="20"/>
          <w:szCs w:val="20"/>
          <w:color w:val="auto"/>
        </w:rPr>
      </w:pPr>
    </w:p>
    <w:p>
      <w:pPr>
        <w:ind w:right="80" w:firstLine="720"/>
        <w:spacing w:after="0" w:line="266" w:lineRule="auto"/>
        <w:rPr>
          <w:sz w:val="20"/>
          <w:szCs w:val="20"/>
          <w:color w:val="auto"/>
        </w:rPr>
      </w:pPr>
      <w:r>
        <w:rPr>
          <w:rFonts w:ascii="Times New Roman" w:cs="Times New Roman" w:eastAsia="Times New Roman" w:hAnsi="Times New Roman"/>
          <w:sz w:val="20"/>
          <w:szCs w:val="20"/>
          <w:color w:val="auto"/>
        </w:rPr>
        <w:t>Revenue by geographic area is presented based upon the ship-to location of the customers, which maybe different from the geographic locations of the ultimate end customers. The following table sets forth revenue by country for countries with 10% or more of the Company’s revenue during any of the periods presented:</w:t>
      </w:r>
    </w:p>
    <w:p>
      <w:pPr>
        <w:spacing w:after="0" w:line="268"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8"/>
          </w:tcPr>
          <w:p>
            <w:pPr>
              <w:jc w:val="center"/>
              <w:ind w:left="565"/>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41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4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3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8"/>
        </w:trPr>
        <w:tc>
          <w:tcPr>
            <w:tcW w:w="41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1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4"/>
        </w:trPr>
        <w:tc>
          <w:tcPr>
            <w:tcW w:w="420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Hong Kong</w:t>
            </w:r>
          </w:p>
        </w:tc>
        <w:tc>
          <w:tcPr>
            <w:tcW w:w="320" w:type="dxa"/>
            <w:vAlign w:val="bottom"/>
            <w:tcBorders>
              <w:bottom w:val="single" w:sz="8" w:color="DDDDDD"/>
            </w:tcBorders>
            <w:shd w:val="clear" w:color="auto" w:fill="DDDDDD"/>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117,082</w:t>
            </w:r>
          </w:p>
        </w:tc>
        <w:tc>
          <w:tcPr>
            <w:tcW w:w="220" w:type="dxa"/>
            <w:vAlign w:val="bottom"/>
            <w:tcBorders>
              <w:bottom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64,441</w:t>
            </w:r>
          </w:p>
        </w:tc>
        <w:tc>
          <w:tcPr>
            <w:tcW w:w="380" w:type="dxa"/>
            <w:vAlign w:val="bottom"/>
            <w:tcBorders>
              <w:bottom w:val="single" w:sz="8" w:color="DDDDDD"/>
            </w:tcBorders>
            <w:gridSpan w:val="3"/>
            <w:shd w:val="clear" w:color="auto" w:fill="DDDDDD"/>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31,987</w:t>
            </w:r>
          </w:p>
        </w:tc>
        <w:tc>
          <w:tcPr>
            <w:tcW w:w="0" w:type="dxa"/>
            <w:vAlign w:val="bottom"/>
          </w:tcPr>
          <w:p>
            <w:pPr>
              <w:spacing w:after="0"/>
              <w:rPr>
                <w:sz w:val="1"/>
                <w:szCs w:val="1"/>
                <w:color w:val="auto"/>
              </w:rPr>
            </w:pPr>
          </w:p>
        </w:tc>
      </w:tr>
      <w:tr>
        <w:trPr>
          <w:trHeight w:val="282"/>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Taiwan</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84,517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64,836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43,954</w:t>
            </w:r>
          </w:p>
        </w:tc>
        <w:tc>
          <w:tcPr>
            <w:tcW w:w="0" w:type="dxa"/>
            <w:vAlign w:val="bottom"/>
          </w:tcPr>
          <w:p>
            <w:pPr>
              <w:spacing w:after="0"/>
              <w:rPr>
                <w:sz w:val="1"/>
                <w:szCs w:val="1"/>
                <w:color w:val="auto"/>
              </w:rPr>
            </w:pPr>
          </w:p>
        </w:tc>
      </w:tr>
      <w:tr>
        <w:trPr>
          <w:trHeight w:val="43"/>
        </w:trPr>
        <w:tc>
          <w:tcPr>
            <w:tcW w:w="41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420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United States</w:t>
            </w: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22,540</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40" w:type="dxa"/>
            <w:vAlign w:val="bottom"/>
            <w:tcBorders>
              <w:bottom w:val="single" w:sz="8" w:color="DDDDDD"/>
            </w:tcBorders>
            <w:shd w:val="clear" w:color="auto" w:fill="DDDDDD"/>
          </w:tcPr>
          <w:p>
            <w:pPr>
              <w:spacing w:after="0"/>
              <w:rPr>
                <w:sz w:val="24"/>
                <w:szCs w:val="24"/>
                <w:color w:val="auto"/>
              </w:rPr>
            </w:pPr>
          </w:p>
        </w:tc>
        <w:tc>
          <w:tcPr>
            <w:tcW w:w="1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15,853</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19,976</w:t>
            </w:r>
          </w:p>
        </w:tc>
        <w:tc>
          <w:tcPr>
            <w:tcW w:w="0" w:type="dxa"/>
            <w:vAlign w:val="bottom"/>
          </w:tcPr>
          <w:p>
            <w:pPr>
              <w:spacing w:after="0"/>
              <w:rPr>
                <w:sz w:val="1"/>
                <w:szCs w:val="1"/>
                <w:color w:val="auto"/>
              </w:rPr>
            </w:pPr>
          </w:p>
        </w:tc>
      </w:tr>
      <w:tr>
        <w:trPr>
          <w:trHeight w:val="282"/>
        </w:trPr>
        <w:tc>
          <w:tcPr>
            <w:tcW w:w="42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Singapore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17,417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16,643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16,466</w:t>
            </w:r>
          </w:p>
        </w:tc>
        <w:tc>
          <w:tcPr>
            <w:tcW w:w="0" w:type="dxa"/>
            <w:vAlign w:val="bottom"/>
          </w:tcPr>
          <w:p>
            <w:pPr>
              <w:spacing w:after="0"/>
              <w:rPr>
                <w:sz w:val="1"/>
                <w:szCs w:val="1"/>
                <w:color w:val="auto"/>
              </w:rPr>
            </w:pPr>
          </w:p>
        </w:tc>
      </w:tr>
      <w:tr>
        <w:trPr>
          <w:trHeight w:val="43"/>
        </w:trPr>
        <w:tc>
          <w:tcPr>
            <w:tcW w:w="41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5"/>
        </w:trPr>
        <w:tc>
          <w:tcPr>
            <w:tcW w:w="4200" w:type="dxa"/>
            <w:vAlign w:val="bottom"/>
            <w:tcBorders>
              <w:bottom w:val="single" w:sz="8" w:color="DDDDDD"/>
            </w:tcBorders>
            <w:gridSpan w:val="2"/>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Other</w:t>
            </w: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85,104</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140" w:type="dxa"/>
            <w:vAlign w:val="bottom"/>
            <w:tcBorders>
              <w:bottom w:val="single" w:sz="8" w:color="DDDDDD"/>
            </w:tcBorders>
            <w:shd w:val="clear" w:color="auto" w:fill="DDDDDD"/>
          </w:tcPr>
          <w:p>
            <w:pPr>
              <w:spacing w:after="0"/>
              <w:rPr>
                <w:sz w:val="24"/>
                <w:szCs w:val="24"/>
                <w:color w:val="auto"/>
              </w:rPr>
            </w:pPr>
          </w:p>
        </w:tc>
        <w:tc>
          <w:tcPr>
            <w:tcW w:w="11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40,924</w:t>
            </w:r>
          </w:p>
        </w:tc>
        <w:tc>
          <w:tcPr>
            <w:tcW w:w="4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3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31,610</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Total</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200" w:type="dxa"/>
            <w:vAlign w:val="bottom"/>
            <w:gridSpan w:val="2"/>
            <w:vMerge w:val="continue"/>
          </w:tcPr>
          <w:p>
            <w:pPr>
              <w:spacing w:after="0"/>
              <w:rPr>
                <w:sz w:val="23"/>
                <w:szCs w:val="23"/>
                <w:color w:val="auto"/>
              </w:rPr>
            </w:pP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326,660</w:t>
            </w:r>
          </w:p>
        </w:tc>
        <w:tc>
          <w:tcPr>
            <w:tcW w:w="60" w:type="dxa"/>
            <w:vAlign w:val="bottom"/>
            <w:vMerge w:val="continue"/>
          </w:tcPr>
          <w:p>
            <w:pPr>
              <w:spacing w:after="0"/>
              <w:rPr>
                <w:sz w:val="23"/>
                <w:szCs w:val="23"/>
                <w:color w:val="auto"/>
              </w:rPr>
            </w:pPr>
          </w:p>
        </w:tc>
        <w:tc>
          <w:tcPr>
            <w:tcW w:w="20" w:type="dxa"/>
            <w:vAlign w:val="bottom"/>
            <w:vMerge w:val="continue"/>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202,697</w:t>
            </w:r>
          </w:p>
        </w:tc>
        <w:tc>
          <w:tcPr>
            <w:tcW w:w="40" w:type="dxa"/>
            <w:vAlign w:val="bottom"/>
            <w:vMerge w:val="continue"/>
          </w:tcPr>
          <w:p>
            <w:pPr>
              <w:spacing w:after="0"/>
              <w:rPr>
                <w:sz w:val="23"/>
                <w:szCs w:val="23"/>
                <w:color w:val="auto"/>
              </w:rPr>
            </w:pPr>
          </w:p>
        </w:tc>
        <w:tc>
          <w:tcPr>
            <w:tcW w:w="20" w:type="dxa"/>
            <w:vAlign w:val="bottom"/>
            <w:vMerge w:val="continue"/>
          </w:tcPr>
          <w:p>
            <w:pPr>
              <w:spacing w:after="0"/>
              <w:rPr>
                <w:sz w:val="23"/>
                <w:szCs w:val="23"/>
                <w:color w:val="auto"/>
              </w:rPr>
            </w:pP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143,993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3188970</wp:posOffset>
                </wp:positionH>
                <wp:positionV relativeFrom="paragraph">
                  <wp:posOffset>-207010</wp:posOffset>
                </wp:positionV>
                <wp:extent cx="82931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31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1.1pt,-16.2999pt" to="316.4pt,-16.2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4056380</wp:posOffset>
                </wp:positionH>
                <wp:positionV relativeFrom="paragraph">
                  <wp:posOffset>-207010</wp:posOffset>
                </wp:positionV>
                <wp:extent cx="828040"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04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4pt,-16.2999pt" to="384.6pt,-16.2999pt" o:allowincell="f" strokecolor="#FFFFFF" strokeweight="0.14pt"/>
            </w:pict>
          </mc:Fallback>
        </mc:AlternateContent>
        <mc:AlternateContent>
          <mc:Choice Requires="wps">
            <w:drawing>
              <wp:anchor simplePos="0" relativeHeight="251657728" behindDoc="1" locked="0" layoutInCell="0" allowOverlap="1">
                <wp:simplePos x="0" y="0"/>
                <wp:positionH relativeFrom="column">
                  <wp:posOffset>4922520</wp:posOffset>
                </wp:positionH>
                <wp:positionV relativeFrom="paragraph">
                  <wp:posOffset>-207010</wp:posOffset>
                </wp:positionV>
                <wp:extent cx="829310"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310" cy="4763"/>
                        </a:xfrm>
                        <a:prstGeom prst="line">
                          <a:avLst/>
                        </a:prstGeom>
                        <a:solidFill>
                          <a:srgbClr val="FFFFFF"/>
                        </a:solidFill>
                        <a:ln w="1778">
                          <a:solidFill>
                            <a:srgbClr val="FFFFFF"/>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7.6pt,-16.2999pt" to="452.9pt,-16.2999pt" o:allowincell="f" strokecolor="#FFFFFF" strokeweight="0.14pt"/>
            </w:pict>
          </mc:Fallback>
        </mc:AlternateContent>
      </w:r>
    </w:p>
    <w:p>
      <w:pPr>
        <w:spacing w:after="0" w:line="171" w:lineRule="exact"/>
        <w:rPr>
          <w:sz w:val="20"/>
          <w:szCs w:val="20"/>
          <w:color w:val="auto"/>
        </w:rPr>
      </w:pPr>
    </w:p>
    <w:p>
      <w:pPr>
        <w:ind w:right="220" w:firstLine="720"/>
        <w:spacing w:after="0" w:line="288" w:lineRule="auto"/>
        <w:rPr>
          <w:sz w:val="20"/>
          <w:szCs w:val="20"/>
          <w:color w:val="auto"/>
        </w:rPr>
      </w:pPr>
      <w:r>
        <w:rPr>
          <w:rFonts w:ascii="Times New Roman" w:cs="Times New Roman" w:eastAsia="Times New Roman" w:hAnsi="Times New Roman"/>
          <w:sz w:val="20"/>
          <w:szCs w:val="20"/>
          <w:color w:val="auto"/>
        </w:rPr>
        <w:t>The following table sets forth the Company’s total property and equipment attributable to operations by country for countries with 10% or more of the Company’s net property and equipment as of the periods presented:</w:t>
      </w:r>
    </w:p>
    <w:p>
      <w:pPr>
        <w:spacing w:after="0" w:line="246"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gridSpan w:val="4"/>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5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5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38"/>
        </w:trPr>
        <w:tc>
          <w:tcPr>
            <w:tcW w:w="5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9"/>
        </w:trPr>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60" w:type="dxa"/>
            <w:vAlign w:val="bottom"/>
            <w:gridSpan w:val="4"/>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5"/>
        </w:trPr>
        <w:tc>
          <w:tcPr>
            <w:tcW w:w="514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United States</w:t>
            </w:r>
          </w:p>
        </w:tc>
        <w:tc>
          <w:tcPr>
            <w:tcW w:w="460" w:type="dxa"/>
            <w:vAlign w:val="bottom"/>
            <w:tcBorders>
              <w:bottom w:val="single" w:sz="8" w:color="DDDDDD"/>
            </w:tcBorders>
            <w:shd w:val="clear" w:color="auto" w:fill="DDDDDD"/>
          </w:tcPr>
          <w:p>
            <w:pPr>
              <w:jc w:val="right"/>
              <w:ind w:right="227"/>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DDDDDD"/>
            </w:tcBorders>
            <w:shd w:val="clear" w:color="auto" w:fill="DDDDDD"/>
          </w:tcPr>
          <w:p>
            <w:pPr>
              <w:jc w:val="right"/>
              <w:ind w:right="5"/>
              <w:spacing w:after="0"/>
              <w:rPr>
                <w:sz w:val="20"/>
                <w:szCs w:val="20"/>
                <w:color w:val="auto"/>
              </w:rPr>
            </w:pPr>
            <w:r>
              <w:rPr>
                <w:rFonts w:ascii="Times New Roman" w:cs="Times New Roman" w:eastAsia="Times New Roman" w:hAnsi="Times New Roman"/>
                <w:sz w:val="20"/>
                <w:szCs w:val="20"/>
                <w:color w:val="auto"/>
              </w:rPr>
              <w:t>35,811</w:t>
            </w:r>
          </w:p>
        </w:tc>
        <w:tc>
          <w:tcPr>
            <w:tcW w:w="720" w:type="dxa"/>
            <w:vAlign w:val="bottom"/>
            <w:tcBorders>
              <w:bottom w:val="single" w:sz="8" w:color="DDDDDD"/>
            </w:tcBorders>
            <w:gridSpan w:val="3"/>
            <w:shd w:val="clear" w:color="auto" w:fill="DDDDDD"/>
          </w:tcPr>
          <w:p>
            <w:pPr>
              <w:jc w:val="right"/>
              <w:ind w:right="41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32,200</w:t>
            </w:r>
          </w:p>
        </w:tc>
        <w:tc>
          <w:tcPr>
            <w:tcW w:w="0" w:type="dxa"/>
            <w:vAlign w:val="bottom"/>
          </w:tcPr>
          <w:p>
            <w:pPr>
              <w:spacing w:after="0"/>
              <w:rPr>
                <w:sz w:val="1"/>
                <w:szCs w:val="1"/>
                <w:color w:val="auto"/>
              </w:rPr>
            </w:pPr>
          </w:p>
        </w:tc>
      </w:tr>
      <w:tr>
        <w:trPr>
          <w:trHeight w:val="282"/>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Taiwan</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23,256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24,294</w:t>
            </w:r>
          </w:p>
        </w:tc>
        <w:tc>
          <w:tcPr>
            <w:tcW w:w="0" w:type="dxa"/>
            <w:vAlign w:val="bottom"/>
          </w:tcPr>
          <w:p>
            <w:pPr>
              <w:spacing w:after="0"/>
              <w:rPr>
                <w:sz w:val="1"/>
                <w:szCs w:val="1"/>
                <w:color w:val="auto"/>
              </w:rPr>
            </w:pPr>
          </w:p>
        </w:tc>
      </w:tr>
      <w:tr>
        <w:trPr>
          <w:trHeight w:val="43"/>
        </w:trPr>
        <w:tc>
          <w:tcPr>
            <w:tcW w:w="5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6"/>
        </w:trPr>
        <w:tc>
          <w:tcPr>
            <w:tcW w:w="514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Malaysia</w:t>
            </w:r>
          </w:p>
        </w:tc>
        <w:tc>
          <w:tcPr>
            <w:tcW w:w="460" w:type="dxa"/>
            <w:vAlign w:val="bottom"/>
            <w:tcBorders>
              <w:bottom w:val="single" w:sz="8" w:color="DDDDDD"/>
            </w:tcBorders>
            <w:shd w:val="clear" w:color="auto" w:fill="DDDDDD"/>
          </w:tcPr>
          <w:p>
            <w:pPr>
              <w:spacing w:after="0"/>
              <w:rPr>
                <w:sz w:val="24"/>
                <w:szCs w:val="24"/>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21,072</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640" w:type="dxa"/>
            <w:vAlign w:val="bottom"/>
            <w:tcBorders>
              <w:bottom w:val="single" w:sz="8" w:color="DDDDDD"/>
            </w:tcBorders>
            <w:shd w:val="clear" w:color="auto" w:fill="DDDDDD"/>
          </w:tcPr>
          <w:p>
            <w:pPr>
              <w:spacing w:after="0"/>
              <w:rPr>
                <w:sz w:val="24"/>
                <w:szCs w:val="24"/>
                <w:color w:val="auto"/>
              </w:rPr>
            </w:pP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16,231</w:t>
            </w:r>
          </w:p>
        </w:tc>
        <w:tc>
          <w:tcPr>
            <w:tcW w:w="0" w:type="dxa"/>
            <w:vAlign w:val="bottom"/>
          </w:tcPr>
          <w:p>
            <w:pPr>
              <w:spacing w:after="0"/>
              <w:rPr>
                <w:sz w:val="1"/>
                <w:szCs w:val="1"/>
                <w:color w:val="auto"/>
              </w:rPr>
            </w:pPr>
          </w:p>
        </w:tc>
      </w:tr>
      <w:tr>
        <w:trPr>
          <w:trHeight w:val="330"/>
        </w:trPr>
        <w:tc>
          <w:tcPr>
            <w:tcW w:w="51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Singapore</w:t>
            </w:r>
          </w:p>
        </w:tc>
        <w:tc>
          <w:tcPr>
            <w:tcW w:w="4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18,817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2,419</w:t>
            </w:r>
          </w:p>
        </w:tc>
        <w:tc>
          <w:tcPr>
            <w:tcW w:w="0" w:type="dxa"/>
            <w:vAlign w:val="bottom"/>
          </w:tcPr>
          <w:p>
            <w:pPr>
              <w:spacing w:after="0"/>
              <w:rPr>
                <w:sz w:val="1"/>
                <w:szCs w:val="1"/>
                <w:color w:val="auto"/>
              </w:rPr>
            </w:pPr>
          </w:p>
        </w:tc>
      </w:tr>
      <w:tr>
        <w:trPr>
          <w:trHeight w:val="42"/>
        </w:trPr>
        <w:tc>
          <w:tcPr>
            <w:tcW w:w="5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5140" w:type="dxa"/>
            <w:vAlign w:val="bottom"/>
            <w:tcBorders>
              <w:bottom w:val="single" w:sz="8" w:color="DDDDDD"/>
            </w:tcBorders>
            <w:gridSpan w:val="2"/>
            <w:shd w:val="clear" w:color="auto" w:fill="DDDDDD"/>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460" w:type="dxa"/>
            <w:vAlign w:val="bottom"/>
            <w:tcBorders>
              <w:bottom w:val="single" w:sz="8" w:color="DDDDDD"/>
            </w:tcBorders>
            <w:shd w:val="clear" w:color="auto" w:fill="DDDDDD"/>
          </w:tcPr>
          <w:p>
            <w:pPr>
              <w:spacing w:after="0"/>
              <w:rPr>
                <w:sz w:val="24"/>
                <w:szCs w:val="24"/>
                <w:color w:val="auto"/>
              </w:rPr>
            </w:pPr>
          </w:p>
        </w:tc>
        <w:tc>
          <w:tcPr>
            <w:tcW w:w="104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6,158</w:t>
            </w:r>
          </w:p>
        </w:tc>
        <w:tc>
          <w:tcPr>
            <w:tcW w:w="60" w:type="dxa"/>
            <w:vAlign w:val="bottom"/>
            <w:tcBorders>
              <w:bottom w:val="single" w:sz="8" w:color="DDDDDD"/>
            </w:tcBorders>
            <w:shd w:val="clear" w:color="auto" w:fill="DDDDDD"/>
          </w:tcPr>
          <w:p>
            <w:pPr>
              <w:spacing w:after="0"/>
              <w:rPr>
                <w:sz w:val="24"/>
                <w:szCs w:val="24"/>
                <w:color w:val="auto"/>
              </w:rPr>
            </w:pPr>
          </w:p>
        </w:tc>
        <w:tc>
          <w:tcPr>
            <w:tcW w:w="20" w:type="dxa"/>
            <w:vAlign w:val="bottom"/>
            <w:tcBorders>
              <w:bottom w:val="single" w:sz="8" w:color="DDDDDD"/>
            </w:tcBorders>
            <w:shd w:val="clear" w:color="auto" w:fill="DDDDDD"/>
          </w:tcPr>
          <w:p>
            <w:pPr>
              <w:spacing w:after="0"/>
              <w:rPr>
                <w:sz w:val="24"/>
                <w:szCs w:val="24"/>
                <w:color w:val="auto"/>
              </w:rPr>
            </w:pPr>
          </w:p>
        </w:tc>
        <w:tc>
          <w:tcPr>
            <w:tcW w:w="640" w:type="dxa"/>
            <w:vAlign w:val="bottom"/>
            <w:tcBorders>
              <w:bottom w:val="single" w:sz="8" w:color="DDDDDD"/>
            </w:tcBorders>
            <w:shd w:val="clear" w:color="auto" w:fill="DDDDDD"/>
          </w:tcPr>
          <w:p>
            <w:pPr>
              <w:spacing w:after="0"/>
              <w:rPr>
                <w:sz w:val="24"/>
                <w:szCs w:val="24"/>
                <w:color w:val="auto"/>
              </w:rPr>
            </w:pPr>
          </w:p>
        </w:tc>
        <w:tc>
          <w:tcPr>
            <w:tcW w:w="86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7,331</w:t>
            </w:r>
          </w:p>
        </w:tc>
        <w:tc>
          <w:tcPr>
            <w:tcW w:w="0" w:type="dxa"/>
            <w:vAlign w:val="bottom"/>
          </w:tcPr>
          <w:p>
            <w:pPr>
              <w:spacing w:after="0"/>
              <w:rPr>
                <w:sz w:val="1"/>
                <w:szCs w:val="1"/>
                <w:color w:val="auto"/>
              </w:rPr>
            </w:pPr>
          </w:p>
        </w:tc>
      </w:tr>
      <w:tr>
        <w:trPr>
          <w:trHeight w:val="20"/>
        </w:trPr>
        <w:tc>
          <w:tcPr>
            <w:tcW w:w="5140" w:type="dxa"/>
            <w:vAlign w:val="bottom"/>
            <w:tcBorders>
              <w:top w:val="single" w:sz="8" w:color="DDDDDD"/>
              <w:bottom w:val="single" w:sz="8" w:color="DDDDDD"/>
            </w:tcBorders>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DDDDDD"/>
              <w:bottom w:val="single" w:sz="8" w:color="DDDDDD"/>
            </w:tcBorders>
            <w:vMerge w:val="restart"/>
          </w:tcPr>
          <w:p>
            <w:pPr>
              <w:spacing w:after="0" w:line="20" w:lineRule="exact"/>
              <w:rPr>
                <w:sz w:val="1"/>
                <w:szCs w:val="1"/>
                <w:color w:val="auto"/>
              </w:rPr>
            </w:pPr>
          </w:p>
        </w:tc>
        <w:tc>
          <w:tcPr>
            <w:tcW w:w="20" w:type="dxa"/>
            <w:vAlign w:val="bottom"/>
            <w:tcBorders>
              <w:top w:val="single" w:sz="8" w:color="DDDDDD"/>
              <w:bottom w:val="single" w:sz="8" w:color="DDDDDD"/>
            </w:tcBorders>
            <w:vMerge w:val="restart"/>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140" w:type="dxa"/>
            <w:vAlign w:val="bottom"/>
            <w:gridSpan w:val="2"/>
            <w:vMerge w:val="continue"/>
          </w:tcPr>
          <w:p>
            <w:pPr>
              <w:spacing w:after="0"/>
              <w:rPr>
                <w:sz w:val="21"/>
                <w:szCs w:val="21"/>
                <w:color w:val="auto"/>
              </w:rPr>
            </w:pPr>
          </w:p>
        </w:tc>
        <w:tc>
          <w:tcPr>
            <w:tcW w:w="460" w:type="dxa"/>
            <w:vAlign w:val="bottom"/>
          </w:tcPr>
          <w:p>
            <w:pPr>
              <w:jc w:val="right"/>
              <w:ind w:right="227"/>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105,114</w:t>
            </w:r>
          </w:p>
        </w:tc>
        <w:tc>
          <w:tcPr>
            <w:tcW w:w="60" w:type="dxa"/>
            <w:vAlign w:val="bottom"/>
            <w:vMerge w:val="continue"/>
          </w:tcPr>
          <w:p>
            <w:pPr>
              <w:spacing w:after="0"/>
              <w:rPr>
                <w:sz w:val="21"/>
                <w:szCs w:val="21"/>
                <w:color w:val="auto"/>
              </w:rPr>
            </w:pPr>
          </w:p>
        </w:tc>
        <w:tc>
          <w:tcPr>
            <w:tcW w:w="20" w:type="dxa"/>
            <w:vAlign w:val="bottom"/>
            <w:vMerge w:val="continue"/>
          </w:tcPr>
          <w:p>
            <w:pPr>
              <w:spacing w:after="0"/>
              <w:rPr>
                <w:sz w:val="21"/>
                <w:szCs w:val="21"/>
                <w:color w:val="auto"/>
              </w:rPr>
            </w:pPr>
          </w:p>
        </w:tc>
        <w:tc>
          <w:tcPr>
            <w:tcW w:w="640" w:type="dxa"/>
            <w:vAlign w:val="bottom"/>
          </w:tcPr>
          <w:p>
            <w:pPr>
              <w:jc w:val="right"/>
              <w:ind w:right="41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82,475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3796030</wp:posOffset>
                </wp:positionH>
                <wp:positionV relativeFrom="paragraph">
                  <wp:posOffset>-207010</wp:posOffset>
                </wp:positionV>
                <wp:extent cx="95059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059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8.9pt,-16.2999pt" to="373.75pt,-16.2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4796790</wp:posOffset>
                </wp:positionH>
                <wp:positionV relativeFrom="paragraph">
                  <wp:posOffset>-207010</wp:posOffset>
                </wp:positionV>
                <wp:extent cx="94996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996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7pt,-16.2999pt" to="452.5pt,-16.2999pt" o:allowincell="f" strokecolor="#FFFFFF" strokeweight="0.1399pt"/>
            </w:pict>
          </mc:Fallback>
        </mc:AlternateConten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Subsequent Events</w:t>
      </w:r>
    </w:p>
    <w:p>
      <w:pPr>
        <w:spacing w:after="0" w:line="134" w:lineRule="exact"/>
        <w:rPr>
          <w:sz w:val="20"/>
          <w:szCs w:val="20"/>
          <w:color w:val="auto"/>
        </w:rPr>
      </w:pPr>
    </w:p>
    <w:p>
      <w:pPr>
        <w:ind w:firstLine="720"/>
        <w:spacing w:after="0" w:line="258" w:lineRule="auto"/>
        <w:rPr>
          <w:sz w:val="20"/>
          <w:szCs w:val="20"/>
          <w:color w:val="auto"/>
        </w:rPr>
      </w:pPr>
      <w:r>
        <w:rPr>
          <w:rFonts w:ascii="Times New Roman" w:cs="Times New Roman" w:eastAsia="Times New Roman" w:hAnsi="Times New Roman"/>
          <w:sz w:val="20"/>
          <w:szCs w:val="20"/>
          <w:color w:val="auto"/>
        </w:rPr>
        <w:t>On February 4, 2026, we entered into the Asset Purchase Agreement with Renesas, pursuant to which Renesas will and will cause certain of its affiliates to sell, transfer, assign and convey to SiTime all of their right, title and interest in, to and under certain assets related to the timing business of Renesas Electronics Corporation for an aggregate purchase price of approximately $1,500.0 million in cash and 4.13 million shares of our common stock, subject to certain adjustments as set forth in the Asset Purchase Agreement.</w:t>
      </w:r>
    </w:p>
    <w:p>
      <w:pPr>
        <w:spacing w:after="0" w:line="84" w:lineRule="exact"/>
        <w:rPr>
          <w:sz w:val="20"/>
          <w:szCs w:val="20"/>
          <w:color w:val="auto"/>
        </w:rPr>
      </w:pPr>
    </w:p>
    <w:p>
      <w:pPr>
        <w:ind w:right="240" w:firstLine="720"/>
        <w:spacing w:after="0" w:line="261" w:lineRule="auto"/>
        <w:rPr>
          <w:sz w:val="20"/>
          <w:szCs w:val="20"/>
          <w:color w:val="auto"/>
        </w:rPr>
      </w:pPr>
      <w:r>
        <w:rPr>
          <w:rFonts w:ascii="Times New Roman" w:cs="Times New Roman" w:eastAsia="Times New Roman" w:hAnsi="Times New Roman"/>
          <w:sz w:val="20"/>
          <w:szCs w:val="20"/>
          <w:color w:val="auto"/>
        </w:rPr>
        <w:t>As described in greater detail in the Asset Purchase Agreement, the number of shares subject to the Stock Consideration will be determined based on the volume-weighted average price of our common stock for the period of 10 consecutive trading days ending on the third full trading day prior to the consummation of the Acquisition, subject to a floor price of $308.6686 and a ceiling price of $417.6104.</w:t>
      </w:r>
    </w:p>
    <w:p>
      <w:pPr>
        <w:spacing w:after="0" w:line="74" w:lineRule="exact"/>
        <w:rPr>
          <w:sz w:val="20"/>
          <w:szCs w:val="20"/>
          <w:color w:val="auto"/>
        </w:rPr>
      </w:pPr>
    </w:p>
    <w:p>
      <w:pPr>
        <w:ind w:right="20" w:firstLine="720"/>
        <w:spacing w:after="0" w:line="260" w:lineRule="auto"/>
        <w:rPr>
          <w:sz w:val="20"/>
          <w:szCs w:val="20"/>
          <w:color w:val="auto"/>
        </w:rPr>
      </w:pPr>
      <w:r>
        <w:rPr>
          <w:rFonts w:ascii="Times New Roman" w:cs="Times New Roman" w:eastAsia="Times New Roman" w:hAnsi="Times New Roman"/>
          <w:sz w:val="20"/>
          <w:szCs w:val="20"/>
          <w:color w:val="auto"/>
        </w:rPr>
        <w:t>The Closing is subject to the satisfaction of certain customary conditions, including the accuracy of each party’s representations and warranties as of the Closing, subject in certain instances, to certain materiality and other thresholds, the performance by each party of its obligations and covenants under the Asset Purchase Agreement in all material respects, the expiration or termination of the applicable waiting periods under HSR and the receipt of other governmental approvals in certain foreign jurisdictions.</w:t>
      </w:r>
    </w:p>
    <w:p>
      <w:pPr>
        <w:spacing w:after="0" w:line="81" w:lineRule="exact"/>
        <w:rPr>
          <w:sz w:val="20"/>
          <w:szCs w:val="20"/>
          <w:color w:val="auto"/>
        </w:rPr>
      </w:pPr>
    </w:p>
    <w:p>
      <w:pPr>
        <w:ind w:firstLine="720"/>
        <w:spacing w:after="0" w:line="275" w:lineRule="auto"/>
        <w:rPr>
          <w:sz w:val="20"/>
          <w:szCs w:val="20"/>
          <w:color w:val="auto"/>
        </w:rPr>
      </w:pPr>
      <w:r>
        <w:rPr>
          <w:rFonts w:ascii="Times New Roman" w:cs="Times New Roman" w:eastAsia="Times New Roman" w:hAnsi="Times New Roman"/>
          <w:sz w:val="19"/>
          <w:szCs w:val="19"/>
          <w:color w:val="auto"/>
        </w:rPr>
        <w:t>Also on February 4, 2026, in connection with our entry into the Asset Purchase Agreement, we entered into the Commitment Letter with Wells Fargo, pursuant to which Wells Fargo has committed to provide us with debt financing to fund a portion of the Cash Consideration in an aggregate principal amount of up to $900.0 million in the form of the Bridge Facility, subject to customary conditions. Subject to market conditions and other factors, in lieu of all or a portion of the Bridge Facility, we may fund a portion of the acquisition consideration through one or more bank financing or capital</w:t>
      </w:r>
    </w:p>
    <w:p>
      <w:pPr>
        <w:spacing w:after="0" w:line="25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80"/>
          </w:cols>
          <w:pgMar w:left="1180" w:top="856" w:right="1180" w:bottom="0" w:gutter="0" w:footer="0" w:header="0"/>
        </w:sectPr>
      </w:pPr>
    </w:p>
    <w:bookmarkStart w:id="89" w:name="page90"/>
    <w:bookmarkEnd w:id="89"/>
    <w:p>
      <w:pPr>
        <w:spacing w:after="0" w:line="282" w:lineRule="auto"/>
        <w:rPr>
          <w:sz w:val="20"/>
          <w:szCs w:val="20"/>
          <w:color w:val="auto"/>
        </w:rPr>
      </w:pPr>
      <w:r>
        <w:rPr>
          <w:rFonts w:ascii="Times New Roman" w:cs="Times New Roman" w:eastAsia="Times New Roman" w:hAnsi="Times New Roman"/>
          <w:sz w:val="20"/>
          <w:szCs w:val="20"/>
          <w:color w:val="auto"/>
        </w:rPr>
        <w:t>markets transactions. The consummation of the acquisition is not conditioned on the availability of the Bridge Facility or any alternative financing.</w:t>
      </w:r>
    </w:p>
    <w:p>
      <w:pPr>
        <w:sectPr>
          <w:pgSz w:w="12240" w:h="15840" w:orient="portrait"/>
          <w:cols w:equalWidth="0" w:num="1">
            <w:col w:w="9660"/>
          </w:cols>
          <w:pgMar w:left="1180" w:top="856"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660"/>
          </w:cols>
          <w:pgMar w:left="1180" w:top="856" w:right="140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None.</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Evaluation of Disclosure Controls and Procedures</w:t>
      </w:r>
      <w:r>
        <w:rPr>
          <w:rFonts w:ascii="Times New Roman" w:cs="Times New Roman" w:eastAsia="Times New Roman" w:hAnsi="Times New Roman"/>
          <w:sz w:val="20"/>
          <w:szCs w:val="20"/>
          <w:color w:val="auto"/>
        </w:rPr>
        <w:t>.</w:t>
      </w:r>
    </w:p>
    <w:p>
      <w:pPr>
        <w:spacing w:after="0" w:line="128" w:lineRule="exact"/>
        <w:rPr>
          <w:sz w:val="20"/>
          <w:szCs w:val="20"/>
          <w:color w:val="auto"/>
        </w:rPr>
      </w:pPr>
    </w:p>
    <w:p>
      <w:pPr>
        <w:ind w:right="140" w:firstLine="720"/>
        <w:spacing w:after="0" w:line="258" w:lineRule="auto"/>
        <w:rPr>
          <w:sz w:val="20"/>
          <w:szCs w:val="20"/>
          <w:color w:val="auto"/>
        </w:rPr>
      </w:pPr>
      <w:r>
        <w:rPr>
          <w:rFonts w:ascii="Times New Roman" w:cs="Times New Roman" w:eastAsia="Times New Roman" w:hAnsi="Times New Roman"/>
          <w:sz w:val="20"/>
          <w:szCs w:val="20"/>
          <w:color w:val="auto"/>
        </w:rPr>
        <w:t>We maintain “disclosure controls and procedures,” as such term is defined in Rules 13a-15 (e)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83" w:lineRule="exact"/>
        <w:rPr>
          <w:sz w:val="20"/>
          <w:szCs w:val="20"/>
          <w:color w:val="auto"/>
        </w:rPr>
      </w:pPr>
    </w:p>
    <w:p>
      <w:pPr>
        <w:ind w:right="100" w:firstLine="720"/>
        <w:spacing w:after="0" w:line="266" w:lineRule="auto"/>
        <w:rPr>
          <w:sz w:val="20"/>
          <w:szCs w:val="20"/>
          <w:color w:val="auto"/>
        </w:rPr>
      </w:pPr>
      <w:r>
        <w:rPr>
          <w:rFonts w:ascii="Times New Roman" w:cs="Times New Roman" w:eastAsia="Times New Roman" w:hAnsi="Times New Roman"/>
          <w:sz w:val="20"/>
          <w:szCs w:val="20"/>
          <w:color w:val="auto"/>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75" w:lineRule="exact"/>
        <w:rPr>
          <w:sz w:val="20"/>
          <w:szCs w:val="20"/>
          <w:color w:val="auto"/>
        </w:rPr>
      </w:pPr>
    </w:p>
    <w:p>
      <w:pPr>
        <w:ind w:right="300" w:firstLine="720"/>
        <w:spacing w:after="0" w:line="266" w:lineRule="auto"/>
        <w:rPr>
          <w:sz w:val="20"/>
          <w:szCs w:val="20"/>
          <w:color w:val="auto"/>
        </w:rPr>
      </w:pPr>
      <w:r>
        <w:rPr>
          <w:rFonts w:ascii="Times New Roman" w:cs="Times New Roman" w:eastAsia="Times New Roman" w:hAnsi="Times New Roman"/>
          <w:sz w:val="20"/>
          <w:szCs w:val="20"/>
          <w:color w:val="auto"/>
        </w:rPr>
        <w:t>The effectiveness of the Company's internal control over financial reporting as of December 31, 2025 has been audited by Deloitte &amp; Touche LLP, an independent registered public accounting firm, as stated in their report and is incorporated herein by reference.</w:t>
      </w:r>
    </w:p>
    <w:p>
      <w:pPr>
        <w:spacing w:after="0" w:line="7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20"/>
          <w:szCs w:val="20"/>
          <w:i w:val="1"/>
          <w:iCs w:val="1"/>
          <w:color w:val="auto"/>
        </w:rPr>
        <w:t>Management’s Annual Report on Internal Control over Financial Reporting; Attestation Report of the Registered Public Accounting Firm.</w:t>
      </w:r>
    </w:p>
    <w:p>
      <w:pPr>
        <w:spacing w:after="0" w:line="56"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86" w:lineRule="exact"/>
        <w:rPr>
          <w:sz w:val="20"/>
          <w:szCs w:val="20"/>
          <w:color w:val="auto"/>
        </w:rPr>
      </w:pPr>
    </w:p>
    <w:p>
      <w:pPr>
        <w:ind w:right="80" w:firstLine="720"/>
        <w:spacing w:after="0" w:line="261"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0" w:lineRule="exact"/>
        <w:rPr>
          <w:sz w:val="20"/>
          <w:szCs w:val="20"/>
          <w:color w:val="auto"/>
        </w:rPr>
      </w:pPr>
    </w:p>
    <w:p>
      <w:pPr>
        <w:ind w:right="40" w:firstLine="720"/>
        <w:spacing w:after="0" w:line="256" w:lineRule="auto"/>
        <w:rPr>
          <w:sz w:val="20"/>
          <w:szCs w:val="20"/>
          <w:color w:val="auto"/>
        </w:rPr>
      </w:pPr>
      <w:r>
        <w:rPr>
          <w:rFonts w:ascii="Times New Roman" w:cs="Times New Roman" w:eastAsia="Times New Roman" w:hAnsi="Times New Roman"/>
          <w:sz w:val="20"/>
          <w:szCs w:val="20"/>
          <w:color w:val="auto"/>
        </w:rPr>
        <w:t>Under the supervision and with the participation of our management, including our principal executive officer and principal financial officer, we conducted an evaluation of the effectiveness of our internal control over financial reporting as of December 31, 2025 based on the criteria established in Internal Control - Integrated Framework (2013) issued by the Committee of Sponsoring Organizations of the Treadway Commission, or COSO. Based on our evaluation under the criteria set forth in Internal Control - Integrated Framework (2013) issued by the COSO, our management concluded our internal control over financial reporting was effective as of December 31, 2025.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Changes in Internal Control over Financial Reporting</w:t>
      </w:r>
    </w:p>
    <w:p>
      <w:pPr>
        <w:spacing w:after="0" w:line="134"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sectPr>
          <w:pgSz w:w="12240" w:h="15840" w:orient="portrait"/>
          <w:cols w:equalWidth="0" w:num="1">
            <w:col w:w="9880"/>
          </w:cols>
          <w:pgMar w:left="1180" w:top="852"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80"/>
          </w:cols>
          <w:pgMar w:left="1180" w:top="852" w:right="1180" w:bottom="0" w:gutter="0" w:footer="0" w:header="0"/>
          <w:type w:val="continuous"/>
        </w:sectPr>
      </w:pPr>
    </w:p>
    <w:bookmarkStart w:id="91" w:name="page92"/>
    <w:bookmarkEnd w:id="91"/>
    <w:p>
      <w:pPr>
        <w:ind w:right="3060"/>
        <w:spacing w:after="0" w:line="377"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 xml:space="preserve">To the shareholders and the Board of Directors of SiTime Corporation </w:t>
      </w:r>
      <w:r>
        <w:rPr>
          <w:rFonts w:ascii="Times New Roman" w:cs="Times New Roman" w:eastAsia="Times New Roman" w:hAnsi="Times New Roman"/>
          <w:sz w:val="20"/>
          <w:szCs w:val="20"/>
          <w:b w:val="1"/>
          <w:bCs w:val="1"/>
          <w:color w:val="auto"/>
        </w:rPr>
        <w:t>Opinion on Internal Control over Financial Reporting</w:t>
      </w:r>
    </w:p>
    <w:p>
      <w:pPr>
        <w:spacing w:after="0" w:line="258" w:lineRule="auto"/>
        <w:rPr>
          <w:sz w:val="20"/>
          <w:szCs w:val="20"/>
          <w:color w:val="auto"/>
        </w:rPr>
      </w:pPr>
      <w:r>
        <w:rPr>
          <w:rFonts w:ascii="Times New Roman" w:cs="Times New Roman" w:eastAsia="Times New Roman" w:hAnsi="Times New Roman"/>
          <w:sz w:val="20"/>
          <w:szCs w:val="20"/>
          <w:color w:val="auto"/>
        </w:rPr>
        <w:t xml:space="preserve">We have audited the internal control over financial reporting of SiTime Corporation and subsidiaries (the "Company") as of December 31, 2025, based on criteria established in </w:t>
      </w:r>
      <w:r>
        <w:rPr>
          <w:rFonts w:ascii="Times New Roman" w:cs="Times New Roman" w:eastAsia="Times New Roman" w:hAnsi="Times New Roman"/>
          <w:sz w:val="20"/>
          <w:szCs w:val="20"/>
          <w:i w:val="1"/>
          <w:iCs w:val="1"/>
          <w:color w:val="auto"/>
        </w:rPr>
        <w:t>Internal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Integrated Framework (2013)</w:t>
      </w:r>
      <w:r>
        <w:rPr>
          <w:rFonts w:ascii="Times New Roman" w:cs="Times New Roman" w:eastAsia="Times New Roman" w:hAnsi="Times New Roman"/>
          <w:sz w:val="20"/>
          <w:szCs w:val="20"/>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20"/>
          <w:szCs w:val="20"/>
          <w:i w:val="1"/>
          <w:iCs w:val="1"/>
          <w:color w:val="auto"/>
        </w:rPr>
        <w:t>Internal Control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Integrated Framework (2013)</w:t>
      </w:r>
      <w:r>
        <w:rPr>
          <w:rFonts w:ascii="Times New Roman" w:cs="Times New Roman" w:eastAsia="Times New Roman" w:hAnsi="Times New Roman"/>
          <w:sz w:val="20"/>
          <w:szCs w:val="20"/>
          <w:color w:val="auto"/>
        </w:rPr>
        <w:t xml:space="preserve"> issued by COSO.</w:t>
      </w:r>
    </w:p>
    <w:p>
      <w:pPr>
        <w:spacing w:after="0" w:line="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We have also audited, in accordance with the standards of the Public Company Accounting Oversight Board (United States) (PCAOB)</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consolidated financial statements as of and for the year ended December 31, 2025, of the Company and our report dated February 11, 2026, expressed an unqualified opinion on those financial statements.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13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11, 2026</w:t>
      </w:r>
    </w:p>
    <w:p>
      <w:pPr>
        <w:sectPr>
          <w:pgSz w:w="12240" w:h="15840" w:orient="portrait"/>
          <w:cols w:equalWidth="0" w:num="1">
            <w:col w:w="9880"/>
          </w:cols>
          <w:pgMar w:left="1180" w:top="852"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80"/>
          </w:cols>
          <w:pgMar w:left="1180" w:top="852" w:right="118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Trading Arrangements</w:t>
      </w:r>
    </w:p>
    <w:p>
      <w:pPr>
        <w:spacing w:after="0" w:line="134" w:lineRule="exact"/>
        <w:rPr>
          <w:sz w:val="20"/>
          <w:szCs w:val="20"/>
          <w:color w:val="auto"/>
        </w:rPr>
      </w:pPr>
    </w:p>
    <w:p>
      <w:pPr>
        <w:ind w:firstLine="720"/>
        <w:spacing w:after="0" w:line="261" w:lineRule="auto"/>
        <w:rPr>
          <w:sz w:val="20"/>
          <w:szCs w:val="20"/>
          <w:color w:val="auto"/>
        </w:rPr>
      </w:pPr>
      <w:r>
        <w:rPr>
          <w:rFonts w:ascii="Times New Roman" w:cs="Times New Roman" w:eastAsia="Times New Roman" w:hAnsi="Times New Roman"/>
          <w:sz w:val="20"/>
          <w:szCs w:val="20"/>
          <w:color w:val="auto"/>
        </w:rPr>
        <w:t>During the Company's last fiscal quarter, the Company's following officers (as defined in Rule 16a-1(f) under the Exchange Act) adopted or terminated a "Rule 10b5-1 trading arrangement" (as defined in Item 408(a) of Regulation S-K of the Exchange Act) set forth in the table below, each of which is intended to satisfy the affirmative defense conditions of Rule 10b5-1(c):</w:t>
      </w:r>
    </w:p>
    <w:p>
      <w:pPr>
        <w:spacing w:after="0" w:line="200" w:lineRule="exact"/>
        <w:rPr>
          <w:sz w:val="20"/>
          <w:szCs w:val="20"/>
          <w:color w:val="auto"/>
        </w:rPr>
      </w:pPr>
    </w:p>
    <w:p>
      <w:pPr>
        <w:spacing w:after="0" w:line="285" w:lineRule="exact"/>
        <w:rPr>
          <w:sz w:val="20"/>
          <w:szCs w:val="20"/>
          <w:color w:val="auto"/>
        </w:rPr>
      </w:pPr>
    </w:p>
    <w:tbl>
      <w:tblPr>
        <w:tblLayout w:type="fixed"/>
        <w:tblInd w:w="660" w:type="dxa"/>
        <w:tblCellMar>
          <w:top w:w="0" w:type="dxa"/>
          <w:left w:w="0" w:type="dxa"/>
          <w:bottom w:w="0" w:type="dxa"/>
          <w:right w:w="0" w:type="dxa"/>
        </w:tblCellMar>
      </w:tblPr>
      <w:tr>
        <w:trPr>
          <w:trHeight w:val="240"/>
        </w:trPr>
        <w:tc>
          <w:tcPr>
            <w:tcW w:w="12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Name of the</w:t>
            </w:r>
          </w:p>
        </w:tc>
        <w:tc>
          <w:tcPr>
            <w:tcW w:w="19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Designation of</w:t>
            </w:r>
          </w:p>
        </w:tc>
        <w:tc>
          <w:tcPr>
            <w:tcW w:w="12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Action</w:t>
            </w:r>
          </w:p>
        </w:tc>
        <w:tc>
          <w:tcPr>
            <w:tcW w:w="11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w w:val="96"/>
              </w:rPr>
              <w:t>Adoption/Te</w:t>
            </w:r>
          </w:p>
        </w:tc>
        <w:tc>
          <w:tcPr>
            <w:tcW w:w="9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Rule</w:t>
            </w:r>
          </w:p>
        </w:tc>
        <w:tc>
          <w:tcPr>
            <w:tcW w:w="10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w w:val="99"/>
              </w:rPr>
              <w:t>Expiration</w:t>
            </w:r>
          </w:p>
        </w:tc>
        <w:tc>
          <w:tcPr>
            <w:tcW w:w="12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Number of</w:t>
            </w:r>
          </w:p>
        </w:tc>
      </w:tr>
      <w:tr>
        <w:trPr>
          <w:trHeight w:val="240"/>
        </w:trPr>
        <w:tc>
          <w:tcPr>
            <w:tcW w:w="12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Director or</w:t>
            </w:r>
          </w:p>
        </w:tc>
        <w:tc>
          <w:tcPr>
            <w:tcW w:w="198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Director or Officer</w:t>
            </w:r>
          </w:p>
        </w:tc>
        <w:tc>
          <w:tcPr>
            <w:tcW w:w="1200" w:type="dxa"/>
            <w:vAlign w:val="bottom"/>
          </w:tcPr>
          <w:p>
            <w:pPr>
              <w:spacing w:after="0"/>
              <w:rPr>
                <w:sz w:val="20"/>
                <w:szCs w:val="20"/>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rmination</w:t>
            </w:r>
          </w:p>
        </w:tc>
        <w:tc>
          <w:tcPr>
            <w:tcW w:w="9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10b5-1</w:t>
            </w:r>
          </w:p>
        </w:tc>
        <w:tc>
          <w:tcPr>
            <w:tcW w:w="1060" w:type="dxa"/>
            <w:vAlign w:val="bottom"/>
          </w:tcPr>
          <w:p>
            <w:pPr>
              <w:ind w:left="120"/>
              <w:spacing w:after="0" w:line="240" w:lineRule="exact"/>
              <w:rPr>
                <w:sz w:val="20"/>
                <w:szCs w:val="20"/>
                <w:color w:val="auto"/>
              </w:rPr>
            </w:pPr>
            <w:r>
              <w:rPr>
                <w:rFonts w:ascii="Times New Roman" w:cs="Times New Roman" w:eastAsia="Times New Roman" w:hAnsi="Times New Roman"/>
                <w:sz w:val="20"/>
                <w:szCs w:val="20"/>
                <w:b w:val="1"/>
                <w:bCs w:val="1"/>
                <w:color w:val="auto"/>
              </w:rPr>
              <w:t xml:space="preserve">Date </w:t>
            </w:r>
            <w:r>
              <w:rPr>
                <w:rFonts w:ascii="Times New Roman" w:cs="Times New Roman" w:eastAsia="Times New Roman" w:hAnsi="Times New Roman"/>
                <w:sz w:val="25"/>
                <w:szCs w:val="25"/>
                <w:b w:val="1"/>
                <w:bCs w:val="1"/>
                <w:color w:val="auto"/>
                <w:vertAlign w:val="superscript"/>
              </w:rPr>
              <w:t>(1)</w:t>
            </w:r>
          </w:p>
        </w:tc>
        <w:tc>
          <w:tcPr>
            <w:tcW w:w="12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securities to</w:t>
            </w:r>
          </w:p>
        </w:tc>
      </w:tr>
      <w:tr>
        <w:trPr>
          <w:trHeight w:val="265"/>
        </w:trPr>
        <w:tc>
          <w:tcPr>
            <w:tcW w:w="12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Officer</w:t>
            </w:r>
          </w:p>
        </w:tc>
        <w:tc>
          <w:tcPr>
            <w:tcW w:w="19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Date</w:t>
            </w:r>
          </w:p>
        </w:tc>
        <w:tc>
          <w:tcPr>
            <w:tcW w:w="9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6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be sold</w:t>
            </w:r>
          </w:p>
        </w:tc>
      </w:tr>
      <w:tr>
        <w:trPr>
          <w:trHeight w:val="43"/>
        </w:trPr>
        <w:tc>
          <w:tcPr>
            <w:tcW w:w="12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1"/>
        </w:trPr>
        <w:tc>
          <w:tcPr>
            <w:tcW w:w="12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Lionel</w:t>
            </w:r>
          </w:p>
        </w:tc>
        <w:tc>
          <w:tcPr>
            <w:tcW w:w="19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Executive Vice</w:t>
            </w:r>
          </w:p>
        </w:tc>
        <w:tc>
          <w:tcPr>
            <w:tcW w:w="12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Adoption</w:t>
            </w:r>
          </w:p>
        </w:tc>
        <w:tc>
          <w:tcPr>
            <w:tcW w:w="112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November</w:t>
            </w:r>
          </w:p>
        </w:tc>
        <w:tc>
          <w:tcPr>
            <w:tcW w:w="980" w:type="dxa"/>
            <w:vAlign w:val="bottom"/>
            <w:shd w:val="clear" w:color="auto" w:fill="DDDDDD"/>
          </w:tcPr>
          <w:p>
            <w:pPr>
              <w:ind w:left="480"/>
              <w:spacing w:after="0"/>
              <w:rPr>
                <w:sz w:val="20"/>
                <w:szCs w:val="20"/>
                <w:color w:val="auto"/>
              </w:rPr>
            </w:pPr>
            <w:r>
              <w:rPr>
                <w:rFonts w:ascii="Times New Roman" w:cs="Times New Roman" w:eastAsia="Times New Roman" w:hAnsi="Times New Roman"/>
                <w:sz w:val="20"/>
                <w:szCs w:val="20"/>
                <w:color w:val="auto"/>
              </w:rPr>
              <w:t>X</w:t>
            </w:r>
          </w:p>
        </w:tc>
        <w:tc>
          <w:tcPr>
            <w:tcW w:w="106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20"/>
                <w:szCs w:val="20"/>
                <w:color w:val="auto"/>
                <w:highlight w:val="lightGray"/>
              </w:rPr>
              <w:t>August 21,</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16,816</w:t>
            </w:r>
          </w:p>
        </w:tc>
      </w:tr>
      <w:tr>
        <w:trPr>
          <w:trHeight w:val="240"/>
        </w:trPr>
        <w:tc>
          <w:tcPr>
            <w:tcW w:w="12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Bonnot</w:t>
            </w:r>
          </w:p>
        </w:tc>
        <w:tc>
          <w:tcPr>
            <w:tcW w:w="19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highlight w:val="lightGray"/>
              </w:rPr>
              <w:t>President, Worldwide</w:t>
            </w:r>
          </w:p>
        </w:tc>
        <w:tc>
          <w:tcPr>
            <w:tcW w:w="1200" w:type="dxa"/>
            <w:vAlign w:val="bottom"/>
            <w:shd w:val="clear" w:color="auto" w:fill="DDDDDD"/>
          </w:tcPr>
          <w:p>
            <w:pPr>
              <w:spacing w:after="0"/>
              <w:rPr>
                <w:sz w:val="20"/>
                <w:szCs w:val="20"/>
                <w:color w:val="auto"/>
              </w:rPr>
            </w:pPr>
          </w:p>
        </w:tc>
        <w:tc>
          <w:tcPr>
            <w:tcW w:w="1120" w:type="dxa"/>
            <w:vAlign w:val="bottom"/>
            <w:shd w:val="clear" w:color="auto" w:fill="DDDDDD"/>
          </w:tcPr>
          <w:p>
            <w:pPr>
              <w:jc w:val="right"/>
              <w:ind w:right="260"/>
              <w:spacing w:after="0"/>
              <w:rPr>
                <w:sz w:val="20"/>
                <w:szCs w:val="20"/>
                <w:color w:val="auto"/>
              </w:rPr>
            </w:pPr>
            <w:r>
              <w:rPr>
                <w:rFonts w:ascii="Times New Roman" w:cs="Times New Roman" w:eastAsia="Times New Roman" w:hAnsi="Times New Roman"/>
                <w:sz w:val="20"/>
                <w:szCs w:val="20"/>
                <w:color w:val="auto"/>
              </w:rPr>
              <w:t>15, 2025</w:t>
            </w:r>
          </w:p>
        </w:tc>
        <w:tc>
          <w:tcPr>
            <w:tcW w:w="980" w:type="dxa"/>
            <w:vAlign w:val="bottom"/>
            <w:shd w:val="clear" w:color="auto" w:fill="DDDDDD"/>
          </w:tcPr>
          <w:p>
            <w:pPr>
              <w:spacing w:after="0"/>
              <w:rPr>
                <w:sz w:val="20"/>
                <w:szCs w:val="20"/>
                <w:color w:val="auto"/>
              </w:rPr>
            </w:pPr>
          </w:p>
        </w:tc>
        <w:tc>
          <w:tcPr>
            <w:tcW w:w="1060" w:type="dxa"/>
            <w:vAlign w:val="bottom"/>
            <w:shd w:val="clear" w:color="auto" w:fill="DDDDDD"/>
          </w:tcPr>
          <w:p>
            <w:pPr>
              <w:jc w:val="right"/>
              <w:ind w:right="440"/>
              <w:spacing w:after="0"/>
              <w:rPr>
                <w:sz w:val="20"/>
                <w:szCs w:val="20"/>
                <w:color w:val="auto"/>
              </w:rPr>
            </w:pPr>
            <w:r>
              <w:rPr>
                <w:rFonts w:ascii="Times New Roman" w:cs="Times New Roman" w:eastAsia="Times New Roman" w:hAnsi="Times New Roman"/>
                <w:sz w:val="20"/>
                <w:szCs w:val="20"/>
                <w:color w:val="auto"/>
              </w:rPr>
              <w:t>2026</w:t>
            </w:r>
          </w:p>
        </w:tc>
        <w:tc>
          <w:tcPr>
            <w:tcW w:w="1260" w:type="dxa"/>
            <w:vAlign w:val="bottom"/>
            <w:shd w:val="clear" w:color="auto" w:fill="DDDDDD"/>
          </w:tcPr>
          <w:p>
            <w:pPr>
              <w:spacing w:after="0"/>
              <w:rPr>
                <w:sz w:val="20"/>
                <w:szCs w:val="20"/>
                <w:color w:val="auto"/>
              </w:rPr>
            </w:pPr>
          </w:p>
        </w:tc>
      </w:tr>
      <w:tr>
        <w:trPr>
          <w:trHeight w:val="240"/>
        </w:trPr>
        <w:tc>
          <w:tcPr>
            <w:tcW w:w="1200" w:type="dxa"/>
            <w:vAlign w:val="bottom"/>
            <w:shd w:val="clear" w:color="auto" w:fill="DDDDDD"/>
          </w:tcPr>
          <w:p>
            <w:pPr>
              <w:spacing w:after="0"/>
              <w:rPr>
                <w:sz w:val="20"/>
                <w:szCs w:val="20"/>
                <w:color w:val="auto"/>
              </w:rPr>
            </w:pPr>
          </w:p>
        </w:tc>
        <w:tc>
          <w:tcPr>
            <w:tcW w:w="19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Sales and Business</w:t>
            </w:r>
          </w:p>
        </w:tc>
        <w:tc>
          <w:tcPr>
            <w:tcW w:w="1200" w:type="dxa"/>
            <w:vAlign w:val="bottom"/>
            <w:shd w:val="clear" w:color="auto" w:fill="DDDDDD"/>
          </w:tcPr>
          <w:p>
            <w:pPr>
              <w:spacing w:after="0"/>
              <w:rPr>
                <w:sz w:val="20"/>
                <w:szCs w:val="20"/>
                <w:color w:val="auto"/>
              </w:rPr>
            </w:pPr>
          </w:p>
        </w:tc>
        <w:tc>
          <w:tcPr>
            <w:tcW w:w="1120" w:type="dxa"/>
            <w:vAlign w:val="bottom"/>
            <w:shd w:val="clear" w:color="auto" w:fill="DDDDDD"/>
          </w:tcPr>
          <w:p>
            <w:pPr>
              <w:spacing w:after="0"/>
              <w:rPr>
                <w:sz w:val="20"/>
                <w:szCs w:val="20"/>
                <w:color w:val="auto"/>
              </w:rPr>
            </w:pPr>
          </w:p>
        </w:tc>
        <w:tc>
          <w:tcPr>
            <w:tcW w:w="980" w:type="dxa"/>
            <w:vAlign w:val="bottom"/>
            <w:shd w:val="clear" w:color="auto" w:fill="DDDDDD"/>
          </w:tcPr>
          <w:p>
            <w:pPr>
              <w:spacing w:after="0"/>
              <w:rPr>
                <w:sz w:val="20"/>
                <w:szCs w:val="20"/>
                <w:color w:val="auto"/>
              </w:rPr>
            </w:pPr>
          </w:p>
        </w:tc>
        <w:tc>
          <w:tcPr>
            <w:tcW w:w="1060" w:type="dxa"/>
            <w:vAlign w:val="bottom"/>
            <w:shd w:val="clear" w:color="auto" w:fill="DDDDDD"/>
          </w:tcPr>
          <w:p>
            <w:pPr>
              <w:spacing w:after="0"/>
              <w:rPr>
                <w:sz w:val="20"/>
                <w:szCs w:val="20"/>
                <w:color w:val="auto"/>
              </w:rPr>
            </w:pPr>
          </w:p>
        </w:tc>
        <w:tc>
          <w:tcPr>
            <w:tcW w:w="1260" w:type="dxa"/>
            <w:vAlign w:val="bottom"/>
            <w:shd w:val="clear" w:color="auto" w:fill="DDDDDD"/>
          </w:tcPr>
          <w:p>
            <w:pPr>
              <w:spacing w:after="0"/>
              <w:rPr>
                <w:sz w:val="20"/>
                <w:szCs w:val="20"/>
                <w:color w:val="auto"/>
              </w:rPr>
            </w:pPr>
          </w:p>
        </w:tc>
      </w:tr>
      <w:tr>
        <w:trPr>
          <w:trHeight w:val="283"/>
        </w:trPr>
        <w:tc>
          <w:tcPr>
            <w:tcW w:w="1200" w:type="dxa"/>
            <w:vAlign w:val="bottom"/>
            <w:tcBorders>
              <w:bottom w:val="single" w:sz="8" w:color="DDDDDD"/>
            </w:tcBorders>
            <w:shd w:val="clear" w:color="auto" w:fill="DDDDDD"/>
          </w:tcPr>
          <w:p>
            <w:pPr>
              <w:spacing w:after="0"/>
              <w:rPr>
                <w:sz w:val="24"/>
                <w:szCs w:val="24"/>
                <w:color w:val="auto"/>
              </w:rPr>
            </w:pPr>
          </w:p>
        </w:tc>
        <w:tc>
          <w:tcPr>
            <w:tcW w:w="198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Development</w:t>
            </w:r>
          </w:p>
        </w:tc>
        <w:tc>
          <w:tcPr>
            <w:tcW w:w="120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spacing w:after="0"/>
              <w:rPr>
                <w:sz w:val="24"/>
                <w:szCs w:val="24"/>
                <w:color w:val="auto"/>
              </w:rPr>
            </w:pPr>
          </w:p>
        </w:tc>
        <w:tc>
          <w:tcPr>
            <w:tcW w:w="980" w:type="dxa"/>
            <w:vAlign w:val="bottom"/>
            <w:tcBorders>
              <w:bottom w:val="single" w:sz="8" w:color="DDDDDD"/>
            </w:tcBorders>
            <w:shd w:val="clear" w:color="auto" w:fill="DDDDDD"/>
          </w:tcPr>
          <w:p>
            <w:pPr>
              <w:spacing w:after="0"/>
              <w:rPr>
                <w:sz w:val="24"/>
                <w:szCs w:val="24"/>
                <w:color w:val="auto"/>
              </w:rPr>
            </w:pPr>
          </w:p>
        </w:tc>
        <w:tc>
          <w:tcPr>
            <w:tcW w:w="1060" w:type="dxa"/>
            <w:vAlign w:val="bottom"/>
            <w:tcBorders>
              <w:bottom w:val="single" w:sz="8" w:color="DDDDDD"/>
            </w:tcBorders>
            <w:shd w:val="clear" w:color="auto" w:fill="DDDDDD"/>
          </w:tcPr>
          <w:p>
            <w:pPr>
              <w:spacing w:after="0"/>
              <w:rPr>
                <w:sz w:val="24"/>
                <w:szCs w:val="24"/>
                <w:color w:val="auto"/>
              </w:rPr>
            </w:pPr>
          </w:p>
        </w:tc>
        <w:tc>
          <w:tcPr>
            <w:tcW w:w="1260" w:type="dxa"/>
            <w:vAlign w:val="bottom"/>
            <w:tcBorders>
              <w:bottom w:val="single" w:sz="8" w:color="DDDDDD"/>
            </w:tcBorders>
            <w:shd w:val="clear" w:color="auto" w:fill="DDDDDD"/>
          </w:tcPr>
          <w:p>
            <w:pPr>
              <w:spacing w:after="0"/>
              <w:rPr>
                <w:sz w:val="24"/>
                <w:szCs w:val="24"/>
                <w:color w:val="auto"/>
              </w:rPr>
            </w:pPr>
          </w:p>
        </w:tc>
      </w:tr>
      <w:tr>
        <w:trPr>
          <w:trHeight w:val="263"/>
        </w:trPr>
        <w:tc>
          <w:tcPr>
            <w:tcW w:w="1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Fariborz</w:t>
            </w:r>
          </w:p>
        </w:tc>
        <w:tc>
          <w:tcPr>
            <w:tcW w:w="1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Executive Vice</w:t>
            </w:r>
          </w:p>
        </w:tc>
        <w:tc>
          <w:tcPr>
            <w:tcW w:w="1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Adoption</w:t>
            </w:r>
          </w:p>
        </w:tc>
        <w:tc>
          <w:tcPr>
            <w:tcW w:w="11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November</w:t>
            </w:r>
          </w:p>
        </w:tc>
        <w:tc>
          <w:tcPr>
            <w:tcW w:w="98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X</w:t>
            </w:r>
          </w:p>
        </w:tc>
        <w:tc>
          <w:tcPr>
            <w:tcW w:w="1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July 31,</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12,923</w:t>
            </w:r>
          </w:p>
        </w:tc>
      </w:tr>
      <w:tr>
        <w:trPr>
          <w:trHeight w:val="240"/>
        </w:trPr>
        <w:tc>
          <w:tcPr>
            <w:tcW w:w="1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Assaderaghi</w:t>
            </w:r>
          </w:p>
        </w:tc>
        <w:tc>
          <w:tcPr>
            <w:tcW w:w="1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President, Engineering</w:t>
            </w:r>
          </w:p>
        </w:tc>
        <w:tc>
          <w:tcPr>
            <w:tcW w:w="1200" w:type="dxa"/>
            <w:vAlign w:val="bottom"/>
          </w:tcPr>
          <w:p>
            <w:pPr>
              <w:spacing w:after="0"/>
              <w:rPr>
                <w:sz w:val="20"/>
                <w:szCs w:val="20"/>
                <w:color w:val="auto"/>
              </w:rPr>
            </w:pPr>
          </w:p>
        </w:tc>
        <w:tc>
          <w:tcPr>
            <w:tcW w:w="112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rPr>
              <w:t>14, 2025</w:t>
            </w:r>
          </w:p>
        </w:tc>
        <w:tc>
          <w:tcPr>
            <w:tcW w:w="980" w:type="dxa"/>
            <w:vAlign w:val="bottom"/>
          </w:tcPr>
          <w:p>
            <w:pPr>
              <w:spacing w:after="0"/>
              <w:rPr>
                <w:sz w:val="20"/>
                <w:szCs w:val="20"/>
                <w:color w:val="auto"/>
              </w:rPr>
            </w:pPr>
          </w:p>
        </w:tc>
        <w:tc>
          <w:tcPr>
            <w:tcW w:w="1060" w:type="dxa"/>
            <w:vAlign w:val="bottom"/>
          </w:tcPr>
          <w:p>
            <w:pPr>
              <w:jc w:val="right"/>
              <w:ind w:right="440"/>
              <w:spacing w:after="0"/>
              <w:rPr>
                <w:sz w:val="20"/>
                <w:szCs w:val="20"/>
                <w:color w:val="auto"/>
              </w:rPr>
            </w:pPr>
            <w:r>
              <w:rPr>
                <w:rFonts w:ascii="Times New Roman" w:cs="Times New Roman" w:eastAsia="Times New Roman" w:hAnsi="Times New Roman"/>
                <w:sz w:val="20"/>
                <w:szCs w:val="20"/>
                <w:color w:val="auto"/>
              </w:rPr>
              <w:t>2026</w:t>
            </w:r>
          </w:p>
        </w:tc>
        <w:tc>
          <w:tcPr>
            <w:tcW w:w="1260" w:type="dxa"/>
            <w:vAlign w:val="bottom"/>
          </w:tcPr>
          <w:p>
            <w:pPr>
              <w:spacing w:after="0"/>
              <w:rPr>
                <w:sz w:val="20"/>
                <w:szCs w:val="20"/>
                <w:color w:val="auto"/>
              </w:rPr>
            </w:pPr>
          </w:p>
        </w:tc>
      </w:tr>
      <w:tr>
        <w:trPr>
          <w:trHeight w:val="261"/>
        </w:trPr>
        <w:tc>
          <w:tcPr>
            <w:tcW w:w="1200" w:type="dxa"/>
            <w:vAlign w:val="bottom"/>
          </w:tcPr>
          <w:p>
            <w:pPr>
              <w:spacing w:after="0"/>
              <w:rPr>
                <w:sz w:val="22"/>
                <w:szCs w:val="22"/>
                <w:color w:val="auto"/>
              </w:rPr>
            </w:pPr>
          </w:p>
        </w:tc>
        <w:tc>
          <w:tcPr>
            <w:tcW w:w="19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and Operations</w:t>
            </w:r>
          </w:p>
        </w:tc>
        <w:tc>
          <w:tcPr>
            <w:tcW w:w="1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42"/>
        </w:trPr>
        <w:tc>
          <w:tcPr>
            <w:tcW w:w="12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1"/>
        </w:trPr>
        <w:tc>
          <w:tcPr>
            <w:tcW w:w="12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Piyush</w:t>
            </w:r>
          </w:p>
        </w:tc>
        <w:tc>
          <w:tcPr>
            <w:tcW w:w="19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Executive Vice</w:t>
            </w:r>
          </w:p>
        </w:tc>
        <w:tc>
          <w:tcPr>
            <w:tcW w:w="12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Adoption</w:t>
            </w:r>
          </w:p>
        </w:tc>
        <w:tc>
          <w:tcPr>
            <w:tcW w:w="112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November</w:t>
            </w:r>
          </w:p>
        </w:tc>
        <w:tc>
          <w:tcPr>
            <w:tcW w:w="980" w:type="dxa"/>
            <w:vAlign w:val="bottom"/>
            <w:shd w:val="clear" w:color="auto" w:fill="DDDDDD"/>
          </w:tcPr>
          <w:p>
            <w:pPr>
              <w:ind w:left="480"/>
              <w:spacing w:after="0"/>
              <w:rPr>
                <w:sz w:val="20"/>
                <w:szCs w:val="20"/>
                <w:color w:val="auto"/>
              </w:rPr>
            </w:pPr>
            <w:r>
              <w:rPr>
                <w:rFonts w:ascii="Times New Roman" w:cs="Times New Roman" w:eastAsia="Times New Roman" w:hAnsi="Times New Roman"/>
                <w:sz w:val="20"/>
                <w:szCs w:val="20"/>
                <w:color w:val="auto"/>
              </w:rPr>
              <w:t>X</w:t>
            </w:r>
          </w:p>
        </w:tc>
        <w:tc>
          <w:tcPr>
            <w:tcW w:w="1060" w:type="dxa"/>
            <w:vAlign w:val="bottom"/>
            <w:shd w:val="clear" w:color="auto" w:fill="DDDDDD"/>
          </w:tcPr>
          <w:p>
            <w:pPr>
              <w:ind w:left="120"/>
              <w:spacing w:after="0"/>
              <w:rPr>
                <w:sz w:val="20"/>
                <w:szCs w:val="20"/>
                <w:color w:val="auto"/>
              </w:rPr>
            </w:pPr>
            <w:r>
              <w:rPr>
                <w:rFonts w:ascii="Times New Roman" w:cs="Times New Roman" w:eastAsia="Times New Roman" w:hAnsi="Times New Roman"/>
                <w:sz w:val="20"/>
                <w:szCs w:val="20"/>
                <w:color w:val="auto"/>
                <w:highlight w:val="lightGray"/>
              </w:rPr>
              <w:t>August 21,</w:t>
            </w:r>
          </w:p>
        </w:tc>
        <w:tc>
          <w:tcPr>
            <w:tcW w:w="1260" w:type="dxa"/>
            <w:vAlign w:val="bottom"/>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15,066</w:t>
            </w:r>
          </w:p>
        </w:tc>
      </w:tr>
      <w:tr>
        <w:trPr>
          <w:trHeight w:val="261"/>
        </w:trPr>
        <w:tc>
          <w:tcPr>
            <w:tcW w:w="120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Sevalia</w:t>
            </w:r>
          </w:p>
        </w:tc>
        <w:tc>
          <w:tcPr>
            <w:tcW w:w="1980" w:type="dxa"/>
            <w:vAlign w:val="bottom"/>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President, Marketing</w:t>
            </w:r>
          </w:p>
        </w:tc>
        <w:tc>
          <w:tcPr>
            <w:tcW w:w="1200" w:type="dxa"/>
            <w:vAlign w:val="bottom"/>
            <w:shd w:val="clear" w:color="auto" w:fill="DDDDDD"/>
          </w:tcPr>
          <w:p>
            <w:pPr>
              <w:spacing w:after="0"/>
              <w:rPr>
                <w:sz w:val="22"/>
                <w:szCs w:val="22"/>
                <w:color w:val="auto"/>
              </w:rPr>
            </w:pPr>
          </w:p>
        </w:tc>
        <w:tc>
          <w:tcPr>
            <w:tcW w:w="1120" w:type="dxa"/>
            <w:vAlign w:val="bottom"/>
            <w:shd w:val="clear" w:color="auto" w:fill="DDDDDD"/>
          </w:tcPr>
          <w:p>
            <w:pPr>
              <w:jc w:val="right"/>
              <w:ind w:right="260"/>
              <w:spacing w:after="0"/>
              <w:rPr>
                <w:sz w:val="20"/>
                <w:szCs w:val="20"/>
                <w:color w:val="auto"/>
              </w:rPr>
            </w:pPr>
            <w:r>
              <w:rPr>
                <w:rFonts w:ascii="Times New Roman" w:cs="Times New Roman" w:eastAsia="Times New Roman" w:hAnsi="Times New Roman"/>
                <w:sz w:val="20"/>
                <w:szCs w:val="20"/>
                <w:color w:val="auto"/>
              </w:rPr>
              <w:t>14, 2025</w:t>
            </w:r>
          </w:p>
        </w:tc>
        <w:tc>
          <w:tcPr>
            <w:tcW w:w="98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440"/>
              <w:spacing w:after="0"/>
              <w:rPr>
                <w:sz w:val="20"/>
                <w:szCs w:val="20"/>
                <w:color w:val="auto"/>
              </w:rPr>
            </w:pPr>
            <w:r>
              <w:rPr>
                <w:rFonts w:ascii="Times New Roman" w:cs="Times New Roman" w:eastAsia="Times New Roman" w:hAnsi="Times New Roman"/>
                <w:sz w:val="20"/>
                <w:szCs w:val="20"/>
                <w:color w:val="auto"/>
              </w:rPr>
              <w:t>2026</w:t>
            </w:r>
          </w:p>
        </w:tc>
        <w:tc>
          <w:tcPr>
            <w:tcW w:w="1260" w:type="dxa"/>
            <w:vAlign w:val="bottom"/>
            <w:shd w:val="clear" w:color="auto" w:fill="DDDDDD"/>
          </w:tcPr>
          <w:p>
            <w:pPr>
              <w:spacing w:after="0"/>
              <w:rPr>
                <w:sz w:val="22"/>
                <w:szCs w:val="22"/>
                <w:color w:val="auto"/>
              </w:rPr>
            </w:pPr>
          </w:p>
        </w:tc>
      </w:tr>
      <w:tr>
        <w:trPr>
          <w:trHeight w:val="43"/>
        </w:trPr>
        <w:tc>
          <w:tcPr>
            <w:tcW w:w="1200" w:type="dxa"/>
            <w:vAlign w:val="bottom"/>
            <w:shd w:val="clear" w:color="auto" w:fill="DDDDDD"/>
          </w:tcPr>
          <w:p>
            <w:pPr>
              <w:spacing w:after="0"/>
              <w:rPr>
                <w:sz w:val="3"/>
                <w:szCs w:val="3"/>
                <w:color w:val="auto"/>
              </w:rPr>
            </w:pPr>
          </w:p>
        </w:tc>
        <w:tc>
          <w:tcPr>
            <w:tcW w:w="1980" w:type="dxa"/>
            <w:vAlign w:val="bottom"/>
            <w:shd w:val="clear" w:color="auto" w:fill="DDDDDD"/>
          </w:tcPr>
          <w:p>
            <w:pPr>
              <w:spacing w:after="0"/>
              <w:rPr>
                <w:sz w:val="3"/>
                <w:szCs w:val="3"/>
                <w:color w:val="auto"/>
              </w:rPr>
            </w:pPr>
          </w:p>
        </w:tc>
        <w:tc>
          <w:tcPr>
            <w:tcW w:w="1200" w:type="dxa"/>
            <w:vAlign w:val="bottom"/>
            <w:shd w:val="clear" w:color="auto" w:fill="DDDDDD"/>
          </w:tcPr>
          <w:p>
            <w:pPr>
              <w:spacing w:after="0"/>
              <w:rPr>
                <w:sz w:val="3"/>
                <w:szCs w:val="3"/>
                <w:color w:val="auto"/>
              </w:rPr>
            </w:pPr>
          </w:p>
        </w:tc>
        <w:tc>
          <w:tcPr>
            <w:tcW w:w="1120" w:type="dxa"/>
            <w:vAlign w:val="bottom"/>
            <w:shd w:val="clear" w:color="auto" w:fill="DDDDDD"/>
          </w:tcPr>
          <w:p>
            <w:pPr>
              <w:spacing w:after="0"/>
              <w:rPr>
                <w:sz w:val="3"/>
                <w:szCs w:val="3"/>
                <w:color w:val="auto"/>
              </w:rPr>
            </w:pPr>
          </w:p>
        </w:tc>
        <w:tc>
          <w:tcPr>
            <w:tcW w:w="980" w:type="dxa"/>
            <w:vAlign w:val="bottom"/>
            <w:shd w:val="clear" w:color="auto" w:fill="DDDDDD"/>
          </w:tcPr>
          <w:p>
            <w:pPr>
              <w:spacing w:after="0"/>
              <w:rPr>
                <w:sz w:val="3"/>
                <w:szCs w:val="3"/>
                <w:color w:val="auto"/>
              </w:rPr>
            </w:pPr>
          </w:p>
        </w:tc>
        <w:tc>
          <w:tcPr>
            <w:tcW w:w="1060" w:type="dxa"/>
            <w:vAlign w:val="bottom"/>
            <w:shd w:val="clear" w:color="auto" w:fill="DDDDDD"/>
          </w:tcPr>
          <w:p>
            <w:pPr>
              <w:spacing w:after="0"/>
              <w:rPr>
                <w:sz w:val="3"/>
                <w:szCs w:val="3"/>
                <w:color w:val="auto"/>
              </w:rPr>
            </w:pPr>
          </w:p>
        </w:tc>
        <w:tc>
          <w:tcPr>
            <w:tcW w:w="1260" w:type="dxa"/>
            <w:vAlign w:val="bottom"/>
            <w:shd w:val="clear" w:color="auto" w:fill="DDDDDD"/>
          </w:tcPr>
          <w:p>
            <w:pPr>
              <w:spacing w:after="0"/>
              <w:rPr>
                <w:sz w:val="3"/>
                <w:szCs w:val="3"/>
                <w:color w:val="auto"/>
              </w:rPr>
            </w:pPr>
          </w:p>
        </w:tc>
      </w:tr>
    </w:tbl>
    <w:p>
      <w:pPr>
        <w:spacing w:after="0" w:line="77" w:lineRule="exact"/>
        <w:rPr>
          <w:sz w:val="20"/>
          <w:szCs w:val="20"/>
          <w:color w:val="auto"/>
        </w:rPr>
      </w:pPr>
    </w:p>
    <w:p>
      <w:pPr>
        <w:ind w:right="60" w:firstLine="710"/>
        <w:spacing w:after="0" w:line="234" w:lineRule="auto"/>
        <w:tabs>
          <w:tab w:leader="none" w:pos="922" w:val="left"/>
        </w:tabs>
        <w:numPr>
          <w:ilvl w:val="0"/>
          <w:numId w:val="3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Each officer's trading arrangement terminates on the earliest of: (i) date stated above (ii) the first date on which all trades set forth in the trading arrangement have been executed, or (iii) such date the trading arrangement is otherwise terminated according to its terms.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860"/>
          </w:cols>
          <w:pgMar w:left="1180" w:top="852"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60"/>
          </w:cols>
          <w:pgMar w:left="1180" w:top="852" w:right="1200" w:bottom="0" w:gutter="0" w:footer="0" w:header="0"/>
          <w:type w:val="continuous"/>
        </w:sectPr>
      </w:pPr>
    </w:p>
    <w:bookmarkStart w:id="93" w:name="page94"/>
    <w:bookmarkEnd w:id="93"/>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8" w:lineRule="exact"/>
        <w:rPr>
          <w:sz w:val="20"/>
          <w:szCs w:val="20"/>
          <w:color w:val="auto"/>
        </w:rPr>
      </w:pPr>
    </w:p>
    <w:p>
      <w:pPr>
        <w:ind w:right="120" w:firstLine="720"/>
        <w:spacing w:after="0" w:line="260" w:lineRule="auto"/>
        <w:rPr>
          <w:sz w:val="20"/>
          <w:szCs w:val="20"/>
          <w:color w:val="auto"/>
        </w:rPr>
      </w:pPr>
      <w:r>
        <w:rPr>
          <w:rFonts w:ascii="Times New Roman" w:cs="Times New Roman" w:eastAsia="Times New Roman" w:hAnsi="Times New Roman"/>
          <w:sz w:val="20"/>
          <w:szCs w:val="20"/>
          <w:color w:val="auto"/>
        </w:rPr>
        <w:t>The information required by this item will be set forth under the captions “Election of Directors – Directors and Nominees” and “Election of Directors – Executive Officers, Directors and Director Nominees” in our definitive proxy statement to be filed with the SEC, in connection with our 2026 annual meeting of stockholders (the “Proxy Statement”), which is expected to be filed not later than 120 days after the end of our fiscal year ended December 31, 2025, and is incorporated in this report by reference.</w:t>
      </w:r>
    </w:p>
    <w:p>
      <w:pPr>
        <w:spacing w:after="0" w:line="201" w:lineRule="exact"/>
        <w:rPr>
          <w:sz w:val="20"/>
          <w:szCs w:val="20"/>
          <w:color w:val="auto"/>
        </w:rPr>
      </w:pPr>
    </w:p>
    <w:p>
      <w:pPr>
        <w:ind w:right="280" w:firstLine="720"/>
        <w:spacing w:after="0" w:line="282" w:lineRule="auto"/>
        <w:rPr>
          <w:sz w:val="20"/>
          <w:szCs w:val="20"/>
          <w:color w:val="auto"/>
        </w:rPr>
      </w:pPr>
      <w:r>
        <w:rPr>
          <w:rFonts w:ascii="Times New Roman" w:cs="Times New Roman" w:eastAsia="Times New Roman" w:hAnsi="Times New Roman"/>
          <w:sz w:val="20"/>
          <w:szCs w:val="20"/>
          <w:color w:val="auto"/>
        </w:rPr>
        <w:t>Information regarding Section 16(a) beneficial reporting compliance, if any, will be set forth under the section entitled “Delinquent Section 16(a) Reports” in the Proxy Statement and is incorporated herein by reference.</w:t>
      </w:r>
    </w:p>
    <w:p>
      <w:pPr>
        <w:spacing w:after="0" w:line="180" w:lineRule="exact"/>
        <w:rPr>
          <w:sz w:val="20"/>
          <w:szCs w:val="20"/>
          <w:color w:val="auto"/>
        </w:rPr>
      </w:pPr>
    </w:p>
    <w:p>
      <w:pPr>
        <w:ind w:firstLine="720"/>
        <w:spacing w:after="0" w:line="255" w:lineRule="auto"/>
        <w:rPr>
          <w:sz w:val="20"/>
          <w:szCs w:val="20"/>
          <w:color w:val="auto"/>
        </w:rPr>
      </w:pPr>
      <w:r>
        <w:rPr>
          <w:rFonts w:ascii="Times New Roman" w:cs="Times New Roman" w:eastAsia="Times New Roman" w:hAnsi="Times New Roman"/>
          <w:sz w:val="20"/>
          <w:szCs w:val="20"/>
          <w:color w:val="auto"/>
        </w:rPr>
        <w:t>We have adopted a Code of Business Conduct and Ethics that applies to all of our officers and employees, including our chief executive officer, chief financial officer, corporate controller, and other employees who perform financial or accounting functions. The Code of Business Conduct and Ethics sets forth the basic principles that guide the business conduct of our employees and is available on our website at www.sitime.com. We have also adopted a Code of Ethics for Senior Financial Officers that specifically applies to our chief executive officer (our principal executive officer), chief financial officer (our principal financial officer), and chief accounting officer (our principal accounting officer). Stockholders may request a free copy of our Code of Ethics for Senior Financial Officers by contacting us at SiTime Corporation, Attention: Investor Relations, 5451 Patrick Henry Drive, Santa Clara, California 95054.</w:t>
      </w:r>
    </w:p>
    <w:p>
      <w:pPr>
        <w:spacing w:after="0" w:line="205" w:lineRule="exact"/>
        <w:rPr>
          <w:sz w:val="20"/>
          <w:szCs w:val="20"/>
          <w:color w:val="auto"/>
        </w:rPr>
      </w:pPr>
    </w:p>
    <w:p>
      <w:pPr>
        <w:ind w:right="20" w:firstLine="720"/>
        <w:spacing w:after="0" w:line="266" w:lineRule="auto"/>
        <w:rPr>
          <w:sz w:val="20"/>
          <w:szCs w:val="20"/>
          <w:color w:val="auto"/>
        </w:rPr>
      </w:pPr>
      <w:r>
        <w:rPr>
          <w:rFonts w:ascii="Times New Roman" w:cs="Times New Roman" w:eastAsia="Times New Roman" w:hAnsi="Times New Roman"/>
          <w:sz w:val="20"/>
          <w:szCs w:val="20"/>
          <w:color w:val="auto"/>
        </w:rPr>
        <w:t>To date, there have been no waivers under our Code of Business Conduct and Ethics or Code of Ethics for Senior Financial Officers. We will disclose on our website amendments to, or waivers from, our Code of Business Conduct and Ethics, in accordance with applicable laws and regulations.</w:t>
      </w:r>
    </w:p>
    <w:p>
      <w:pPr>
        <w:spacing w:after="0" w:line="195" w:lineRule="exact"/>
        <w:rPr>
          <w:sz w:val="20"/>
          <w:szCs w:val="20"/>
          <w:color w:val="auto"/>
        </w:rPr>
      </w:pPr>
    </w:p>
    <w:p>
      <w:pPr>
        <w:ind w:right="540" w:firstLine="720"/>
        <w:spacing w:after="0" w:line="266" w:lineRule="auto"/>
        <w:rPr>
          <w:sz w:val="20"/>
          <w:szCs w:val="20"/>
          <w:color w:val="auto"/>
        </w:rPr>
      </w:pPr>
      <w:r>
        <w:rPr>
          <w:rFonts w:ascii="Times New Roman" w:cs="Times New Roman" w:eastAsia="Times New Roman" w:hAnsi="Times New Roman"/>
          <w:sz w:val="20"/>
          <w:szCs w:val="20"/>
          <w:color w:val="auto"/>
        </w:rPr>
        <w:t>The information concerning our Audit Committee and Audit Committee financial expert is incorporated by reference herein to the information set forth under the caption “Corporate Governance – Board Committee – Audit Committee” in our Proxy Statement.</w:t>
      </w:r>
    </w:p>
    <w:p>
      <w:pPr>
        <w:spacing w:after="0" w:line="195" w:lineRule="exact"/>
        <w:rPr>
          <w:sz w:val="20"/>
          <w:szCs w:val="20"/>
          <w:color w:val="auto"/>
        </w:rPr>
      </w:pPr>
    </w:p>
    <w:p>
      <w:pPr>
        <w:ind w:right="160" w:firstLine="720"/>
        <w:spacing w:after="0" w:line="282" w:lineRule="auto"/>
        <w:rPr>
          <w:sz w:val="20"/>
          <w:szCs w:val="20"/>
          <w:color w:val="auto"/>
        </w:rPr>
      </w:pPr>
      <w:r>
        <w:rPr>
          <w:rFonts w:ascii="Times New Roman" w:cs="Times New Roman" w:eastAsia="Times New Roman" w:hAnsi="Times New Roman"/>
          <w:sz w:val="20"/>
          <w:szCs w:val="20"/>
          <w:color w:val="auto"/>
        </w:rPr>
        <w:t>Information regarding procedures by which stockholders may recommend nominees to our board of directors is set forth under the caption “Corporate Governance - Director Nominations” in the Proxy Statement.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8" w:lineRule="exact"/>
        <w:rPr>
          <w:sz w:val="20"/>
          <w:szCs w:val="20"/>
          <w:color w:val="auto"/>
        </w:rPr>
      </w:pPr>
    </w:p>
    <w:p>
      <w:pPr>
        <w:ind w:right="320" w:firstLine="720"/>
        <w:spacing w:after="0" w:line="290" w:lineRule="auto"/>
        <w:rPr>
          <w:sz w:val="20"/>
          <w:szCs w:val="20"/>
          <w:color w:val="auto"/>
        </w:rPr>
      </w:pPr>
      <w:r>
        <w:rPr>
          <w:rFonts w:ascii="Times New Roman" w:cs="Times New Roman" w:eastAsia="Times New Roman" w:hAnsi="Times New Roman"/>
          <w:sz w:val="19"/>
          <w:szCs w:val="19"/>
          <w:color w:val="auto"/>
        </w:rPr>
        <w:t>The information required by this item will be set forth under the captions “Executive Compensation,” “Non-Employee Director Compensation,” "Corporate Governance," "Compensation Committee Interlocks and Insider Participation," and "Compensation Committee Report" in the Proxy Statement and is incorporated herein by reference.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28" w:lineRule="exact"/>
        <w:rPr>
          <w:sz w:val="20"/>
          <w:szCs w:val="20"/>
          <w:color w:val="auto"/>
        </w:rPr>
      </w:pPr>
    </w:p>
    <w:p>
      <w:pPr>
        <w:ind w:right="640" w:firstLine="720"/>
        <w:spacing w:after="0" w:line="269" w:lineRule="auto"/>
        <w:rPr>
          <w:sz w:val="20"/>
          <w:szCs w:val="20"/>
          <w:color w:val="auto"/>
        </w:rPr>
      </w:pPr>
      <w:r>
        <w:rPr>
          <w:rFonts w:ascii="Times New Roman" w:cs="Times New Roman" w:eastAsia="Times New Roman" w:hAnsi="Times New Roman"/>
          <w:sz w:val="20"/>
          <w:szCs w:val="20"/>
          <w:color w:val="auto"/>
        </w:rPr>
        <w:t>The information required by this item will be set forth under the caption “Security Ownership of Certain Beneficial Owners and Management” and “Equity Compensation Plan Information,” in the Proxy Statement and is incorporated herein by reference.</w:t>
      </w:r>
    </w:p>
    <w:p>
      <w:pPr>
        <w:spacing w:after="0" w:line="7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Equity Compensation Plan Information</w:t>
      </w:r>
    </w:p>
    <w:p>
      <w:pPr>
        <w:sectPr>
          <w:pgSz w:w="12240" w:h="15840" w:orient="portrait"/>
          <w:cols w:equalWidth="0" w:num="1">
            <w:col w:w="9800"/>
          </w:cols>
          <w:pgMar w:left="1180" w:top="85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00"/>
          </w:cols>
          <w:pgMar w:left="1180" w:top="852" w:right="1260" w:bottom="0" w:gutter="0" w:footer="0" w:header="0"/>
          <w:type w:val="continuous"/>
        </w:sectPr>
      </w:pPr>
    </w:p>
    <w:bookmarkStart w:id="94" w:name="page95"/>
    <w:bookmarkEnd w:id="94"/>
    <w:p>
      <w:pPr>
        <w:ind w:left="60" w:right="20" w:firstLine="720"/>
        <w:spacing w:after="0" w:line="254" w:lineRule="auto"/>
        <w:rPr>
          <w:sz w:val="20"/>
          <w:szCs w:val="20"/>
          <w:color w:val="auto"/>
        </w:rPr>
      </w:pPr>
      <w:r>
        <w:rPr>
          <w:rFonts w:ascii="Times New Roman" w:cs="Times New Roman" w:eastAsia="Times New Roman" w:hAnsi="Times New Roman"/>
          <w:sz w:val="20"/>
          <w:szCs w:val="20"/>
          <w:color w:val="auto"/>
        </w:rPr>
        <w:t>The following table summarizes our equity compensation plan information as of December 31, 2025. Information is included for equity compensation plans approved by our stockholders as well as our 2022 Amended and Restated Inducement Award Plan (the “Inducement Plan”) adopted by our compensation committee without approval of our stockholders. The Inducement Plan provides for the grant of equity or equity-based awards in the form of non-qualified stock options, restricted stock units, and other stock-based awards. The Inducement Plan’s terms are substantially similar to the terms of SiTime’s 2019 Stock Incentive Plan, with the addition of certain terms and conditions intended to comply with the Nasdaq inducement award exception. Awards under the Inducement Plan may be granted only to employees who satisfy the standards for inducement grants under Rule 5635(c)(4) of the Nasdaq Listing Rules, and only when the award is an inducement material to such individual’s entering into employment with us, our subsidiaries or our affiliates within the meaning of Rule 5635(c)(4) of the Nasdaq Listing Rules.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 Remaining</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 of Securities to</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for Future Issuance</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be Issued Upon Exercise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Exercise Price of</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Under Equity Compensation</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of Outstanding Options,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4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Plans (Excluding Securities</w:t>
            </w:r>
          </w:p>
        </w:tc>
        <w:tc>
          <w:tcPr>
            <w:tcW w:w="0" w:type="dxa"/>
            <w:vAlign w:val="bottom"/>
          </w:tcPr>
          <w:p>
            <w:pPr>
              <w:spacing w:after="0"/>
              <w:rPr>
                <w:sz w:val="1"/>
                <w:szCs w:val="1"/>
                <w:color w:val="auto"/>
              </w:rPr>
            </w:pPr>
          </w:p>
        </w:tc>
      </w:tr>
      <w:tr>
        <w:trPr>
          <w:trHeight w:val="249"/>
        </w:trPr>
        <w:tc>
          <w:tcPr>
            <w:tcW w:w="6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60" w:type="dxa"/>
            <w:vAlign w:val="bottom"/>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Warrants and Rights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7"/>
              </w:rPr>
              <w:t>Warrants and Rights</w:t>
            </w:r>
            <w:r>
              <w:rPr>
                <w:rFonts w:ascii="Times New Roman" w:cs="Times New Roman" w:eastAsia="Times New Roman" w:hAnsi="Times New Roman"/>
                <w:sz w:val="19"/>
                <w:szCs w:val="19"/>
                <w:b w:val="1"/>
                <w:bCs w:val="1"/>
                <w:color w:val="auto"/>
                <w:w w:val="97"/>
                <w:vertAlign w:val="superscript"/>
              </w:rPr>
              <w:t>(1)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Reflected in the first Column)</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Equity compensation plans approved by</w:t>
            </w:r>
          </w:p>
        </w:tc>
        <w:tc>
          <w:tcPr>
            <w:tcW w:w="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vMerge w:val="restart"/>
          </w:tcPr>
          <w:p>
            <w:pPr>
              <w:ind w:left="146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0" w:type="dxa"/>
            <w:vAlign w:val="bottom"/>
          </w:tcPr>
          <w:p>
            <w:pPr>
              <w:spacing w:after="0"/>
              <w:rPr>
                <w:sz w:val="24"/>
                <w:szCs w:val="2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stockholders</w:t>
            </w:r>
            <w:r>
              <w:rPr>
                <w:rFonts w:ascii="Times New Roman" w:cs="Times New Roman" w:eastAsia="Times New Roman" w:hAnsi="Times New Roman"/>
                <w:sz w:val="25"/>
                <w:szCs w:val="25"/>
                <w:color w:val="auto"/>
                <w:vertAlign w:val="superscript"/>
              </w:rPr>
              <w:t>(1)</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1,018,687</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vMerge w:val="continue"/>
          </w:tcPr>
          <w:p>
            <w:pPr>
              <w:spacing w:after="0"/>
              <w:rPr>
                <w:sz w:val="24"/>
                <w:szCs w:val="24"/>
                <w:color w:val="auto"/>
              </w:rPr>
            </w:pPr>
          </w:p>
        </w:tc>
        <w:tc>
          <w:tcPr>
            <w:tcW w:w="2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2,237,006</w:t>
            </w:r>
          </w:p>
        </w:tc>
        <w:tc>
          <w:tcPr>
            <w:tcW w:w="0" w:type="dxa"/>
            <w:vAlign w:val="bottom"/>
          </w:tcPr>
          <w:p>
            <w:pPr>
              <w:spacing w:after="0"/>
              <w:rPr>
                <w:sz w:val="1"/>
                <w:szCs w:val="1"/>
                <w:color w:val="auto"/>
              </w:rPr>
            </w:pPr>
          </w:p>
        </w:tc>
      </w:tr>
      <w:tr>
        <w:trPr>
          <w:trHeight w:val="240"/>
        </w:trPr>
        <w:tc>
          <w:tcPr>
            <w:tcW w:w="60" w:type="dxa"/>
            <w:vAlign w:val="bottom"/>
            <w:shd w:val="clear" w:color="auto" w:fill="DDDDDD"/>
          </w:tcPr>
          <w:p>
            <w:pPr>
              <w:spacing w:after="0"/>
              <w:rPr>
                <w:sz w:val="20"/>
                <w:szCs w:val="20"/>
                <w:color w:val="auto"/>
              </w:rPr>
            </w:pPr>
          </w:p>
        </w:tc>
        <w:tc>
          <w:tcPr>
            <w:tcW w:w="34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highlight w:val="lightGray"/>
              </w:rPr>
              <w:t>Equity compensation plans not approved</w:t>
            </w:r>
          </w:p>
        </w:tc>
        <w:tc>
          <w:tcPr>
            <w:tcW w:w="60" w:type="dxa"/>
            <w:vAlign w:val="bottom"/>
            <w:shd w:val="clear" w:color="auto" w:fill="DDDDDD"/>
          </w:tcPr>
          <w:p>
            <w:pPr>
              <w:spacing w:after="0"/>
              <w:rPr>
                <w:sz w:val="20"/>
                <w:szCs w:val="20"/>
                <w:color w:val="auto"/>
              </w:rPr>
            </w:pPr>
          </w:p>
        </w:tc>
        <w:tc>
          <w:tcPr>
            <w:tcW w:w="1920" w:type="dxa"/>
            <w:vAlign w:val="bottom"/>
            <w:shd w:val="clear" w:color="auto" w:fill="DDDDDD"/>
          </w:tcPr>
          <w:p>
            <w:pPr>
              <w:spacing w:after="0"/>
              <w:rPr>
                <w:sz w:val="20"/>
                <w:szCs w:val="20"/>
                <w:color w:val="auto"/>
              </w:rPr>
            </w:pP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1740" w:type="dxa"/>
            <w:vAlign w:val="bottom"/>
            <w:vMerge w:val="restart"/>
            <w:shd w:val="clear" w:color="auto" w:fill="DDDDDD"/>
          </w:tcPr>
          <w:p>
            <w:pPr>
              <w:ind w:left="146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240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325"/>
        </w:trPr>
        <w:tc>
          <w:tcPr>
            <w:tcW w:w="60" w:type="dxa"/>
            <w:vAlign w:val="bottom"/>
            <w:shd w:val="clear" w:color="auto" w:fill="DDDDDD"/>
          </w:tcPr>
          <w:p>
            <w:pPr>
              <w:spacing w:after="0"/>
              <w:rPr>
                <w:sz w:val="24"/>
                <w:szCs w:val="24"/>
                <w:color w:val="auto"/>
              </w:rPr>
            </w:pPr>
          </w:p>
        </w:tc>
        <w:tc>
          <w:tcPr>
            <w:tcW w:w="3440" w:type="dxa"/>
            <w:vAlign w:val="bottom"/>
            <w:shd w:val="clear" w:color="auto" w:fill="DDDDDD"/>
          </w:tcPr>
          <w:p>
            <w:pPr>
              <w:spacing w:after="0"/>
              <w:rPr>
                <w:sz w:val="20"/>
                <w:szCs w:val="20"/>
                <w:color w:val="auto"/>
              </w:rPr>
            </w:pPr>
            <w:r>
              <w:rPr>
                <w:rFonts w:ascii="Times New Roman" w:cs="Times New Roman" w:eastAsia="Times New Roman" w:hAnsi="Times New Roman"/>
                <w:sz w:val="20"/>
                <w:szCs w:val="20"/>
                <w:color w:val="auto"/>
              </w:rPr>
              <w:t>by stockholders</w:t>
            </w:r>
            <w:r>
              <w:rPr>
                <w:rFonts w:ascii="Times New Roman" w:cs="Times New Roman" w:eastAsia="Times New Roman" w:hAnsi="Times New Roman"/>
                <w:sz w:val="25"/>
                <w:szCs w:val="25"/>
                <w:color w:val="auto"/>
                <w:vertAlign w:val="superscript"/>
              </w:rPr>
              <w:t>(2)</w:t>
            </w:r>
          </w:p>
        </w:tc>
        <w:tc>
          <w:tcPr>
            <w:tcW w:w="60" w:type="dxa"/>
            <w:vAlign w:val="bottom"/>
            <w:shd w:val="clear" w:color="auto" w:fill="DDDDDD"/>
          </w:tcPr>
          <w:p>
            <w:pPr>
              <w:spacing w:after="0"/>
              <w:rPr>
                <w:sz w:val="24"/>
                <w:szCs w:val="24"/>
                <w:color w:val="auto"/>
              </w:rPr>
            </w:pPr>
          </w:p>
        </w:tc>
        <w:tc>
          <w:tcPr>
            <w:tcW w:w="192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262,701</w:t>
            </w: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160" w:type="dxa"/>
            <w:vAlign w:val="bottom"/>
            <w:tcBorders>
              <w:bottom w:val="single" w:sz="8" w:color="auto"/>
            </w:tcBorders>
            <w:shd w:val="clear" w:color="auto" w:fill="DDDDDD"/>
          </w:tcPr>
          <w:p>
            <w:pPr>
              <w:spacing w:after="0"/>
              <w:rPr>
                <w:sz w:val="24"/>
                <w:szCs w:val="24"/>
                <w:color w:val="auto"/>
              </w:rPr>
            </w:pPr>
          </w:p>
        </w:tc>
        <w:tc>
          <w:tcPr>
            <w:tcW w:w="1740" w:type="dxa"/>
            <w:vAlign w:val="bottom"/>
            <w:tcBorders>
              <w:bottom w:val="single" w:sz="8" w:color="auto"/>
            </w:tcBorders>
            <w:vMerge w:val="continue"/>
            <w:shd w:val="clear" w:color="auto" w:fill="DDDDDD"/>
          </w:tcPr>
          <w:p>
            <w:pPr>
              <w:spacing w:after="0"/>
              <w:rPr>
                <w:sz w:val="24"/>
                <w:szCs w:val="24"/>
                <w:color w:val="auto"/>
              </w:rPr>
            </w:pPr>
          </w:p>
        </w:tc>
        <w:tc>
          <w:tcPr>
            <w:tcW w:w="40" w:type="dxa"/>
            <w:vAlign w:val="bottom"/>
            <w:shd w:val="clear" w:color="auto" w:fill="DDDDDD"/>
          </w:tcPr>
          <w:p>
            <w:pPr>
              <w:spacing w:after="0"/>
              <w:rPr>
                <w:sz w:val="24"/>
                <w:szCs w:val="24"/>
                <w:color w:val="auto"/>
              </w:rPr>
            </w:pPr>
          </w:p>
        </w:tc>
        <w:tc>
          <w:tcPr>
            <w:tcW w:w="20" w:type="dxa"/>
            <w:vAlign w:val="bottom"/>
            <w:shd w:val="clear" w:color="auto" w:fill="DDDDDD"/>
          </w:tcPr>
          <w:p>
            <w:pPr>
              <w:spacing w:after="0"/>
              <w:rPr>
                <w:sz w:val="24"/>
                <w:szCs w:val="24"/>
                <w:color w:val="auto"/>
              </w:rPr>
            </w:pPr>
          </w:p>
        </w:tc>
        <w:tc>
          <w:tcPr>
            <w:tcW w:w="2400" w:type="dxa"/>
            <w:vAlign w:val="bottom"/>
            <w:tcBorders>
              <w:bottom w:val="single" w:sz="8" w:color="auto"/>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176,524</w:t>
            </w:r>
          </w:p>
        </w:tc>
        <w:tc>
          <w:tcPr>
            <w:tcW w:w="0" w:type="dxa"/>
            <w:vAlign w:val="bottom"/>
          </w:tcPr>
          <w:p>
            <w:pPr>
              <w:spacing w:after="0"/>
              <w:rPr>
                <w:sz w:val="1"/>
                <w:szCs w:val="1"/>
                <w:color w:val="auto"/>
              </w:rPr>
            </w:pPr>
          </w:p>
        </w:tc>
      </w:tr>
      <w:tr>
        <w:trPr>
          <w:trHeight w:val="266"/>
        </w:trPr>
        <w:tc>
          <w:tcPr>
            <w:tcW w:w="60" w:type="dxa"/>
            <w:vAlign w:val="bottom"/>
          </w:tcPr>
          <w:p>
            <w:pPr>
              <w:spacing w:after="0"/>
              <w:rPr>
                <w:sz w:val="23"/>
                <w:szCs w:val="23"/>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1,281,388</w:t>
            </w: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740" w:type="dxa"/>
            <w:vAlign w:val="bottom"/>
          </w:tcPr>
          <w:p>
            <w:pPr>
              <w:ind w:left="1460"/>
              <w:spacing w:after="0"/>
              <w:rPr>
                <w:sz w:val="20"/>
                <w:szCs w:val="20"/>
                <w:color w:val="auto"/>
              </w:rPr>
            </w:pPr>
            <w:r>
              <w:rPr>
                <w:rFonts w:ascii="Times New Roman" w:cs="Times New Roman" w:eastAsia="Times New Roman" w:hAnsi="Times New Roman"/>
                <w:sz w:val="20"/>
                <w:szCs w:val="20"/>
                <w:color w:val="auto"/>
              </w:rPr>
              <w:t>—</w:t>
            </w:r>
          </w:p>
        </w:tc>
        <w:tc>
          <w:tcPr>
            <w:tcW w:w="24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2,413,530</w:t>
            </w: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3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2265045</wp:posOffset>
                </wp:positionH>
                <wp:positionV relativeFrom="paragraph">
                  <wp:posOffset>-231140</wp:posOffset>
                </wp:positionV>
                <wp:extent cx="120967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9675"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35pt,-18.1999pt" to="273.6pt,-18.1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3512820</wp:posOffset>
                </wp:positionH>
                <wp:positionV relativeFrom="paragraph">
                  <wp:posOffset>-231140</wp:posOffset>
                </wp:positionV>
                <wp:extent cx="121031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031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6pt,-18.1999pt" to="371.9pt,-18.1999pt" o:allowincell="f" strokecolor="#FFFFFF" strokeweight="0.1399pt"/>
            </w:pict>
          </mc:Fallback>
        </mc:AlternateContent>
        <mc:AlternateContent>
          <mc:Choice Requires="wps">
            <w:drawing>
              <wp:anchor simplePos="0" relativeHeight="251657728" behindDoc="1" locked="0" layoutInCell="0" allowOverlap="1">
                <wp:simplePos x="0" y="0"/>
                <wp:positionH relativeFrom="column">
                  <wp:posOffset>4761230</wp:posOffset>
                </wp:positionH>
                <wp:positionV relativeFrom="paragraph">
                  <wp:posOffset>-231140</wp:posOffset>
                </wp:positionV>
                <wp:extent cx="1524000"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0" cy="4763"/>
                        </a:xfrm>
                        <a:prstGeom prst="line">
                          <a:avLst/>
                        </a:prstGeom>
                        <a:solidFill>
                          <a:srgbClr val="FFFFFF"/>
                        </a:solidFill>
                        <a:ln w="1777">
                          <a:solidFill>
                            <a:srgbClr val="FFFFFF"/>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9pt,-18.1999pt" to="494.9pt,-18.1999pt" o:allowincell="f" strokecolor="#FFFFFF" strokeweight="0.1399pt"/>
            </w:pict>
          </mc:Fallback>
        </mc:AlternateContent>
      </w:r>
    </w:p>
    <w:p>
      <w:pPr>
        <w:spacing w:after="0" w:line="61" w:lineRule="exact"/>
        <w:rPr>
          <w:sz w:val="20"/>
          <w:szCs w:val="20"/>
          <w:color w:val="auto"/>
        </w:rPr>
      </w:pPr>
    </w:p>
    <w:p>
      <w:pPr>
        <w:jc w:val="both"/>
        <w:ind w:left="1140" w:hanging="550"/>
        <w:spacing w:after="0" w:line="256" w:lineRule="auto"/>
        <w:tabs>
          <w:tab w:leader="none" w:pos="11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solely of our 2019 Stock Incentive Plan (the “2019 Stock Plan”). The 2019 Stock Plan contains an “evergreen” provision, pursuant to which the number of shares of common stock reserved for issuance pursuant to awards under such plan shall be increased on the first day of each year beginning in 2020, equal to the lesser of (i) 3% of the number of shares of common stock outstanding on the last day of the immediately preceding year, or (ii) if our Board acts prior to the first day of the year, such lesser amount that our Board determines for purposes of the annual increase of the year such number as determined by the plan administrator. As of January 1, 2026, the 2019 Stock Plan was increased by 788,965 shares pursuant to such evergreen provision. We have only granted RSUs from the 2019 Stock Plan, which have no exercise price.</w:t>
      </w:r>
    </w:p>
    <w:p>
      <w:pPr>
        <w:spacing w:after="0" w:line="94" w:lineRule="exact"/>
        <w:rPr>
          <w:rFonts w:ascii="Times New Roman" w:cs="Times New Roman" w:eastAsia="Times New Roman" w:hAnsi="Times New Roman"/>
          <w:sz w:val="16"/>
          <w:szCs w:val="16"/>
          <w:color w:val="auto"/>
        </w:rPr>
      </w:pPr>
    </w:p>
    <w:p>
      <w:pPr>
        <w:ind w:left="1140" w:hanging="550"/>
        <w:spacing w:after="0"/>
        <w:tabs>
          <w:tab w:leader="none" w:pos="11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solely of our Inducement Plan. We have only granted RSUs from the Inducement Plan, which have no exercise price.</w:t>
      </w:r>
    </w:p>
    <w:p>
      <w:pPr>
        <w:spacing w:after="0" w:line="3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28" w:lineRule="exact"/>
        <w:rPr>
          <w:sz w:val="20"/>
          <w:szCs w:val="20"/>
          <w:color w:val="auto"/>
        </w:rPr>
      </w:pPr>
    </w:p>
    <w:p>
      <w:pPr>
        <w:ind w:left="60" w:right="240" w:firstLine="720"/>
        <w:spacing w:after="0" w:line="269" w:lineRule="auto"/>
        <w:rPr>
          <w:sz w:val="20"/>
          <w:szCs w:val="20"/>
          <w:color w:val="auto"/>
        </w:rPr>
      </w:pPr>
      <w:r>
        <w:rPr>
          <w:rFonts w:ascii="Times New Roman" w:cs="Times New Roman" w:eastAsia="Times New Roman" w:hAnsi="Times New Roman"/>
          <w:sz w:val="20"/>
          <w:szCs w:val="20"/>
          <w:color w:val="auto"/>
        </w:rPr>
        <w:t>The information required by this item will be set forth under the captions “Certain Relationships and Related Person Transactions” and “Corporate Governance — Director Independence” in the Proxy Statement and is incorporated herein by reference.</w:t>
      </w: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48" w:lineRule="exact"/>
        <w:rPr>
          <w:sz w:val="20"/>
          <w:szCs w:val="20"/>
          <w:color w:val="auto"/>
        </w:rPr>
      </w:pPr>
    </w:p>
    <w:p>
      <w:pPr>
        <w:ind w:left="60" w:right="240" w:firstLine="720"/>
        <w:spacing w:after="0" w:line="269" w:lineRule="auto"/>
        <w:rPr>
          <w:sz w:val="20"/>
          <w:szCs w:val="20"/>
          <w:color w:val="auto"/>
        </w:rPr>
      </w:pPr>
      <w:r>
        <w:rPr>
          <w:rFonts w:ascii="Times New Roman" w:cs="Times New Roman" w:eastAsia="Times New Roman" w:hAnsi="Times New Roman"/>
          <w:sz w:val="20"/>
          <w:szCs w:val="20"/>
          <w:color w:val="auto"/>
        </w:rPr>
        <w:t>The information required by this item will be set forth under the caption “Ratification of the Appointment of Independent Registered Public Accountants — Principal Accounting Fees and Services” in the Proxy and is incorporated herein by reference.</w:t>
      </w:r>
    </w:p>
    <w:p>
      <w:pPr>
        <w:sectPr>
          <w:pgSz w:w="12240" w:h="15840" w:orient="portrait"/>
          <w:cols w:equalWidth="0" w:num="1">
            <w:col w:w="9960"/>
          </w:cols>
          <w:pgMar w:left="1120" w:top="85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960"/>
          </w:cols>
          <w:pgMar w:left="1120" w:top="856" w:right="1160" w:bottom="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65"/>
        </w:trPr>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60" w:type="dxa"/>
            <w:vAlign w:val="bottom"/>
            <w:gridSpan w:val="4"/>
          </w:tcPr>
          <w:p>
            <w:pPr>
              <w:ind w:left="660"/>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840" w:type="dxa"/>
            <w:vAlign w:val="bottom"/>
          </w:tcPr>
          <w:p>
            <w:pPr>
              <w:spacing w:after="0"/>
              <w:rPr>
                <w:sz w:val="23"/>
                <w:szCs w:val="23"/>
                <w:color w:val="auto"/>
              </w:rPr>
            </w:pPr>
          </w:p>
        </w:tc>
      </w:tr>
      <w:tr>
        <w:trPr>
          <w:trHeight w:val="480"/>
        </w:trPr>
        <w:tc>
          <w:tcPr>
            <w:tcW w:w="894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tc>
        <w:tc>
          <w:tcPr>
            <w:tcW w:w="840" w:type="dxa"/>
            <w:vAlign w:val="bottom"/>
          </w:tcPr>
          <w:p>
            <w:pPr>
              <w:spacing w:after="0"/>
              <w:rPr>
                <w:sz w:val="24"/>
                <w:szCs w:val="24"/>
                <w:color w:val="auto"/>
              </w:rPr>
            </w:pPr>
          </w:p>
        </w:tc>
      </w:tr>
      <w:tr>
        <w:trPr>
          <w:trHeight w:val="360"/>
        </w:trPr>
        <w:tc>
          <w:tcPr>
            <w:tcW w:w="11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auto"/>
              </w:rPr>
              <w:t>(a)</w:t>
            </w:r>
          </w:p>
        </w:tc>
        <w:tc>
          <w:tcPr>
            <w:tcW w:w="7760" w:type="dxa"/>
            <w:vAlign w:val="bottom"/>
            <w:gridSpan w:val="7"/>
          </w:tcPr>
          <w:p>
            <w:pPr>
              <w:ind w:left="260"/>
              <w:spacing w:after="0"/>
              <w:rPr>
                <w:sz w:val="20"/>
                <w:szCs w:val="20"/>
                <w:color w:val="auto"/>
              </w:rPr>
            </w:pPr>
            <w:r>
              <w:rPr>
                <w:rFonts w:ascii="Times New Roman" w:cs="Times New Roman" w:eastAsia="Times New Roman" w:hAnsi="Times New Roman"/>
                <w:sz w:val="20"/>
                <w:szCs w:val="20"/>
                <w:color w:val="auto"/>
              </w:rPr>
              <w:t>The following documents are filed as a part of this Annual Report on Form 10-K:</w:t>
            </w:r>
          </w:p>
        </w:tc>
        <w:tc>
          <w:tcPr>
            <w:tcW w:w="840" w:type="dxa"/>
            <w:vAlign w:val="bottom"/>
          </w:tcPr>
          <w:p>
            <w:pPr>
              <w:spacing w:after="0"/>
              <w:rPr>
                <w:sz w:val="24"/>
                <w:szCs w:val="24"/>
                <w:color w:val="auto"/>
              </w:rPr>
            </w:pPr>
          </w:p>
        </w:tc>
      </w:tr>
      <w:tr>
        <w:trPr>
          <w:trHeight w:val="322"/>
        </w:trPr>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1.</w:t>
            </w:r>
          </w:p>
        </w:tc>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9"/>
              </w:rPr>
              <w:t>Financial Statements:</w:t>
            </w:r>
          </w:p>
        </w:tc>
        <w:tc>
          <w:tcPr>
            <w:tcW w:w="50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r>
      <w:tr>
        <w:trPr>
          <w:trHeight w:val="525"/>
        </w:trPr>
        <w:tc>
          <w:tcPr>
            <w:tcW w:w="5160" w:type="dxa"/>
            <w:vAlign w:val="bottom"/>
            <w:tcBorders>
              <w:bottom w:val="single" w:sz="8" w:color="282828"/>
            </w:tcBorders>
            <w:gridSpan w:val="6"/>
          </w:tcPr>
          <w:p>
            <w:pPr>
              <w:spacing w:after="0"/>
              <w:rPr>
                <w:sz w:val="20"/>
                <w:szCs w:val="20"/>
                <w:color w:val="auto"/>
              </w:rPr>
            </w:pPr>
            <w:r>
              <w:rPr>
                <w:rFonts w:ascii="Times New Roman" w:cs="Times New Roman" w:eastAsia="Times New Roman" w:hAnsi="Times New Roman"/>
                <w:sz w:val="20"/>
                <w:szCs w:val="20"/>
                <w:color w:val="282828"/>
                <w:w w:val="99"/>
              </w:rPr>
              <w:t>Consolidated Balance Sheets as of December 31, 2025 and 2024</w:t>
            </w:r>
          </w:p>
        </w:tc>
        <w:tc>
          <w:tcPr>
            <w:tcW w:w="378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r>
      <w:tr>
        <w:trPr>
          <w:trHeight w:val="305"/>
        </w:trPr>
        <w:tc>
          <w:tcPr>
            <w:tcW w:w="8940" w:type="dxa"/>
            <w:vAlign w:val="bottom"/>
            <w:tcBorders>
              <w:bottom w:val="single" w:sz="8" w:color="282828"/>
            </w:tcBorders>
            <w:gridSpan w:val="9"/>
          </w:tcPr>
          <w:p>
            <w:pPr>
              <w:spacing w:after="0"/>
              <w:rPr>
                <w:sz w:val="20"/>
                <w:szCs w:val="20"/>
                <w:color w:val="auto"/>
              </w:rPr>
            </w:pPr>
            <w:r>
              <w:rPr>
                <w:rFonts w:ascii="Times New Roman" w:cs="Times New Roman" w:eastAsia="Times New Roman" w:hAnsi="Times New Roman"/>
                <w:sz w:val="20"/>
                <w:szCs w:val="20"/>
                <w:color w:val="282828"/>
                <w:w w:val="99"/>
              </w:rPr>
              <w:t>Consolidated Statements of Operations and Comprehensive Loss for the years ended December 31, 2025, 2024,</w:t>
            </w:r>
          </w:p>
        </w:tc>
        <w:tc>
          <w:tcPr>
            <w:tcW w:w="840" w:type="dxa"/>
            <w:vAlign w:val="bottom"/>
          </w:tcPr>
          <w:p>
            <w:pPr>
              <w:spacing w:after="0"/>
              <w:rPr>
                <w:sz w:val="24"/>
                <w:szCs w:val="24"/>
                <w:color w:val="auto"/>
              </w:rPr>
            </w:pPr>
          </w:p>
        </w:tc>
      </w:tr>
      <w:tr>
        <w:trPr>
          <w:trHeight w:val="220"/>
        </w:trPr>
        <w:tc>
          <w:tcPr>
            <w:tcW w:w="1180" w:type="dxa"/>
            <w:vAlign w:val="bottom"/>
            <w:gridSpan w:val="2"/>
          </w:tcPr>
          <w:p>
            <w:pPr>
              <w:spacing w:after="0" w:line="220" w:lineRule="exact"/>
              <w:rPr>
                <w:sz w:val="20"/>
                <w:szCs w:val="20"/>
                <w:color w:val="auto"/>
              </w:rPr>
            </w:pPr>
            <w:r>
              <w:rPr>
                <w:rFonts w:ascii="Times New Roman" w:cs="Times New Roman" w:eastAsia="Times New Roman" w:hAnsi="Times New Roman"/>
                <w:sz w:val="20"/>
                <w:szCs w:val="20"/>
                <w:color w:val="282828"/>
              </w:rPr>
              <w:t>and 2023</w:t>
            </w:r>
          </w:p>
        </w:tc>
        <w:tc>
          <w:tcPr>
            <w:tcW w:w="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63</w:t>
            </w:r>
          </w:p>
        </w:tc>
      </w:tr>
      <w:tr>
        <w:trPr>
          <w:trHeight w:val="20"/>
        </w:trPr>
        <w:tc>
          <w:tcPr>
            <w:tcW w:w="720" w:type="dxa"/>
            <w:vAlign w:val="bottom"/>
            <w:shd w:val="clear" w:color="auto" w:fill="282828"/>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05"/>
        </w:trPr>
        <w:tc>
          <w:tcPr>
            <w:tcW w:w="8460" w:type="dxa"/>
            <w:vAlign w:val="bottom"/>
            <w:tcBorders>
              <w:bottom w:val="single" w:sz="8" w:color="282828"/>
            </w:tcBorders>
            <w:gridSpan w:val="8"/>
          </w:tcPr>
          <w:p>
            <w:pPr>
              <w:spacing w:after="0"/>
              <w:rPr>
                <w:sz w:val="20"/>
                <w:szCs w:val="20"/>
                <w:color w:val="auto"/>
              </w:rPr>
            </w:pPr>
            <w:r>
              <w:rPr>
                <w:rFonts w:ascii="Times New Roman" w:cs="Times New Roman" w:eastAsia="Times New Roman" w:hAnsi="Times New Roman"/>
                <w:sz w:val="20"/>
                <w:szCs w:val="20"/>
                <w:color w:val="282828"/>
                <w:w w:val="99"/>
              </w:rPr>
              <w:t>Consolidated Statements of Stockholders’ Equity for the years ended December 31, 2025, 2024, and 2023</w:t>
            </w: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305"/>
        </w:trPr>
        <w:tc>
          <w:tcPr>
            <w:tcW w:w="7720" w:type="dxa"/>
            <w:vAlign w:val="bottom"/>
            <w:tcBorders>
              <w:bottom w:val="single" w:sz="8" w:color="282828"/>
            </w:tcBorders>
            <w:gridSpan w:val="7"/>
          </w:tcPr>
          <w:p>
            <w:pPr>
              <w:spacing w:after="0"/>
              <w:rPr>
                <w:sz w:val="20"/>
                <w:szCs w:val="20"/>
                <w:color w:val="auto"/>
              </w:rPr>
            </w:pPr>
            <w:r>
              <w:rPr>
                <w:rFonts w:ascii="Times New Roman" w:cs="Times New Roman" w:eastAsia="Times New Roman" w:hAnsi="Times New Roman"/>
                <w:sz w:val="20"/>
                <w:szCs w:val="20"/>
                <w:color w:val="282828"/>
                <w:w w:val="99"/>
              </w:rPr>
              <w:t>Consolidated Statements of Cash Flows for the years ended December 31, 2025, 2024, and 2023</w:t>
            </w:r>
          </w:p>
        </w:tc>
        <w:tc>
          <w:tcPr>
            <w:tcW w:w="122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304"/>
        </w:trPr>
        <w:tc>
          <w:tcPr>
            <w:tcW w:w="3500" w:type="dxa"/>
            <w:vAlign w:val="bottom"/>
            <w:tcBorders>
              <w:bottom w:val="single" w:sz="8" w:color="282828"/>
            </w:tcBorders>
            <w:gridSpan w:val="4"/>
          </w:tcPr>
          <w:p>
            <w:pPr>
              <w:spacing w:after="0"/>
              <w:rPr>
                <w:sz w:val="20"/>
                <w:szCs w:val="20"/>
                <w:color w:val="auto"/>
              </w:rPr>
            </w:pPr>
            <w:r>
              <w:rPr>
                <w:rFonts w:ascii="Times New Roman" w:cs="Times New Roman" w:eastAsia="Times New Roman" w:hAnsi="Times New Roman"/>
                <w:sz w:val="20"/>
                <w:szCs w:val="20"/>
                <w:color w:val="282828"/>
                <w:w w:val="99"/>
              </w:rPr>
              <w:t>Notes to Consolidated Financial Statements</w:t>
            </w:r>
          </w:p>
        </w:tc>
        <w:tc>
          <w:tcPr>
            <w:tcW w:w="544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bl>
    <w:p>
      <w:pPr>
        <w:spacing w:after="0" w:line="269" w:lineRule="exact"/>
        <w:rPr>
          <w:sz w:val="20"/>
          <w:szCs w:val="20"/>
          <w:color w:val="auto"/>
        </w:rPr>
      </w:pPr>
    </w:p>
    <w:p>
      <w:pPr>
        <w:ind w:left="2160" w:right="680" w:hanging="730"/>
        <w:spacing w:after="0" w:line="282" w:lineRule="auto"/>
        <w:tabs>
          <w:tab w:leader="none" w:pos="215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Statement Schedule (Valuation and Qualifying Accounts) for the years ended December 31, 2025, 2024, and 2023:</w:t>
      </w:r>
    </w:p>
    <w:p>
      <w:pPr>
        <w:spacing w:after="0" w:line="238" w:lineRule="exact"/>
        <w:rPr>
          <w:sz w:val="20"/>
          <w:szCs w:val="20"/>
          <w:color w:val="auto"/>
        </w:rPr>
      </w:pPr>
    </w:p>
    <w:p>
      <w:pPr>
        <w:spacing w:after="0" w:line="240" w:lineRule="exact"/>
        <w:tabs>
          <w:tab w:leader="none" w:pos="9460" w:val="left"/>
        </w:tabs>
        <w:rPr>
          <w:sz w:val="20"/>
          <w:szCs w:val="20"/>
          <w:color w:val="auto"/>
        </w:rPr>
      </w:pPr>
      <w:r>
        <w:rPr>
          <w:rFonts w:ascii="Times New Roman" w:cs="Times New Roman" w:eastAsia="Times New Roman" w:hAnsi="Times New Roman"/>
          <w:sz w:val="20"/>
          <w:szCs w:val="20"/>
          <w:u w:val="single" w:color="auto"/>
          <w:color w:val="282828"/>
        </w:rPr>
        <w:t>Schedule II—Valuation and Qualifying Accounts</w:t>
      </w:r>
      <w:r>
        <w:rPr>
          <w:sz w:val="20"/>
          <w:szCs w:val="20"/>
          <w:color w:val="auto"/>
        </w:rPr>
        <w:tab/>
      </w:r>
      <w:r>
        <w:rPr>
          <w:rFonts w:ascii="PMingLiU" w:cs="PMingLiU" w:eastAsia="PMingLiU" w:hAnsi="PMingLiU"/>
          <w:sz w:val="20"/>
          <w:szCs w:val="20"/>
          <w:color w:val="auto"/>
        </w:rPr>
        <w:t/>
      </w:r>
    </w:p>
    <w:p>
      <w:pPr>
        <w:spacing w:after="0" w:line="267" w:lineRule="exact"/>
        <w:rPr>
          <w:sz w:val="20"/>
          <w:szCs w:val="20"/>
          <w:color w:val="auto"/>
        </w:rPr>
      </w:pPr>
    </w:p>
    <w:p>
      <w:pPr>
        <w:ind w:left="2140" w:hanging="710"/>
        <w:spacing w:after="0"/>
        <w:tabs>
          <w:tab w:leader="none" w:pos="21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Exhibits:</w:t>
      </w:r>
    </w:p>
    <w:p>
      <w:pPr>
        <w:spacing w:after="0" w:line="2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The documents listed below are filed (or furnished, as noted) as exhibits to this Annual Report on Form 10-K:</w:t>
      </w:r>
    </w:p>
    <w:p>
      <w:pPr>
        <w:sectPr>
          <w:pgSz w:w="12240" w:h="15840" w:orient="portrait"/>
          <w:cols w:equalWidth="0" w:num="1">
            <w:col w:w="9780"/>
          </w:cols>
          <w:pgMar w:left="1180" w:top="852"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9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780"/>
          </w:cols>
          <w:pgMar w:left="1180" w:top="852" w:right="1280" w:bottom="0" w:gutter="0" w:footer="0" w:header="0"/>
          <w:type w:val="continuous"/>
        </w:sectPr>
      </w:pPr>
    </w:p>
    <w:bookmarkStart w:id="96" w:name="page97"/>
    <w:bookmarkEnd w:id="96"/>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4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Exhibit/A</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216"/>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w:t>
            </w: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ppendix</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w:t>
            </w:r>
          </w:p>
        </w:tc>
        <w:tc>
          <w:tcPr>
            <w:tcW w:w="0" w:type="dxa"/>
            <w:vAlign w:val="bottom"/>
          </w:tcPr>
          <w:p>
            <w:pPr>
              <w:spacing w:after="0"/>
              <w:rPr>
                <w:sz w:val="1"/>
                <w:szCs w:val="1"/>
                <w:color w:val="auto"/>
              </w:rPr>
            </w:pPr>
          </w:p>
        </w:tc>
      </w:tr>
      <w:tr>
        <w:trPr>
          <w:trHeight w:val="240"/>
        </w:trPr>
        <w:tc>
          <w:tcPr>
            <w:tcW w:w="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20"/>
          </w:tcPr>
          <w:p>
            <w:pPr>
              <w:ind w:left="2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80" w:type="dxa"/>
            <w:vAlign w:val="bottom"/>
          </w:tcPr>
          <w:p>
            <w:pPr>
              <w:spacing w:after="0"/>
              <w:rPr>
                <w:sz w:val="20"/>
                <w:szCs w:val="20"/>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0" w:type="dxa"/>
            <w:vAlign w:val="bottom"/>
          </w:tcPr>
          <w:p>
            <w:pPr>
              <w:spacing w:after="0"/>
              <w:rPr>
                <w:sz w:val="1"/>
                <w:szCs w:val="1"/>
                <w:color w:val="auto"/>
              </w:rPr>
            </w:pPr>
          </w:p>
        </w:tc>
      </w:tr>
      <w:tr>
        <w:trPr>
          <w:trHeight w:val="40"/>
        </w:trPr>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4"/>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Asset Purchase Agreement, dated as of</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282828"/>
          </w:tcPr>
          <w:p>
            <w:pPr>
              <w:spacing w:after="0" w:line="20" w:lineRule="exact"/>
              <w:rPr>
                <w:sz w:val="1"/>
                <w:szCs w:val="1"/>
                <w:color w:val="auto"/>
              </w:rPr>
            </w:pPr>
          </w:p>
        </w:tc>
        <w:tc>
          <w:tcPr>
            <w:tcW w:w="100" w:type="dxa"/>
            <w:vAlign w:val="bottom"/>
            <w:shd w:val="clear" w:color="auto" w:fill="282828"/>
          </w:tcPr>
          <w:p>
            <w:pPr>
              <w:spacing w:after="0" w:line="20" w:lineRule="exact"/>
              <w:rPr>
                <w:sz w:val="1"/>
                <w:szCs w:val="1"/>
                <w:color w:val="auto"/>
              </w:rPr>
            </w:pPr>
          </w:p>
        </w:tc>
        <w:tc>
          <w:tcPr>
            <w:tcW w:w="380" w:type="dxa"/>
            <w:vAlign w:val="bottom"/>
            <w:shd w:val="clear" w:color="auto" w:fill="282828"/>
          </w:tcPr>
          <w:p>
            <w:pPr>
              <w:spacing w:after="0" w:line="20" w:lineRule="exact"/>
              <w:rPr>
                <w:sz w:val="1"/>
                <w:szCs w:val="1"/>
                <w:color w:val="auto"/>
              </w:rPr>
            </w:pPr>
          </w:p>
        </w:tc>
        <w:tc>
          <w:tcPr>
            <w:tcW w:w="60" w:type="dxa"/>
            <w:vAlign w:val="bottom"/>
            <w:shd w:val="clear" w:color="auto" w:fill="282828"/>
          </w:tcPr>
          <w:p>
            <w:pPr>
              <w:spacing w:after="0" w:line="20" w:lineRule="exact"/>
              <w:rPr>
                <w:sz w:val="1"/>
                <w:szCs w:val="1"/>
                <w:color w:val="auto"/>
              </w:rPr>
            </w:pPr>
          </w:p>
        </w:tc>
        <w:tc>
          <w:tcPr>
            <w:tcW w:w="120" w:type="dxa"/>
            <w:vAlign w:val="bottom"/>
            <w:shd w:val="clear" w:color="auto" w:fill="282828"/>
          </w:tcPr>
          <w:p>
            <w:pPr>
              <w:spacing w:after="0" w:line="20" w:lineRule="exact"/>
              <w:rPr>
                <w:sz w:val="1"/>
                <w:szCs w:val="1"/>
                <w:color w:val="auto"/>
              </w:rPr>
            </w:pPr>
          </w:p>
        </w:tc>
        <w:tc>
          <w:tcPr>
            <w:tcW w:w="440" w:type="dxa"/>
            <w:vAlign w:val="bottom"/>
            <w:shd w:val="clear" w:color="auto" w:fill="282828"/>
          </w:tcPr>
          <w:p>
            <w:pPr>
              <w:spacing w:after="0" w:line="20" w:lineRule="exact"/>
              <w:rPr>
                <w:sz w:val="1"/>
                <w:szCs w:val="1"/>
                <w:color w:val="auto"/>
              </w:rPr>
            </w:pPr>
          </w:p>
        </w:tc>
        <w:tc>
          <w:tcPr>
            <w:tcW w:w="1620" w:type="dxa"/>
            <w:vAlign w:val="bottom"/>
            <w:shd w:val="clear" w:color="auto" w:fill="282828"/>
          </w:tcPr>
          <w:p>
            <w:pPr>
              <w:spacing w:after="0" w:line="20" w:lineRule="exact"/>
              <w:rPr>
                <w:sz w:val="1"/>
                <w:szCs w:val="1"/>
                <w:color w:val="auto"/>
              </w:rPr>
            </w:pPr>
          </w:p>
        </w:tc>
        <w:tc>
          <w:tcPr>
            <w:tcW w:w="80" w:type="dxa"/>
            <w:vAlign w:val="bottom"/>
            <w:shd w:val="clear" w:color="auto" w:fill="28282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2.1*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60" w:type="dxa"/>
            <w:vAlign w:val="bottom"/>
            <w:tcBorders>
              <w:bottom w:val="single" w:sz="8" w:color="282828"/>
            </w:tcBorders>
            <w:gridSpan w:val="11"/>
          </w:tcPr>
          <w:p>
            <w:pPr>
              <w:spacing w:after="0" w:line="220" w:lineRule="exact"/>
              <w:rPr>
                <w:sz w:val="20"/>
                <w:szCs w:val="20"/>
                <w:color w:val="auto"/>
              </w:rPr>
            </w:pPr>
            <w:r>
              <w:rPr>
                <w:rFonts w:ascii="Times New Roman" w:cs="Times New Roman" w:eastAsia="Times New Roman" w:hAnsi="Times New Roman"/>
                <w:sz w:val="20"/>
                <w:szCs w:val="20"/>
                <w:color w:val="282828"/>
                <w:w w:val="99"/>
              </w:rPr>
              <w:t>February 4, 2026, by and between SiTime</w:t>
            </w:r>
          </w:p>
        </w:tc>
        <w:tc>
          <w:tcPr>
            <w:tcW w:w="620" w:type="dxa"/>
            <w:vAlign w:val="bottom"/>
            <w:gridSpan w:val="14"/>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8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80" w:type="dxa"/>
            <w:vAlign w:val="bottom"/>
            <w:gridSpan w:val="25"/>
            <w:vMerge w:val="restart"/>
          </w:tcPr>
          <w:p>
            <w:pPr>
              <w:spacing w:after="0" w:line="220" w:lineRule="exact"/>
              <w:rPr>
                <w:sz w:val="20"/>
                <w:szCs w:val="20"/>
                <w:color w:val="auto"/>
              </w:rPr>
            </w:pPr>
            <w:r>
              <w:rPr>
                <w:rFonts w:ascii="Times New Roman" w:cs="Times New Roman" w:eastAsia="Times New Roman" w:hAnsi="Times New Roman"/>
                <w:sz w:val="20"/>
                <w:szCs w:val="20"/>
                <w:color w:val="282828"/>
              </w:rPr>
              <w:t>Corporation and Renesas Electronics America</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980" w:type="dxa"/>
            <w:vAlign w:val="bottom"/>
            <w:gridSpan w:val="25"/>
            <w:vMerge w:val="continue"/>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282828"/>
              <w:bottom w:val="single" w:sz="8" w:color="282828"/>
            </w:tcBorders>
          </w:tcPr>
          <w:p>
            <w:pPr>
              <w:spacing w:after="0" w:line="220" w:lineRule="exact"/>
              <w:rPr>
                <w:sz w:val="20"/>
                <w:szCs w:val="20"/>
                <w:color w:val="auto"/>
              </w:rPr>
            </w:pPr>
            <w:r>
              <w:rPr>
                <w:rFonts w:ascii="Times New Roman" w:cs="Times New Roman" w:eastAsia="Times New Roman" w:hAnsi="Times New Roman"/>
                <w:sz w:val="20"/>
                <w:szCs w:val="20"/>
                <w:color w:val="282828"/>
                <w:w w:val="91"/>
              </w:rPr>
              <w:t>Inc.</w:t>
            </w:r>
          </w:p>
        </w:tc>
        <w:tc>
          <w:tcPr>
            <w:tcW w:w="3380" w:type="dxa"/>
            <w:vAlign w:val="bottom"/>
            <w:tcBorders>
              <w:top w:val="single" w:sz="8" w:color="282828"/>
            </w:tcBorders>
            <w:gridSpan w:val="19"/>
          </w:tcPr>
          <w:p>
            <w:pPr>
              <w:spacing w:after="0"/>
              <w:rPr>
                <w:sz w:val="19"/>
                <w:szCs w:val="19"/>
                <w:color w:val="auto"/>
              </w:rPr>
            </w:pPr>
          </w:p>
        </w:tc>
        <w:tc>
          <w:tcPr>
            <w:tcW w:w="300" w:type="dxa"/>
            <w:vAlign w:val="bottom"/>
            <w:gridSpan w:val="5"/>
          </w:tcPr>
          <w:p>
            <w:pPr>
              <w:spacing w:after="0"/>
              <w:rPr>
                <w:sz w:val="19"/>
                <w:szCs w:val="19"/>
                <w:color w:val="auto"/>
              </w:rPr>
            </w:pPr>
          </w:p>
        </w:tc>
        <w:tc>
          <w:tcPr>
            <w:tcW w:w="68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rPr>
              <w:t>8-K</w:t>
            </w:r>
          </w:p>
        </w:tc>
        <w:tc>
          <w:tcPr>
            <w:tcW w:w="128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rPr>
              <w:t>001-39135</w:t>
            </w:r>
          </w:p>
        </w:tc>
        <w:tc>
          <w:tcPr>
            <w:tcW w:w="94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rPr>
              <w:t>2.1</w:t>
            </w:r>
          </w:p>
        </w:tc>
        <w:tc>
          <w:tcPr>
            <w:tcW w:w="110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w w:val="98"/>
              </w:rPr>
              <w:t>2/4/2026</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5"/>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3.1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80" w:type="dxa"/>
            <w:vAlign w:val="bottom"/>
            <w:tcBorders>
              <w:bottom w:val="single" w:sz="8" w:color="282828"/>
            </w:tcBorders>
            <w:gridSpan w:val="22"/>
          </w:tcPr>
          <w:p>
            <w:pPr>
              <w:spacing w:after="0"/>
              <w:rPr>
                <w:sz w:val="20"/>
                <w:szCs w:val="20"/>
                <w:color w:val="auto"/>
              </w:rPr>
            </w:pPr>
            <w:r>
              <w:rPr>
                <w:rFonts w:ascii="Times New Roman" w:cs="Times New Roman" w:eastAsia="Times New Roman" w:hAnsi="Times New Roman"/>
                <w:sz w:val="20"/>
                <w:szCs w:val="20"/>
                <w:color w:val="282828"/>
                <w:w w:val="98"/>
              </w:rPr>
              <w:t>Restated Certificate of Incorporation of SiTime</w:t>
            </w:r>
          </w:p>
        </w:tc>
        <w:tc>
          <w:tcPr>
            <w:tcW w:w="20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11/26/201</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8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5"/>
            <w:vMerge w:val="restart"/>
          </w:tcPr>
          <w:p>
            <w:pPr>
              <w:spacing w:after="0" w:line="220" w:lineRule="exact"/>
              <w:rPr>
                <w:sz w:val="20"/>
                <w:szCs w:val="20"/>
                <w:color w:val="auto"/>
              </w:rPr>
            </w:pPr>
            <w:r>
              <w:rPr>
                <w:rFonts w:ascii="Times New Roman" w:cs="Times New Roman" w:eastAsia="Times New Roman" w:hAnsi="Times New Roman"/>
                <w:sz w:val="20"/>
                <w:szCs w:val="20"/>
                <w:color w:val="282828"/>
                <w:w w:val="97"/>
              </w:rPr>
              <w:t>Corporation</w:t>
            </w:r>
          </w:p>
        </w:tc>
        <w:tc>
          <w:tcPr>
            <w:tcW w:w="3020" w:type="dxa"/>
            <w:vAlign w:val="bottom"/>
            <w:gridSpan w:val="20"/>
            <w:vMerge w:val="restart"/>
          </w:tcPr>
          <w:p>
            <w:pPr>
              <w:spacing w:after="0"/>
              <w:rPr>
                <w:sz w:val="10"/>
                <w:szCs w:val="10"/>
                <w:color w:val="auto"/>
              </w:rPr>
            </w:pPr>
          </w:p>
        </w:tc>
        <w:tc>
          <w:tcPr>
            <w:tcW w:w="680" w:type="dxa"/>
            <w:vAlign w:val="bottom"/>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auto"/>
              </w:rPr>
              <w:t>8-K</w:t>
            </w:r>
          </w:p>
        </w:tc>
        <w:tc>
          <w:tcPr>
            <w:tcW w:w="1280" w:type="dxa"/>
            <w:vAlign w:val="bottom"/>
            <w:gridSpan w:val="2"/>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auto"/>
              </w:rPr>
              <w:t>001-39135</w:t>
            </w:r>
          </w:p>
        </w:tc>
        <w:tc>
          <w:tcPr>
            <w:tcW w:w="940" w:type="dxa"/>
            <w:vAlign w:val="bottom"/>
            <w:gridSpan w:val="2"/>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auto"/>
              </w:rPr>
              <w:t>3.1</w:t>
            </w:r>
          </w:p>
        </w:tc>
        <w:tc>
          <w:tcPr>
            <w:tcW w:w="1100" w:type="dxa"/>
            <w:vAlign w:val="bottom"/>
            <w:gridSpan w:val="2"/>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9</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Borders>
              <w:bottom w:val="single" w:sz="8" w:color="282828"/>
            </w:tcBorders>
            <w:gridSpan w:val="5"/>
            <w:vMerge w:val="continue"/>
          </w:tcPr>
          <w:p>
            <w:pPr>
              <w:spacing w:after="0"/>
              <w:rPr>
                <w:sz w:val="9"/>
                <w:szCs w:val="9"/>
                <w:color w:val="auto"/>
              </w:rPr>
            </w:pPr>
          </w:p>
        </w:tc>
        <w:tc>
          <w:tcPr>
            <w:tcW w:w="3020" w:type="dxa"/>
            <w:vAlign w:val="bottom"/>
            <w:gridSpan w:val="20"/>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4"/>
        </w:trPr>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40" w:type="dxa"/>
            <w:vAlign w:val="bottom"/>
            <w:tcBorders>
              <w:bottom w:val="single" w:sz="8" w:color="282828"/>
            </w:tcBorders>
            <w:gridSpan w:val="23"/>
          </w:tcPr>
          <w:p>
            <w:pPr>
              <w:spacing w:after="0"/>
              <w:rPr>
                <w:sz w:val="20"/>
                <w:szCs w:val="20"/>
                <w:color w:val="auto"/>
              </w:rPr>
            </w:pPr>
            <w:r>
              <w:rPr>
                <w:rFonts w:ascii="Times New Roman" w:cs="Times New Roman" w:eastAsia="Times New Roman" w:hAnsi="Times New Roman"/>
                <w:sz w:val="20"/>
                <w:szCs w:val="20"/>
                <w:color w:val="282828"/>
                <w:w w:val="99"/>
              </w:rPr>
              <w:t>Amended and Restated Bylaws of the Company</w:t>
            </w:r>
          </w:p>
        </w:tc>
        <w:tc>
          <w:tcPr>
            <w:tcW w:w="140" w:type="dxa"/>
            <w:vAlign w:val="bottom"/>
            <w:gridSpan w:val="2"/>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001-39135</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3.2</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6/29/2021</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4.1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60" w:type="dxa"/>
            <w:vAlign w:val="bottom"/>
            <w:tcBorders>
              <w:bottom w:val="single" w:sz="8" w:color="282828"/>
            </w:tcBorders>
            <w:gridSpan w:val="11"/>
          </w:tcPr>
          <w:p>
            <w:pPr>
              <w:spacing w:after="0"/>
              <w:rPr>
                <w:sz w:val="20"/>
                <w:szCs w:val="20"/>
                <w:color w:val="auto"/>
              </w:rPr>
            </w:pPr>
            <w:r>
              <w:rPr>
                <w:rFonts w:ascii="Times New Roman" w:cs="Times New Roman" w:eastAsia="Times New Roman" w:hAnsi="Times New Roman"/>
                <w:sz w:val="20"/>
                <w:szCs w:val="20"/>
                <w:color w:val="282828"/>
                <w:w w:val="99"/>
              </w:rPr>
              <w:t>Form of Common Stock Certificate of the</w:t>
            </w:r>
          </w:p>
        </w:tc>
        <w:tc>
          <w:tcPr>
            <w:tcW w:w="620" w:type="dxa"/>
            <w:vAlign w:val="bottom"/>
            <w:gridSpan w:val="14"/>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10/23/201</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282828"/>
                <w:w w:val="97"/>
              </w:rPr>
              <w:t>Company</w:t>
            </w:r>
          </w:p>
        </w:tc>
        <w:tc>
          <w:tcPr>
            <w:tcW w:w="3200" w:type="dxa"/>
            <w:vAlign w:val="bottom"/>
            <w:gridSpan w:val="22"/>
            <w:vMerge w:val="restart"/>
          </w:tcPr>
          <w:p>
            <w:pPr>
              <w:spacing w:after="0"/>
              <w:rPr>
                <w:sz w:val="10"/>
                <w:szCs w:val="10"/>
                <w:color w:val="auto"/>
              </w:rPr>
            </w:pPr>
          </w:p>
        </w:tc>
        <w:tc>
          <w:tcPr>
            <w:tcW w:w="680" w:type="dxa"/>
            <w:vAlign w:val="bottom"/>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auto"/>
              </w:rPr>
              <w:t>S-1</w:t>
            </w:r>
          </w:p>
        </w:tc>
        <w:tc>
          <w:tcPr>
            <w:tcW w:w="1280" w:type="dxa"/>
            <w:vAlign w:val="bottom"/>
            <w:gridSpan w:val="2"/>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333-234305</w:t>
            </w:r>
          </w:p>
        </w:tc>
        <w:tc>
          <w:tcPr>
            <w:tcW w:w="940" w:type="dxa"/>
            <w:vAlign w:val="bottom"/>
            <w:gridSpan w:val="2"/>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auto"/>
              </w:rPr>
              <w:t>4.1</w:t>
            </w:r>
          </w:p>
        </w:tc>
        <w:tc>
          <w:tcPr>
            <w:tcW w:w="1100" w:type="dxa"/>
            <w:vAlign w:val="bottom"/>
            <w:gridSpan w:val="2"/>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9</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Borders>
              <w:bottom w:val="single" w:sz="8" w:color="282828"/>
            </w:tcBorders>
            <w:gridSpan w:val="3"/>
            <w:vMerge w:val="continue"/>
          </w:tcPr>
          <w:p>
            <w:pPr>
              <w:spacing w:after="0"/>
              <w:rPr>
                <w:sz w:val="8"/>
                <w:szCs w:val="8"/>
                <w:color w:val="auto"/>
              </w:rPr>
            </w:pPr>
          </w:p>
        </w:tc>
        <w:tc>
          <w:tcPr>
            <w:tcW w:w="3200" w:type="dxa"/>
            <w:vAlign w:val="bottom"/>
            <w:gridSpan w:val="2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5"/>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4.2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tcBorders>
              <w:bottom w:val="single" w:sz="8" w:color="282828"/>
            </w:tcBorders>
            <w:gridSpan w:val="19"/>
          </w:tcPr>
          <w:p>
            <w:pPr>
              <w:spacing w:after="0"/>
              <w:rPr>
                <w:sz w:val="20"/>
                <w:szCs w:val="20"/>
                <w:color w:val="auto"/>
              </w:rPr>
            </w:pPr>
            <w:r>
              <w:rPr>
                <w:rFonts w:ascii="Times New Roman" w:cs="Times New Roman" w:eastAsia="Times New Roman" w:hAnsi="Times New Roman"/>
                <w:sz w:val="20"/>
                <w:szCs w:val="20"/>
                <w:color w:val="282828"/>
                <w:w w:val="99"/>
              </w:rPr>
              <w:t>Description of Securities Registered Pursuant</w:t>
            </w:r>
          </w:p>
        </w:tc>
        <w:tc>
          <w:tcPr>
            <w:tcW w:w="34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80" w:type="dxa"/>
            <w:vAlign w:val="bottom"/>
            <w:gridSpan w:val="25"/>
          </w:tcPr>
          <w:p>
            <w:pPr>
              <w:spacing w:after="0" w:line="220" w:lineRule="exact"/>
              <w:rPr>
                <w:sz w:val="20"/>
                <w:szCs w:val="20"/>
                <w:color w:val="auto"/>
              </w:rPr>
            </w:pPr>
            <w:r>
              <w:rPr>
                <w:rFonts w:ascii="Times New Roman" w:cs="Times New Roman" w:eastAsia="Times New Roman" w:hAnsi="Times New Roman"/>
                <w:sz w:val="20"/>
                <w:szCs w:val="20"/>
                <w:color w:val="282828"/>
              </w:rPr>
              <w:t>to Section 12 of the Securities Exchange Act of</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2"/>
            <w:shd w:val="clear" w:color="auto" w:fill="282828"/>
          </w:tcPr>
          <w:p>
            <w:pPr>
              <w:spacing w:after="0" w:line="20" w:lineRule="exact"/>
              <w:rPr>
                <w:sz w:val="1"/>
                <w:szCs w:val="1"/>
                <w:color w:val="auto"/>
              </w:rPr>
            </w:pPr>
          </w:p>
        </w:tc>
        <w:tc>
          <w:tcPr>
            <w:tcW w:w="380" w:type="dxa"/>
            <w:vAlign w:val="bottom"/>
            <w:shd w:val="clear" w:color="auto" w:fill="282828"/>
          </w:tcPr>
          <w:p>
            <w:pPr>
              <w:spacing w:after="0" w:line="20" w:lineRule="exact"/>
              <w:rPr>
                <w:sz w:val="1"/>
                <w:szCs w:val="1"/>
                <w:color w:val="auto"/>
              </w:rPr>
            </w:pPr>
          </w:p>
        </w:tc>
        <w:tc>
          <w:tcPr>
            <w:tcW w:w="60" w:type="dxa"/>
            <w:vAlign w:val="bottom"/>
            <w:shd w:val="clear" w:color="auto" w:fill="282828"/>
          </w:tcPr>
          <w:p>
            <w:pPr>
              <w:spacing w:after="0" w:line="20" w:lineRule="exact"/>
              <w:rPr>
                <w:sz w:val="1"/>
                <w:szCs w:val="1"/>
                <w:color w:val="auto"/>
              </w:rPr>
            </w:pPr>
          </w:p>
        </w:tc>
        <w:tc>
          <w:tcPr>
            <w:tcW w:w="120" w:type="dxa"/>
            <w:vAlign w:val="bottom"/>
            <w:shd w:val="clear" w:color="auto" w:fill="282828"/>
          </w:tcPr>
          <w:p>
            <w:pPr>
              <w:spacing w:after="0" w:line="20" w:lineRule="exact"/>
              <w:rPr>
                <w:sz w:val="1"/>
                <w:szCs w:val="1"/>
                <w:color w:val="auto"/>
              </w:rPr>
            </w:pPr>
          </w:p>
        </w:tc>
        <w:tc>
          <w:tcPr>
            <w:tcW w:w="440" w:type="dxa"/>
            <w:vAlign w:val="bottom"/>
            <w:shd w:val="clear" w:color="auto" w:fill="282828"/>
          </w:tcPr>
          <w:p>
            <w:pPr>
              <w:spacing w:after="0" w:line="20" w:lineRule="exact"/>
              <w:rPr>
                <w:sz w:val="1"/>
                <w:szCs w:val="1"/>
                <w:color w:val="auto"/>
              </w:rPr>
            </w:pPr>
          </w:p>
        </w:tc>
        <w:tc>
          <w:tcPr>
            <w:tcW w:w="1620" w:type="dxa"/>
            <w:vAlign w:val="bottom"/>
            <w:shd w:val="clear" w:color="auto" w:fill="282828"/>
          </w:tcPr>
          <w:p>
            <w:pPr>
              <w:spacing w:after="0" w:line="20" w:lineRule="exact"/>
              <w:rPr>
                <w:sz w:val="1"/>
                <w:szCs w:val="1"/>
                <w:color w:val="auto"/>
              </w:rPr>
            </w:pPr>
          </w:p>
        </w:tc>
        <w:tc>
          <w:tcPr>
            <w:tcW w:w="80" w:type="dxa"/>
            <w:vAlign w:val="bottom"/>
            <w:shd w:val="clear" w:color="auto" w:fill="282828"/>
          </w:tcPr>
          <w:p>
            <w:pPr>
              <w:spacing w:after="0" w:line="20" w:lineRule="exact"/>
              <w:rPr>
                <w:sz w:val="1"/>
                <w:szCs w:val="1"/>
                <w:color w:val="auto"/>
              </w:rPr>
            </w:pPr>
          </w:p>
        </w:tc>
        <w:tc>
          <w:tcPr>
            <w:tcW w:w="160" w:type="dxa"/>
            <w:vAlign w:val="bottom"/>
            <w:shd w:val="clear" w:color="auto" w:fill="282828"/>
          </w:tcPr>
          <w:p>
            <w:pPr>
              <w:spacing w:after="0" w:line="20" w:lineRule="exact"/>
              <w:rPr>
                <w:sz w:val="1"/>
                <w:szCs w:val="1"/>
                <w:color w:val="auto"/>
              </w:rPr>
            </w:pPr>
          </w:p>
        </w:tc>
        <w:tc>
          <w:tcPr>
            <w:tcW w:w="8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8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8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40" w:type="dxa"/>
            <w:vAlign w:val="bottom"/>
            <w:shd w:val="clear" w:color="auto" w:fill="282828"/>
          </w:tcPr>
          <w:p>
            <w:pPr>
              <w:spacing w:after="0" w:line="20" w:lineRule="exact"/>
              <w:rPr>
                <w:sz w:val="1"/>
                <w:szCs w:val="1"/>
                <w:color w:val="auto"/>
              </w:rPr>
            </w:pPr>
          </w:p>
        </w:tc>
        <w:tc>
          <w:tcPr>
            <w:tcW w:w="40" w:type="dxa"/>
            <w:vAlign w:val="bottom"/>
            <w:shd w:val="clear" w:color="auto" w:fill="282828"/>
          </w:tcPr>
          <w:p>
            <w:pPr>
              <w:spacing w:after="0" w:line="20" w:lineRule="exact"/>
              <w:rPr>
                <w:sz w:val="1"/>
                <w:szCs w:val="1"/>
                <w:color w:val="auto"/>
              </w:rPr>
            </w:pPr>
          </w:p>
        </w:tc>
        <w:tc>
          <w:tcPr>
            <w:tcW w:w="60" w:type="dxa"/>
            <w:vAlign w:val="bottom"/>
            <w:tcBorders>
              <w:right w:val="single" w:sz="8" w:color="282828"/>
            </w:tcBorders>
            <w:shd w:val="clear" w:color="auto" w:fill="28282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80" w:type="dxa"/>
            <w:vAlign w:val="bottom"/>
          </w:tcPr>
          <w:p>
            <w:pPr>
              <w:spacing w:after="0"/>
              <w:rPr>
                <w:sz w:val="19"/>
                <w:szCs w:val="19"/>
                <w:color w:val="auto"/>
              </w:rPr>
            </w:pPr>
          </w:p>
        </w:tc>
        <w:tc>
          <w:tcPr>
            <w:tcW w:w="540" w:type="dxa"/>
            <w:vAlign w:val="bottom"/>
            <w:gridSpan w:val="4"/>
          </w:tcPr>
          <w:p>
            <w:pPr>
              <w:ind w:left="140"/>
              <w:spacing w:after="0" w:line="220" w:lineRule="exact"/>
              <w:rPr>
                <w:sz w:val="20"/>
                <w:szCs w:val="20"/>
                <w:color w:val="auto"/>
              </w:rPr>
            </w:pPr>
            <w:r>
              <w:rPr>
                <w:rFonts w:ascii="Times New Roman" w:cs="Times New Roman" w:eastAsia="Times New Roman" w:hAnsi="Times New Roman"/>
                <w:sz w:val="20"/>
                <w:szCs w:val="20"/>
                <w:color w:val="282828"/>
                <w:w w:val="94"/>
              </w:rPr>
              <w:t>1934</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rPr>
              <w:t>001-39135</w:t>
            </w:r>
          </w:p>
        </w:tc>
        <w:tc>
          <w:tcPr>
            <w:tcW w:w="94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rPr>
              <w:t>4.2</w:t>
            </w:r>
          </w:p>
        </w:tc>
        <w:tc>
          <w:tcPr>
            <w:tcW w:w="110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rPr>
              <w:t>2/16/2021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shd w:val="clear" w:color="auto" w:fill="282828"/>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10.1+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20" w:type="dxa"/>
            <w:vAlign w:val="bottom"/>
            <w:tcBorders>
              <w:bottom w:val="single" w:sz="8" w:color="282828"/>
            </w:tcBorders>
            <w:gridSpan w:val="18"/>
          </w:tcPr>
          <w:p>
            <w:pPr>
              <w:spacing w:after="0"/>
              <w:rPr>
                <w:sz w:val="20"/>
                <w:szCs w:val="20"/>
                <w:color w:val="auto"/>
              </w:rPr>
            </w:pPr>
            <w:r>
              <w:rPr>
                <w:rFonts w:ascii="Times New Roman" w:cs="Times New Roman" w:eastAsia="Times New Roman" w:hAnsi="Times New Roman"/>
                <w:sz w:val="20"/>
                <w:szCs w:val="20"/>
                <w:color w:val="282828"/>
                <w:w w:val="99"/>
              </w:rPr>
              <w:t>Form of Indemnification Agreement between</w:t>
            </w:r>
          </w:p>
        </w:tc>
        <w:tc>
          <w:tcPr>
            <w:tcW w:w="360" w:type="dxa"/>
            <w:vAlign w:val="bottom"/>
            <w:gridSpan w:val="7"/>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8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80" w:type="dxa"/>
            <w:vAlign w:val="bottom"/>
            <w:gridSpan w:val="25"/>
            <w:vMerge w:val="restart"/>
          </w:tcPr>
          <w:p>
            <w:pPr>
              <w:spacing w:after="0" w:line="220" w:lineRule="exact"/>
              <w:rPr>
                <w:sz w:val="20"/>
                <w:szCs w:val="20"/>
                <w:color w:val="auto"/>
              </w:rPr>
            </w:pPr>
            <w:r>
              <w:rPr>
                <w:rFonts w:ascii="Times New Roman" w:cs="Times New Roman" w:eastAsia="Times New Roman" w:hAnsi="Times New Roman"/>
                <w:sz w:val="20"/>
                <w:szCs w:val="20"/>
                <w:color w:val="282828"/>
              </w:rPr>
              <w:t>the Company and its directors and officers</w:t>
            </w:r>
          </w:p>
        </w:tc>
        <w:tc>
          <w:tcPr>
            <w:tcW w:w="680" w:type="dxa"/>
            <w:vAlign w:val="bottom"/>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gridSpan w:val="2"/>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auto"/>
              </w:rPr>
              <w:t>001-39135</w:t>
            </w:r>
          </w:p>
        </w:tc>
        <w:tc>
          <w:tcPr>
            <w:tcW w:w="940" w:type="dxa"/>
            <w:vAlign w:val="bottom"/>
            <w:gridSpan w:val="2"/>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10.1</w:t>
            </w:r>
          </w:p>
        </w:tc>
        <w:tc>
          <w:tcPr>
            <w:tcW w:w="1100" w:type="dxa"/>
            <w:vAlign w:val="bottom"/>
            <w:gridSpan w:val="2"/>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auto"/>
              </w:rPr>
              <w:t>2/16/2021</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980" w:type="dxa"/>
            <w:vAlign w:val="bottom"/>
            <w:gridSpan w:val="25"/>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4"/>
            <w:shd w:val="clear" w:color="auto" w:fill="282828"/>
          </w:tcPr>
          <w:p>
            <w:pPr>
              <w:spacing w:after="0" w:line="20" w:lineRule="exact"/>
              <w:rPr>
                <w:sz w:val="1"/>
                <w:szCs w:val="1"/>
                <w:color w:val="auto"/>
              </w:rPr>
            </w:pPr>
          </w:p>
        </w:tc>
        <w:tc>
          <w:tcPr>
            <w:tcW w:w="560" w:type="dxa"/>
            <w:vAlign w:val="bottom"/>
            <w:gridSpan w:val="2"/>
            <w:shd w:val="clear" w:color="auto" w:fill="282828"/>
          </w:tcPr>
          <w:p>
            <w:pPr>
              <w:spacing w:after="0" w:line="20" w:lineRule="exact"/>
              <w:rPr>
                <w:sz w:val="1"/>
                <w:szCs w:val="1"/>
                <w:color w:val="auto"/>
              </w:rPr>
            </w:pPr>
          </w:p>
        </w:tc>
        <w:tc>
          <w:tcPr>
            <w:tcW w:w="1620" w:type="dxa"/>
            <w:vAlign w:val="bottom"/>
            <w:shd w:val="clear" w:color="auto" w:fill="282828"/>
          </w:tcPr>
          <w:p>
            <w:pPr>
              <w:spacing w:after="0" w:line="20" w:lineRule="exact"/>
              <w:rPr>
                <w:sz w:val="1"/>
                <w:szCs w:val="1"/>
                <w:color w:val="auto"/>
              </w:rPr>
            </w:pPr>
          </w:p>
        </w:tc>
        <w:tc>
          <w:tcPr>
            <w:tcW w:w="240" w:type="dxa"/>
            <w:vAlign w:val="bottom"/>
            <w:gridSpan w:val="2"/>
            <w:shd w:val="clear" w:color="auto" w:fill="282828"/>
          </w:tcPr>
          <w:p>
            <w:pPr>
              <w:spacing w:after="0" w:line="20" w:lineRule="exact"/>
              <w:rPr>
                <w:sz w:val="1"/>
                <w:szCs w:val="1"/>
                <w:color w:val="auto"/>
              </w:rPr>
            </w:pPr>
          </w:p>
        </w:tc>
        <w:tc>
          <w:tcPr>
            <w:tcW w:w="80" w:type="dxa"/>
            <w:vAlign w:val="bottom"/>
            <w:shd w:val="clear" w:color="auto" w:fill="282828"/>
          </w:tcPr>
          <w:p>
            <w:pPr>
              <w:spacing w:after="0" w:line="20" w:lineRule="exact"/>
              <w:rPr>
                <w:sz w:val="1"/>
                <w:szCs w:val="1"/>
                <w:color w:val="auto"/>
              </w:rPr>
            </w:pPr>
          </w:p>
        </w:tc>
        <w:tc>
          <w:tcPr>
            <w:tcW w:w="40" w:type="dxa"/>
            <w:vAlign w:val="bottom"/>
            <w:gridSpan w:val="2"/>
            <w:shd w:val="clear" w:color="auto" w:fill="28282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2019 Stock Incentive Plan and Forms of Stock</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10.2+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720" w:type="dxa"/>
            <w:vAlign w:val="bottom"/>
            <w:tcBorders>
              <w:top w:val="single" w:sz="8" w:color="282828"/>
            </w:tcBorders>
            <w:gridSpan w:val="21"/>
          </w:tcPr>
          <w:p>
            <w:pPr>
              <w:spacing w:after="0" w:line="220" w:lineRule="exact"/>
              <w:rPr>
                <w:sz w:val="20"/>
                <w:szCs w:val="20"/>
                <w:color w:val="auto"/>
              </w:rPr>
            </w:pPr>
            <w:r>
              <w:rPr>
                <w:rFonts w:ascii="Times New Roman" w:cs="Times New Roman" w:eastAsia="Times New Roman" w:hAnsi="Times New Roman"/>
                <w:sz w:val="20"/>
                <w:szCs w:val="20"/>
                <w:color w:val="282828"/>
              </w:rPr>
              <w:t>Option Agreement, Notice of Exercise, Stock</w:t>
            </w:r>
          </w:p>
        </w:tc>
        <w:tc>
          <w:tcPr>
            <w:tcW w:w="260" w:type="dxa"/>
            <w:vAlign w:val="bottom"/>
            <w:gridSpan w:val="4"/>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20" w:type="dxa"/>
            <w:vAlign w:val="bottom"/>
            <w:tcBorders>
              <w:top w:val="single" w:sz="8" w:color="282828"/>
            </w:tcBorders>
            <w:gridSpan w:val="18"/>
          </w:tcPr>
          <w:p>
            <w:pPr>
              <w:spacing w:after="0" w:line="220" w:lineRule="exact"/>
              <w:rPr>
                <w:sz w:val="20"/>
                <w:szCs w:val="20"/>
                <w:color w:val="auto"/>
              </w:rPr>
            </w:pPr>
            <w:r>
              <w:rPr>
                <w:rFonts w:ascii="Times New Roman" w:cs="Times New Roman" w:eastAsia="Times New Roman" w:hAnsi="Times New Roman"/>
                <w:sz w:val="20"/>
                <w:szCs w:val="20"/>
                <w:color w:val="282828"/>
              </w:rPr>
              <w:t>Option Grant Notice, Restricted Stock Unit</w:t>
            </w:r>
          </w:p>
        </w:tc>
        <w:tc>
          <w:tcPr>
            <w:tcW w:w="360" w:type="dxa"/>
            <w:vAlign w:val="bottom"/>
            <w:gridSpan w:val="7"/>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4"/>
            <w:shd w:val="clear" w:color="auto" w:fill="282828"/>
          </w:tcPr>
          <w:p>
            <w:pPr>
              <w:spacing w:after="0" w:line="20" w:lineRule="exact"/>
              <w:rPr>
                <w:sz w:val="1"/>
                <w:szCs w:val="1"/>
                <w:color w:val="auto"/>
              </w:rPr>
            </w:pPr>
          </w:p>
        </w:tc>
        <w:tc>
          <w:tcPr>
            <w:tcW w:w="560" w:type="dxa"/>
            <w:vAlign w:val="bottom"/>
            <w:gridSpan w:val="2"/>
            <w:shd w:val="clear" w:color="auto" w:fill="282828"/>
          </w:tcPr>
          <w:p>
            <w:pPr>
              <w:spacing w:after="0" w:line="20" w:lineRule="exact"/>
              <w:rPr>
                <w:sz w:val="1"/>
                <w:szCs w:val="1"/>
                <w:color w:val="auto"/>
              </w:rPr>
            </w:pPr>
          </w:p>
        </w:tc>
        <w:tc>
          <w:tcPr>
            <w:tcW w:w="1620" w:type="dxa"/>
            <w:vAlign w:val="bottom"/>
            <w:shd w:val="clear" w:color="auto" w:fill="282828"/>
          </w:tcPr>
          <w:p>
            <w:pPr>
              <w:spacing w:after="0" w:line="20" w:lineRule="exact"/>
              <w:rPr>
                <w:sz w:val="1"/>
                <w:szCs w:val="1"/>
                <w:color w:val="auto"/>
              </w:rPr>
            </w:pPr>
          </w:p>
        </w:tc>
        <w:tc>
          <w:tcPr>
            <w:tcW w:w="240" w:type="dxa"/>
            <w:vAlign w:val="bottom"/>
            <w:gridSpan w:val="2"/>
            <w:shd w:val="clear" w:color="auto" w:fill="282828"/>
          </w:tcPr>
          <w:p>
            <w:pPr>
              <w:spacing w:after="0" w:line="20" w:lineRule="exact"/>
              <w:rPr>
                <w:sz w:val="1"/>
                <w:szCs w:val="1"/>
                <w:color w:val="auto"/>
              </w:rPr>
            </w:pPr>
          </w:p>
        </w:tc>
        <w:tc>
          <w:tcPr>
            <w:tcW w:w="80" w:type="dxa"/>
            <w:vAlign w:val="bottom"/>
            <w:shd w:val="clear" w:color="auto" w:fill="282828"/>
          </w:tcPr>
          <w:p>
            <w:pPr>
              <w:spacing w:after="0" w:line="20" w:lineRule="exact"/>
              <w:rPr>
                <w:sz w:val="1"/>
                <w:szCs w:val="1"/>
                <w:color w:val="auto"/>
              </w:rPr>
            </w:pPr>
          </w:p>
        </w:tc>
        <w:tc>
          <w:tcPr>
            <w:tcW w:w="120" w:type="dxa"/>
            <w:vAlign w:val="bottom"/>
            <w:gridSpan w:val="3"/>
            <w:shd w:val="clear" w:color="auto" w:fill="28282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80" w:type="dxa"/>
            <w:vAlign w:val="bottom"/>
            <w:gridSpan w:val="25"/>
          </w:tcPr>
          <w:p>
            <w:pPr>
              <w:spacing w:after="0" w:line="220" w:lineRule="exact"/>
              <w:rPr>
                <w:sz w:val="20"/>
                <w:szCs w:val="20"/>
                <w:color w:val="auto"/>
              </w:rPr>
            </w:pPr>
            <w:r>
              <w:rPr>
                <w:rFonts w:ascii="Times New Roman" w:cs="Times New Roman" w:eastAsia="Times New Roman" w:hAnsi="Times New Roman"/>
                <w:sz w:val="20"/>
                <w:szCs w:val="20"/>
                <w:color w:val="282828"/>
              </w:rPr>
              <w:t>Agreement, and Restricted Stock Agreement</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rPr>
              <w:t>10/23/201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560" w:type="dxa"/>
            <w:vAlign w:val="bottom"/>
            <w:tcBorders>
              <w:top w:val="single" w:sz="8" w:color="282828"/>
            </w:tcBorders>
            <w:gridSpan w:val="15"/>
          </w:tcPr>
          <w:p>
            <w:pPr>
              <w:spacing w:after="0" w:line="220" w:lineRule="exact"/>
              <w:rPr>
                <w:sz w:val="20"/>
                <w:szCs w:val="20"/>
                <w:color w:val="auto"/>
              </w:rPr>
            </w:pPr>
            <w:r>
              <w:rPr>
                <w:rFonts w:ascii="Times New Roman" w:cs="Times New Roman" w:eastAsia="Times New Roman" w:hAnsi="Times New Roman"/>
                <w:sz w:val="20"/>
                <w:szCs w:val="20"/>
                <w:color w:val="282828"/>
              </w:rPr>
              <w:t>thereunder</w:t>
            </w:r>
          </w:p>
        </w:tc>
        <w:tc>
          <w:tcPr>
            <w:tcW w:w="420" w:type="dxa"/>
            <w:vAlign w:val="bottom"/>
            <w:gridSpan w:val="10"/>
          </w:tcPr>
          <w:p>
            <w:pPr>
              <w:spacing w:after="0"/>
              <w:rPr>
                <w:sz w:val="19"/>
                <w:szCs w:val="19"/>
                <w:color w:val="auto"/>
              </w:rPr>
            </w:pPr>
          </w:p>
        </w:tc>
        <w:tc>
          <w:tcPr>
            <w:tcW w:w="68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rPr>
              <w:t>S-1</w:t>
            </w:r>
          </w:p>
        </w:tc>
        <w:tc>
          <w:tcPr>
            <w:tcW w:w="128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333-234305</w:t>
            </w:r>
          </w:p>
        </w:tc>
        <w:tc>
          <w:tcPr>
            <w:tcW w:w="94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10.2</w:t>
            </w:r>
          </w:p>
        </w:tc>
        <w:tc>
          <w:tcPr>
            <w:tcW w:w="110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4"/>
            <w:shd w:val="clear" w:color="auto" w:fill="282828"/>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10.3+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New Terms of Employment, dated October 21,</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20" w:type="dxa"/>
            <w:vAlign w:val="bottom"/>
            <w:tcBorders>
              <w:top w:val="single" w:sz="8" w:color="282828"/>
              <w:bottom w:val="single" w:sz="8" w:color="282828"/>
            </w:tcBorders>
            <w:gridSpan w:val="7"/>
          </w:tcPr>
          <w:p>
            <w:pPr>
              <w:spacing w:after="0" w:line="220" w:lineRule="exact"/>
              <w:rPr>
                <w:sz w:val="20"/>
                <w:szCs w:val="20"/>
                <w:color w:val="auto"/>
              </w:rPr>
            </w:pPr>
            <w:r>
              <w:rPr>
                <w:rFonts w:ascii="Times New Roman" w:cs="Times New Roman" w:eastAsia="Times New Roman" w:hAnsi="Times New Roman"/>
                <w:sz w:val="20"/>
                <w:szCs w:val="20"/>
                <w:color w:val="282828"/>
                <w:w w:val="98"/>
              </w:rPr>
              <w:t>2014, between Rajesh Vashist and the</w:t>
            </w:r>
          </w:p>
        </w:tc>
        <w:tc>
          <w:tcPr>
            <w:tcW w:w="760" w:type="dxa"/>
            <w:vAlign w:val="bottom"/>
            <w:tcBorders>
              <w:top w:val="single" w:sz="8" w:color="282828"/>
            </w:tcBorders>
            <w:gridSpan w:val="15"/>
          </w:tcPr>
          <w:p>
            <w:pPr>
              <w:spacing w:after="0"/>
              <w:rPr>
                <w:sz w:val="19"/>
                <w:szCs w:val="19"/>
                <w:color w:val="auto"/>
              </w:rPr>
            </w:pPr>
          </w:p>
        </w:tc>
        <w:tc>
          <w:tcPr>
            <w:tcW w:w="200" w:type="dxa"/>
            <w:vAlign w:val="bottom"/>
            <w:gridSpan w:val="3"/>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rPr>
              <w:t>10/23/201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bottom w:val="single" w:sz="8" w:color="282828"/>
            </w:tcBorders>
            <w:gridSpan w:val="3"/>
          </w:tcPr>
          <w:p>
            <w:pPr>
              <w:spacing w:after="0" w:line="220" w:lineRule="exact"/>
              <w:rPr>
                <w:sz w:val="20"/>
                <w:szCs w:val="20"/>
                <w:color w:val="auto"/>
              </w:rPr>
            </w:pPr>
            <w:r>
              <w:rPr>
                <w:rFonts w:ascii="Times New Roman" w:cs="Times New Roman" w:eastAsia="Times New Roman" w:hAnsi="Times New Roman"/>
                <w:sz w:val="20"/>
                <w:szCs w:val="20"/>
                <w:color w:val="282828"/>
                <w:w w:val="97"/>
              </w:rPr>
              <w:t>Company</w:t>
            </w:r>
          </w:p>
        </w:tc>
        <w:tc>
          <w:tcPr>
            <w:tcW w:w="3200" w:type="dxa"/>
            <w:vAlign w:val="bottom"/>
            <w:gridSpan w:val="22"/>
          </w:tcPr>
          <w:p>
            <w:pPr>
              <w:spacing w:after="0"/>
              <w:rPr>
                <w:sz w:val="19"/>
                <w:szCs w:val="19"/>
                <w:color w:val="auto"/>
              </w:rPr>
            </w:pPr>
          </w:p>
        </w:tc>
        <w:tc>
          <w:tcPr>
            <w:tcW w:w="68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rPr>
              <w:t>S-1</w:t>
            </w:r>
          </w:p>
        </w:tc>
        <w:tc>
          <w:tcPr>
            <w:tcW w:w="128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333-234305</w:t>
            </w:r>
          </w:p>
        </w:tc>
        <w:tc>
          <w:tcPr>
            <w:tcW w:w="94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10.3</w:t>
            </w:r>
          </w:p>
        </w:tc>
        <w:tc>
          <w:tcPr>
            <w:tcW w:w="110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10.4+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Amendment to Terms of Employment Letter,</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rPr>
              <w:t>10/23/201</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580" w:type="dxa"/>
            <w:vAlign w:val="bottom"/>
            <w:tcBorders>
              <w:top w:val="single" w:sz="8" w:color="282828"/>
              <w:bottom w:val="single" w:sz="8" w:color="282828"/>
            </w:tcBorders>
            <w:gridSpan w:val="16"/>
          </w:tcPr>
          <w:p>
            <w:pPr>
              <w:spacing w:after="0" w:line="221" w:lineRule="exact"/>
              <w:rPr>
                <w:sz w:val="20"/>
                <w:szCs w:val="20"/>
                <w:color w:val="auto"/>
              </w:rPr>
            </w:pPr>
            <w:r>
              <w:rPr>
                <w:rFonts w:ascii="Times New Roman" w:cs="Times New Roman" w:eastAsia="Times New Roman" w:hAnsi="Times New Roman"/>
                <w:sz w:val="20"/>
                <w:szCs w:val="20"/>
                <w:color w:val="282828"/>
                <w:w w:val="98"/>
              </w:rPr>
              <w:t>dated June 14, 2016, between Rajesh Vashist</w:t>
            </w:r>
          </w:p>
        </w:tc>
        <w:tc>
          <w:tcPr>
            <w:tcW w:w="20" w:type="dxa"/>
            <w:vAlign w:val="bottom"/>
            <w:tcBorders>
              <w:top w:val="single" w:sz="8" w:color="282828"/>
            </w:tcBorders>
          </w:tcPr>
          <w:p>
            <w:pPr>
              <w:spacing w:after="0"/>
              <w:rPr>
                <w:sz w:val="19"/>
                <w:szCs w:val="19"/>
                <w:color w:val="auto"/>
              </w:rPr>
            </w:pPr>
          </w:p>
        </w:tc>
        <w:tc>
          <w:tcPr>
            <w:tcW w:w="380" w:type="dxa"/>
            <w:vAlign w:val="bottom"/>
            <w:gridSpan w:val="8"/>
          </w:tcPr>
          <w:p>
            <w:pPr>
              <w:spacing w:after="0"/>
              <w:rPr>
                <w:sz w:val="19"/>
                <w:szCs w:val="19"/>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333-234305</w:t>
            </w: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10.4</w:t>
            </w:r>
          </w:p>
        </w:tc>
        <w:tc>
          <w:tcPr>
            <w:tcW w:w="11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80" w:type="dxa"/>
            <w:vAlign w:val="bottom"/>
            <w:gridSpan w:val="25"/>
          </w:tcPr>
          <w:p>
            <w:pPr>
              <w:spacing w:after="0" w:line="220" w:lineRule="exact"/>
              <w:rPr>
                <w:sz w:val="20"/>
                <w:szCs w:val="20"/>
                <w:color w:val="auto"/>
              </w:rPr>
            </w:pPr>
            <w:r>
              <w:rPr>
                <w:rFonts w:ascii="Times New Roman" w:cs="Times New Roman" w:eastAsia="Times New Roman" w:hAnsi="Times New Roman"/>
                <w:sz w:val="20"/>
                <w:szCs w:val="20"/>
                <w:color w:val="282828"/>
              </w:rPr>
              <w:t>and the Company</w:t>
            </w:r>
          </w:p>
        </w:tc>
        <w:tc>
          <w:tcPr>
            <w:tcW w:w="68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10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6"/>
            <w:shd w:val="clear" w:color="auto" w:fill="282828"/>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10.5+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Offer of Employment, dated September 24,</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60" w:type="dxa"/>
            <w:vAlign w:val="bottom"/>
            <w:gridSpan w:val="9"/>
            <w:shd w:val="clear" w:color="auto" w:fill="282828"/>
          </w:tcPr>
          <w:p>
            <w:pPr>
              <w:spacing w:after="0" w:line="20" w:lineRule="exact"/>
              <w:rPr>
                <w:sz w:val="1"/>
                <w:szCs w:val="1"/>
                <w:color w:val="auto"/>
              </w:rPr>
            </w:pPr>
          </w:p>
        </w:tc>
        <w:tc>
          <w:tcPr>
            <w:tcW w:w="80" w:type="dxa"/>
            <w:vAlign w:val="bottom"/>
            <w:shd w:val="clear" w:color="auto" w:fill="282828"/>
          </w:tcPr>
          <w:p>
            <w:pPr>
              <w:spacing w:after="0" w:line="20" w:lineRule="exact"/>
              <w:rPr>
                <w:sz w:val="1"/>
                <w:szCs w:val="1"/>
                <w:color w:val="auto"/>
              </w:rPr>
            </w:pPr>
          </w:p>
        </w:tc>
        <w:tc>
          <w:tcPr>
            <w:tcW w:w="120" w:type="dxa"/>
            <w:vAlign w:val="bottom"/>
            <w:gridSpan w:val="3"/>
            <w:shd w:val="clear" w:color="auto" w:fill="28282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80" w:type="dxa"/>
            <w:vAlign w:val="bottom"/>
            <w:tcBorders>
              <w:bottom w:val="single" w:sz="8" w:color="282828"/>
            </w:tcBorders>
            <w:gridSpan w:val="14"/>
          </w:tcPr>
          <w:p>
            <w:pPr>
              <w:spacing w:after="0" w:line="220" w:lineRule="exact"/>
              <w:rPr>
                <w:sz w:val="20"/>
                <w:szCs w:val="20"/>
                <w:color w:val="auto"/>
              </w:rPr>
            </w:pPr>
            <w:r>
              <w:rPr>
                <w:rFonts w:ascii="Times New Roman" w:cs="Times New Roman" w:eastAsia="Times New Roman" w:hAnsi="Times New Roman"/>
                <w:sz w:val="20"/>
                <w:szCs w:val="20"/>
                <w:color w:val="282828"/>
                <w:w w:val="99"/>
              </w:rPr>
              <w:t>2019, between Arthur D. Chadwick and the</w:t>
            </w:r>
          </w:p>
        </w:tc>
        <w:tc>
          <w:tcPr>
            <w:tcW w:w="500" w:type="dxa"/>
            <w:vAlign w:val="bottom"/>
            <w:gridSpan w:val="11"/>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rPr>
              <w:t>10/23/201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bottom w:val="single" w:sz="8" w:color="282828"/>
            </w:tcBorders>
            <w:gridSpan w:val="3"/>
          </w:tcPr>
          <w:p>
            <w:pPr>
              <w:spacing w:after="0" w:line="220" w:lineRule="exact"/>
              <w:rPr>
                <w:sz w:val="20"/>
                <w:szCs w:val="20"/>
                <w:color w:val="auto"/>
              </w:rPr>
            </w:pPr>
            <w:r>
              <w:rPr>
                <w:rFonts w:ascii="Times New Roman" w:cs="Times New Roman" w:eastAsia="Times New Roman" w:hAnsi="Times New Roman"/>
                <w:sz w:val="20"/>
                <w:szCs w:val="20"/>
                <w:color w:val="282828"/>
                <w:w w:val="97"/>
              </w:rPr>
              <w:t>Company</w:t>
            </w:r>
          </w:p>
        </w:tc>
        <w:tc>
          <w:tcPr>
            <w:tcW w:w="3200" w:type="dxa"/>
            <w:vAlign w:val="bottom"/>
            <w:gridSpan w:val="22"/>
          </w:tcPr>
          <w:p>
            <w:pPr>
              <w:spacing w:after="0"/>
              <w:rPr>
                <w:sz w:val="19"/>
                <w:szCs w:val="19"/>
                <w:color w:val="auto"/>
              </w:rPr>
            </w:pPr>
          </w:p>
        </w:tc>
        <w:tc>
          <w:tcPr>
            <w:tcW w:w="68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rPr>
              <w:t>S-1</w:t>
            </w:r>
          </w:p>
        </w:tc>
        <w:tc>
          <w:tcPr>
            <w:tcW w:w="128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333-234305</w:t>
            </w:r>
          </w:p>
        </w:tc>
        <w:tc>
          <w:tcPr>
            <w:tcW w:w="94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10.5</w:t>
            </w:r>
          </w:p>
        </w:tc>
        <w:tc>
          <w:tcPr>
            <w:tcW w:w="110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5"/>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10.6+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Offer of Employment, dated January 27, 2018,</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10/23/201</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8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340" w:type="dxa"/>
            <w:vAlign w:val="bottom"/>
            <w:tcBorders>
              <w:top w:val="single" w:sz="8" w:color="282828"/>
            </w:tcBorders>
            <w:gridSpan w:val="10"/>
            <w:vMerge w:val="restart"/>
          </w:tcPr>
          <w:p>
            <w:pPr>
              <w:spacing w:after="0" w:line="220" w:lineRule="exact"/>
              <w:rPr>
                <w:sz w:val="20"/>
                <w:szCs w:val="20"/>
                <w:color w:val="auto"/>
              </w:rPr>
            </w:pPr>
            <w:r>
              <w:rPr>
                <w:rFonts w:ascii="Times New Roman" w:cs="Times New Roman" w:eastAsia="Times New Roman" w:hAnsi="Times New Roman"/>
                <w:sz w:val="20"/>
                <w:szCs w:val="20"/>
                <w:color w:val="282828"/>
                <w:w w:val="99"/>
              </w:rPr>
              <w:t>between Lionel Bonnot and the Company</w:t>
            </w:r>
          </w:p>
        </w:tc>
        <w:tc>
          <w:tcPr>
            <w:tcW w:w="380" w:type="dxa"/>
            <w:vAlign w:val="bottom"/>
            <w:tcBorders>
              <w:top w:val="single" w:sz="8" w:color="282828"/>
            </w:tcBorders>
            <w:gridSpan w:val="11"/>
            <w:vMerge w:val="restart"/>
          </w:tcPr>
          <w:p>
            <w:pPr>
              <w:spacing w:after="0"/>
              <w:rPr>
                <w:sz w:val="10"/>
                <w:szCs w:val="10"/>
                <w:color w:val="auto"/>
              </w:rPr>
            </w:pPr>
          </w:p>
        </w:tc>
        <w:tc>
          <w:tcPr>
            <w:tcW w:w="260" w:type="dxa"/>
            <w:vAlign w:val="bottom"/>
            <w:gridSpan w:val="4"/>
            <w:vMerge w:val="restart"/>
          </w:tcPr>
          <w:p>
            <w:pPr>
              <w:spacing w:after="0"/>
              <w:rPr>
                <w:sz w:val="10"/>
                <w:szCs w:val="10"/>
                <w:color w:val="auto"/>
              </w:rPr>
            </w:pPr>
          </w:p>
        </w:tc>
        <w:tc>
          <w:tcPr>
            <w:tcW w:w="680" w:type="dxa"/>
            <w:vAlign w:val="bottom"/>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auto"/>
              </w:rPr>
              <w:t>S-1</w:t>
            </w:r>
          </w:p>
        </w:tc>
        <w:tc>
          <w:tcPr>
            <w:tcW w:w="1280" w:type="dxa"/>
            <w:vAlign w:val="bottom"/>
            <w:gridSpan w:val="2"/>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333-234305</w:t>
            </w:r>
          </w:p>
        </w:tc>
        <w:tc>
          <w:tcPr>
            <w:tcW w:w="940" w:type="dxa"/>
            <w:vAlign w:val="bottom"/>
            <w:gridSpan w:val="2"/>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10.6</w:t>
            </w:r>
          </w:p>
        </w:tc>
        <w:tc>
          <w:tcPr>
            <w:tcW w:w="1100" w:type="dxa"/>
            <w:vAlign w:val="bottom"/>
            <w:gridSpan w:val="2"/>
            <w:vMerge w:val="restart"/>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9</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340" w:type="dxa"/>
            <w:vAlign w:val="bottom"/>
            <w:tcBorders>
              <w:bottom w:val="single" w:sz="8" w:color="282828"/>
            </w:tcBorders>
            <w:gridSpan w:val="10"/>
            <w:vMerge w:val="continue"/>
          </w:tcPr>
          <w:p>
            <w:pPr>
              <w:spacing w:after="0"/>
              <w:rPr>
                <w:sz w:val="9"/>
                <w:szCs w:val="9"/>
                <w:color w:val="auto"/>
              </w:rPr>
            </w:pPr>
          </w:p>
        </w:tc>
        <w:tc>
          <w:tcPr>
            <w:tcW w:w="380" w:type="dxa"/>
            <w:vAlign w:val="bottom"/>
            <w:gridSpan w:val="11"/>
            <w:vMerge w:val="continue"/>
          </w:tcPr>
          <w:p>
            <w:pPr>
              <w:spacing w:after="0"/>
              <w:rPr>
                <w:sz w:val="9"/>
                <w:szCs w:val="9"/>
                <w:color w:val="auto"/>
              </w:rPr>
            </w:pPr>
          </w:p>
        </w:tc>
        <w:tc>
          <w:tcPr>
            <w:tcW w:w="260" w:type="dxa"/>
            <w:vAlign w:val="bottom"/>
            <w:gridSpan w:val="4"/>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5"/>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10.7+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gridSpan w:val="25"/>
          </w:tcPr>
          <w:p>
            <w:pPr>
              <w:spacing w:after="0"/>
              <w:rPr>
                <w:sz w:val="20"/>
                <w:szCs w:val="20"/>
                <w:color w:val="auto"/>
              </w:rPr>
            </w:pPr>
            <w:r>
              <w:rPr>
                <w:rFonts w:ascii="Times New Roman" w:cs="Times New Roman" w:eastAsia="Times New Roman" w:hAnsi="Times New Roman"/>
                <w:sz w:val="20"/>
                <w:szCs w:val="20"/>
                <w:color w:val="282828"/>
              </w:rPr>
              <w:t>New Terms of Employment, dated October 20,</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780" w:type="dxa"/>
            <w:vAlign w:val="bottom"/>
            <w:tcBorders>
              <w:top w:val="single" w:sz="8" w:color="282828"/>
            </w:tcBorders>
            <w:gridSpan w:val="22"/>
          </w:tcPr>
          <w:p>
            <w:pPr>
              <w:spacing w:after="0" w:line="221" w:lineRule="exact"/>
              <w:rPr>
                <w:sz w:val="20"/>
                <w:szCs w:val="20"/>
                <w:color w:val="auto"/>
              </w:rPr>
            </w:pPr>
            <w:r>
              <w:rPr>
                <w:rFonts w:ascii="Times New Roman" w:cs="Times New Roman" w:eastAsia="Times New Roman" w:hAnsi="Times New Roman"/>
                <w:sz w:val="20"/>
                <w:szCs w:val="20"/>
                <w:color w:val="282828"/>
              </w:rPr>
              <w:t>2014, between Piyush B. Sevalia and the</w:t>
            </w:r>
          </w:p>
        </w:tc>
        <w:tc>
          <w:tcPr>
            <w:tcW w:w="200" w:type="dxa"/>
            <w:vAlign w:val="bottom"/>
            <w:gridSpan w:val="3"/>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gridSpan w:val="2"/>
          </w:tcPr>
          <w:p>
            <w:pPr>
              <w:jc w:val="center"/>
              <w:spacing w:after="0" w:line="221" w:lineRule="exact"/>
              <w:rPr>
                <w:sz w:val="20"/>
                <w:szCs w:val="20"/>
                <w:color w:val="auto"/>
              </w:rPr>
            </w:pPr>
            <w:r>
              <w:rPr>
                <w:rFonts w:ascii="Times New Roman" w:cs="Times New Roman" w:eastAsia="Times New Roman" w:hAnsi="Times New Roman"/>
                <w:sz w:val="20"/>
                <w:szCs w:val="20"/>
                <w:color w:val="auto"/>
              </w:rPr>
              <w:t>10/23/201</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Borders>
              <w:top w:val="single" w:sz="8" w:color="282828"/>
              <w:bottom w:val="single" w:sz="8" w:color="282828"/>
            </w:tcBorders>
            <w:gridSpan w:val="3"/>
          </w:tcPr>
          <w:p>
            <w:pPr>
              <w:spacing w:after="0" w:line="220" w:lineRule="exact"/>
              <w:rPr>
                <w:sz w:val="20"/>
                <w:szCs w:val="20"/>
                <w:color w:val="auto"/>
              </w:rPr>
            </w:pPr>
            <w:r>
              <w:rPr>
                <w:rFonts w:ascii="Times New Roman" w:cs="Times New Roman" w:eastAsia="Times New Roman" w:hAnsi="Times New Roman"/>
                <w:sz w:val="20"/>
                <w:szCs w:val="20"/>
                <w:color w:val="282828"/>
                <w:w w:val="97"/>
              </w:rPr>
              <w:t>Company</w:t>
            </w:r>
          </w:p>
        </w:tc>
        <w:tc>
          <w:tcPr>
            <w:tcW w:w="2480" w:type="dxa"/>
            <w:vAlign w:val="bottom"/>
            <w:tcBorders>
              <w:top w:val="single" w:sz="8" w:color="282828"/>
            </w:tcBorders>
            <w:gridSpan w:val="6"/>
          </w:tcPr>
          <w:p>
            <w:pPr>
              <w:spacing w:after="0"/>
              <w:rPr>
                <w:sz w:val="19"/>
                <w:szCs w:val="19"/>
                <w:color w:val="auto"/>
              </w:rPr>
            </w:pPr>
          </w:p>
        </w:tc>
        <w:tc>
          <w:tcPr>
            <w:tcW w:w="720" w:type="dxa"/>
            <w:vAlign w:val="bottom"/>
            <w:gridSpan w:val="16"/>
          </w:tcPr>
          <w:p>
            <w:pPr>
              <w:spacing w:after="0"/>
              <w:rPr>
                <w:sz w:val="19"/>
                <w:szCs w:val="19"/>
                <w:color w:val="auto"/>
              </w:rPr>
            </w:pPr>
          </w:p>
        </w:tc>
        <w:tc>
          <w:tcPr>
            <w:tcW w:w="680" w:type="dxa"/>
            <w:vAlign w:val="bottom"/>
          </w:tcPr>
          <w:p>
            <w:pPr>
              <w:jc w:val="center"/>
              <w:spacing w:after="0" w:line="220" w:lineRule="exact"/>
              <w:rPr>
                <w:sz w:val="20"/>
                <w:szCs w:val="20"/>
                <w:color w:val="auto"/>
              </w:rPr>
            </w:pPr>
            <w:r>
              <w:rPr>
                <w:rFonts w:ascii="Times New Roman" w:cs="Times New Roman" w:eastAsia="Times New Roman" w:hAnsi="Times New Roman"/>
                <w:sz w:val="20"/>
                <w:szCs w:val="20"/>
                <w:color w:val="auto"/>
              </w:rPr>
              <w:t>S-1</w:t>
            </w:r>
          </w:p>
        </w:tc>
        <w:tc>
          <w:tcPr>
            <w:tcW w:w="128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333-234305</w:t>
            </w:r>
          </w:p>
        </w:tc>
        <w:tc>
          <w:tcPr>
            <w:tcW w:w="94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w w:val="97"/>
              </w:rPr>
              <w:t>10.7</w:t>
            </w:r>
          </w:p>
        </w:tc>
        <w:tc>
          <w:tcPr>
            <w:tcW w:w="1100" w:type="dxa"/>
            <w:vAlign w:val="bottom"/>
            <w:gridSpan w:val="2"/>
          </w:tcPr>
          <w:p>
            <w:pPr>
              <w:jc w:val="center"/>
              <w:spacing w:after="0" w:line="220" w:lineRule="exact"/>
              <w:rPr>
                <w:sz w:val="20"/>
                <w:szCs w:val="20"/>
                <w:color w:val="auto"/>
              </w:rPr>
            </w:pPr>
            <w:r>
              <w:rPr>
                <w:rFonts w:ascii="Times New Roman" w:cs="Times New Roman" w:eastAsia="Times New Roman" w:hAnsi="Times New Roman"/>
                <w:sz w:val="20"/>
                <w:szCs w:val="20"/>
                <w:color w:val="auto"/>
                <w:w w:val="99"/>
              </w:rPr>
              <w:t>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1180" w:top="852"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900"/>
          </w:cols>
          <w:pgMar w:left="1180" w:top="852" w:right="1160" w:bottom="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30"/>
        </w:trPr>
        <w:tc>
          <w:tcPr>
            <w:tcW w:w="860" w:type="dxa"/>
            <w:vAlign w:val="bottom"/>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w w:val="99"/>
              </w:rPr>
              <w:t>10.8+</w:t>
            </w:r>
          </w:p>
        </w:tc>
        <w:tc>
          <w:tcPr>
            <w:tcW w:w="3760" w:type="dxa"/>
            <w:vAlign w:val="bottom"/>
            <w:gridSpan w:val="27"/>
          </w:tcPr>
          <w:p>
            <w:pPr>
              <w:spacing w:after="0"/>
              <w:rPr>
                <w:sz w:val="20"/>
                <w:szCs w:val="20"/>
                <w:color w:val="auto"/>
              </w:rPr>
            </w:pPr>
            <w:r>
              <w:rPr>
                <w:rFonts w:ascii="Times New Roman" w:cs="Times New Roman" w:eastAsia="Times New Roman" w:hAnsi="Times New Roman"/>
                <w:sz w:val="20"/>
                <w:szCs w:val="20"/>
                <w:color w:val="282828"/>
              </w:rPr>
              <w:t>Change of Control and Severance Agreement,</w:t>
            </w:r>
          </w:p>
        </w:tc>
        <w:tc>
          <w:tcPr>
            <w:tcW w:w="0" w:type="dxa"/>
            <w:vAlign w:val="bottom"/>
          </w:tcPr>
          <w:p>
            <w:pPr>
              <w:spacing w:after="0"/>
              <w:rPr>
                <w:sz w:val="1"/>
                <w:szCs w:val="1"/>
                <w:color w:val="auto"/>
              </w:rPr>
            </w:pPr>
          </w:p>
        </w:tc>
      </w:tr>
      <w:tr>
        <w:trPr>
          <w:trHeight w:val="116"/>
        </w:trPr>
        <w:tc>
          <w:tcPr>
            <w:tcW w:w="860" w:type="dxa"/>
            <w:vAlign w:val="bottom"/>
            <w:vMerge w:val="continue"/>
          </w:tcPr>
          <w:p>
            <w:pPr>
              <w:spacing w:after="0"/>
              <w:rPr>
                <w:sz w:val="10"/>
                <w:szCs w:val="10"/>
                <w:color w:val="auto"/>
              </w:rPr>
            </w:pPr>
          </w:p>
        </w:tc>
        <w:tc>
          <w:tcPr>
            <w:tcW w:w="3360" w:type="dxa"/>
            <w:vAlign w:val="bottom"/>
            <w:tcBorders>
              <w:top w:val="single" w:sz="8" w:color="282828"/>
            </w:tcBorders>
            <w:gridSpan w:val="14"/>
            <w:vMerge w:val="restart"/>
          </w:tcPr>
          <w:p>
            <w:pPr>
              <w:spacing w:after="0" w:line="220" w:lineRule="exact"/>
              <w:rPr>
                <w:sz w:val="20"/>
                <w:szCs w:val="20"/>
                <w:color w:val="auto"/>
              </w:rPr>
            </w:pPr>
            <w:r>
              <w:rPr>
                <w:rFonts w:ascii="Times New Roman" w:cs="Times New Roman" w:eastAsia="Times New Roman" w:hAnsi="Times New Roman"/>
                <w:sz w:val="20"/>
                <w:szCs w:val="20"/>
                <w:color w:val="282828"/>
                <w:w w:val="99"/>
              </w:rPr>
              <w:t>between the Company and Rajesh Vashist</w:t>
            </w:r>
          </w:p>
        </w:tc>
        <w:tc>
          <w:tcPr>
            <w:tcW w:w="300" w:type="dxa"/>
            <w:vAlign w:val="bottom"/>
            <w:tcBorders>
              <w:top w:val="single" w:sz="8" w:color="282828"/>
            </w:tcBorders>
            <w:gridSpan w:val="10"/>
            <w:vMerge w:val="restart"/>
          </w:tcPr>
          <w:p>
            <w:pPr>
              <w:spacing w:after="0"/>
              <w:rPr>
                <w:sz w:val="10"/>
                <w:szCs w:val="10"/>
                <w:color w:val="auto"/>
              </w:rPr>
            </w:pPr>
          </w:p>
        </w:tc>
        <w:tc>
          <w:tcPr>
            <w:tcW w:w="10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860" w:type="dxa"/>
            <w:vAlign w:val="bottom"/>
          </w:tcPr>
          <w:p>
            <w:pPr>
              <w:spacing w:after="0"/>
              <w:rPr>
                <w:sz w:val="9"/>
                <w:szCs w:val="9"/>
                <w:color w:val="auto"/>
              </w:rPr>
            </w:pPr>
          </w:p>
        </w:tc>
        <w:tc>
          <w:tcPr>
            <w:tcW w:w="3360" w:type="dxa"/>
            <w:vAlign w:val="bottom"/>
            <w:tcBorders>
              <w:bottom w:val="single" w:sz="8" w:color="282828"/>
            </w:tcBorders>
            <w:gridSpan w:val="14"/>
            <w:vMerge w:val="continue"/>
          </w:tcPr>
          <w:p>
            <w:pPr>
              <w:spacing w:after="0"/>
              <w:rPr>
                <w:sz w:val="9"/>
                <w:szCs w:val="9"/>
                <w:color w:val="auto"/>
              </w:rPr>
            </w:pPr>
          </w:p>
        </w:tc>
        <w:tc>
          <w:tcPr>
            <w:tcW w:w="300" w:type="dxa"/>
            <w:vAlign w:val="bottom"/>
            <w:gridSpan w:val="10"/>
            <w:vMerge w:val="continue"/>
          </w:tcPr>
          <w:p>
            <w:pPr>
              <w:spacing w:after="0"/>
              <w:rPr>
                <w:sz w:val="9"/>
                <w:szCs w:val="9"/>
                <w:color w:val="auto"/>
              </w:rPr>
            </w:pPr>
          </w:p>
        </w:tc>
        <w:tc>
          <w:tcPr>
            <w:tcW w:w="1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5"/>
        </w:trPr>
        <w:tc>
          <w:tcPr>
            <w:tcW w:w="860" w:type="dxa"/>
            <w:vAlign w:val="bottom"/>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w w:val="99"/>
              </w:rPr>
              <w:t>10.9+</w:t>
            </w:r>
          </w:p>
        </w:tc>
        <w:tc>
          <w:tcPr>
            <w:tcW w:w="3400" w:type="dxa"/>
            <w:vAlign w:val="bottom"/>
            <w:tcBorders>
              <w:bottom w:val="single" w:sz="8" w:color="282828"/>
            </w:tcBorders>
            <w:gridSpan w:val="16"/>
          </w:tcPr>
          <w:p>
            <w:pPr>
              <w:spacing w:after="0"/>
              <w:rPr>
                <w:sz w:val="20"/>
                <w:szCs w:val="20"/>
                <w:color w:val="auto"/>
              </w:rPr>
            </w:pPr>
            <w:r>
              <w:rPr>
                <w:rFonts w:ascii="Times New Roman" w:cs="Times New Roman" w:eastAsia="Times New Roman" w:hAnsi="Times New Roman"/>
                <w:sz w:val="20"/>
                <w:szCs w:val="20"/>
                <w:color w:val="282828"/>
                <w:w w:val="99"/>
              </w:rPr>
              <w:t>Form of Change of Control and Severance</w:t>
            </w:r>
          </w:p>
        </w:tc>
        <w:tc>
          <w:tcPr>
            <w:tcW w:w="3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60" w:type="dxa"/>
            <w:vAlign w:val="bottom"/>
            <w:vMerge w:val="continue"/>
          </w:tcPr>
          <w:p>
            <w:pPr>
              <w:spacing w:after="0"/>
              <w:rPr>
                <w:sz w:val="19"/>
                <w:szCs w:val="19"/>
                <w:color w:val="auto"/>
              </w:rPr>
            </w:pPr>
          </w:p>
        </w:tc>
        <w:tc>
          <w:tcPr>
            <w:tcW w:w="3360" w:type="dxa"/>
            <w:vAlign w:val="bottom"/>
            <w:tcBorders>
              <w:bottom w:val="single" w:sz="8" w:color="282828"/>
            </w:tcBorders>
            <w:gridSpan w:val="14"/>
          </w:tcPr>
          <w:p>
            <w:pPr>
              <w:spacing w:after="0" w:line="220" w:lineRule="exact"/>
              <w:rPr>
                <w:sz w:val="20"/>
                <w:szCs w:val="20"/>
                <w:color w:val="auto"/>
              </w:rPr>
            </w:pPr>
            <w:r>
              <w:rPr>
                <w:rFonts w:ascii="Times New Roman" w:cs="Times New Roman" w:eastAsia="Times New Roman" w:hAnsi="Times New Roman"/>
                <w:sz w:val="20"/>
                <w:szCs w:val="20"/>
                <w:color w:val="282828"/>
                <w:w w:val="99"/>
              </w:rPr>
              <w:t>Agreement, between the Company and its</w:t>
            </w:r>
          </w:p>
        </w:tc>
        <w:tc>
          <w:tcPr>
            <w:tcW w:w="40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0" w:type="dxa"/>
            <w:vAlign w:val="bottom"/>
          </w:tcPr>
          <w:p>
            <w:pPr>
              <w:spacing w:after="0"/>
              <w:rPr>
                <w:sz w:val="19"/>
                <w:szCs w:val="19"/>
                <w:color w:val="auto"/>
              </w:rPr>
            </w:pPr>
          </w:p>
        </w:tc>
        <w:tc>
          <w:tcPr>
            <w:tcW w:w="880" w:type="dxa"/>
            <w:vAlign w:val="bottom"/>
            <w:tcBorders>
              <w:bottom w:val="single" w:sz="8" w:color="282828"/>
            </w:tcBorders>
            <w:gridSpan w:val="2"/>
          </w:tcPr>
          <w:p>
            <w:pPr>
              <w:spacing w:after="0" w:line="220" w:lineRule="exact"/>
              <w:rPr>
                <w:sz w:val="20"/>
                <w:szCs w:val="20"/>
                <w:color w:val="auto"/>
              </w:rPr>
            </w:pPr>
            <w:r>
              <w:rPr>
                <w:rFonts w:ascii="Times New Roman" w:cs="Times New Roman" w:eastAsia="Times New Roman" w:hAnsi="Times New Roman"/>
                <w:sz w:val="20"/>
                <w:szCs w:val="20"/>
                <w:color w:val="282828"/>
                <w:w w:val="97"/>
              </w:rPr>
              <w:t>Executives</w:t>
            </w:r>
          </w:p>
        </w:tc>
        <w:tc>
          <w:tcPr>
            <w:tcW w:w="2880" w:type="dxa"/>
            <w:vAlign w:val="bottom"/>
            <w:gridSpan w:val="25"/>
          </w:tcPr>
          <w:p>
            <w:pPr>
              <w:spacing w:after="0"/>
              <w:rPr>
                <w:sz w:val="19"/>
                <w:szCs w:val="19"/>
                <w:color w:val="auto"/>
              </w:rPr>
            </w:pPr>
          </w:p>
        </w:tc>
        <w:tc>
          <w:tcPr>
            <w:tcW w:w="0" w:type="dxa"/>
            <w:vAlign w:val="bottom"/>
          </w:tcPr>
          <w:p>
            <w:pPr>
              <w:spacing w:after="0"/>
              <w:rPr>
                <w:sz w:val="1"/>
                <w:szCs w:val="1"/>
                <w:color w:val="auto"/>
              </w:rPr>
            </w:pPr>
          </w:p>
        </w:tc>
      </w:tr>
      <w:tr>
        <w:trPr>
          <w:trHeight w:val="546"/>
        </w:trPr>
        <w:tc>
          <w:tcPr>
            <w:tcW w:w="860" w:type="dxa"/>
            <w:vAlign w:val="bottom"/>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rPr>
              <w:t>10.12</w:t>
            </w:r>
          </w:p>
        </w:tc>
        <w:tc>
          <w:tcPr>
            <w:tcW w:w="3460" w:type="dxa"/>
            <w:vAlign w:val="bottom"/>
            <w:tcBorders>
              <w:bottom w:val="single" w:sz="8" w:color="282828"/>
            </w:tcBorders>
            <w:gridSpan w:val="18"/>
          </w:tcPr>
          <w:p>
            <w:pPr>
              <w:spacing w:after="0"/>
              <w:rPr>
                <w:sz w:val="20"/>
                <w:szCs w:val="20"/>
                <w:color w:val="auto"/>
              </w:rPr>
            </w:pPr>
            <w:r>
              <w:rPr>
                <w:rFonts w:ascii="Times New Roman" w:cs="Times New Roman" w:eastAsia="Times New Roman" w:hAnsi="Times New Roman"/>
                <w:sz w:val="20"/>
                <w:szCs w:val="20"/>
                <w:color w:val="282828"/>
                <w:w w:val="98"/>
              </w:rPr>
              <w:t>Integration and Purchase Agreement, dated</w:t>
            </w:r>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60" w:type="dxa"/>
            <w:vAlign w:val="bottom"/>
            <w:vMerge w:val="continue"/>
          </w:tcPr>
          <w:p>
            <w:pPr>
              <w:spacing w:after="0"/>
              <w:rPr>
                <w:sz w:val="19"/>
                <w:szCs w:val="19"/>
                <w:color w:val="auto"/>
              </w:rPr>
            </w:pPr>
          </w:p>
        </w:tc>
        <w:tc>
          <w:tcPr>
            <w:tcW w:w="3500" w:type="dxa"/>
            <w:vAlign w:val="bottom"/>
            <w:tcBorders>
              <w:bottom w:val="single" w:sz="8" w:color="282828"/>
            </w:tcBorders>
            <w:gridSpan w:val="19"/>
          </w:tcPr>
          <w:p>
            <w:pPr>
              <w:spacing w:after="0" w:line="220" w:lineRule="exact"/>
              <w:rPr>
                <w:sz w:val="20"/>
                <w:szCs w:val="20"/>
                <w:color w:val="auto"/>
              </w:rPr>
            </w:pPr>
            <w:r>
              <w:rPr>
                <w:rFonts w:ascii="Times New Roman" w:cs="Times New Roman" w:eastAsia="Times New Roman" w:hAnsi="Times New Roman"/>
                <w:sz w:val="20"/>
                <w:szCs w:val="20"/>
                <w:color w:val="282828"/>
                <w:w w:val="99"/>
              </w:rPr>
              <w:t>March 15, 2019, between the Company and</w:t>
            </w:r>
          </w:p>
        </w:tc>
        <w:tc>
          <w:tcPr>
            <w:tcW w:w="26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0" w:type="dxa"/>
            <w:vAlign w:val="bottom"/>
          </w:tcPr>
          <w:p>
            <w:pPr>
              <w:spacing w:after="0"/>
              <w:rPr>
                <w:sz w:val="19"/>
                <w:szCs w:val="19"/>
                <w:color w:val="auto"/>
              </w:rPr>
            </w:pPr>
          </w:p>
        </w:tc>
        <w:tc>
          <w:tcPr>
            <w:tcW w:w="1960" w:type="dxa"/>
            <w:vAlign w:val="bottom"/>
            <w:tcBorders>
              <w:bottom w:val="single" w:sz="8" w:color="282828"/>
            </w:tcBorders>
            <w:gridSpan w:val="5"/>
          </w:tcPr>
          <w:p>
            <w:pPr>
              <w:spacing w:after="0" w:line="220" w:lineRule="exact"/>
              <w:rPr>
                <w:sz w:val="20"/>
                <w:szCs w:val="20"/>
                <w:color w:val="auto"/>
              </w:rPr>
            </w:pPr>
            <w:r>
              <w:rPr>
                <w:rFonts w:ascii="Times New Roman" w:cs="Times New Roman" w:eastAsia="Times New Roman" w:hAnsi="Times New Roman"/>
                <w:sz w:val="20"/>
                <w:szCs w:val="20"/>
                <w:color w:val="282828"/>
              </w:rPr>
              <w:t>MegaChips Corporation</w:t>
            </w:r>
          </w:p>
        </w:tc>
        <w:tc>
          <w:tcPr>
            <w:tcW w:w="1800" w:type="dxa"/>
            <w:vAlign w:val="bottom"/>
            <w:gridSpan w:val="22"/>
          </w:tcPr>
          <w:p>
            <w:pPr>
              <w:spacing w:after="0"/>
              <w:rPr>
                <w:sz w:val="19"/>
                <w:szCs w:val="19"/>
                <w:color w:val="auto"/>
              </w:rPr>
            </w:pPr>
          </w:p>
        </w:tc>
        <w:tc>
          <w:tcPr>
            <w:tcW w:w="0" w:type="dxa"/>
            <w:vAlign w:val="bottom"/>
          </w:tcPr>
          <w:p>
            <w:pPr>
              <w:spacing w:after="0"/>
              <w:rPr>
                <w:sz w:val="1"/>
                <w:szCs w:val="1"/>
                <w:color w:val="auto"/>
              </w:rPr>
            </w:pPr>
          </w:p>
        </w:tc>
      </w:tr>
      <w:tr>
        <w:trPr>
          <w:trHeight w:val="545"/>
        </w:trPr>
        <w:tc>
          <w:tcPr>
            <w:tcW w:w="860" w:type="dxa"/>
            <w:vAlign w:val="bottom"/>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rPr>
              <w:t>10.13</w:t>
            </w:r>
          </w:p>
        </w:tc>
        <w:tc>
          <w:tcPr>
            <w:tcW w:w="3760" w:type="dxa"/>
            <w:vAlign w:val="bottom"/>
            <w:gridSpan w:val="27"/>
          </w:tcPr>
          <w:p>
            <w:pPr>
              <w:spacing w:after="0"/>
              <w:rPr>
                <w:sz w:val="20"/>
                <w:szCs w:val="20"/>
                <w:color w:val="auto"/>
              </w:rPr>
            </w:pPr>
            <w:r>
              <w:rPr>
                <w:rFonts w:ascii="Times New Roman" w:cs="Times New Roman" w:eastAsia="Times New Roman" w:hAnsi="Times New Roman"/>
                <w:sz w:val="20"/>
                <w:szCs w:val="20"/>
                <w:color w:val="282828"/>
              </w:rPr>
              <w:t>Lease, dated April 15, 2016, between the</w:t>
            </w:r>
          </w:p>
        </w:tc>
        <w:tc>
          <w:tcPr>
            <w:tcW w:w="0" w:type="dxa"/>
            <w:vAlign w:val="bottom"/>
          </w:tcPr>
          <w:p>
            <w:pPr>
              <w:spacing w:after="0"/>
              <w:rPr>
                <w:sz w:val="1"/>
                <w:szCs w:val="1"/>
                <w:color w:val="auto"/>
              </w:rPr>
            </w:pPr>
          </w:p>
        </w:tc>
      </w:tr>
      <w:tr>
        <w:trPr>
          <w:trHeight w:val="116"/>
        </w:trPr>
        <w:tc>
          <w:tcPr>
            <w:tcW w:w="860" w:type="dxa"/>
            <w:vAlign w:val="bottom"/>
            <w:vMerge w:val="continue"/>
          </w:tcPr>
          <w:p>
            <w:pPr>
              <w:spacing w:after="0"/>
              <w:rPr>
                <w:sz w:val="10"/>
                <w:szCs w:val="10"/>
                <w:color w:val="auto"/>
              </w:rPr>
            </w:pPr>
          </w:p>
        </w:tc>
        <w:tc>
          <w:tcPr>
            <w:tcW w:w="3260" w:type="dxa"/>
            <w:vAlign w:val="bottom"/>
            <w:tcBorders>
              <w:top w:val="single" w:sz="8" w:color="282828"/>
            </w:tcBorders>
            <w:gridSpan w:val="12"/>
            <w:vMerge w:val="restart"/>
          </w:tcPr>
          <w:p>
            <w:pPr>
              <w:spacing w:after="0" w:line="220" w:lineRule="exact"/>
              <w:rPr>
                <w:sz w:val="20"/>
                <w:szCs w:val="20"/>
                <w:color w:val="auto"/>
              </w:rPr>
            </w:pPr>
            <w:r>
              <w:rPr>
                <w:rFonts w:ascii="Times New Roman" w:cs="Times New Roman" w:eastAsia="Times New Roman" w:hAnsi="Times New Roman"/>
                <w:sz w:val="20"/>
                <w:szCs w:val="20"/>
                <w:color w:val="282828"/>
              </w:rPr>
              <w:t>Company and Batton Associates, LLC</w:t>
            </w:r>
          </w:p>
        </w:tc>
        <w:tc>
          <w:tcPr>
            <w:tcW w:w="500" w:type="dxa"/>
            <w:vAlign w:val="bottom"/>
            <w:gridSpan w:val="15"/>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60" w:type="dxa"/>
            <w:vAlign w:val="bottom"/>
          </w:tcPr>
          <w:p>
            <w:pPr>
              <w:spacing w:after="0"/>
              <w:rPr>
                <w:sz w:val="9"/>
                <w:szCs w:val="9"/>
                <w:color w:val="auto"/>
              </w:rPr>
            </w:pPr>
          </w:p>
        </w:tc>
        <w:tc>
          <w:tcPr>
            <w:tcW w:w="3260" w:type="dxa"/>
            <w:vAlign w:val="bottom"/>
            <w:gridSpan w:val="12"/>
            <w:vMerge w:val="continue"/>
          </w:tcPr>
          <w:p>
            <w:pPr>
              <w:spacing w:after="0"/>
              <w:rPr>
                <w:sz w:val="9"/>
                <w:szCs w:val="9"/>
                <w:color w:val="auto"/>
              </w:rPr>
            </w:pPr>
          </w:p>
        </w:tc>
        <w:tc>
          <w:tcPr>
            <w:tcW w:w="500" w:type="dxa"/>
            <w:vAlign w:val="bottom"/>
            <w:gridSpan w:val="1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80" w:type="dxa"/>
            <w:vAlign w:val="bottom"/>
            <w:shd w:val="clear" w:color="auto" w:fill="282828"/>
          </w:tcPr>
          <w:p>
            <w:pPr>
              <w:spacing w:after="0" w:line="20" w:lineRule="exact"/>
              <w:rPr>
                <w:sz w:val="1"/>
                <w:szCs w:val="1"/>
                <w:color w:val="auto"/>
              </w:rPr>
            </w:pPr>
          </w:p>
        </w:tc>
        <w:tc>
          <w:tcPr>
            <w:tcW w:w="580" w:type="dxa"/>
            <w:vAlign w:val="bottom"/>
            <w:gridSpan w:val="2"/>
            <w:shd w:val="clear" w:color="auto" w:fill="282828"/>
          </w:tcPr>
          <w:p>
            <w:pPr>
              <w:spacing w:after="0" w:line="20" w:lineRule="exact"/>
              <w:rPr>
                <w:sz w:val="1"/>
                <w:szCs w:val="1"/>
                <w:color w:val="auto"/>
              </w:rPr>
            </w:pPr>
          </w:p>
        </w:tc>
        <w:tc>
          <w:tcPr>
            <w:tcW w:w="980" w:type="dxa"/>
            <w:vAlign w:val="bottom"/>
            <w:shd w:val="clear" w:color="auto" w:fill="282828"/>
          </w:tcPr>
          <w:p>
            <w:pPr>
              <w:spacing w:after="0" w:line="20" w:lineRule="exact"/>
              <w:rPr>
                <w:sz w:val="1"/>
                <w:szCs w:val="1"/>
                <w:color w:val="auto"/>
              </w:rPr>
            </w:pPr>
          </w:p>
        </w:tc>
        <w:tc>
          <w:tcPr>
            <w:tcW w:w="980" w:type="dxa"/>
            <w:vAlign w:val="bottom"/>
            <w:gridSpan w:val="2"/>
            <w:shd w:val="clear" w:color="auto" w:fill="282828"/>
          </w:tcPr>
          <w:p>
            <w:pPr>
              <w:spacing w:after="0" w:line="20" w:lineRule="exact"/>
              <w:rPr>
                <w:sz w:val="1"/>
                <w:szCs w:val="1"/>
                <w:color w:val="auto"/>
              </w:rPr>
            </w:pPr>
          </w:p>
        </w:tc>
        <w:tc>
          <w:tcPr>
            <w:tcW w:w="40" w:type="dxa"/>
            <w:vAlign w:val="bottom"/>
            <w:tcBorders>
              <w:left w:val="single" w:sz="8" w:color="282828"/>
            </w:tcBorders>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80" w:type="dxa"/>
            <w:vAlign w:val="bottom"/>
            <w:shd w:val="clear" w:color="auto" w:fill="28282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860" w:type="dxa"/>
            <w:vAlign w:val="bottom"/>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w w:val="98"/>
              </w:rPr>
              <w:t>10.14*</w:t>
            </w:r>
          </w:p>
        </w:tc>
        <w:tc>
          <w:tcPr>
            <w:tcW w:w="3400" w:type="dxa"/>
            <w:vAlign w:val="bottom"/>
            <w:tcBorders>
              <w:bottom w:val="single" w:sz="8" w:color="282828"/>
            </w:tcBorders>
            <w:gridSpan w:val="16"/>
          </w:tcPr>
          <w:p>
            <w:pPr>
              <w:spacing w:after="0"/>
              <w:rPr>
                <w:sz w:val="20"/>
                <w:szCs w:val="20"/>
                <w:color w:val="auto"/>
              </w:rPr>
            </w:pPr>
            <w:r>
              <w:rPr>
                <w:rFonts w:ascii="Times New Roman" w:cs="Times New Roman" w:eastAsia="Times New Roman" w:hAnsi="Times New Roman"/>
                <w:sz w:val="20"/>
                <w:szCs w:val="20"/>
                <w:color w:val="282828"/>
                <w:w w:val="98"/>
              </w:rPr>
              <w:t>License Agreement, dated August 1, 2018,</w:t>
            </w:r>
          </w:p>
        </w:tc>
        <w:tc>
          <w:tcPr>
            <w:tcW w:w="3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60" w:type="dxa"/>
            <w:vAlign w:val="bottom"/>
            <w:vMerge w:val="continue"/>
          </w:tcPr>
          <w:p>
            <w:pPr>
              <w:spacing w:after="0"/>
              <w:rPr>
                <w:sz w:val="10"/>
                <w:szCs w:val="10"/>
                <w:color w:val="auto"/>
              </w:rPr>
            </w:pPr>
          </w:p>
        </w:tc>
        <w:tc>
          <w:tcPr>
            <w:tcW w:w="3700" w:type="dxa"/>
            <w:vAlign w:val="bottom"/>
            <w:gridSpan w:val="25"/>
            <w:vMerge w:val="restart"/>
          </w:tcPr>
          <w:p>
            <w:pPr>
              <w:spacing w:after="0" w:line="221" w:lineRule="exact"/>
              <w:rPr>
                <w:sz w:val="20"/>
                <w:szCs w:val="20"/>
                <w:color w:val="auto"/>
              </w:rPr>
            </w:pPr>
            <w:r>
              <w:rPr>
                <w:rFonts w:ascii="Times New Roman" w:cs="Times New Roman" w:eastAsia="Times New Roman" w:hAnsi="Times New Roman"/>
                <w:sz w:val="20"/>
                <w:szCs w:val="20"/>
                <w:color w:val="282828"/>
                <w:w w:val="99"/>
              </w:rPr>
              <w:t>between the Company and Robert Bosch LLC</w:t>
            </w:r>
          </w:p>
        </w:tc>
        <w:tc>
          <w:tcPr>
            <w:tcW w:w="6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860" w:type="dxa"/>
            <w:vAlign w:val="bottom"/>
          </w:tcPr>
          <w:p>
            <w:pPr>
              <w:spacing w:after="0"/>
              <w:rPr>
                <w:sz w:val="9"/>
                <w:szCs w:val="9"/>
                <w:color w:val="auto"/>
              </w:rPr>
            </w:pPr>
          </w:p>
        </w:tc>
        <w:tc>
          <w:tcPr>
            <w:tcW w:w="3700" w:type="dxa"/>
            <w:vAlign w:val="bottom"/>
            <w:tcBorders>
              <w:bottom w:val="single" w:sz="8" w:color="282828"/>
            </w:tcBorders>
            <w:gridSpan w:val="25"/>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4"/>
        </w:trPr>
        <w:tc>
          <w:tcPr>
            <w:tcW w:w="860" w:type="dxa"/>
            <w:vAlign w:val="bottom"/>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w w:val="98"/>
              </w:rPr>
              <w:t>10.15*</w:t>
            </w:r>
          </w:p>
        </w:tc>
        <w:tc>
          <w:tcPr>
            <w:tcW w:w="3760" w:type="dxa"/>
            <w:vAlign w:val="bottom"/>
            <w:gridSpan w:val="27"/>
          </w:tcPr>
          <w:p>
            <w:pPr>
              <w:spacing w:after="0"/>
              <w:rPr>
                <w:sz w:val="20"/>
                <w:szCs w:val="20"/>
                <w:color w:val="auto"/>
              </w:rPr>
            </w:pPr>
            <w:r>
              <w:rPr>
                <w:rFonts w:ascii="Times New Roman" w:cs="Times New Roman" w:eastAsia="Times New Roman" w:hAnsi="Times New Roman"/>
                <w:sz w:val="20"/>
                <w:szCs w:val="20"/>
                <w:color w:val="282828"/>
              </w:rPr>
              <w:t>Amended and Restated Manufacturing</w:t>
            </w: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380" w:type="dxa"/>
            <w:vAlign w:val="bottom"/>
            <w:shd w:val="clear" w:color="auto" w:fill="282828"/>
          </w:tcPr>
          <w:p>
            <w:pPr>
              <w:spacing w:after="0" w:line="20" w:lineRule="exact"/>
              <w:rPr>
                <w:sz w:val="1"/>
                <w:szCs w:val="1"/>
                <w:color w:val="auto"/>
              </w:rPr>
            </w:pPr>
          </w:p>
        </w:tc>
        <w:tc>
          <w:tcPr>
            <w:tcW w:w="580" w:type="dxa"/>
            <w:vAlign w:val="bottom"/>
            <w:gridSpan w:val="2"/>
            <w:shd w:val="clear" w:color="auto" w:fill="282828"/>
          </w:tcPr>
          <w:p>
            <w:pPr>
              <w:spacing w:after="0" w:line="20" w:lineRule="exact"/>
              <w:rPr>
                <w:sz w:val="1"/>
                <w:szCs w:val="1"/>
                <w:color w:val="auto"/>
              </w:rPr>
            </w:pPr>
          </w:p>
        </w:tc>
        <w:tc>
          <w:tcPr>
            <w:tcW w:w="980" w:type="dxa"/>
            <w:vAlign w:val="bottom"/>
            <w:shd w:val="clear" w:color="auto" w:fill="282828"/>
          </w:tcPr>
          <w:p>
            <w:pPr>
              <w:spacing w:after="0" w:line="20" w:lineRule="exact"/>
              <w:rPr>
                <w:sz w:val="1"/>
                <w:szCs w:val="1"/>
                <w:color w:val="auto"/>
              </w:rPr>
            </w:pPr>
          </w:p>
        </w:tc>
        <w:tc>
          <w:tcPr>
            <w:tcW w:w="980" w:type="dxa"/>
            <w:vAlign w:val="bottom"/>
            <w:gridSpan w:val="2"/>
            <w:shd w:val="clear" w:color="auto" w:fill="282828"/>
          </w:tcPr>
          <w:p>
            <w:pPr>
              <w:spacing w:after="0" w:line="20" w:lineRule="exact"/>
              <w:rPr>
                <w:sz w:val="1"/>
                <w:szCs w:val="1"/>
                <w:color w:val="auto"/>
              </w:rPr>
            </w:pPr>
          </w:p>
        </w:tc>
        <w:tc>
          <w:tcPr>
            <w:tcW w:w="40" w:type="dxa"/>
            <w:vAlign w:val="bottom"/>
            <w:tcBorders>
              <w:left w:val="single" w:sz="8" w:color="282828"/>
            </w:tcBorders>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100" w:type="dxa"/>
            <w:vAlign w:val="bottom"/>
            <w:gridSpan w:val="2"/>
            <w:shd w:val="clear" w:color="auto" w:fill="28282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60" w:type="dxa"/>
            <w:vAlign w:val="bottom"/>
            <w:vMerge w:val="continue"/>
          </w:tcPr>
          <w:p>
            <w:pPr>
              <w:spacing w:after="0"/>
              <w:rPr>
                <w:sz w:val="19"/>
                <w:szCs w:val="19"/>
                <w:color w:val="auto"/>
              </w:rPr>
            </w:pPr>
          </w:p>
        </w:tc>
        <w:tc>
          <w:tcPr>
            <w:tcW w:w="3720" w:type="dxa"/>
            <w:vAlign w:val="bottom"/>
            <w:tcBorders>
              <w:bottom w:val="single" w:sz="8" w:color="282828"/>
            </w:tcBorders>
            <w:gridSpan w:val="26"/>
          </w:tcPr>
          <w:p>
            <w:pPr>
              <w:spacing w:after="0" w:line="220" w:lineRule="exact"/>
              <w:rPr>
                <w:sz w:val="20"/>
                <w:szCs w:val="20"/>
                <w:color w:val="auto"/>
              </w:rPr>
            </w:pPr>
            <w:r>
              <w:rPr>
                <w:rFonts w:ascii="Times New Roman" w:cs="Times New Roman" w:eastAsia="Times New Roman" w:hAnsi="Times New Roman"/>
                <w:sz w:val="20"/>
                <w:szCs w:val="20"/>
                <w:color w:val="282828"/>
                <w:w w:val="99"/>
              </w:rPr>
              <w:t>Agreement, dated February 23, 2017, between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0" w:type="dxa"/>
            <w:vAlign w:val="bottom"/>
          </w:tcPr>
          <w:p>
            <w:pPr>
              <w:spacing w:after="0"/>
              <w:rPr>
                <w:sz w:val="19"/>
                <w:szCs w:val="19"/>
                <w:color w:val="auto"/>
              </w:rPr>
            </w:pPr>
          </w:p>
        </w:tc>
        <w:tc>
          <w:tcPr>
            <w:tcW w:w="2980" w:type="dxa"/>
            <w:vAlign w:val="bottom"/>
            <w:tcBorders>
              <w:bottom w:val="single" w:sz="8" w:color="282828"/>
            </w:tcBorders>
            <w:gridSpan w:val="8"/>
          </w:tcPr>
          <w:p>
            <w:pPr>
              <w:spacing w:after="0" w:line="220" w:lineRule="exact"/>
              <w:rPr>
                <w:sz w:val="20"/>
                <w:szCs w:val="20"/>
                <w:color w:val="auto"/>
              </w:rPr>
            </w:pPr>
            <w:r>
              <w:rPr>
                <w:rFonts w:ascii="Times New Roman" w:cs="Times New Roman" w:eastAsia="Times New Roman" w:hAnsi="Times New Roman"/>
                <w:sz w:val="20"/>
                <w:szCs w:val="20"/>
                <w:color w:val="282828"/>
                <w:w w:val="99"/>
              </w:rPr>
              <w:t>the Company and Robert Bosch LLC</w:t>
            </w:r>
          </w:p>
        </w:tc>
        <w:tc>
          <w:tcPr>
            <w:tcW w:w="78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545"/>
        </w:trPr>
        <w:tc>
          <w:tcPr>
            <w:tcW w:w="860" w:type="dxa"/>
            <w:vAlign w:val="bottom"/>
          </w:tcPr>
          <w:p>
            <w:pPr>
              <w:spacing w:after="0"/>
              <w:rPr>
                <w:sz w:val="24"/>
                <w:szCs w:val="24"/>
                <w:color w:val="auto"/>
              </w:rPr>
            </w:pPr>
          </w:p>
        </w:tc>
        <w:tc>
          <w:tcPr>
            <w:tcW w:w="3580" w:type="dxa"/>
            <w:vAlign w:val="bottom"/>
            <w:tcBorders>
              <w:bottom w:val="single" w:sz="8" w:color="282828"/>
            </w:tcBorders>
            <w:gridSpan w:val="21"/>
          </w:tcPr>
          <w:p>
            <w:pPr>
              <w:spacing w:after="0"/>
              <w:rPr>
                <w:sz w:val="20"/>
                <w:szCs w:val="20"/>
                <w:color w:val="auto"/>
              </w:rPr>
            </w:pPr>
            <w:r>
              <w:rPr>
                <w:rFonts w:ascii="Times New Roman" w:cs="Times New Roman" w:eastAsia="Times New Roman" w:hAnsi="Times New Roman"/>
                <w:sz w:val="20"/>
                <w:szCs w:val="20"/>
                <w:color w:val="282828"/>
                <w:w w:val="99"/>
              </w:rPr>
              <w:t>Amendment No. 1 to Amended and Restated</w:t>
            </w:r>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60" w:type="dxa"/>
            <w:vAlign w:val="bottom"/>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w w:val="98"/>
              </w:rPr>
              <w:t>10.16*</w:t>
            </w:r>
          </w:p>
        </w:tc>
        <w:tc>
          <w:tcPr>
            <w:tcW w:w="3760" w:type="dxa"/>
            <w:vAlign w:val="bottom"/>
            <w:gridSpan w:val="27"/>
          </w:tcPr>
          <w:p>
            <w:pPr>
              <w:spacing w:after="0" w:line="220" w:lineRule="exact"/>
              <w:rPr>
                <w:sz w:val="20"/>
                <w:szCs w:val="20"/>
                <w:color w:val="auto"/>
              </w:rPr>
            </w:pPr>
            <w:r>
              <w:rPr>
                <w:rFonts w:ascii="Times New Roman" w:cs="Times New Roman" w:eastAsia="Times New Roman" w:hAnsi="Times New Roman"/>
                <w:sz w:val="20"/>
                <w:szCs w:val="20"/>
                <w:color w:val="282828"/>
              </w:rPr>
              <w:t>Manufacturing Agreement, dated August 1,</w:t>
            </w: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380" w:type="dxa"/>
            <w:vAlign w:val="bottom"/>
            <w:shd w:val="clear" w:color="auto" w:fill="282828"/>
          </w:tcPr>
          <w:p>
            <w:pPr>
              <w:spacing w:after="0" w:line="20" w:lineRule="exact"/>
              <w:rPr>
                <w:sz w:val="1"/>
                <w:szCs w:val="1"/>
                <w:color w:val="auto"/>
              </w:rPr>
            </w:pPr>
          </w:p>
        </w:tc>
        <w:tc>
          <w:tcPr>
            <w:tcW w:w="500" w:type="dxa"/>
            <w:vAlign w:val="bottom"/>
            <w:shd w:val="clear" w:color="auto" w:fill="282828"/>
          </w:tcPr>
          <w:p>
            <w:pPr>
              <w:spacing w:after="0" w:line="20" w:lineRule="exact"/>
              <w:rPr>
                <w:sz w:val="1"/>
                <w:szCs w:val="1"/>
                <w:color w:val="auto"/>
              </w:rPr>
            </w:pPr>
          </w:p>
        </w:tc>
        <w:tc>
          <w:tcPr>
            <w:tcW w:w="80" w:type="dxa"/>
            <w:vAlign w:val="bottom"/>
            <w:shd w:val="clear" w:color="auto" w:fill="282828"/>
          </w:tcPr>
          <w:p>
            <w:pPr>
              <w:spacing w:after="0" w:line="20" w:lineRule="exact"/>
              <w:rPr>
                <w:sz w:val="1"/>
                <w:szCs w:val="1"/>
                <w:color w:val="auto"/>
              </w:rPr>
            </w:pPr>
          </w:p>
        </w:tc>
        <w:tc>
          <w:tcPr>
            <w:tcW w:w="98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960" w:type="dxa"/>
            <w:vAlign w:val="bottom"/>
            <w:shd w:val="clear" w:color="auto" w:fill="282828"/>
          </w:tcPr>
          <w:p>
            <w:pPr>
              <w:spacing w:after="0" w:line="20" w:lineRule="exact"/>
              <w:rPr>
                <w:sz w:val="1"/>
                <w:szCs w:val="1"/>
                <w:color w:val="auto"/>
              </w:rPr>
            </w:pPr>
          </w:p>
        </w:tc>
        <w:tc>
          <w:tcPr>
            <w:tcW w:w="40" w:type="dxa"/>
            <w:vAlign w:val="bottom"/>
            <w:tcBorders>
              <w:left w:val="single" w:sz="8" w:color="282828"/>
            </w:tcBorders>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8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16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8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40" w:type="dxa"/>
            <w:vAlign w:val="bottom"/>
            <w:tcBorders>
              <w:right w:val="single" w:sz="8" w:color="282828"/>
            </w:tcBorders>
            <w:shd w:val="clear" w:color="auto" w:fill="28282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60" w:type="dxa"/>
            <w:vAlign w:val="bottom"/>
            <w:vMerge w:val="continue"/>
          </w:tcPr>
          <w:p>
            <w:pPr>
              <w:spacing w:after="0"/>
              <w:rPr>
                <w:sz w:val="10"/>
                <w:szCs w:val="10"/>
                <w:color w:val="auto"/>
              </w:rPr>
            </w:pPr>
          </w:p>
        </w:tc>
        <w:tc>
          <w:tcPr>
            <w:tcW w:w="3760" w:type="dxa"/>
            <w:vAlign w:val="bottom"/>
            <w:gridSpan w:val="27"/>
            <w:vMerge w:val="restart"/>
          </w:tcPr>
          <w:p>
            <w:pPr>
              <w:spacing w:after="0" w:line="220" w:lineRule="exact"/>
              <w:rPr>
                <w:sz w:val="20"/>
                <w:szCs w:val="20"/>
                <w:color w:val="auto"/>
              </w:rPr>
            </w:pPr>
            <w:r>
              <w:rPr>
                <w:rFonts w:ascii="Times New Roman" w:cs="Times New Roman" w:eastAsia="Times New Roman" w:hAnsi="Times New Roman"/>
                <w:sz w:val="20"/>
                <w:szCs w:val="20"/>
                <w:color w:val="282828"/>
                <w:w w:val="99"/>
              </w:rPr>
              <w:t>2018, between the Company and Robert Bosch</w:t>
            </w:r>
          </w:p>
        </w:tc>
        <w:tc>
          <w:tcPr>
            <w:tcW w:w="0" w:type="dxa"/>
            <w:vAlign w:val="bottom"/>
          </w:tcPr>
          <w:p>
            <w:pPr>
              <w:spacing w:after="0"/>
              <w:rPr>
                <w:sz w:val="1"/>
                <w:szCs w:val="1"/>
                <w:color w:val="auto"/>
              </w:rPr>
            </w:pPr>
          </w:p>
        </w:tc>
      </w:tr>
      <w:tr>
        <w:trPr>
          <w:trHeight w:val="109"/>
        </w:trPr>
        <w:tc>
          <w:tcPr>
            <w:tcW w:w="860" w:type="dxa"/>
            <w:vAlign w:val="bottom"/>
          </w:tcPr>
          <w:p>
            <w:pPr>
              <w:spacing w:after="0"/>
              <w:rPr>
                <w:sz w:val="9"/>
                <w:szCs w:val="9"/>
                <w:color w:val="auto"/>
              </w:rPr>
            </w:pPr>
          </w:p>
        </w:tc>
        <w:tc>
          <w:tcPr>
            <w:tcW w:w="3760" w:type="dxa"/>
            <w:vAlign w:val="bottom"/>
            <w:tcBorders>
              <w:bottom w:val="single" w:sz="8" w:color="282828"/>
            </w:tcBorders>
            <w:gridSpan w:val="2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860" w:type="dxa"/>
            <w:vAlign w:val="bottom"/>
          </w:tcPr>
          <w:p>
            <w:pPr>
              <w:spacing w:after="0"/>
              <w:rPr>
                <w:sz w:val="19"/>
                <w:szCs w:val="19"/>
                <w:color w:val="auto"/>
              </w:rPr>
            </w:pPr>
          </w:p>
        </w:tc>
        <w:tc>
          <w:tcPr>
            <w:tcW w:w="380" w:type="dxa"/>
            <w:vAlign w:val="bottom"/>
            <w:tcBorders>
              <w:bottom w:val="single" w:sz="8" w:color="282828"/>
            </w:tcBorders>
          </w:tcPr>
          <w:p>
            <w:pPr>
              <w:spacing w:after="0" w:line="220" w:lineRule="exact"/>
              <w:rPr>
                <w:sz w:val="20"/>
                <w:szCs w:val="20"/>
                <w:color w:val="auto"/>
              </w:rPr>
            </w:pPr>
            <w:r>
              <w:rPr>
                <w:rFonts w:ascii="Times New Roman" w:cs="Times New Roman" w:eastAsia="Times New Roman" w:hAnsi="Times New Roman"/>
                <w:sz w:val="20"/>
                <w:szCs w:val="20"/>
                <w:color w:val="282828"/>
                <w:w w:val="95"/>
              </w:rPr>
              <w:t>LLC</w:t>
            </w:r>
          </w:p>
        </w:tc>
        <w:tc>
          <w:tcPr>
            <w:tcW w:w="3380" w:type="dxa"/>
            <w:vAlign w:val="bottom"/>
            <w:gridSpan w:val="26"/>
          </w:tcPr>
          <w:p>
            <w:pPr>
              <w:spacing w:after="0"/>
              <w:rPr>
                <w:sz w:val="19"/>
                <w:szCs w:val="19"/>
                <w:color w:val="auto"/>
              </w:rPr>
            </w:pPr>
          </w:p>
        </w:tc>
        <w:tc>
          <w:tcPr>
            <w:tcW w:w="0" w:type="dxa"/>
            <w:vAlign w:val="bottom"/>
          </w:tcPr>
          <w:p>
            <w:pPr>
              <w:spacing w:after="0"/>
              <w:rPr>
                <w:sz w:val="1"/>
                <w:szCs w:val="1"/>
                <w:color w:val="auto"/>
              </w:rPr>
            </w:pPr>
          </w:p>
        </w:tc>
      </w:tr>
      <w:tr>
        <w:trPr>
          <w:trHeight w:val="545"/>
        </w:trPr>
        <w:tc>
          <w:tcPr>
            <w:tcW w:w="860" w:type="dxa"/>
            <w:vAlign w:val="bottom"/>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w w:val="98"/>
              </w:rPr>
              <w:t>10.18*</w:t>
            </w:r>
          </w:p>
        </w:tc>
        <w:tc>
          <w:tcPr>
            <w:tcW w:w="3640" w:type="dxa"/>
            <w:vAlign w:val="bottom"/>
            <w:tcBorders>
              <w:bottom w:val="single" w:sz="8" w:color="282828"/>
            </w:tcBorders>
            <w:gridSpan w:val="23"/>
          </w:tcPr>
          <w:p>
            <w:pPr>
              <w:spacing w:after="0"/>
              <w:rPr>
                <w:sz w:val="20"/>
                <w:szCs w:val="20"/>
                <w:color w:val="auto"/>
              </w:rPr>
            </w:pPr>
            <w:r>
              <w:rPr>
                <w:rFonts w:ascii="Times New Roman" w:cs="Times New Roman" w:eastAsia="Times New Roman" w:hAnsi="Times New Roman"/>
                <w:sz w:val="20"/>
                <w:szCs w:val="20"/>
                <w:color w:val="282828"/>
                <w:w w:val="99"/>
              </w:rPr>
              <w:t>Asset purchase agreement dated February 20,</w:t>
            </w:r>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60" w:type="dxa"/>
            <w:vAlign w:val="bottom"/>
            <w:vMerge w:val="continue"/>
          </w:tcPr>
          <w:p>
            <w:pPr>
              <w:spacing w:after="0"/>
              <w:rPr>
                <w:sz w:val="19"/>
                <w:szCs w:val="19"/>
                <w:color w:val="auto"/>
              </w:rPr>
            </w:pPr>
          </w:p>
        </w:tc>
        <w:tc>
          <w:tcPr>
            <w:tcW w:w="3240" w:type="dxa"/>
            <w:vAlign w:val="bottom"/>
            <w:tcBorders>
              <w:bottom w:val="single" w:sz="8" w:color="282828"/>
            </w:tcBorders>
            <w:gridSpan w:val="11"/>
          </w:tcPr>
          <w:p>
            <w:pPr>
              <w:spacing w:after="0" w:line="221" w:lineRule="exact"/>
              <w:rPr>
                <w:sz w:val="20"/>
                <w:szCs w:val="20"/>
                <w:color w:val="auto"/>
              </w:rPr>
            </w:pPr>
            <w:r>
              <w:rPr>
                <w:rFonts w:ascii="Times New Roman" w:cs="Times New Roman" w:eastAsia="Times New Roman" w:hAnsi="Times New Roman"/>
                <w:sz w:val="20"/>
                <w:szCs w:val="20"/>
                <w:color w:val="282828"/>
                <w:w w:val="98"/>
              </w:rPr>
              <w:t>2020, by and among MegaChips Taiwan</w:t>
            </w:r>
          </w:p>
        </w:tc>
        <w:tc>
          <w:tcPr>
            <w:tcW w:w="520" w:type="dxa"/>
            <w:vAlign w:val="bottom"/>
            <w:gridSpan w:val="16"/>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0" w:type="dxa"/>
            <w:vAlign w:val="bottom"/>
          </w:tcPr>
          <w:p>
            <w:pPr>
              <w:spacing w:after="0"/>
              <w:rPr>
                <w:sz w:val="19"/>
                <w:szCs w:val="19"/>
                <w:color w:val="auto"/>
              </w:rPr>
            </w:pPr>
          </w:p>
        </w:tc>
        <w:tc>
          <w:tcPr>
            <w:tcW w:w="3760" w:type="dxa"/>
            <w:vAlign w:val="bottom"/>
            <w:gridSpan w:val="27"/>
          </w:tcPr>
          <w:p>
            <w:pPr>
              <w:spacing w:after="0" w:line="220" w:lineRule="exact"/>
              <w:rPr>
                <w:sz w:val="20"/>
                <w:szCs w:val="20"/>
                <w:color w:val="auto"/>
              </w:rPr>
            </w:pPr>
            <w:r>
              <w:rPr>
                <w:rFonts w:ascii="Times New Roman" w:cs="Times New Roman" w:eastAsia="Times New Roman" w:hAnsi="Times New Roman"/>
                <w:sz w:val="20"/>
                <w:szCs w:val="20"/>
                <w:color w:val="282828"/>
              </w:rPr>
              <w:t>Corporation and SiTime Corporation</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960" w:type="dxa"/>
            <w:vAlign w:val="bottom"/>
            <w:gridSpan w:val="3"/>
            <w:shd w:val="clear" w:color="auto" w:fill="282828"/>
          </w:tcPr>
          <w:p>
            <w:pPr>
              <w:spacing w:after="0" w:line="20" w:lineRule="exact"/>
              <w:rPr>
                <w:sz w:val="1"/>
                <w:szCs w:val="1"/>
                <w:color w:val="auto"/>
              </w:rPr>
            </w:pPr>
          </w:p>
        </w:tc>
        <w:tc>
          <w:tcPr>
            <w:tcW w:w="980" w:type="dxa"/>
            <w:vAlign w:val="bottom"/>
            <w:shd w:val="clear" w:color="auto" w:fill="282828"/>
          </w:tcPr>
          <w:p>
            <w:pPr>
              <w:spacing w:after="0" w:line="20" w:lineRule="exact"/>
              <w:rPr>
                <w:sz w:val="1"/>
                <w:szCs w:val="1"/>
                <w:color w:val="auto"/>
              </w:rPr>
            </w:pPr>
          </w:p>
        </w:tc>
        <w:tc>
          <w:tcPr>
            <w:tcW w:w="980" w:type="dxa"/>
            <w:vAlign w:val="bottom"/>
            <w:gridSpan w:val="2"/>
            <w:shd w:val="clear" w:color="auto" w:fill="282828"/>
          </w:tcPr>
          <w:p>
            <w:pPr>
              <w:spacing w:after="0" w:line="20" w:lineRule="exact"/>
              <w:rPr>
                <w:sz w:val="1"/>
                <w:szCs w:val="1"/>
                <w:color w:val="auto"/>
              </w:rPr>
            </w:pPr>
          </w:p>
        </w:tc>
        <w:tc>
          <w:tcPr>
            <w:tcW w:w="40" w:type="dxa"/>
            <w:vAlign w:val="bottom"/>
            <w:tcBorders>
              <w:left w:val="single" w:sz="8" w:color="282828"/>
            </w:tcBorders>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860" w:type="dxa"/>
            <w:vAlign w:val="bottom"/>
            <w:vMerge w:val="restart"/>
          </w:tcPr>
          <w:p>
            <w:pPr>
              <w:jc w:val="center"/>
              <w:ind w:right="200"/>
              <w:spacing w:after="0"/>
              <w:rPr>
                <w:sz w:val="20"/>
                <w:szCs w:val="20"/>
                <w:color w:val="auto"/>
              </w:rPr>
            </w:pPr>
            <w:r>
              <w:rPr>
                <w:rFonts w:ascii="Times New Roman" w:cs="Times New Roman" w:eastAsia="Times New Roman" w:hAnsi="Times New Roman"/>
                <w:sz w:val="20"/>
                <w:szCs w:val="20"/>
                <w:color w:val="auto"/>
                <w:w w:val="99"/>
              </w:rPr>
              <w:t>10.19+</w:t>
            </w:r>
          </w:p>
        </w:tc>
        <w:tc>
          <w:tcPr>
            <w:tcW w:w="3380" w:type="dxa"/>
            <w:vAlign w:val="bottom"/>
            <w:tcBorders>
              <w:bottom w:val="single" w:sz="8" w:color="282828"/>
            </w:tcBorders>
            <w:gridSpan w:val="15"/>
          </w:tcPr>
          <w:p>
            <w:pPr>
              <w:spacing w:after="0"/>
              <w:rPr>
                <w:sz w:val="20"/>
                <w:szCs w:val="20"/>
                <w:color w:val="auto"/>
              </w:rPr>
            </w:pPr>
            <w:r>
              <w:rPr>
                <w:rFonts w:ascii="Times New Roman" w:cs="Times New Roman" w:eastAsia="Times New Roman" w:hAnsi="Times New Roman"/>
                <w:sz w:val="20"/>
                <w:szCs w:val="20"/>
                <w:color w:val="282828"/>
                <w:w w:val="99"/>
              </w:rPr>
              <w:t>Offer of Employment, dated June 5, 2020,</w:t>
            </w:r>
          </w:p>
        </w:tc>
        <w:tc>
          <w:tcPr>
            <w:tcW w:w="3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60" w:type="dxa"/>
            <w:vAlign w:val="bottom"/>
            <w:vMerge w:val="continue"/>
          </w:tcPr>
          <w:p>
            <w:pPr>
              <w:spacing w:after="0"/>
              <w:rPr>
                <w:sz w:val="19"/>
                <w:szCs w:val="19"/>
                <w:color w:val="auto"/>
              </w:rPr>
            </w:pPr>
          </w:p>
        </w:tc>
        <w:tc>
          <w:tcPr>
            <w:tcW w:w="3340" w:type="dxa"/>
            <w:vAlign w:val="bottom"/>
            <w:tcBorders>
              <w:bottom w:val="single" w:sz="8" w:color="282828"/>
            </w:tcBorders>
            <w:gridSpan w:val="13"/>
          </w:tcPr>
          <w:p>
            <w:pPr>
              <w:spacing w:after="0" w:line="220" w:lineRule="exact"/>
              <w:rPr>
                <w:sz w:val="20"/>
                <w:szCs w:val="20"/>
                <w:color w:val="auto"/>
              </w:rPr>
            </w:pPr>
            <w:r>
              <w:rPr>
                <w:rFonts w:ascii="Times New Roman" w:cs="Times New Roman" w:eastAsia="Times New Roman" w:hAnsi="Times New Roman"/>
                <w:sz w:val="20"/>
                <w:szCs w:val="20"/>
                <w:color w:val="282828"/>
                <w:w w:val="97"/>
              </w:rPr>
              <w:t>between Vincent P. Pangrazio and SiTime</w:t>
            </w:r>
          </w:p>
        </w:tc>
        <w:tc>
          <w:tcPr>
            <w:tcW w:w="42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0" w:type="dxa"/>
            <w:vAlign w:val="bottom"/>
          </w:tcPr>
          <w:p>
            <w:pPr>
              <w:spacing w:after="0"/>
              <w:rPr>
                <w:sz w:val="19"/>
                <w:szCs w:val="19"/>
                <w:color w:val="auto"/>
              </w:rPr>
            </w:pPr>
          </w:p>
        </w:tc>
        <w:tc>
          <w:tcPr>
            <w:tcW w:w="960" w:type="dxa"/>
            <w:vAlign w:val="bottom"/>
            <w:tcBorders>
              <w:bottom w:val="single" w:sz="8" w:color="282828"/>
            </w:tcBorders>
            <w:gridSpan w:val="3"/>
          </w:tcPr>
          <w:p>
            <w:pPr>
              <w:spacing w:after="0" w:line="220" w:lineRule="exact"/>
              <w:rPr>
                <w:sz w:val="20"/>
                <w:szCs w:val="20"/>
                <w:color w:val="auto"/>
              </w:rPr>
            </w:pPr>
            <w:r>
              <w:rPr>
                <w:rFonts w:ascii="Times New Roman" w:cs="Times New Roman" w:eastAsia="Times New Roman" w:hAnsi="Times New Roman"/>
                <w:sz w:val="20"/>
                <w:szCs w:val="20"/>
                <w:color w:val="282828"/>
                <w:w w:val="97"/>
              </w:rPr>
              <w:t>Corporation</w:t>
            </w:r>
          </w:p>
        </w:tc>
        <w:tc>
          <w:tcPr>
            <w:tcW w:w="2800" w:type="dxa"/>
            <w:vAlign w:val="bottom"/>
            <w:gridSpan w:val="24"/>
          </w:tcPr>
          <w:p>
            <w:pPr>
              <w:spacing w:after="0"/>
              <w:rPr>
                <w:sz w:val="19"/>
                <w:szCs w:val="19"/>
                <w:color w:val="auto"/>
              </w:rPr>
            </w:pPr>
          </w:p>
        </w:tc>
        <w:tc>
          <w:tcPr>
            <w:tcW w:w="0" w:type="dxa"/>
            <w:vAlign w:val="bottom"/>
          </w:tcPr>
          <w:p>
            <w:pPr>
              <w:spacing w:after="0"/>
              <w:rPr>
                <w:sz w:val="1"/>
                <w:szCs w:val="1"/>
                <w:color w:val="auto"/>
              </w:rPr>
            </w:pPr>
          </w:p>
        </w:tc>
      </w:tr>
      <w:tr>
        <w:trPr>
          <w:trHeight w:val="545"/>
        </w:trPr>
        <w:tc>
          <w:tcPr>
            <w:tcW w:w="86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9"/>
              </w:rPr>
              <w:t>10.20+</w:t>
            </w:r>
          </w:p>
        </w:tc>
        <w:tc>
          <w:tcPr>
            <w:tcW w:w="3760" w:type="dxa"/>
            <w:vAlign w:val="bottom"/>
            <w:gridSpan w:val="27"/>
          </w:tcPr>
          <w:p>
            <w:pPr>
              <w:spacing w:after="0"/>
              <w:rPr>
                <w:sz w:val="20"/>
                <w:szCs w:val="20"/>
                <w:color w:val="auto"/>
              </w:rPr>
            </w:pPr>
            <w:r>
              <w:rPr>
                <w:rFonts w:ascii="Times New Roman" w:cs="Times New Roman" w:eastAsia="Times New Roman" w:hAnsi="Times New Roman"/>
                <w:sz w:val="20"/>
                <w:szCs w:val="20"/>
                <w:color w:val="282828"/>
              </w:rPr>
              <w:t>Executive Bonus and Retention Plan</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940" w:type="dxa"/>
            <w:vAlign w:val="bottom"/>
            <w:gridSpan w:val="4"/>
            <w:shd w:val="clear" w:color="auto" w:fill="282828"/>
          </w:tcPr>
          <w:p>
            <w:pPr>
              <w:spacing w:after="0" w:line="20" w:lineRule="exact"/>
              <w:rPr>
                <w:sz w:val="1"/>
                <w:szCs w:val="1"/>
                <w:color w:val="auto"/>
              </w:rPr>
            </w:pPr>
          </w:p>
        </w:tc>
        <w:tc>
          <w:tcPr>
            <w:tcW w:w="980" w:type="dxa"/>
            <w:vAlign w:val="bottom"/>
            <w:gridSpan w:val="2"/>
            <w:shd w:val="clear" w:color="auto" w:fill="28282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860" w:type="dxa"/>
            <w:vAlign w:val="bottom"/>
            <w:vMerge w:val="restart"/>
          </w:tcPr>
          <w:p>
            <w:pPr>
              <w:jc w:val="center"/>
              <w:ind w:right="220"/>
              <w:spacing w:after="0"/>
              <w:rPr>
                <w:sz w:val="20"/>
                <w:szCs w:val="20"/>
                <w:color w:val="auto"/>
              </w:rPr>
            </w:pPr>
            <w:r>
              <w:rPr>
                <w:rFonts w:ascii="Times New Roman" w:cs="Times New Roman" w:eastAsia="Times New Roman" w:hAnsi="Times New Roman"/>
                <w:sz w:val="20"/>
                <w:szCs w:val="20"/>
                <w:color w:val="auto"/>
                <w:w w:val="98"/>
              </w:rPr>
              <w:t>10.21*</w:t>
            </w:r>
          </w:p>
        </w:tc>
        <w:tc>
          <w:tcPr>
            <w:tcW w:w="3460" w:type="dxa"/>
            <w:vAlign w:val="bottom"/>
            <w:tcBorders>
              <w:bottom w:val="single" w:sz="8" w:color="282828"/>
            </w:tcBorders>
            <w:gridSpan w:val="18"/>
          </w:tcPr>
          <w:p>
            <w:pPr>
              <w:spacing w:after="0"/>
              <w:rPr>
                <w:sz w:val="20"/>
                <w:szCs w:val="20"/>
                <w:color w:val="auto"/>
              </w:rPr>
            </w:pPr>
            <w:r>
              <w:rPr>
                <w:rFonts w:ascii="Times New Roman" w:cs="Times New Roman" w:eastAsia="Times New Roman" w:hAnsi="Times New Roman"/>
                <w:sz w:val="20"/>
                <w:szCs w:val="20"/>
                <w:color w:val="282828"/>
                <w:w w:val="98"/>
              </w:rPr>
              <w:t>Asset Purchase Agreement dated August 4,</w:t>
            </w:r>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860" w:type="dxa"/>
            <w:vAlign w:val="bottom"/>
            <w:vMerge w:val="continue"/>
          </w:tcPr>
          <w:p>
            <w:pPr>
              <w:spacing w:after="0"/>
              <w:rPr>
                <w:sz w:val="19"/>
                <w:szCs w:val="19"/>
                <w:color w:val="auto"/>
              </w:rPr>
            </w:pPr>
          </w:p>
        </w:tc>
        <w:tc>
          <w:tcPr>
            <w:tcW w:w="3620" w:type="dxa"/>
            <w:vAlign w:val="bottom"/>
            <w:tcBorders>
              <w:bottom w:val="single" w:sz="8" w:color="282828"/>
            </w:tcBorders>
            <w:gridSpan w:val="22"/>
          </w:tcPr>
          <w:p>
            <w:pPr>
              <w:spacing w:after="0" w:line="221" w:lineRule="exact"/>
              <w:rPr>
                <w:sz w:val="20"/>
                <w:szCs w:val="20"/>
                <w:color w:val="auto"/>
              </w:rPr>
            </w:pPr>
            <w:r>
              <w:rPr>
                <w:rFonts w:ascii="Times New Roman" w:cs="Times New Roman" w:eastAsia="Times New Roman" w:hAnsi="Times New Roman"/>
                <w:sz w:val="20"/>
                <w:szCs w:val="20"/>
                <w:color w:val="282828"/>
                <w:w w:val="99"/>
              </w:rPr>
              <w:t>2020, by and among MegaChips Corporation</w:t>
            </w:r>
          </w:p>
        </w:tc>
        <w:tc>
          <w:tcPr>
            <w:tcW w:w="14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0" w:type="dxa"/>
            <w:vAlign w:val="bottom"/>
          </w:tcPr>
          <w:p>
            <w:pPr>
              <w:spacing w:after="0"/>
              <w:rPr>
                <w:sz w:val="19"/>
                <w:szCs w:val="19"/>
                <w:color w:val="auto"/>
              </w:rPr>
            </w:pPr>
          </w:p>
        </w:tc>
        <w:tc>
          <w:tcPr>
            <w:tcW w:w="1940" w:type="dxa"/>
            <w:vAlign w:val="bottom"/>
            <w:tcBorders>
              <w:bottom w:val="single" w:sz="8" w:color="282828"/>
            </w:tcBorders>
            <w:gridSpan w:val="4"/>
          </w:tcPr>
          <w:p>
            <w:pPr>
              <w:spacing w:after="0" w:line="220" w:lineRule="exact"/>
              <w:rPr>
                <w:sz w:val="20"/>
                <w:szCs w:val="20"/>
                <w:color w:val="auto"/>
              </w:rPr>
            </w:pPr>
            <w:r>
              <w:rPr>
                <w:rFonts w:ascii="Times New Roman" w:cs="Times New Roman" w:eastAsia="Times New Roman" w:hAnsi="Times New Roman"/>
                <w:sz w:val="20"/>
                <w:szCs w:val="20"/>
                <w:color w:val="282828"/>
                <w:w w:val="98"/>
              </w:rPr>
              <w:t>and SiTime Corporation</w:t>
            </w:r>
          </w:p>
        </w:tc>
        <w:tc>
          <w:tcPr>
            <w:tcW w:w="1820" w:type="dxa"/>
            <w:vAlign w:val="bottom"/>
            <w:gridSpan w:val="23"/>
          </w:tcPr>
          <w:p>
            <w:pPr>
              <w:spacing w:after="0"/>
              <w:rPr>
                <w:sz w:val="19"/>
                <w:szCs w:val="19"/>
                <w:color w:val="auto"/>
              </w:rPr>
            </w:pPr>
          </w:p>
        </w:tc>
        <w:tc>
          <w:tcPr>
            <w:tcW w:w="0" w:type="dxa"/>
            <w:vAlign w:val="bottom"/>
          </w:tcPr>
          <w:p>
            <w:pPr>
              <w:spacing w:after="0"/>
              <w:rPr>
                <w:sz w:val="1"/>
                <w:szCs w:val="1"/>
                <w:color w:val="auto"/>
              </w:rPr>
            </w:pPr>
          </w:p>
        </w:tc>
      </w:tr>
      <w:tr>
        <w:trPr>
          <w:trHeight w:val="544"/>
        </w:trPr>
        <w:tc>
          <w:tcPr>
            <w:tcW w:w="860" w:type="dxa"/>
            <w:vAlign w:val="bottom"/>
            <w:vMerge w:val="restart"/>
          </w:tcPr>
          <w:p>
            <w:pPr>
              <w:jc w:val="center"/>
              <w:ind w:right="200"/>
              <w:spacing w:after="0"/>
              <w:rPr>
                <w:sz w:val="20"/>
                <w:szCs w:val="20"/>
                <w:color w:val="auto"/>
              </w:rPr>
            </w:pPr>
            <w:r>
              <w:rPr>
                <w:rFonts w:ascii="Times New Roman" w:cs="Times New Roman" w:eastAsia="Times New Roman" w:hAnsi="Times New Roman"/>
                <w:sz w:val="20"/>
                <w:szCs w:val="20"/>
                <w:color w:val="auto"/>
                <w:w w:val="99"/>
              </w:rPr>
              <w:t>10.22+</w:t>
            </w:r>
          </w:p>
        </w:tc>
        <w:tc>
          <w:tcPr>
            <w:tcW w:w="3420" w:type="dxa"/>
            <w:vAlign w:val="bottom"/>
            <w:tcBorders>
              <w:bottom w:val="single" w:sz="8" w:color="282828"/>
            </w:tcBorders>
            <w:gridSpan w:val="17"/>
          </w:tcPr>
          <w:p>
            <w:pPr>
              <w:spacing w:after="0"/>
              <w:rPr>
                <w:sz w:val="20"/>
                <w:szCs w:val="20"/>
                <w:color w:val="auto"/>
              </w:rPr>
            </w:pPr>
            <w:r>
              <w:rPr>
                <w:rFonts w:ascii="Times New Roman" w:cs="Times New Roman" w:eastAsia="Times New Roman" w:hAnsi="Times New Roman"/>
                <w:sz w:val="20"/>
                <w:szCs w:val="20"/>
                <w:color w:val="282828"/>
                <w:w w:val="99"/>
              </w:rPr>
              <w:t>Offer of Employment dated November 16,</w:t>
            </w:r>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60" w:type="dxa"/>
            <w:vAlign w:val="bottom"/>
            <w:vMerge w:val="continue"/>
          </w:tcPr>
          <w:p>
            <w:pPr>
              <w:spacing w:after="0"/>
              <w:rPr>
                <w:sz w:val="19"/>
                <w:szCs w:val="19"/>
                <w:color w:val="auto"/>
              </w:rPr>
            </w:pPr>
          </w:p>
        </w:tc>
        <w:tc>
          <w:tcPr>
            <w:tcW w:w="3540" w:type="dxa"/>
            <w:vAlign w:val="bottom"/>
            <w:tcBorders>
              <w:bottom w:val="single" w:sz="8" w:color="282828"/>
            </w:tcBorders>
            <w:gridSpan w:val="20"/>
          </w:tcPr>
          <w:p>
            <w:pPr>
              <w:spacing w:after="0" w:line="220" w:lineRule="exact"/>
              <w:rPr>
                <w:sz w:val="20"/>
                <w:szCs w:val="20"/>
                <w:color w:val="auto"/>
              </w:rPr>
            </w:pPr>
            <w:r>
              <w:rPr>
                <w:rFonts w:ascii="Times New Roman" w:cs="Times New Roman" w:eastAsia="Times New Roman" w:hAnsi="Times New Roman"/>
                <w:sz w:val="20"/>
                <w:szCs w:val="20"/>
                <w:color w:val="282828"/>
                <w:w w:val="99"/>
              </w:rPr>
              <w:t>2020, between Fari Assaderaghi and SiTime</w:t>
            </w:r>
          </w:p>
        </w:tc>
        <w:tc>
          <w:tcPr>
            <w:tcW w:w="22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0" w:type="dxa"/>
            <w:vAlign w:val="bottom"/>
          </w:tcPr>
          <w:p>
            <w:pPr>
              <w:spacing w:after="0"/>
              <w:rPr>
                <w:sz w:val="19"/>
                <w:szCs w:val="19"/>
                <w:color w:val="auto"/>
              </w:rPr>
            </w:pPr>
          </w:p>
        </w:tc>
        <w:tc>
          <w:tcPr>
            <w:tcW w:w="960" w:type="dxa"/>
            <w:vAlign w:val="bottom"/>
            <w:tcBorders>
              <w:bottom w:val="single" w:sz="8" w:color="282828"/>
            </w:tcBorders>
            <w:gridSpan w:val="3"/>
          </w:tcPr>
          <w:p>
            <w:pPr>
              <w:spacing w:after="0" w:line="220" w:lineRule="exact"/>
              <w:rPr>
                <w:sz w:val="20"/>
                <w:szCs w:val="20"/>
                <w:color w:val="auto"/>
              </w:rPr>
            </w:pPr>
            <w:r>
              <w:rPr>
                <w:rFonts w:ascii="Times New Roman" w:cs="Times New Roman" w:eastAsia="Times New Roman" w:hAnsi="Times New Roman"/>
                <w:sz w:val="20"/>
                <w:szCs w:val="20"/>
                <w:color w:val="282828"/>
                <w:w w:val="97"/>
              </w:rPr>
              <w:t>Corporation</w:t>
            </w:r>
          </w:p>
        </w:tc>
        <w:tc>
          <w:tcPr>
            <w:tcW w:w="2800" w:type="dxa"/>
            <w:vAlign w:val="bottom"/>
            <w:gridSpan w:val="24"/>
          </w:tcPr>
          <w:p>
            <w:pPr>
              <w:spacing w:after="0"/>
              <w:rPr>
                <w:sz w:val="19"/>
                <w:szCs w:val="19"/>
                <w:color w:val="auto"/>
              </w:rPr>
            </w:pPr>
          </w:p>
        </w:tc>
        <w:tc>
          <w:tcPr>
            <w:tcW w:w="0" w:type="dxa"/>
            <w:vAlign w:val="bottom"/>
          </w:tcPr>
          <w:p>
            <w:pPr>
              <w:spacing w:after="0"/>
              <w:rPr>
                <w:sz w:val="1"/>
                <w:szCs w:val="1"/>
                <w:color w:val="auto"/>
              </w:rPr>
            </w:pPr>
          </w:p>
        </w:tc>
      </w:tr>
      <w:tr>
        <w:trPr>
          <w:trHeight w:val="545"/>
        </w:trPr>
        <w:tc>
          <w:tcPr>
            <w:tcW w:w="860" w:type="dxa"/>
            <w:vAlign w:val="bottom"/>
          </w:tcPr>
          <w:p>
            <w:pPr>
              <w:jc w:val="center"/>
              <w:ind w:right="200"/>
              <w:spacing w:after="0"/>
              <w:rPr>
                <w:sz w:val="20"/>
                <w:szCs w:val="20"/>
                <w:color w:val="auto"/>
              </w:rPr>
            </w:pPr>
            <w:r>
              <w:rPr>
                <w:rFonts w:ascii="Times New Roman" w:cs="Times New Roman" w:eastAsia="Times New Roman" w:hAnsi="Times New Roman"/>
                <w:sz w:val="20"/>
                <w:szCs w:val="20"/>
                <w:color w:val="auto"/>
                <w:w w:val="99"/>
              </w:rPr>
              <w:t>10.23+</w:t>
            </w:r>
          </w:p>
        </w:tc>
        <w:tc>
          <w:tcPr>
            <w:tcW w:w="3760" w:type="dxa"/>
            <w:vAlign w:val="bottom"/>
            <w:gridSpan w:val="27"/>
          </w:tcPr>
          <w:p>
            <w:pPr>
              <w:spacing w:after="0"/>
              <w:rPr>
                <w:sz w:val="20"/>
                <w:szCs w:val="20"/>
                <w:color w:val="auto"/>
              </w:rPr>
            </w:pPr>
            <w:r>
              <w:rPr>
                <w:rFonts w:ascii="Times New Roman" w:cs="Times New Roman" w:eastAsia="Times New Roman" w:hAnsi="Times New Roman"/>
                <w:sz w:val="20"/>
                <w:szCs w:val="20"/>
                <w:color w:val="282828"/>
              </w:rPr>
              <w:t>Independent Director Compensation Policy</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960" w:type="dxa"/>
            <w:vAlign w:val="bottom"/>
            <w:gridSpan w:val="7"/>
            <w:shd w:val="clear" w:color="auto" w:fill="282828"/>
          </w:tcPr>
          <w:p>
            <w:pPr>
              <w:spacing w:after="0" w:line="20" w:lineRule="exact"/>
              <w:rPr>
                <w:sz w:val="1"/>
                <w:szCs w:val="1"/>
                <w:color w:val="auto"/>
              </w:rPr>
            </w:pPr>
          </w:p>
        </w:tc>
        <w:tc>
          <w:tcPr>
            <w:tcW w:w="440" w:type="dxa"/>
            <w:vAlign w:val="bottom"/>
            <w:gridSpan w:val="9"/>
            <w:shd w:val="clear" w:color="auto" w:fill="282828"/>
          </w:tcPr>
          <w:p>
            <w:pPr>
              <w:spacing w:after="0" w:line="20" w:lineRule="exact"/>
              <w:rPr>
                <w:sz w:val="1"/>
                <w:szCs w:val="1"/>
                <w:color w:val="auto"/>
              </w:rPr>
            </w:pPr>
          </w:p>
        </w:tc>
        <w:tc>
          <w:tcPr>
            <w:tcW w:w="60" w:type="dxa"/>
            <w:vAlign w:val="bottom"/>
            <w:tcBorders>
              <w:right w:val="single" w:sz="8" w:color="282828"/>
            </w:tcBorders>
            <w:gridSpan w:val="2"/>
            <w:shd w:val="clear" w:color="auto" w:fill="282828"/>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860" w:type="dxa"/>
            <w:vAlign w:val="bottom"/>
            <w:vMerge w:val="restart"/>
          </w:tcPr>
          <w:p>
            <w:pPr>
              <w:jc w:val="center"/>
              <w:ind w:right="200"/>
              <w:spacing w:after="0"/>
              <w:rPr>
                <w:sz w:val="20"/>
                <w:szCs w:val="20"/>
                <w:color w:val="auto"/>
              </w:rPr>
            </w:pPr>
            <w:r>
              <w:rPr>
                <w:rFonts w:ascii="Times New Roman" w:cs="Times New Roman" w:eastAsia="Times New Roman" w:hAnsi="Times New Roman"/>
                <w:sz w:val="20"/>
                <w:szCs w:val="20"/>
                <w:color w:val="auto"/>
                <w:w w:val="99"/>
              </w:rPr>
              <w:t>10.24+</w:t>
            </w:r>
          </w:p>
        </w:tc>
        <w:tc>
          <w:tcPr>
            <w:tcW w:w="3720" w:type="dxa"/>
            <w:vAlign w:val="bottom"/>
            <w:tcBorders>
              <w:bottom w:val="single" w:sz="8" w:color="282828"/>
            </w:tcBorders>
            <w:gridSpan w:val="26"/>
          </w:tcPr>
          <w:p>
            <w:pPr>
              <w:spacing w:after="0"/>
              <w:rPr>
                <w:sz w:val="20"/>
                <w:szCs w:val="20"/>
                <w:color w:val="auto"/>
              </w:rPr>
            </w:pPr>
            <w:r>
              <w:rPr>
                <w:rFonts w:ascii="Times New Roman" w:cs="Times New Roman" w:eastAsia="Times New Roman" w:hAnsi="Times New Roman"/>
                <w:sz w:val="20"/>
                <w:szCs w:val="20"/>
                <w:color w:val="282828"/>
                <w:w w:val="98"/>
              </w:rPr>
              <w:t>Letter Agreement dated April 1, 2021 between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860" w:type="dxa"/>
            <w:vAlign w:val="bottom"/>
            <w:vMerge w:val="continue"/>
          </w:tcPr>
          <w:p>
            <w:pPr>
              <w:spacing w:after="0"/>
              <w:rPr>
                <w:sz w:val="10"/>
                <w:szCs w:val="10"/>
                <w:color w:val="auto"/>
              </w:rPr>
            </w:pPr>
          </w:p>
        </w:tc>
        <w:tc>
          <w:tcPr>
            <w:tcW w:w="3400" w:type="dxa"/>
            <w:vAlign w:val="bottom"/>
            <w:gridSpan w:val="16"/>
            <w:vMerge w:val="restart"/>
          </w:tcPr>
          <w:p>
            <w:pPr>
              <w:spacing w:after="0" w:line="220" w:lineRule="exact"/>
              <w:rPr>
                <w:sz w:val="20"/>
                <w:szCs w:val="20"/>
                <w:color w:val="auto"/>
              </w:rPr>
            </w:pPr>
            <w:r>
              <w:rPr>
                <w:rFonts w:ascii="Times New Roman" w:cs="Times New Roman" w:eastAsia="Times New Roman" w:hAnsi="Times New Roman"/>
                <w:sz w:val="20"/>
                <w:szCs w:val="20"/>
                <w:color w:val="282828"/>
                <w:w w:val="99"/>
              </w:rPr>
              <w:t>Christine Heckart and SiTime Corporation</w:t>
            </w:r>
          </w:p>
        </w:tc>
        <w:tc>
          <w:tcPr>
            <w:tcW w:w="360" w:type="dxa"/>
            <w:vAlign w:val="bottom"/>
            <w:gridSpan w:val="11"/>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860" w:type="dxa"/>
            <w:vAlign w:val="bottom"/>
          </w:tcPr>
          <w:p>
            <w:pPr>
              <w:spacing w:after="0"/>
              <w:rPr>
                <w:sz w:val="9"/>
                <w:szCs w:val="9"/>
                <w:color w:val="auto"/>
              </w:rPr>
            </w:pPr>
          </w:p>
        </w:tc>
        <w:tc>
          <w:tcPr>
            <w:tcW w:w="3400" w:type="dxa"/>
            <w:vAlign w:val="bottom"/>
            <w:tcBorders>
              <w:bottom w:val="single" w:sz="8" w:color="282828"/>
            </w:tcBorders>
            <w:gridSpan w:val="16"/>
            <w:vMerge w:val="continue"/>
          </w:tcPr>
          <w:p>
            <w:pPr>
              <w:spacing w:after="0"/>
              <w:rPr>
                <w:sz w:val="9"/>
                <w:szCs w:val="9"/>
                <w:color w:val="auto"/>
              </w:rPr>
            </w:pPr>
          </w:p>
        </w:tc>
        <w:tc>
          <w:tcPr>
            <w:tcW w:w="36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6"/>
        </w:trPr>
        <w:tc>
          <w:tcPr>
            <w:tcW w:w="860" w:type="dxa"/>
            <w:vAlign w:val="bottom"/>
            <w:vMerge w:val="restart"/>
          </w:tcPr>
          <w:p>
            <w:pPr>
              <w:jc w:val="center"/>
              <w:ind w:right="200"/>
              <w:spacing w:after="0"/>
              <w:rPr>
                <w:sz w:val="20"/>
                <w:szCs w:val="20"/>
                <w:color w:val="auto"/>
              </w:rPr>
            </w:pPr>
            <w:r>
              <w:rPr>
                <w:rFonts w:ascii="Times New Roman" w:cs="Times New Roman" w:eastAsia="Times New Roman" w:hAnsi="Times New Roman"/>
                <w:sz w:val="20"/>
                <w:szCs w:val="20"/>
                <w:color w:val="auto"/>
                <w:w w:val="99"/>
              </w:rPr>
              <w:t>10.25+</w:t>
            </w:r>
          </w:p>
        </w:tc>
        <w:tc>
          <w:tcPr>
            <w:tcW w:w="3760" w:type="dxa"/>
            <w:vAlign w:val="bottom"/>
            <w:gridSpan w:val="27"/>
          </w:tcPr>
          <w:p>
            <w:pPr>
              <w:spacing w:after="0"/>
              <w:rPr>
                <w:sz w:val="20"/>
                <w:szCs w:val="20"/>
                <w:color w:val="auto"/>
              </w:rPr>
            </w:pPr>
            <w:r>
              <w:rPr>
                <w:rFonts w:ascii="Times New Roman" w:cs="Times New Roman" w:eastAsia="Times New Roman" w:hAnsi="Times New Roman"/>
                <w:sz w:val="20"/>
                <w:szCs w:val="20"/>
                <w:color w:val="282828"/>
              </w:rPr>
              <w:t>Offer of Employment dated October 31, 2023,</w:t>
            </w:r>
          </w:p>
        </w:tc>
        <w:tc>
          <w:tcPr>
            <w:tcW w:w="0" w:type="dxa"/>
            <w:vAlign w:val="bottom"/>
          </w:tcPr>
          <w:p>
            <w:pPr>
              <w:spacing w:after="0"/>
              <w:rPr>
                <w:sz w:val="1"/>
                <w:szCs w:val="1"/>
                <w:color w:val="auto"/>
              </w:rPr>
            </w:pPr>
          </w:p>
        </w:tc>
      </w:tr>
      <w:tr>
        <w:trPr>
          <w:trHeight w:val="220"/>
        </w:trPr>
        <w:tc>
          <w:tcPr>
            <w:tcW w:w="860" w:type="dxa"/>
            <w:vAlign w:val="bottom"/>
            <w:vMerge w:val="continue"/>
          </w:tcPr>
          <w:p>
            <w:pPr>
              <w:spacing w:after="0"/>
              <w:rPr>
                <w:sz w:val="19"/>
                <w:szCs w:val="19"/>
                <w:color w:val="auto"/>
              </w:rPr>
            </w:pPr>
          </w:p>
        </w:tc>
        <w:tc>
          <w:tcPr>
            <w:tcW w:w="3700" w:type="dxa"/>
            <w:vAlign w:val="bottom"/>
            <w:tcBorders>
              <w:top w:val="single" w:sz="8" w:color="282828"/>
            </w:tcBorders>
            <w:gridSpan w:val="25"/>
          </w:tcPr>
          <w:p>
            <w:pPr>
              <w:spacing w:after="0" w:line="220" w:lineRule="exact"/>
              <w:rPr>
                <w:sz w:val="20"/>
                <w:szCs w:val="20"/>
                <w:color w:val="auto"/>
              </w:rPr>
            </w:pPr>
            <w:r>
              <w:rPr>
                <w:rFonts w:ascii="Times New Roman" w:cs="Times New Roman" w:eastAsia="Times New Roman" w:hAnsi="Times New Roman"/>
                <w:sz w:val="20"/>
                <w:szCs w:val="20"/>
                <w:color w:val="282828"/>
              </w:rPr>
              <w:t>between Elizabeth Howe and SiTime</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60" w:type="dxa"/>
            <w:vAlign w:val="bottom"/>
          </w:tcPr>
          <w:p>
            <w:pPr>
              <w:spacing w:after="0"/>
              <w:rPr>
                <w:sz w:val="19"/>
                <w:szCs w:val="19"/>
                <w:color w:val="auto"/>
              </w:rPr>
            </w:pPr>
          </w:p>
        </w:tc>
        <w:tc>
          <w:tcPr>
            <w:tcW w:w="960" w:type="dxa"/>
            <w:vAlign w:val="bottom"/>
            <w:tcBorders>
              <w:top w:val="single" w:sz="8" w:color="282828"/>
              <w:bottom w:val="single" w:sz="8" w:color="282828"/>
            </w:tcBorders>
            <w:gridSpan w:val="3"/>
          </w:tcPr>
          <w:p>
            <w:pPr>
              <w:spacing w:after="0" w:line="220" w:lineRule="exact"/>
              <w:rPr>
                <w:sz w:val="20"/>
                <w:szCs w:val="20"/>
                <w:color w:val="auto"/>
              </w:rPr>
            </w:pPr>
            <w:r>
              <w:rPr>
                <w:rFonts w:ascii="Times New Roman" w:cs="Times New Roman" w:eastAsia="Times New Roman" w:hAnsi="Times New Roman"/>
                <w:sz w:val="20"/>
                <w:szCs w:val="20"/>
                <w:color w:val="282828"/>
                <w:w w:val="97"/>
              </w:rPr>
              <w:t>Corporation</w:t>
            </w:r>
          </w:p>
        </w:tc>
        <w:tc>
          <w:tcPr>
            <w:tcW w:w="2000" w:type="dxa"/>
            <w:vAlign w:val="bottom"/>
            <w:tcBorders>
              <w:top w:val="single" w:sz="8" w:color="282828"/>
            </w:tcBorders>
            <w:gridSpan w:val="4"/>
          </w:tcPr>
          <w:p>
            <w:pPr>
              <w:spacing w:after="0"/>
              <w:rPr>
                <w:sz w:val="19"/>
                <w:szCs w:val="19"/>
                <w:color w:val="auto"/>
              </w:rPr>
            </w:pPr>
          </w:p>
        </w:tc>
        <w:tc>
          <w:tcPr>
            <w:tcW w:w="800" w:type="dxa"/>
            <w:vAlign w:val="bottom"/>
            <w:gridSpan w:val="20"/>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rPr>
              <w:t>10/23/201</w:t>
            </w:r>
          </w:p>
        </w:tc>
        <w:tc>
          <w:tcPr>
            <w:tcW w:w="0" w:type="dxa"/>
            <w:vAlign w:val="bottom"/>
          </w:tcPr>
          <w:p>
            <w:pPr>
              <w:spacing w:after="0"/>
              <w:rPr>
                <w:sz w:val="1"/>
                <w:szCs w:val="1"/>
                <w:color w:val="auto"/>
              </w:rPr>
            </w:pPr>
          </w:p>
        </w:tc>
      </w:tr>
      <w:tr>
        <w:trPr>
          <w:trHeight w:val="261"/>
        </w:trPr>
        <w:tc>
          <w:tcPr>
            <w:tcW w:w="58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333-234305</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10.8</w:t>
            </w: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w w:val="99"/>
              </w:rPr>
              <w:t>9</w:t>
            </w:r>
          </w:p>
        </w:tc>
        <w:tc>
          <w:tcPr>
            <w:tcW w:w="0" w:type="dxa"/>
            <w:vAlign w:val="bottom"/>
          </w:tcPr>
          <w:p>
            <w:pPr>
              <w:spacing w:after="0"/>
              <w:rPr>
                <w:sz w:val="1"/>
                <w:szCs w:val="1"/>
                <w:color w:val="auto"/>
              </w:rPr>
            </w:pPr>
          </w:p>
        </w:tc>
      </w:tr>
      <w:tr>
        <w:trPr>
          <w:trHeight w:val="785"/>
        </w:trPr>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rPr>
              <w:t>10/23/201</w:t>
            </w:r>
          </w:p>
        </w:tc>
        <w:tc>
          <w:tcPr>
            <w:tcW w:w="0" w:type="dxa"/>
            <w:vAlign w:val="bottom"/>
          </w:tcPr>
          <w:p>
            <w:pPr>
              <w:spacing w:after="0"/>
              <w:rPr>
                <w:sz w:val="1"/>
                <w:szCs w:val="1"/>
                <w:color w:val="auto"/>
              </w:rPr>
            </w:pPr>
          </w:p>
        </w:tc>
      </w:tr>
      <w:tr>
        <w:trPr>
          <w:trHeight w:val="261"/>
        </w:trPr>
        <w:tc>
          <w:tcPr>
            <w:tcW w:w="58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333-234305</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10.9</w:t>
            </w: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w w:val="99"/>
              </w:rPr>
              <w:t>9</w:t>
            </w:r>
          </w:p>
        </w:tc>
        <w:tc>
          <w:tcPr>
            <w:tcW w:w="0" w:type="dxa"/>
            <w:vAlign w:val="bottom"/>
          </w:tcPr>
          <w:p>
            <w:pPr>
              <w:spacing w:after="0"/>
              <w:rPr>
                <w:sz w:val="1"/>
                <w:szCs w:val="1"/>
                <w:color w:val="auto"/>
              </w:rPr>
            </w:pPr>
          </w:p>
        </w:tc>
      </w:tr>
      <w:tr>
        <w:trPr>
          <w:trHeight w:val="785"/>
        </w:trPr>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rPr>
              <w:t>10/23/201</w:t>
            </w:r>
          </w:p>
        </w:tc>
        <w:tc>
          <w:tcPr>
            <w:tcW w:w="0" w:type="dxa"/>
            <w:vAlign w:val="bottom"/>
          </w:tcPr>
          <w:p>
            <w:pPr>
              <w:spacing w:after="0"/>
              <w:rPr>
                <w:sz w:val="1"/>
                <w:szCs w:val="1"/>
                <w:color w:val="auto"/>
              </w:rPr>
            </w:pPr>
          </w:p>
        </w:tc>
      </w:tr>
      <w:tr>
        <w:trPr>
          <w:trHeight w:val="261"/>
        </w:trPr>
        <w:tc>
          <w:tcPr>
            <w:tcW w:w="58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333-234305</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10.16</w:t>
            </w: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w w:val="99"/>
              </w:rPr>
              <w:t>9</w:t>
            </w:r>
          </w:p>
        </w:tc>
        <w:tc>
          <w:tcPr>
            <w:tcW w:w="0" w:type="dxa"/>
            <w:vAlign w:val="bottom"/>
          </w:tcPr>
          <w:p>
            <w:pPr>
              <w:spacing w:after="0"/>
              <w:rPr>
                <w:sz w:val="1"/>
                <w:szCs w:val="1"/>
                <w:color w:val="auto"/>
              </w:rPr>
            </w:pPr>
          </w:p>
        </w:tc>
      </w:tr>
      <w:tr>
        <w:trPr>
          <w:trHeight w:val="545"/>
        </w:trPr>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rPr>
              <w:t>10/23/201</w:t>
            </w:r>
          </w:p>
        </w:tc>
        <w:tc>
          <w:tcPr>
            <w:tcW w:w="0" w:type="dxa"/>
            <w:vAlign w:val="bottom"/>
          </w:tcPr>
          <w:p>
            <w:pPr>
              <w:spacing w:after="0"/>
              <w:rPr>
                <w:sz w:val="1"/>
                <w:szCs w:val="1"/>
                <w:color w:val="auto"/>
              </w:rPr>
            </w:pPr>
          </w:p>
        </w:tc>
      </w:tr>
      <w:tr>
        <w:trPr>
          <w:trHeight w:val="261"/>
        </w:trPr>
        <w:tc>
          <w:tcPr>
            <w:tcW w:w="58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333-234305</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10.17</w:t>
            </w: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w w:val="99"/>
              </w:rPr>
              <w:t>9</w:t>
            </w:r>
          </w:p>
        </w:tc>
        <w:tc>
          <w:tcPr>
            <w:tcW w:w="0" w:type="dxa"/>
            <w:vAlign w:val="bottom"/>
          </w:tcPr>
          <w:p>
            <w:pPr>
              <w:spacing w:after="0"/>
              <w:rPr>
                <w:sz w:val="1"/>
                <w:szCs w:val="1"/>
                <w:color w:val="auto"/>
              </w:rPr>
            </w:pPr>
          </w:p>
        </w:tc>
      </w:tr>
      <w:tr>
        <w:trPr>
          <w:trHeight w:val="545"/>
        </w:trPr>
        <w:tc>
          <w:tcPr>
            <w:tcW w:w="58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color w:val="auto"/>
              </w:rPr>
              <w:t>S-1</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333-234305</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10.18</w:t>
            </w: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rPr>
              <w:t>10/23/201</w:t>
            </w:r>
          </w:p>
        </w:tc>
        <w:tc>
          <w:tcPr>
            <w:tcW w:w="0" w:type="dxa"/>
            <w:vAlign w:val="bottom"/>
          </w:tcPr>
          <w:p>
            <w:pPr>
              <w:spacing w:after="0"/>
              <w:rPr>
                <w:sz w:val="1"/>
                <w:szCs w:val="1"/>
                <w:color w:val="auto"/>
              </w:rPr>
            </w:pPr>
          </w:p>
        </w:tc>
      </w:tr>
      <w:tr>
        <w:trPr>
          <w:trHeight w:val="261"/>
        </w:trPr>
        <w:tc>
          <w:tcPr>
            <w:tcW w:w="580" w:type="dxa"/>
            <w:vAlign w:val="bottom"/>
            <w:vMerge w:val="continue"/>
          </w:tcPr>
          <w:p>
            <w:pPr>
              <w:spacing w:after="0"/>
              <w:rPr>
                <w:sz w:val="22"/>
                <w:szCs w:val="22"/>
                <w:color w:val="auto"/>
              </w:rPr>
            </w:pPr>
          </w:p>
        </w:tc>
        <w:tc>
          <w:tcPr>
            <w:tcW w:w="132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w w:val="99"/>
              </w:rPr>
              <w:t>9</w:t>
            </w:r>
          </w:p>
        </w:tc>
        <w:tc>
          <w:tcPr>
            <w:tcW w:w="0" w:type="dxa"/>
            <w:vAlign w:val="bottom"/>
          </w:tcPr>
          <w:p>
            <w:pPr>
              <w:spacing w:after="0"/>
              <w:rPr>
                <w:sz w:val="1"/>
                <w:szCs w:val="1"/>
                <w:color w:val="auto"/>
              </w:rPr>
            </w:pPr>
          </w:p>
        </w:tc>
      </w:tr>
      <w:tr>
        <w:trPr>
          <w:trHeight w:val="783"/>
        </w:trPr>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rPr>
              <w:t>10/23/201</w:t>
            </w:r>
          </w:p>
        </w:tc>
        <w:tc>
          <w:tcPr>
            <w:tcW w:w="0" w:type="dxa"/>
            <w:vAlign w:val="bottom"/>
          </w:tcPr>
          <w:p>
            <w:pPr>
              <w:spacing w:after="0"/>
              <w:rPr>
                <w:sz w:val="1"/>
                <w:szCs w:val="1"/>
                <w:color w:val="auto"/>
              </w:rPr>
            </w:pPr>
          </w:p>
        </w:tc>
      </w:tr>
      <w:tr>
        <w:trPr>
          <w:trHeight w:val="261"/>
        </w:trPr>
        <w:tc>
          <w:tcPr>
            <w:tcW w:w="58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333-234305</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10.19</w:t>
            </w: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w w:val="99"/>
              </w:rPr>
              <w:t>9</w:t>
            </w:r>
          </w:p>
        </w:tc>
        <w:tc>
          <w:tcPr>
            <w:tcW w:w="0" w:type="dxa"/>
            <w:vAlign w:val="bottom"/>
          </w:tcPr>
          <w:p>
            <w:pPr>
              <w:spacing w:after="0"/>
              <w:rPr>
                <w:sz w:val="1"/>
                <w:szCs w:val="1"/>
                <w:color w:val="auto"/>
              </w:rPr>
            </w:pPr>
          </w:p>
        </w:tc>
      </w:tr>
      <w:tr>
        <w:trPr>
          <w:trHeight w:val="1025"/>
        </w:trPr>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rPr>
              <w:t>10/23/201</w:t>
            </w:r>
          </w:p>
        </w:tc>
        <w:tc>
          <w:tcPr>
            <w:tcW w:w="0" w:type="dxa"/>
            <w:vAlign w:val="bottom"/>
          </w:tcPr>
          <w:p>
            <w:pPr>
              <w:spacing w:after="0"/>
              <w:rPr>
                <w:sz w:val="1"/>
                <w:szCs w:val="1"/>
                <w:color w:val="auto"/>
              </w:rPr>
            </w:pPr>
          </w:p>
        </w:tc>
      </w:tr>
      <w:tr>
        <w:trPr>
          <w:trHeight w:val="261"/>
        </w:trPr>
        <w:tc>
          <w:tcPr>
            <w:tcW w:w="58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S-1</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333-234305</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10.20</w:t>
            </w: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w w:val="99"/>
              </w:rPr>
              <w:t>9</w:t>
            </w:r>
          </w:p>
        </w:tc>
        <w:tc>
          <w:tcPr>
            <w:tcW w:w="0" w:type="dxa"/>
            <w:vAlign w:val="bottom"/>
          </w:tcPr>
          <w:p>
            <w:pPr>
              <w:spacing w:after="0"/>
              <w:rPr>
                <w:sz w:val="1"/>
                <w:szCs w:val="1"/>
                <w:color w:val="auto"/>
              </w:rPr>
            </w:pPr>
          </w:p>
        </w:tc>
      </w:tr>
      <w:tr>
        <w:trPr>
          <w:trHeight w:val="1046"/>
        </w:trPr>
        <w:tc>
          <w:tcPr>
            <w:tcW w:w="58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7"/>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001-39135</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w w:val="98"/>
              </w:rPr>
              <w:t>5/7/2020</w:t>
            </w:r>
          </w:p>
        </w:tc>
        <w:tc>
          <w:tcPr>
            <w:tcW w:w="0" w:type="dxa"/>
            <w:vAlign w:val="bottom"/>
          </w:tcPr>
          <w:p>
            <w:pPr>
              <w:spacing w:after="0"/>
              <w:rPr>
                <w:sz w:val="1"/>
                <w:szCs w:val="1"/>
                <w:color w:val="auto"/>
              </w:rPr>
            </w:pPr>
          </w:p>
        </w:tc>
      </w:tr>
      <w:tr>
        <w:trPr>
          <w:trHeight w:val="1045"/>
        </w:trPr>
        <w:tc>
          <w:tcPr>
            <w:tcW w:w="58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001-39135</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w w:val="98"/>
              </w:rPr>
              <w:t>6/9/2020</w:t>
            </w:r>
          </w:p>
        </w:tc>
        <w:tc>
          <w:tcPr>
            <w:tcW w:w="0" w:type="dxa"/>
            <w:vAlign w:val="bottom"/>
          </w:tcPr>
          <w:p>
            <w:pPr>
              <w:spacing w:after="0"/>
              <w:rPr>
                <w:sz w:val="1"/>
                <w:szCs w:val="1"/>
                <w:color w:val="auto"/>
              </w:rPr>
            </w:pPr>
          </w:p>
        </w:tc>
      </w:tr>
      <w:tr>
        <w:trPr>
          <w:trHeight w:val="565"/>
        </w:trPr>
        <w:tc>
          <w:tcPr>
            <w:tcW w:w="58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7"/>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001-39135</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10.2</w:t>
            </w: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w w:val="98"/>
              </w:rPr>
              <w:t>8/6/2020</w:t>
            </w:r>
          </w:p>
        </w:tc>
        <w:tc>
          <w:tcPr>
            <w:tcW w:w="0" w:type="dxa"/>
            <w:vAlign w:val="bottom"/>
          </w:tcPr>
          <w:p>
            <w:pPr>
              <w:spacing w:after="0"/>
              <w:rPr>
                <w:sz w:val="1"/>
                <w:szCs w:val="1"/>
                <w:color w:val="auto"/>
              </w:rPr>
            </w:pPr>
          </w:p>
        </w:tc>
      </w:tr>
      <w:tr>
        <w:trPr>
          <w:trHeight w:val="1044"/>
        </w:trPr>
        <w:tc>
          <w:tcPr>
            <w:tcW w:w="58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7"/>
              </w:rPr>
              <w:t>10-Q</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001-39135</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10.3</w:t>
            </w: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w w:val="98"/>
              </w:rPr>
              <w:t>8/6/2020</w:t>
            </w:r>
          </w:p>
        </w:tc>
        <w:tc>
          <w:tcPr>
            <w:tcW w:w="0" w:type="dxa"/>
            <w:vAlign w:val="bottom"/>
          </w:tcPr>
          <w:p>
            <w:pPr>
              <w:spacing w:after="0"/>
              <w:rPr>
                <w:sz w:val="1"/>
                <w:szCs w:val="1"/>
                <w:color w:val="auto"/>
              </w:rPr>
            </w:pPr>
          </w:p>
        </w:tc>
      </w:tr>
      <w:tr>
        <w:trPr>
          <w:trHeight w:val="1045"/>
        </w:trPr>
        <w:tc>
          <w:tcPr>
            <w:tcW w:w="58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001-39135</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10.22</w:t>
            </w: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rPr>
              <w:t>2/16/2021</w:t>
            </w:r>
          </w:p>
        </w:tc>
        <w:tc>
          <w:tcPr>
            <w:tcW w:w="0" w:type="dxa"/>
            <w:vAlign w:val="bottom"/>
          </w:tcPr>
          <w:p>
            <w:pPr>
              <w:spacing w:after="0"/>
              <w:rPr>
                <w:sz w:val="1"/>
                <w:szCs w:val="1"/>
                <w:color w:val="auto"/>
              </w:rPr>
            </w:pPr>
          </w:p>
        </w:tc>
      </w:tr>
      <w:tr>
        <w:trPr>
          <w:trHeight w:val="613"/>
        </w:trPr>
        <w:tc>
          <w:tcPr>
            <w:tcW w:w="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60" w:type="dxa"/>
            <w:vAlign w:val="bottom"/>
          </w:tcPr>
          <w:p>
            <w:pPr>
              <w:ind w:left="1520"/>
              <w:spacing w:after="0"/>
              <w:rPr>
                <w:sz w:val="20"/>
                <w:szCs w:val="20"/>
                <w:color w:val="auto"/>
              </w:rPr>
            </w:pPr>
            <w:r>
              <w:rPr>
                <w:rFonts w:ascii="Times New Roman" w:cs="Times New Roman" w:eastAsia="Times New Roman" w:hAnsi="Times New Roman"/>
                <w:sz w:val="20"/>
                <w:szCs w:val="20"/>
                <w:color w:val="auto"/>
                <w:w w:val="82"/>
              </w:rPr>
              <w:t>X</w:t>
            </w:r>
          </w:p>
        </w:tc>
        <w:tc>
          <w:tcPr>
            <w:tcW w:w="0" w:type="dxa"/>
            <w:vAlign w:val="bottom"/>
          </w:tcPr>
          <w:p>
            <w:pPr>
              <w:spacing w:after="0"/>
              <w:rPr>
                <w:sz w:val="1"/>
                <w:szCs w:val="1"/>
                <w:color w:val="auto"/>
              </w:rPr>
            </w:pPr>
          </w:p>
        </w:tc>
      </w:tr>
      <w:tr>
        <w:trPr>
          <w:trHeight w:val="805"/>
        </w:trPr>
        <w:tc>
          <w:tcPr>
            <w:tcW w:w="58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rPr>
              <w:t>8-K</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001-39135</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w w:val="98"/>
              </w:rPr>
              <w:t>4/5/2021</w:t>
            </w:r>
          </w:p>
        </w:tc>
        <w:tc>
          <w:tcPr>
            <w:tcW w:w="0" w:type="dxa"/>
            <w:vAlign w:val="bottom"/>
          </w:tcPr>
          <w:p>
            <w:pPr>
              <w:spacing w:after="0"/>
              <w:rPr>
                <w:sz w:val="1"/>
                <w:szCs w:val="1"/>
                <w:color w:val="auto"/>
              </w:rPr>
            </w:pPr>
          </w:p>
        </w:tc>
      </w:tr>
      <w:tr>
        <w:trPr>
          <w:trHeight w:val="1046"/>
        </w:trPr>
        <w:tc>
          <w:tcPr>
            <w:tcW w:w="580" w:type="dxa"/>
            <w:vAlign w:val="bottom"/>
          </w:tcPr>
          <w:p>
            <w:pPr>
              <w:jc w:val="center"/>
              <w:ind w:right="80"/>
              <w:spacing w:after="0"/>
              <w:rPr>
                <w:sz w:val="20"/>
                <w:szCs w:val="20"/>
                <w:color w:val="auto"/>
              </w:rPr>
            </w:pPr>
            <w:r>
              <w:rPr>
                <w:rFonts w:ascii="Times New Roman" w:cs="Times New Roman" w:eastAsia="Times New Roman" w:hAnsi="Times New Roman"/>
                <w:sz w:val="20"/>
                <w:szCs w:val="20"/>
                <w:color w:val="auto"/>
                <w:w w:val="97"/>
              </w:rPr>
              <w:t>10-K</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001-39135</w:t>
            </w:r>
          </w:p>
        </w:tc>
        <w:tc>
          <w:tcPr>
            <w:tcW w:w="8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10.25</w:t>
            </w:r>
          </w:p>
        </w:tc>
        <w:tc>
          <w:tcPr>
            <w:tcW w:w="1660" w:type="dxa"/>
            <w:vAlign w:val="bottom"/>
          </w:tcPr>
          <w:p>
            <w:pPr>
              <w:jc w:val="center"/>
              <w:ind w:right="380"/>
              <w:spacing w:after="0"/>
              <w:rPr>
                <w:sz w:val="20"/>
                <w:szCs w:val="20"/>
                <w:color w:val="auto"/>
              </w:rPr>
            </w:pPr>
            <w:r>
              <w:rPr>
                <w:rFonts w:ascii="Times New Roman" w:cs="Times New Roman" w:eastAsia="Times New Roman" w:hAnsi="Times New Roman"/>
                <w:sz w:val="20"/>
                <w:szCs w:val="20"/>
                <w:color w:val="auto"/>
              </w:rPr>
              <w:t>2/26/2024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2">
            <w:col w:w="4620" w:space="360"/>
            <w:col w:w="4480"/>
          </w:cols>
          <w:pgMar w:left="1340" w:top="913" w:right="1440" w:bottom="0" w:gutter="0" w:footer="0" w:header="0"/>
        </w:sectPr>
      </w:pPr>
    </w:p>
    <w:p>
      <w:pPr>
        <w:spacing w:after="0" w:line="336" w:lineRule="exact"/>
        <w:rPr>
          <w:sz w:val="20"/>
          <w:szCs w:val="20"/>
          <w:color w:val="auto"/>
        </w:rPr>
      </w:pPr>
    </w:p>
    <w:p>
      <w:pPr>
        <w:jc w:val="center"/>
        <w:ind w:right="-9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460"/>
          </w:cols>
          <w:pgMar w:left="1340" w:top="913" w:right="1440" w:bottom="0" w:gutter="0" w:footer="0" w:header="0"/>
          <w:type w:val="continuous"/>
        </w:sectPr>
      </w:pPr>
    </w:p>
    <w:bookmarkStart w:id="98" w:name="page99"/>
    <w:bookmarkEnd w:id="98"/>
    <w:p>
      <w:pPr>
        <w:ind w:right="40" w:firstLine="860"/>
        <w:spacing w:after="0" w:line="261" w:lineRule="auto"/>
        <w:rPr>
          <w:sz w:val="20"/>
          <w:szCs w:val="20"/>
          <w:color w:val="auto"/>
        </w:rPr>
      </w:pPr>
      <w:r>
        <w:rPr>
          <w:rFonts w:ascii="Times New Roman" w:cs="Times New Roman" w:eastAsia="Times New Roman" w:hAnsi="Times New Roman"/>
          <w:sz w:val="20"/>
          <w:szCs w:val="20"/>
          <w:u w:val="single" w:color="auto"/>
          <w:color w:val="282828"/>
        </w:rPr>
        <w:t xml:space="preserve">Retirement Agreement dated October 30, 2023, </w:t>
      </w:r>
      <w:r>
        <w:rPr>
          <w:rFonts w:ascii="Times New Roman" w:cs="Times New Roman" w:eastAsia="Times New Roman" w:hAnsi="Times New Roman"/>
          <w:sz w:val="20"/>
          <w:szCs w:val="20"/>
          <w:color w:val="000000"/>
        </w:rPr>
        <w:t xml:space="preserve">10.26+ </w:t>
      </w:r>
      <w:r>
        <w:rPr>
          <w:rFonts w:ascii="Times New Roman" w:cs="Times New Roman" w:eastAsia="Times New Roman" w:hAnsi="Times New Roman"/>
          <w:sz w:val="20"/>
          <w:szCs w:val="20"/>
          <w:u w:val="single" w:color="auto"/>
          <w:color w:val="282828"/>
        </w:rPr>
        <w:t>between Arthur Chadwick and SiTime</w:t>
      </w:r>
    </w:p>
    <w:p>
      <w:pPr>
        <w:ind w:left="860"/>
        <w:spacing w:after="0"/>
        <w:rPr>
          <w:sz w:val="20"/>
          <w:szCs w:val="20"/>
          <w:color w:val="auto"/>
        </w:rPr>
      </w:pPr>
      <w:r>
        <w:rPr>
          <w:rFonts w:ascii="Times New Roman" w:cs="Times New Roman" w:eastAsia="Times New Roman" w:hAnsi="Times New Roman"/>
          <w:sz w:val="20"/>
          <w:szCs w:val="20"/>
          <w:u w:val="single" w:color="auto"/>
          <w:color w:val="282828"/>
        </w:rPr>
        <w:t>Corporation</w:t>
      </w:r>
    </w:p>
    <w:p>
      <w:pPr>
        <w:spacing w:after="0" w:line="315" w:lineRule="exact"/>
        <w:rPr>
          <w:sz w:val="20"/>
          <w:szCs w:val="20"/>
          <w:color w:val="auto"/>
        </w:rPr>
      </w:pPr>
    </w:p>
    <w:p>
      <w:pPr>
        <w:ind w:left="40" w:right="300" w:firstLine="803"/>
        <w:spacing w:after="0" w:line="261" w:lineRule="auto"/>
        <w:rPr>
          <w:sz w:val="20"/>
          <w:szCs w:val="20"/>
          <w:color w:val="auto"/>
        </w:rPr>
      </w:pPr>
      <w:r>
        <w:rPr>
          <w:rFonts w:ascii="Times New Roman" w:cs="Times New Roman" w:eastAsia="Times New Roman" w:hAnsi="Times New Roman"/>
          <w:sz w:val="20"/>
          <w:szCs w:val="20"/>
          <w:u w:val="single" w:color="auto"/>
          <w:color w:val="282828"/>
        </w:rPr>
        <w:t xml:space="preserve">First Amendment to Lease, dated January 7, </w:t>
      </w:r>
      <w:r>
        <w:rPr>
          <w:rFonts w:ascii="Times New Roman" w:cs="Times New Roman" w:eastAsia="Times New Roman" w:hAnsi="Times New Roman"/>
          <w:sz w:val="20"/>
          <w:szCs w:val="20"/>
          <w:color w:val="000000"/>
        </w:rPr>
        <w:t xml:space="preserve">10.27 </w:t>
      </w:r>
      <w:r>
        <w:rPr>
          <w:rFonts w:ascii="Times New Roman" w:cs="Times New Roman" w:eastAsia="Times New Roman" w:hAnsi="Times New Roman"/>
          <w:sz w:val="20"/>
          <w:szCs w:val="20"/>
          <w:u w:val="single" w:color="auto"/>
          <w:color w:val="282828"/>
        </w:rPr>
        <w:t>2021, between Batton Associates, LLC and</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u w:val="single" w:color="auto"/>
          <w:color w:val="282828"/>
        </w:rPr>
        <w:t>SiTime Corporation</w:t>
      </w:r>
    </w:p>
    <w:p>
      <w:pPr>
        <w:spacing w:after="0" w:line="315" w:lineRule="exact"/>
        <w:rPr>
          <w:sz w:val="20"/>
          <w:szCs w:val="20"/>
          <w:color w:val="auto"/>
        </w:rPr>
      </w:pPr>
    </w:p>
    <w:p>
      <w:pPr>
        <w:ind w:right="400" w:firstLine="860"/>
        <w:spacing w:after="0" w:line="261" w:lineRule="auto"/>
        <w:rPr>
          <w:sz w:val="20"/>
          <w:szCs w:val="20"/>
          <w:color w:val="auto"/>
        </w:rPr>
      </w:pPr>
      <w:r>
        <w:rPr>
          <w:rFonts w:ascii="Times New Roman" w:cs="Times New Roman" w:eastAsia="Times New Roman" w:hAnsi="Times New Roman"/>
          <w:sz w:val="20"/>
          <w:szCs w:val="20"/>
          <w:u w:val="single" w:color="auto"/>
          <w:color w:val="282828"/>
        </w:rPr>
        <w:t xml:space="preserve">Letter Agreement, dated October 18, 2021, </w:t>
      </w:r>
      <w:r>
        <w:rPr>
          <w:rFonts w:ascii="Times New Roman" w:cs="Times New Roman" w:eastAsia="Times New Roman" w:hAnsi="Times New Roman"/>
          <w:sz w:val="20"/>
          <w:szCs w:val="20"/>
          <w:color w:val="000000"/>
        </w:rPr>
        <w:t xml:space="preserve">10.28+ </w:t>
      </w:r>
      <w:r>
        <w:rPr>
          <w:rFonts w:ascii="Times New Roman" w:cs="Times New Roman" w:eastAsia="Times New Roman" w:hAnsi="Times New Roman"/>
          <w:sz w:val="20"/>
          <w:szCs w:val="20"/>
          <w:u w:val="single" w:color="auto"/>
          <w:color w:val="282828"/>
        </w:rPr>
        <w:t>between Rajesh Vashist and SiTime</w:t>
      </w:r>
    </w:p>
    <w:p>
      <w:pPr>
        <w:ind w:left="860"/>
        <w:spacing w:after="0"/>
        <w:rPr>
          <w:sz w:val="20"/>
          <w:szCs w:val="20"/>
          <w:color w:val="auto"/>
        </w:rPr>
      </w:pPr>
      <w:r>
        <w:rPr>
          <w:rFonts w:ascii="Times New Roman" w:cs="Times New Roman" w:eastAsia="Times New Roman" w:hAnsi="Times New Roman"/>
          <w:sz w:val="20"/>
          <w:szCs w:val="20"/>
          <w:u w:val="single" w:color="auto"/>
          <w:color w:val="282828"/>
        </w:rPr>
        <w:t>Corporation</w:t>
      </w:r>
    </w:p>
    <w:p>
      <w:pPr>
        <w:spacing w:after="0" w:line="315" w:lineRule="exact"/>
        <w:rPr>
          <w:sz w:val="20"/>
          <w:szCs w:val="20"/>
          <w:color w:val="auto"/>
        </w:rPr>
      </w:pPr>
    </w:p>
    <w:p>
      <w:pPr>
        <w:ind w:firstLine="860"/>
        <w:spacing w:after="0" w:line="274" w:lineRule="auto"/>
        <w:rPr>
          <w:sz w:val="20"/>
          <w:szCs w:val="20"/>
          <w:color w:val="auto"/>
        </w:rPr>
      </w:pPr>
      <w:r>
        <w:rPr>
          <w:rFonts w:ascii="Times New Roman" w:cs="Times New Roman" w:eastAsia="Times New Roman" w:hAnsi="Times New Roman"/>
          <w:sz w:val="19"/>
          <w:szCs w:val="19"/>
          <w:u w:val="single" w:color="auto"/>
          <w:color w:val="282828"/>
        </w:rPr>
        <w:t xml:space="preserve">Amendment to Letter Agreement dated October </w:t>
      </w:r>
      <w:r>
        <w:rPr>
          <w:rFonts w:ascii="Times New Roman" w:cs="Times New Roman" w:eastAsia="Times New Roman" w:hAnsi="Times New Roman"/>
          <w:sz w:val="19"/>
          <w:szCs w:val="19"/>
          <w:color w:val="000000"/>
        </w:rPr>
        <w:t xml:space="preserve">10.29+ </w:t>
      </w:r>
      <w:r>
        <w:rPr>
          <w:rFonts w:ascii="Times New Roman" w:cs="Times New Roman" w:eastAsia="Times New Roman" w:hAnsi="Times New Roman"/>
          <w:sz w:val="19"/>
          <w:szCs w:val="19"/>
          <w:u w:val="single" w:color="auto"/>
          <w:color w:val="282828"/>
        </w:rPr>
        <w:t>11, 2022, between Rajesh Vashist and SiTime</w:t>
      </w:r>
    </w:p>
    <w:p>
      <w:pPr>
        <w:spacing w:after="0" w:line="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u w:val="single" w:color="auto"/>
          <w:color w:val="282828"/>
        </w:rPr>
        <w:t>Corporation</w:t>
      </w:r>
    </w:p>
    <w:p>
      <w:pPr>
        <w:spacing w:after="0" w:line="313" w:lineRule="exact"/>
        <w:rPr>
          <w:sz w:val="20"/>
          <w:szCs w:val="20"/>
          <w:color w:val="auto"/>
        </w:rPr>
      </w:pPr>
    </w:p>
    <w:p>
      <w:pPr>
        <w:ind w:right="60" w:firstLine="860"/>
        <w:spacing w:after="0" w:line="275" w:lineRule="auto"/>
        <w:rPr>
          <w:sz w:val="20"/>
          <w:szCs w:val="20"/>
          <w:color w:val="auto"/>
        </w:rPr>
      </w:pPr>
      <w:r>
        <w:rPr>
          <w:rFonts w:ascii="Times New Roman" w:cs="Times New Roman" w:eastAsia="Times New Roman" w:hAnsi="Times New Roman"/>
          <w:sz w:val="19"/>
          <w:szCs w:val="19"/>
          <w:u w:val="single" w:color="auto"/>
          <w:color w:val="282828"/>
        </w:rPr>
        <w:t xml:space="preserve">Second Amendment to Letter Agreement dated </w:t>
      </w:r>
      <w:r>
        <w:rPr>
          <w:rFonts w:ascii="Times New Roman" w:cs="Times New Roman" w:eastAsia="Times New Roman" w:hAnsi="Times New Roman"/>
          <w:sz w:val="19"/>
          <w:szCs w:val="19"/>
          <w:color w:val="000000"/>
        </w:rPr>
        <w:t xml:space="preserve">10.30+ </w:t>
      </w:r>
      <w:r>
        <w:rPr>
          <w:rFonts w:ascii="Times New Roman" w:cs="Times New Roman" w:eastAsia="Times New Roman" w:hAnsi="Times New Roman"/>
          <w:sz w:val="19"/>
          <w:szCs w:val="19"/>
          <w:u w:val="single" w:color="auto"/>
          <w:color w:val="282828"/>
        </w:rPr>
        <w:t>October 11, 2022, between Rajesh Vashist and</w:t>
      </w:r>
    </w:p>
    <w:p>
      <w:pPr>
        <w:spacing w:after="0" w:line="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u w:val="single" w:color="auto"/>
          <w:color w:val="282828"/>
        </w:rPr>
        <w:t>SiTime Corporation</w:t>
      </w:r>
    </w:p>
    <w:p>
      <w:pPr>
        <w:spacing w:after="0" w:line="313" w:lineRule="exact"/>
        <w:rPr>
          <w:sz w:val="20"/>
          <w:szCs w:val="20"/>
          <w:color w:val="auto"/>
        </w:rPr>
      </w:pPr>
    </w:p>
    <w:p>
      <w:pPr>
        <w:ind w:right="220" w:firstLine="860"/>
        <w:spacing w:after="0" w:line="274" w:lineRule="auto"/>
        <w:rPr>
          <w:sz w:val="20"/>
          <w:szCs w:val="20"/>
          <w:color w:val="auto"/>
        </w:rPr>
      </w:pPr>
      <w:r>
        <w:rPr>
          <w:rFonts w:ascii="Times New Roman" w:cs="Times New Roman" w:eastAsia="Times New Roman" w:hAnsi="Times New Roman"/>
          <w:sz w:val="19"/>
          <w:szCs w:val="19"/>
          <w:u w:val="single" w:color="auto"/>
          <w:color w:val="282828"/>
        </w:rPr>
        <w:t xml:space="preserve">Third Amendment to Letter Agreement dated </w:t>
      </w:r>
      <w:r>
        <w:rPr>
          <w:rFonts w:ascii="Times New Roman" w:cs="Times New Roman" w:eastAsia="Times New Roman" w:hAnsi="Times New Roman"/>
          <w:sz w:val="19"/>
          <w:szCs w:val="19"/>
          <w:color w:val="000000"/>
        </w:rPr>
        <w:t xml:space="preserve">10.31+ </w:t>
      </w:r>
      <w:r>
        <w:rPr>
          <w:rFonts w:ascii="Times New Roman" w:cs="Times New Roman" w:eastAsia="Times New Roman" w:hAnsi="Times New Roman"/>
          <w:sz w:val="19"/>
          <w:szCs w:val="19"/>
          <w:u w:val="single" w:color="auto"/>
          <w:color w:val="282828"/>
        </w:rPr>
        <w:t>March 19, 2025, between Rajesh Vashist and</w:t>
      </w:r>
    </w:p>
    <w:p>
      <w:pPr>
        <w:spacing w:after="0" w:line="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u w:val="single" w:color="auto"/>
          <w:color w:val="282828"/>
        </w:rPr>
        <w:t>SiTime Corporation</w:t>
      </w:r>
    </w:p>
    <w:p>
      <w:pPr>
        <w:spacing w:after="0" w:line="315" w:lineRule="exact"/>
        <w:rPr>
          <w:sz w:val="20"/>
          <w:szCs w:val="20"/>
          <w:color w:val="auto"/>
        </w:rPr>
      </w:pPr>
    </w:p>
    <w:p>
      <w:pPr>
        <w:ind w:right="340" w:firstLine="860"/>
        <w:spacing w:after="0" w:line="274" w:lineRule="auto"/>
        <w:rPr>
          <w:sz w:val="20"/>
          <w:szCs w:val="20"/>
          <w:color w:val="auto"/>
        </w:rPr>
      </w:pPr>
      <w:r>
        <w:rPr>
          <w:rFonts w:ascii="Times New Roman" w:cs="Times New Roman" w:eastAsia="Times New Roman" w:hAnsi="Times New Roman"/>
          <w:sz w:val="19"/>
          <w:szCs w:val="19"/>
          <w:u w:val="single" w:color="auto"/>
          <w:color w:val="282828"/>
        </w:rPr>
        <w:t xml:space="preserve">SiTime Corporation Amended and Restated </w:t>
      </w:r>
      <w:r>
        <w:rPr>
          <w:rFonts w:ascii="Times New Roman" w:cs="Times New Roman" w:eastAsia="Times New Roman" w:hAnsi="Times New Roman"/>
          <w:sz w:val="19"/>
          <w:szCs w:val="19"/>
          <w:color w:val="000000"/>
        </w:rPr>
        <w:t xml:space="preserve">10.32+ </w:t>
      </w:r>
      <w:r>
        <w:rPr>
          <w:rFonts w:ascii="Times New Roman" w:cs="Times New Roman" w:eastAsia="Times New Roman" w:hAnsi="Times New Roman"/>
          <w:sz w:val="19"/>
          <w:szCs w:val="19"/>
          <w:u w:val="single" w:color="auto"/>
          <w:color w:val="282828"/>
        </w:rPr>
        <w:t>2022 Inducement Award Plan and Form of</w:t>
      </w:r>
    </w:p>
    <w:p>
      <w:pPr>
        <w:spacing w:after="0" w:line="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u w:val="single" w:color="auto"/>
          <w:color w:val="282828"/>
        </w:rPr>
        <w:t>Restricted Stock Unit Agreement</w:t>
      </w:r>
    </w:p>
    <w:p>
      <w:pPr>
        <w:spacing w:after="0" w:line="315" w:lineRule="exact"/>
        <w:rPr>
          <w:sz w:val="20"/>
          <w:szCs w:val="20"/>
          <w:color w:val="auto"/>
        </w:rPr>
      </w:pPr>
    </w:p>
    <w:p>
      <w:pPr>
        <w:ind w:left="40" w:right="480" w:firstLine="803"/>
        <w:spacing w:after="0" w:line="261" w:lineRule="auto"/>
        <w:rPr>
          <w:sz w:val="20"/>
          <w:szCs w:val="20"/>
          <w:color w:val="auto"/>
        </w:rPr>
      </w:pPr>
      <w:r>
        <w:rPr>
          <w:rFonts w:ascii="Times New Roman" w:cs="Times New Roman" w:eastAsia="Times New Roman" w:hAnsi="Times New Roman"/>
          <w:sz w:val="20"/>
          <w:szCs w:val="20"/>
          <w:u w:val="single" w:color="auto"/>
          <w:color w:val="282828"/>
        </w:rPr>
        <w:t xml:space="preserve">Sales Agreement dated February 27, 2024 </w:t>
      </w:r>
      <w:r>
        <w:rPr>
          <w:rFonts w:ascii="Times New Roman" w:cs="Times New Roman" w:eastAsia="Times New Roman" w:hAnsi="Times New Roman"/>
          <w:sz w:val="20"/>
          <w:szCs w:val="20"/>
          <w:color w:val="000000"/>
        </w:rPr>
        <w:t xml:space="preserve">10.33 </w:t>
      </w:r>
      <w:r>
        <w:rPr>
          <w:rFonts w:ascii="Times New Roman" w:cs="Times New Roman" w:eastAsia="Times New Roman" w:hAnsi="Times New Roman"/>
          <w:sz w:val="20"/>
          <w:szCs w:val="20"/>
          <w:u w:val="single" w:color="auto"/>
          <w:color w:val="282828"/>
        </w:rPr>
        <w:t>between SiTime Corporation and Stifel,</w:t>
      </w:r>
    </w:p>
    <w:p>
      <w:pPr>
        <w:ind w:left="860"/>
        <w:spacing w:after="0"/>
        <w:rPr>
          <w:sz w:val="20"/>
          <w:szCs w:val="20"/>
          <w:color w:val="auto"/>
        </w:rPr>
      </w:pPr>
      <w:r>
        <w:rPr>
          <w:rFonts w:ascii="Times New Roman" w:cs="Times New Roman" w:eastAsia="Times New Roman" w:hAnsi="Times New Roman"/>
          <w:sz w:val="20"/>
          <w:szCs w:val="20"/>
          <w:u w:val="single" w:color="auto"/>
          <w:color w:val="282828"/>
        </w:rPr>
        <w:t>Nicolaus &amp; Company, Incorporated</w:t>
      </w:r>
    </w:p>
    <w:p>
      <w:pPr>
        <w:spacing w:after="0" w:line="315" w:lineRule="exact"/>
        <w:rPr>
          <w:sz w:val="20"/>
          <w:szCs w:val="20"/>
          <w:color w:val="auto"/>
        </w:rPr>
      </w:pPr>
    </w:p>
    <w:p>
      <w:pPr>
        <w:ind w:left="860" w:right="80"/>
        <w:spacing w:after="0" w:line="263" w:lineRule="auto"/>
        <w:rPr>
          <w:sz w:val="20"/>
          <w:szCs w:val="20"/>
          <w:color w:val="auto"/>
        </w:rPr>
      </w:pPr>
      <w:r>
        <w:rPr>
          <w:rFonts w:ascii="Times New Roman" w:cs="Times New Roman" w:eastAsia="Times New Roman" w:hAnsi="Times New Roman"/>
          <w:sz w:val="19"/>
          <w:szCs w:val="19"/>
          <w:u w:val="single" w:color="auto"/>
          <w:color w:val="282828"/>
        </w:rPr>
        <w:t>Master Framework Agreement, dated as of October 30, 2023, by and between SiTime Corporation, Ningbo Aura Semiconductor Co.,</w:t>
      </w:r>
    </w:p>
    <w:p>
      <w:pPr>
        <w:spacing w:after="0" w:line="1" w:lineRule="exact"/>
        <w:rPr>
          <w:sz w:val="20"/>
          <w:szCs w:val="20"/>
          <w:color w:val="auto"/>
        </w:rPr>
      </w:pPr>
    </w:p>
    <w:p>
      <w:pPr>
        <w:ind w:left="860" w:right="140" w:hanging="802"/>
        <w:spacing w:after="0" w:line="261" w:lineRule="auto"/>
        <w:tabs>
          <w:tab w:leader="none" w:pos="840" w:val="left"/>
        </w:tabs>
        <w:rPr>
          <w:sz w:val="20"/>
          <w:szCs w:val="20"/>
          <w:color w:val="auto"/>
        </w:rPr>
      </w:pPr>
      <w:r>
        <w:rPr>
          <w:rFonts w:ascii="Times New Roman" w:cs="Times New Roman" w:eastAsia="Times New Roman" w:hAnsi="Times New Roman"/>
          <w:sz w:val="20"/>
          <w:szCs w:val="20"/>
          <w:color w:val="auto"/>
        </w:rPr>
        <w:t>10.34</w:t>
      </w:r>
      <w:r>
        <w:rPr>
          <w:sz w:val="20"/>
          <w:szCs w:val="20"/>
          <w:color w:val="auto"/>
        </w:rPr>
        <w:tab/>
      </w:r>
      <w:r>
        <w:rPr>
          <w:rFonts w:ascii="Times New Roman" w:cs="Times New Roman" w:eastAsia="Times New Roman" w:hAnsi="Times New Roman"/>
          <w:sz w:val="20"/>
          <w:szCs w:val="20"/>
          <w:u w:val="single" w:color="auto"/>
          <w:color w:val="282828"/>
        </w:rPr>
        <w:t>Ltd., Aura Semiconductor Pvt. Ltd., Shaoxing Yuanfang Semiconductor Co Ltd., Aura Semiconductor Limited, and Aim Core Holdings Limited.</w:t>
      </w:r>
    </w:p>
    <w:p>
      <w:pPr>
        <w:spacing w:after="0" w:line="286" w:lineRule="exact"/>
        <w:rPr>
          <w:sz w:val="20"/>
          <w:szCs w:val="20"/>
          <w:color w:val="auto"/>
        </w:rPr>
      </w:pPr>
    </w:p>
    <w:p>
      <w:pPr>
        <w:ind w:right="340" w:firstLine="860"/>
        <w:spacing w:after="0" w:line="261" w:lineRule="auto"/>
        <w:rPr>
          <w:sz w:val="20"/>
          <w:szCs w:val="20"/>
          <w:color w:val="auto"/>
        </w:rPr>
      </w:pPr>
      <w:r>
        <w:rPr>
          <w:rFonts w:ascii="Times New Roman" w:cs="Times New Roman" w:eastAsia="Times New Roman" w:hAnsi="Times New Roman"/>
          <w:sz w:val="20"/>
          <w:szCs w:val="20"/>
          <w:u w:val="single" w:color="auto"/>
          <w:color w:val="282828"/>
        </w:rPr>
        <w:t xml:space="preserve">Offer of Employment dated April 21, 2015 </w:t>
      </w:r>
      <w:r>
        <w:rPr>
          <w:rFonts w:ascii="Times New Roman" w:cs="Times New Roman" w:eastAsia="Times New Roman" w:hAnsi="Times New Roman"/>
          <w:sz w:val="20"/>
          <w:szCs w:val="20"/>
          <w:color w:val="000000"/>
        </w:rPr>
        <w:t xml:space="preserve">10.35+ </w:t>
      </w:r>
      <w:r>
        <w:rPr>
          <w:rFonts w:ascii="Times New Roman" w:cs="Times New Roman" w:eastAsia="Times New Roman" w:hAnsi="Times New Roman"/>
          <w:sz w:val="20"/>
          <w:szCs w:val="20"/>
          <w:u w:val="single" w:color="auto"/>
          <w:color w:val="282828"/>
        </w:rPr>
        <w:t>between SiTime Corporation and Samsheer</w:t>
      </w:r>
    </w:p>
    <w:p>
      <w:pPr>
        <w:ind w:left="860"/>
        <w:spacing w:after="0"/>
        <w:rPr>
          <w:sz w:val="20"/>
          <w:szCs w:val="20"/>
          <w:color w:val="auto"/>
        </w:rPr>
      </w:pPr>
      <w:r>
        <w:rPr>
          <w:rFonts w:ascii="Times New Roman" w:cs="Times New Roman" w:eastAsia="Times New Roman" w:hAnsi="Times New Roman"/>
          <w:sz w:val="20"/>
          <w:szCs w:val="20"/>
          <w:u w:val="single" w:color="auto"/>
          <w:color w:val="282828"/>
        </w:rPr>
        <w:t>Ahmad</w:t>
      </w:r>
    </w:p>
    <w:p>
      <w:pPr>
        <w:spacing w:after="0" w:line="313" w:lineRule="exact"/>
        <w:rPr>
          <w:sz w:val="20"/>
          <w:szCs w:val="20"/>
          <w:color w:val="auto"/>
        </w:rPr>
      </w:pPr>
    </w:p>
    <w:p>
      <w:pPr>
        <w:ind w:left="40" w:firstLine="803"/>
        <w:spacing w:after="0" w:line="184" w:lineRule="auto"/>
        <w:rPr>
          <w:sz w:val="20"/>
          <w:szCs w:val="20"/>
          <w:color w:val="auto"/>
        </w:rPr>
      </w:pPr>
      <w:r>
        <w:rPr>
          <w:rFonts w:ascii="Times New Roman" w:cs="Times New Roman" w:eastAsia="Times New Roman" w:hAnsi="Times New Roman"/>
          <w:sz w:val="19"/>
          <w:szCs w:val="19"/>
          <w:u w:val="single" w:color="auto"/>
          <w:color w:val="282828"/>
        </w:rPr>
        <w:t xml:space="preserve">Commitment Letter, dated as of February 4, </w:t>
      </w:r>
      <w:r>
        <w:rPr>
          <w:rFonts w:ascii="Times New Roman" w:cs="Times New Roman" w:eastAsia="Times New Roman" w:hAnsi="Times New Roman"/>
          <w:sz w:val="38"/>
          <w:szCs w:val="38"/>
          <w:color w:val="000000"/>
          <w:vertAlign w:val="subscript"/>
        </w:rPr>
        <w:t>10.36</w:t>
      </w:r>
      <w:r>
        <w:rPr>
          <w:rFonts w:ascii="Times New Roman" w:cs="Times New Roman" w:eastAsia="Times New Roman" w:hAnsi="Times New Roman"/>
          <w:sz w:val="19"/>
          <w:szCs w:val="19"/>
          <w:color w:val="282828"/>
        </w:rPr>
        <w:t xml:space="preserve"> </w:t>
      </w:r>
      <w:r>
        <w:rPr>
          <w:rFonts w:ascii="Times New Roman" w:cs="Times New Roman" w:eastAsia="Times New Roman" w:hAnsi="Times New Roman"/>
          <w:sz w:val="19"/>
          <w:szCs w:val="19"/>
          <w:u w:val="single" w:color="auto"/>
          <w:color w:val="282828"/>
        </w:rPr>
        <w:t>2026, by and among SiTime Corporation, Wells</w:t>
      </w:r>
    </w:p>
    <w:p>
      <w:pPr>
        <w:spacing w:after="0" w:line="1" w:lineRule="exact"/>
        <w:rPr>
          <w:sz w:val="20"/>
          <w:szCs w:val="20"/>
          <w:color w:val="auto"/>
        </w:rPr>
      </w:pPr>
    </w:p>
    <w:p>
      <w:pPr>
        <w:ind w:left="860" w:right="180"/>
        <w:spacing w:after="0" w:line="259" w:lineRule="auto"/>
        <w:rPr>
          <w:sz w:val="20"/>
          <w:szCs w:val="20"/>
          <w:color w:val="auto"/>
        </w:rPr>
      </w:pPr>
      <w:r>
        <w:rPr>
          <w:rFonts w:ascii="Times New Roman" w:cs="Times New Roman" w:eastAsia="Times New Roman" w:hAnsi="Times New Roman"/>
          <w:sz w:val="20"/>
          <w:szCs w:val="20"/>
          <w:u w:val="single" w:color="auto"/>
          <w:color w:val="282828"/>
        </w:rPr>
        <w:t>Fargo Securities, LLC and Wells Fargo Bank, National Association.</w:t>
      </w:r>
    </w:p>
    <w:p>
      <w:pPr>
        <w:spacing w:after="0" w:line="286" w:lineRule="exact"/>
        <w:rPr>
          <w:sz w:val="20"/>
          <w:szCs w:val="20"/>
          <w:color w:val="auto"/>
        </w:rPr>
      </w:pPr>
    </w:p>
    <w:p>
      <w:pPr>
        <w:ind w:right="180" w:firstLine="860"/>
        <w:spacing w:after="0" w:line="261" w:lineRule="auto"/>
        <w:rPr>
          <w:sz w:val="20"/>
          <w:szCs w:val="20"/>
          <w:color w:val="auto"/>
        </w:rPr>
      </w:pPr>
      <w:r>
        <w:rPr>
          <w:rFonts w:ascii="Times New Roman" w:cs="Times New Roman" w:eastAsia="Times New Roman" w:hAnsi="Times New Roman"/>
          <w:sz w:val="20"/>
          <w:szCs w:val="20"/>
          <w:u w:val="single" w:color="auto"/>
          <w:color w:val="282828"/>
        </w:rPr>
        <w:t xml:space="preserve">Letter Agreement, dated October 16, 2025, </w:t>
      </w:r>
      <w:r>
        <w:rPr>
          <w:rFonts w:ascii="Times New Roman" w:cs="Times New Roman" w:eastAsia="Times New Roman" w:hAnsi="Times New Roman"/>
          <w:sz w:val="20"/>
          <w:szCs w:val="20"/>
          <w:color w:val="000000"/>
        </w:rPr>
        <w:t xml:space="preserve">10.37+ </w:t>
      </w:r>
      <w:r>
        <w:rPr>
          <w:rFonts w:ascii="Times New Roman" w:cs="Times New Roman" w:eastAsia="Times New Roman" w:hAnsi="Times New Roman"/>
          <w:sz w:val="20"/>
          <w:szCs w:val="20"/>
          <w:u w:val="single" w:color="auto"/>
          <w:color w:val="282828"/>
        </w:rPr>
        <w:t>between SiTime Corporation and Mr. Ganesh</w:t>
      </w:r>
    </w:p>
    <w:p>
      <w:pPr>
        <w:ind w:left="860"/>
        <w:spacing w:after="0"/>
        <w:rPr>
          <w:sz w:val="20"/>
          <w:szCs w:val="20"/>
          <w:color w:val="auto"/>
        </w:rPr>
      </w:pPr>
      <w:r>
        <w:rPr>
          <w:rFonts w:ascii="Times New Roman" w:cs="Times New Roman" w:eastAsia="Times New Roman" w:hAnsi="Times New Roman"/>
          <w:sz w:val="20"/>
          <w:szCs w:val="20"/>
          <w:u w:val="single" w:color="auto"/>
          <w:color w:val="282828"/>
        </w:rPr>
        <w:t>Moorthy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0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001-39135</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10.26</w:t>
            </w:r>
          </w:p>
        </w:tc>
        <w:tc>
          <w:tcPr>
            <w:tcW w:w="100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rPr>
              <w:t>2/26/2024</w:t>
            </w:r>
          </w:p>
        </w:tc>
      </w:tr>
      <w:tr>
        <w:trPr>
          <w:trHeight w:val="1046"/>
        </w:trPr>
        <w:tc>
          <w:tcPr>
            <w:tcW w:w="60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001-39135</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10.1</w:t>
            </w:r>
          </w:p>
        </w:tc>
        <w:tc>
          <w:tcPr>
            <w:tcW w:w="100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rPr>
              <w:t>11/4/2021</w:t>
            </w:r>
          </w:p>
        </w:tc>
      </w:tr>
      <w:tr>
        <w:trPr>
          <w:trHeight w:val="1045"/>
        </w:trPr>
        <w:tc>
          <w:tcPr>
            <w:tcW w:w="60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001-39135</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10.28</w:t>
            </w:r>
          </w:p>
        </w:tc>
        <w:tc>
          <w:tcPr>
            <w:tcW w:w="100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rPr>
              <w:t>2/25/2022</w:t>
            </w:r>
          </w:p>
        </w:tc>
      </w:tr>
      <w:tr>
        <w:trPr>
          <w:trHeight w:val="1045"/>
        </w:trPr>
        <w:tc>
          <w:tcPr>
            <w:tcW w:w="60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001-39145</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10.29</w:t>
            </w:r>
          </w:p>
        </w:tc>
        <w:tc>
          <w:tcPr>
            <w:tcW w:w="100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rPr>
              <w:t>2/27/2023</w:t>
            </w:r>
          </w:p>
        </w:tc>
      </w:tr>
      <w:tr>
        <w:trPr>
          <w:trHeight w:val="1044"/>
        </w:trPr>
        <w:tc>
          <w:tcPr>
            <w:tcW w:w="60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001-39135</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10.30</w:t>
            </w:r>
          </w:p>
        </w:tc>
        <w:tc>
          <w:tcPr>
            <w:tcW w:w="100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rPr>
              <w:t>2/26/2024</w:t>
            </w:r>
          </w:p>
        </w:tc>
      </w:tr>
      <w:tr>
        <w:trPr>
          <w:trHeight w:val="1045"/>
        </w:trPr>
        <w:tc>
          <w:tcPr>
            <w:tcW w:w="60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w w:val="97"/>
              </w:rPr>
              <w:t>10-Q</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001-39135</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10.35</w:t>
            </w:r>
          </w:p>
        </w:tc>
        <w:tc>
          <w:tcPr>
            <w:tcW w:w="100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w w:val="98"/>
              </w:rPr>
              <w:t>5/8/2025</w:t>
            </w:r>
          </w:p>
        </w:tc>
      </w:tr>
      <w:tr>
        <w:trPr>
          <w:trHeight w:val="1045"/>
        </w:trPr>
        <w:tc>
          <w:tcPr>
            <w:tcW w:w="60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w w:val="97"/>
              </w:rPr>
              <w:t>10-K</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001-39135</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10.31</w:t>
            </w:r>
          </w:p>
        </w:tc>
        <w:tc>
          <w:tcPr>
            <w:tcW w:w="100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rPr>
              <w:t>2/14/2025</w:t>
            </w:r>
          </w:p>
        </w:tc>
      </w:tr>
      <w:tr>
        <w:trPr>
          <w:trHeight w:val="1046"/>
        </w:trPr>
        <w:tc>
          <w:tcPr>
            <w:tcW w:w="60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rPr>
              <w:t>8-K</w:t>
            </w:r>
          </w:p>
        </w:tc>
        <w:tc>
          <w:tcPr>
            <w:tcW w:w="128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001-39135</w:t>
            </w:r>
          </w:p>
        </w:tc>
        <w:tc>
          <w:tcPr>
            <w:tcW w:w="8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1.1</w:t>
            </w:r>
          </w:p>
        </w:tc>
        <w:tc>
          <w:tcPr>
            <w:tcW w:w="1000" w:type="dxa"/>
            <w:vAlign w:val="bottom"/>
          </w:tcPr>
          <w:p>
            <w:pPr>
              <w:jc w:val="center"/>
              <w:ind w:left="80"/>
              <w:spacing w:after="0"/>
              <w:rPr>
                <w:sz w:val="20"/>
                <w:szCs w:val="20"/>
                <w:color w:val="auto"/>
              </w:rPr>
            </w:pPr>
            <w:r>
              <w:rPr>
                <w:rFonts w:ascii="Times New Roman" w:cs="Times New Roman" w:eastAsia="Times New Roman" w:hAnsi="Times New Roman"/>
                <w:sz w:val="20"/>
                <w:szCs w:val="20"/>
                <w:color w:val="auto"/>
              </w:rPr>
              <w:t>2/27/2024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760" w:val="left"/>
          <w:tab w:leader="none" w:pos="2140" w:val="left"/>
          <w:tab w:leader="none" w:pos="2920" w:val="left"/>
        </w:tabs>
        <w:rPr>
          <w:sz w:val="20"/>
          <w:szCs w:val="20"/>
          <w:color w:val="auto"/>
        </w:rPr>
      </w:pPr>
      <w:r>
        <w:rPr>
          <w:rFonts w:ascii="Times New Roman" w:cs="Times New Roman" w:eastAsia="Times New Roman" w:hAnsi="Times New Roman"/>
          <w:sz w:val="20"/>
          <w:szCs w:val="20"/>
          <w:color w:val="auto"/>
        </w:rPr>
        <w:t>8-K</w:t>
      </w:r>
      <w:r>
        <w:rPr>
          <w:sz w:val="20"/>
          <w:szCs w:val="20"/>
          <w:color w:val="auto"/>
        </w:rPr>
        <w:tab/>
      </w:r>
      <w:r>
        <w:rPr>
          <w:rFonts w:ascii="Times New Roman" w:cs="Times New Roman" w:eastAsia="Times New Roman" w:hAnsi="Times New Roman"/>
          <w:sz w:val="20"/>
          <w:szCs w:val="20"/>
          <w:color w:val="auto"/>
        </w:rPr>
        <w:t>001-39135</w:t>
      </w:r>
      <w:r>
        <w:rPr>
          <w:sz w:val="20"/>
          <w:szCs w:val="20"/>
          <w:color w:val="auto"/>
        </w:rPr>
        <w:tab/>
      </w: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20"/>
          <w:szCs w:val="20"/>
          <w:color w:val="auto"/>
        </w:rPr>
        <w:t>11/1/2023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760" w:val="left"/>
          <w:tab w:leader="none" w:pos="2080" w:val="left"/>
          <w:tab w:leader="none" w:pos="292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20"/>
          <w:szCs w:val="20"/>
          <w:color w:val="auto"/>
        </w:rPr>
        <w:t>001-39135</w:t>
      </w:r>
      <w:r>
        <w:rPr>
          <w:sz w:val="20"/>
          <w:szCs w:val="20"/>
          <w:color w:val="auto"/>
        </w:rPr>
        <w:tab/>
      </w:r>
      <w:r>
        <w:rPr>
          <w:rFonts w:ascii="Times New Roman" w:cs="Times New Roman" w:eastAsia="Times New Roman" w:hAnsi="Times New Roman"/>
          <w:sz w:val="20"/>
          <w:szCs w:val="20"/>
          <w:color w:val="auto"/>
        </w:rPr>
        <w:t>10.34</w:t>
      </w:r>
      <w:r>
        <w:rPr>
          <w:sz w:val="20"/>
          <w:szCs w:val="20"/>
          <w:color w:val="auto"/>
        </w:rPr>
        <w:tab/>
      </w:r>
      <w:r>
        <w:rPr>
          <w:rFonts w:ascii="Times New Roman" w:cs="Times New Roman" w:eastAsia="Times New Roman" w:hAnsi="Times New Roman"/>
          <w:sz w:val="20"/>
          <w:szCs w:val="20"/>
          <w:color w:val="auto"/>
        </w:rPr>
        <w:t>2/26/2024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3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001-39135</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10.1</w:t>
            </w:r>
          </w:p>
        </w:tc>
        <w:tc>
          <w:tcPr>
            <w:tcW w:w="104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8"/>
              </w:rPr>
              <w:t>2/4/2026</w:t>
            </w:r>
          </w:p>
        </w:tc>
      </w:tr>
      <w:tr>
        <w:trPr>
          <w:trHeight w:val="785"/>
        </w:trPr>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rPr>
              <w:t>10/15/202</w:t>
            </w:r>
          </w:p>
        </w:tc>
      </w:tr>
      <w:tr>
        <w:trPr>
          <w:trHeight w:val="26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8-K</w:t>
            </w:r>
          </w:p>
        </w:tc>
        <w:tc>
          <w:tcPr>
            <w:tcW w:w="13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001-39135</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10.1</w:t>
            </w:r>
          </w:p>
        </w:tc>
        <w:tc>
          <w:tcPr>
            <w:tcW w:w="1040" w:type="dxa"/>
            <w:vAlign w:val="bottom"/>
          </w:tcPr>
          <w:p>
            <w:pPr>
              <w:jc w:val="center"/>
              <w:ind w:left="120"/>
              <w:spacing w:after="0"/>
              <w:rPr>
                <w:sz w:val="20"/>
                <w:szCs w:val="20"/>
                <w:color w:val="auto"/>
              </w:rPr>
            </w:pPr>
            <w:r>
              <w:rPr>
                <w:rFonts w:ascii="Times New Roman" w:cs="Times New Roman" w:eastAsia="Times New Roman" w:hAnsi="Times New Roman"/>
                <w:sz w:val="20"/>
                <w:szCs w:val="20"/>
                <w:color w:val="auto"/>
                <w:w w:val="99"/>
              </w:rPr>
              <w:t>5</w:t>
            </w:r>
          </w:p>
        </w:tc>
      </w:tr>
    </w:tbl>
    <w:p>
      <w:pPr>
        <w:spacing w:after="0" w:line="200" w:lineRule="exact"/>
        <w:rPr>
          <w:sz w:val="20"/>
          <w:szCs w:val="20"/>
          <w:color w:val="auto"/>
        </w:rPr>
      </w:pPr>
    </w:p>
    <w:p>
      <w:pPr>
        <w:sectPr>
          <w:pgSz w:w="12240" w:h="15840" w:orient="portrait"/>
          <w:cols w:equalWidth="0" w:num="2">
            <w:col w:w="4680" w:space="300"/>
            <w:col w:w="4480"/>
          </w:cols>
          <w:pgMar w:left="1340" w:top="1161" w:right="1440" w:bottom="0" w:gutter="0" w:footer="0" w:header="0"/>
        </w:sectPr>
      </w:pPr>
    </w:p>
    <w:p>
      <w:pPr>
        <w:spacing w:after="0" w:line="400" w:lineRule="exact"/>
        <w:rPr>
          <w:sz w:val="20"/>
          <w:szCs w:val="20"/>
          <w:color w:val="auto"/>
        </w:rPr>
      </w:pPr>
    </w:p>
    <w:p>
      <w:pPr>
        <w:jc w:val="center"/>
        <w:ind w:right="-9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460"/>
          </w:cols>
          <w:pgMar w:left="1340" w:top="1161" w:right="1440" w:bottom="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960" w:type="dxa"/>
            <w:vAlign w:val="bottom"/>
            <w:vMerge w:val="restart"/>
          </w:tcPr>
          <w:p>
            <w:pPr>
              <w:jc w:val="center"/>
              <w:ind w:right="100"/>
              <w:spacing w:after="0"/>
              <w:rPr>
                <w:sz w:val="20"/>
                <w:szCs w:val="20"/>
                <w:color w:val="auto"/>
              </w:rPr>
            </w:pPr>
            <w:r>
              <w:rPr>
                <w:rFonts w:ascii="Times New Roman" w:cs="Times New Roman" w:eastAsia="Times New Roman" w:hAnsi="Times New Roman"/>
                <w:sz w:val="20"/>
                <w:szCs w:val="20"/>
                <w:color w:val="auto"/>
                <w:w w:val="99"/>
              </w:rPr>
              <w:t>10.38+</w:t>
            </w:r>
          </w:p>
        </w:tc>
        <w:tc>
          <w:tcPr>
            <w:tcW w:w="3840" w:type="dxa"/>
            <w:vAlign w:val="bottom"/>
            <w:gridSpan w:val="17"/>
          </w:tcPr>
          <w:p>
            <w:pPr>
              <w:spacing w:after="0"/>
              <w:rPr>
                <w:sz w:val="20"/>
                <w:szCs w:val="20"/>
                <w:color w:val="auto"/>
              </w:rPr>
            </w:pPr>
            <w:r>
              <w:rPr>
                <w:rFonts w:ascii="Times New Roman" w:cs="Times New Roman" w:eastAsia="Times New Roman" w:hAnsi="Times New Roman"/>
                <w:sz w:val="20"/>
                <w:szCs w:val="20"/>
                <w:color w:val="282828"/>
              </w:rPr>
              <w:t>Letter Agreement, dated January 21, 2026,</w:t>
            </w: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38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120" w:type="dxa"/>
            <w:vAlign w:val="bottom"/>
            <w:shd w:val="clear" w:color="auto" w:fill="282828"/>
          </w:tcPr>
          <w:p>
            <w:pPr>
              <w:spacing w:after="0" w:line="20" w:lineRule="exact"/>
              <w:rPr>
                <w:sz w:val="1"/>
                <w:szCs w:val="1"/>
                <w:color w:val="auto"/>
              </w:rPr>
            </w:pPr>
          </w:p>
        </w:tc>
        <w:tc>
          <w:tcPr>
            <w:tcW w:w="420" w:type="dxa"/>
            <w:vAlign w:val="bottom"/>
            <w:shd w:val="clear" w:color="auto" w:fill="282828"/>
          </w:tcPr>
          <w:p>
            <w:pPr>
              <w:spacing w:after="0" w:line="20" w:lineRule="exact"/>
              <w:rPr>
                <w:sz w:val="1"/>
                <w:szCs w:val="1"/>
                <w:color w:val="auto"/>
              </w:rPr>
            </w:pPr>
          </w:p>
        </w:tc>
        <w:tc>
          <w:tcPr>
            <w:tcW w:w="1360" w:type="dxa"/>
            <w:vAlign w:val="bottom"/>
            <w:shd w:val="clear" w:color="auto" w:fill="282828"/>
          </w:tcPr>
          <w:p>
            <w:pPr>
              <w:spacing w:after="0" w:line="20" w:lineRule="exact"/>
              <w:rPr>
                <w:sz w:val="1"/>
                <w:szCs w:val="1"/>
                <w:color w:val="auto"/>
              </w:rPr>
            </w:pPr>
          </w:p>
        </w:tc>
        <w:tc>
          <w:tcPr>
            <w:tcW w:w="520" w:type="dxa"/>
            <w:vAlign w:val="bottom"/>
            <w:shd w:val="clear" w:color="auto" w:fill="282828"/>
          </w:tcPr>
          <w:p>
            <w:pPr>
              <w:spacing w:after="0" w:line="20" w:lineRule="exact"/>
              <w:rPr>
                <w:sz w:val="1"/>
                <w:szCs w:val="1"/>
                <w:color w:val="auto"/>
              </w:rPr>
            </w:pPr>
          </w:p>
        </w:tc>
        <w:tc>
          <w:tcPr>
            <w:tcW w:w="480" w:type="dxa"/>
            <w:vAlign w:val="bottom"/>
            <w:tcBorders>
              <w:left w:val="single" w:sz="8" w:color="282828"/>
            </w:tcBorders>
            <w:shd w:val="clear" w:color="auto" w:fill="282828"/>
          </w:tcPr>
          <w:p>
            <w:pPr>
              <w:spacing w:after="0" w:line="20" w:lineRule="exact"/>
              <w:rPr>
                <w:sz w:val="1"/>
                <w:szCs w:val="1"/>
                <w:color w:val="auto"/>
              </w:rPr>
            </w:pPr>
          </w:p>
        </w:tc>
        <w:tc>
          <w:tcPr>
            <w:tcW w:w="100" w:type="dxa"/>
            <w:vAlign w:val="bottom"/>
            <w:shd w:val="clear" w:color="auto" w:fill="28282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960" w:type="dxa"/>
            <w:vAlign w:val="bottom"/>
            <w:vMerge w:val="continue"/>
          </w:tcPr>
          <w:p>
            <w:pPr>
              <w:spacing w:after="0"/>
              <w:rPr>
                <w:sz w:val="19"/>
                <w:szCs w:val="19"/>
                <w:color w:val="auto"/>
              </w:rPr>
            </w:pPr>
          </w:p>
        </w:tc>
        <w:tc>
          <w:tcPr>
            <w:tcW w:w="3460" w:type="dxa"/>
            <w:vAlign w:val="bottom"/>
            <w:tcBorders>
              <w:bottom w:val="single" w:sz="8" w:color="282828"/>
            </w:tcBorders>
            <w:gridSpan w:val="11"/>
          </w:tcPr>
          <w:p>
            <w:pPr>
              <w:spacing w:after="0" w:line="220" w:lineRule="exact"/>
              <w:rPr>
                <w:sz w:val="20"/>
                <w:szCs w:val="20"/>
                <w:color w:val="auto"/>
              </w:rPr>
            </w:pPr>
            <w:r>
              <w:rPr>
                <w:rFonts w:ascii="Times New Roman" w:cs="Times New Roman" w:eastAsia="Times New Roman" w:hAnsi="Times New Roman"/>
                <w:sz w:val="20"/>
                <w:szCs w:val="20"/>
                <w:color w:val="282828"/>
                <w:w w:val="99"/>
              </w:rPr>
              <w:t>between SiTime Corporation and Mr. Faraj</w:t>
            </w:r>
          </w:p>
        </w:tc>
        <w:tc>
          <w:tcPr>
            <w:tcW w:w="38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60" w:type="dxa"/>
            <w:vAlign w:val="bottom"/>
          </w:tcPr>
          <w:p>
            <w:pPr>
              <w:spacing w:after="0"/>
              <w:rPr>
                <w:sz w:val="19"/>
                <w:szCs w:val="19"/>
                <w:color w:val="auto"/>
              </w:rPr>
            </w:pPr>
          </w:p>
        </w:tc>
        <w:tc>
          <w:tcPr>
            <w:tcW w:w="520" w:type="dxa"/>
            <w:vAlign w:val="bottom"/>
            <w:tcBorders>
              <w:bottom w:val="single" w:sz="8" w:color="282828"/>
            </w:tcBorders>
            <w:gridSpan w:val="3"/>
          </w:tcPr>
          <w:p>
            <w:pPr>
              <w:spacing w:after="0" w:line="220" w:lineRule="exact"/>
              <w:rPr>
                <w:sz w:val="20"/>
                <w:szCs w:val="20"/>
                <w:color w:val="auto"/>
              </w:rPr>
            </w:pPr>
            <w:r>
              <w:rPr>
                <w:rFonts w:ascii="Times New Roman" w:cs="Times New Roman" w:eastAsia="Times New Roman" w:hAnsi="Times New Roman"/>
                <w:sz w:val="20"/>
                <w:szCs w:val="20"/>
                <w:color w:val="282828"/>
                <w:w w:val="95"/>
              </w:rPr>
              <w:t>Aalaei</w:t>
            </w:r>
          </w:p>
        </w:tc>
        <w:tc>
          <w:tcPr>
            <w:tcW w:w="3320" w:type="dxa"/>
            <w:vAlign w:val="bottom"/>
            <w:gridSpan w:val="14"/>
          </w:tcPr>
          <w:p>
            <w:pPr>
              <w:spacing w:after="0"/>
              <w:rPr>
                <w:sz w:val="19"/>
                <w:szCs w:val="19"/>
                <w:color w:val="auto"/>
              </w:rPr>
            </w:pPr>
          </w:p>
        </w:tc>
        <w:tc>
          <w:tcPr>
            <w:tcW w:w="0" w:type="dxa"/>
            <w:vAlign w:val="bottom"/>
          </w:tcPr>
          <w:p>
            <w:pPr>
              <w:spacing w:after="0"/>
              <w:rPr>
                <w:sz w:val="1"/>
                <w:szCs w:val="1"/>
                <w:color w:val="auto"/>
              </w:rPr>
            </w:pPr>
          </w:p>
        </w:tc>
      </w:tr>
      <w:tr>
        <w:trPr>
          <w:trHeight w:val="545"/>
        </w:trPr>
        <w:tc>
          <w:tcPr>
            <w:tcW w:w="96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auto"/>
                <w:w w:val="97"/>
              </w:rPr>
              <w:t>19.1</w:t>
            </w:r>
          </w:p>
        </w:tc>
        <w:tc>
          <w:tcPr>
            <w:tcW w:w="3540" w:type="dxa"/>
            <w:vAlign w:val="bottom"/>
            <w:tcBorders>
              <w:bottom w:val="single" w:sz="8" w:color="282828"/>
            </w:tcBorders>
            <w:gridSpan w:val="12"/>
          </w:tcPr>
          <w:p>
            <w:pPr>
              <w:spacing w:after="0"/>
              <w:rPr>
                <w:sz w:val="20"/>
                <w:szCs w:val="20"/>
                <w:color w:val="auto"/>
              </w:rPr>
            </w:pPr>
            <w:r>
              <w:rPr>
                <w:rFonts w:ascii="Times New Roman" w:cs="Times New Roman" w:eastAsia="Times New Roman" w:hAnsi="Times New Roman"/>
                <w:sz w:val="20"/>
                <w:szCs w:val="20"/>
                <w:color w:val="282828"/>
                <w:w w:val="98"/>
              </w:rPr>
              <w:t>Insider Trading and Communications Policy</w:t>
            </w:r>
          </w:p>
        </w:tc>
        <w:tc>
          <w:tcPr>
            <w:tcW w:w="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96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auto"/>
                <w:w w:val="97"/>
              </w:rPr>
              <w:t>21.1</w:t>
            </w:r>
          </w:p>
        </w:tc>
        <w:tc>
          <w:tcPr>
            <w:tcW w:w="3840" w:type="dxa"/>
            <w:vAlign w:val="bottom"/>
            <w:gridSpan w:val="17"/>
          </w:tcPr>
          <w:p>
            <w:pPr>
              <w:spacing w:after="0"/>
              <w:rPr>
                <w:sz w:val="20"/>
                <w:szCs w:val="20"/>
                <w:color w:val="auto"/>
              </w:rPr>
            </w:pPr>
            <w:r>
              <w:rPr>
                <w:rFonts w:ascii="Times New Roman" w:cs="Times New Roman" w:eastAsia="Times New Roman" w:hAnsi="Times New Roman"/>
                <w:sz w:val="20"/>
                <w:szCs w:val="20"/>
                <w:color w:val="282828"/>
              </w:rPr>
              <w:t>Subsidiaries of the Company</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540" w:type="dxa"/>
            <w:vAlign w:val="bottom"/>
            <w:gridSpan w:val="2"/>
            <w:shd w:val="clear" w:color="auto" w:fill="282828"/>
          </w:tcPr>
          <w:p>
            <w:pPr>
              <w:spacing w:after="0" w:line="20" w:lineRule="exact"/>
              <w:rPr>
                <w:sz w:val="1"/>
                <w:szCs w:val="1"/>
                <w:color w:val="auto"/>
              </w:rPr>
            </w:pPr>
          </w:p>
        </w:tc>
        <w:tc>
          <w:tcPr>
            <w:tcW w:w="1360" w:type="dxa"/>
            <w:vAlign w:val="bottom"/>
            <w:shd w:val="clear" w:color="auto" w:fill="28282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96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7"/>
              </w:rPr>
              <w:t>23.1</w:t>
            </w:r>
          </w:p>
        </w:tc>
        <w:tc>
          <w:tcPr>
            <w:tcW w:w="3840" w:type="dxa"/>
            <w:vAlign w:val="bottom"/>
            <w:gridSpan w:val="17"/>
          </w:tcPr>
          <w:p>
            <w:pPr>
              <w:spacing w:after="0"/>
              <w:rPr>
                <w:sz w:val="20"/>
                <w:szCs w:val="20"/>
                <w:color w:val="auto"/>
              </w:rPr>
            </w:pPr>
            <w:r>
              <w:rPr>
                <w:rFonts w:ascii="Times New Roman" w:cs="Times New Roman" w:eastAsia="Times New Roman" w:hAnsi="Times New Roman"/>
                <w:sz w:val="20"/>
                <w:szCs w:val="20"/>
                <w:color w:val="282828"/>
              </w:rPr>
              <w:t>Consent of Deloitte &amp; Touche LLP.,</w:t>
            </w: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380" w:type="dxa"/>
            <w:vAlign w:val="bottom"/>
            <w:shd w:val="clear" w:color="auto" w:fill="282828"/>
          </w:tcPr>
          <w:p>
            <w:pPr>
              <w:spacing w:after="0" w:line="20" w:lineRule="exact"/>
              <w:rPr>
                <w:sz w:val="1"/>
                <w:szCs w:val="1"/>
                <w:color w:val="auto"/>
              </w:rPr>
            </w:pPr>
          </w:p>
        </w:tc>
        <w:tc>
          <w:tcPr>
            <w:tcW w:w="20" w:type="dxa"/>
            <w:vAlign w:val="bottom"/>
            <w:shd w:val="clear" w:color="auto" w:fill="282828"/>
          </w:tcPr>
          <w:p>
            <w:pPr>
              <w:spacing w:after="0" w:line="20" w:lineRule="exact"/>
              <w:rPr>
                <w:sz w:val="1"/>
                <w:szCs w:val="1"/>
                <w:color w:val="auto"/>
              </w:rPr>
            </w:pPr>
          </w:p>
        </w:tc>
        <w:tc>
          <w:tcPr>
            <w:tcW w:w="540" w:type="dxa"/>
            <w:vAlign w:val="bottom"/>
            <w:gridSpan w:val="2"/>
            <w:shd w:val="clear" w:color="auto" w:fill="282828"/>
          </w:tcPr>
          <w:p>
            <w:pPr>
              <w:spacing w:after="0" w:line="20" w:lineRule="exact"/>
              <w:rPr>
                <w:sz w:val="1"/>
                <w:szCs w:val="1"/>
                <w:color w:val="auto"/>
              </w:rPr>
            </w:pPr>
          </w:p>
        </w:tc>
        <w:tc>
          <w:tcPr>
            <w:tcW w:w="1880" w:type="dxa"/>
            <w:vAlign w:val="bottom"/>
            <w:gridSpan w:val="2"/>
            <w:shd w:val="clear" w:color="auto" w:fill="282828"/>
          </w:tcPr>
          <w:p>
            <w:pPr>
              <w:spacing w:after="0" w:line="20" w:lineRule="exact"/>
              <w:rPr>
                <w:sz w:val="1"/>
                <w:szCs w:val="1"/>
                <w:color w:val="auto"/>
              </w:rPr>
            </w:pPr>
          </w:p>
        </w:tc>
        <w:tc>
          <w:tcPr>
            <w:tcW w:w="480" w:type="dxa"/>
            <w:vAlign w:val="bottom"/>
            <w:tcBorders>
              <w:left w:val="single" w:sz="8" w:color="28282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60" w:type="dxa"/>
            <w:vAlign w:val="bottom"/>
            <w:vMerge w:val="continue"/>
          </w:tcPr>
          <w:p>
            <w:pPr>
              <w:spacing w:after="0"/>
              <w:rPr>
                <w:sz w:val="19"/>
                <w:szCs w:val="19"/>
                <w:color w:val="auto"/>
              </w:rPr>
            </w:pPr>
          </w:p>
        </w:tc>
        <w:tc>
          <w:tcPr>
            <w:tcW w:w="3440" w:type="dxa"/>
            <w:vAlign w:val="bottom"/>
            <w:tcBorders>
              <w:bottom w:val="single" w:sz="8" w:color="282828"/>
            </w:tcBorders>
            <w:gridSpan w:val="10"/>
          </w:tcPr>
          <w:p>
            <w:pPr>
              <w:spacing w:after="0" w:line="221" w:lineRule="exact"/>
              <w:rPr>
                <w:sz w:val="20"/>
                <w:szCs w:val="20"/>
                <w:color w:val="auto"/>
              </w:rPr>
            </w:pPr>
            <w:r>
              <w:rPr>
                <w:rFonts w:ascii="Times New Roman" w:cs="Times New Roman" w:eastAsia="Times New Roman" w:hAnsi="Times New Roman"/>
                <w:sz w:val="20"/>
                <w:szCs w:val="20"/>
                <w:color w:val="282828"/>
                <w:w w:val="99"/>
              </w:rPr>
              <w:t>Independent Registered Public Accounting</w:t>
            </w:r>
          </w:p>
        </w:tc>
        <w:tc>
          <w:tcPr>
            <w:tcW w:w="40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60" w:type="dxa"/>
            <w:vAlign w:val="bottom"/>
          </w:tcPr>
          <w:p>
            <w:pPr>
              <w:spacing w:after="0"/>
              <w:rPr>
                <w:sz w:val="19"/>
                <w:szCs w:val="19"/>
                <w:color w:val="auto"/>
              </w:rPr>
            </w:pPr>
          </w:p>
        </w:tc>
        <w:tc>
          <w:tcPr>
            <w:tcW w:w="3840" w:type="dxa"/>
            <w:vAlign w:val="bottom"/>
            <w:gridSpan w:val="17"/>
          </w:tcPr>
          <w:p>
            <w:pPr>
              <w:spacing w:after="0" w:line="220" w:lineRule="exact"/>
              <w:rPr>
                <w:sz w:val="20"/>
                <w:szCs w:val="20"/>
                <w:color w:val="auto"/>
              </w:rPr>
            </w:pPr>
            <w:r>
              <w:rPr>
                <w:rFonts w:ascii="Times New Roman" w:cs="Times New Roman" w:eastAsia="Times New Roman" w:hAnsi="Times New Roman"/>
                <w:sz w:val="20"/>
                <w:szCs w:val="20"/>
                <w:color w:val="282828"/>
              </w:rPr>
              <w:t>Firm</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380" w:type="dxa"/>
            <w:vAlign w:val="bottom"/>
            <w:shd w:val="clear" w:color="auto" w:fill="28282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96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7"/>
              </w:rPr>
              <w:t>23.2</w:t>
            </w:r>
          </w:p>
        </w:tc>
        <w:tc>
          <w:tcPr>
            <w:tcW w:w="3300" w:type="dxa"/>
            <w:vAlign w:val="bottom"/>
            <w:tcBorders>
              <w:bottom w:val="single" w:sz="8" w:color="282828"/>
            </w:tcBorders>
            <w:gridSpan w:val="7"/>
          </w:tcPr>
          <w:p>
            <w:pPr>
              <w:spacing w:after="0"/>
              <w:rPr>
                <w:sz w:val="20"/>
                <w:szCs w:val="20"/>
                <w:color w:val="auto"/>
              </w:rPr>
            </w:pPr>
            <w:r>
              <w:rPr>
                <w:rFonts w:ascii="Times New Roman" w:cs="Times New Roman" w:eastAsia="Times New Roman" w:hAnsi="Times New Roman"/>
                <w:sz w:val="20"/>
                <w:szCs w:val="20"/>
                <w:color w:val="282828"/>
                <w:w w:val="98"/>
              </w:rPr>
              <w:t>Consent of BDO USA, P.C., Independent</w:t>
            </w:r>
          </w:p>
        </w:tc>
        <w:tc>
          <w:tcPr>
            <w:tcW w:w="5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960" w:type="dxa"/>
            <w:vAlign w:val="bottom"/>
            <w:vMerge w:val="continue"/>
          </w:tcPr>
          <w:p>
            <w:pPr>
              <w:spacing w:after="0"/>
              <w:rPr>
                <w:sz w:val="10"/>
                <w:szCs w:val="10"/>
                <w:color w:val="auto"/>
              </w:rPr>
            </w:pPr>
          </w:p>
        </w:tc>
        <w:tc>
          <w:tcPr>
            <w:tcW w:w="3840" w:type="dxa"/>
            <w:vAlign w:val="bottom"/>
            <w:gridSpan w:val="17"/>
            <w:vMerge w:val="restart"/>
          </w:tcPr>
          <w:p>
            <w:pPr>
              <w:spacing w:after="0" w:line="220" w:lineRule="exact"/>
              <w:rPr>
                <w:sz w:val="20"/>
                <w:szCs w:val="20"/>
                <w:color w:val="auto"/>
              </w:rPr>
            </w:pPr>
            <w:r>
              <w:rPr>
                <w:rFonts w:ascii="Times New Roman" w:cs="Times New Roman" w:eastAsia="Times New Roman" w:hAnsi="Times New Roman"/>
                <w:sz w:val="20"/>
                <w:szCs w:val="20"/>
                <w:color w:val="282828"/>
              </w:rPr>
              <w:t>Registered Public Accounting Firm</w:t>
            </w:r>
          </w:p>
        </w:tc>
        <w:tc>
          <w:tcPr>
            <w:tcW w:w="0" w:type="dxa"/>
            <w:vAlign w:val="bottom"/>
          </w:tcPr>
          <w:p>
            <w:pPr>
              <w:spacing w:after="0"/>
              <w:rPr>
                <w:sz w:val="1"/>
                <w:szCs w:val="1"/>
                <w:color w:val="auto"/>
              </w:rPr>
            </w:pPr>
          </w:p>
        </w:tc>
      </w:tr>
      <w:tr>
        <w:trPr>
          <w:trHeight w:val="103"/>
        </w:trPr>
        <w:tc>
          <w:tcPr>
            <w:tcW w:w="960" w:type="dxa"/>
            <w:vAlign w:val="bottom"/>
          </w:tcPr>
          <w:p>
            <w:pPr>
              <w:spacing w:after="0"/>
              <w:rPr>
                <w:sz w:val="8"/>
                <w:szCs w:val="8"/>
                <w:color w:val="auto"/>
              </w:rPr>
            </w:pPr>
          </w:p>
        </w:tc>
        <w:tc>
          <w:tcPr>
            <w:tcW w:w="3840" w:type="dxa"/>
            <w:vAlign w:val="bottom"/>
            <w:gridSpan w:val="1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6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7"/>
              </w:rPr>
              <w:t>24.1</w:t>
            </w:r>
          </w:p>
        </w:tc>
        <w:tc>
          <w:tcPr>
            <w:tcW w:w="400" w:type="dxa"/>
            <w:vAlign w:val="bottom"/>
            <w:gridSpan w:val="2"/>
            <w:shd w:val="clear" w:color="auto" w:fill="282828"/>
          </w:tcPr>
          <w:p>
            <w:pPr>
              <w:spacing w:after="0" w:line="20" w:lineRule="exact"/>
              <w:rPr>
                <w:sz w:val="1"/>
                <w:szCs w:val="1"/>
                <w:color w:val="auto"/>
              </w:rPr>
            </w:pPr>
          </w:p>
        </w:tc>
        <w:tc>
          <w:tcPr>
            <w:tcW w:w="540" w:type="dxa"/>
            <w:vAlign w:val="bottom"/>
            <w:gridSpan w:val="2"/>
            <w:shd w:val="clear" w:color="auto" w:fill="282828"/>
          </w:tcPr>
          <w:p>
            <w:pPr>
              <w:spacing w:after="0" w:line="20" w:lineRule="exact"/>
              <w:rPr>
                <w:sz w:val="1"/>
                <w:szCs w:val="1"/>
                <w:color w:val="auto"/>
              </w:rPr>
            </w:pPr>
          </w:p>
        </w:tc>
        <w:tc>
          <w:tcPr>
            <w:tcW w:w="1880" w:type="dxa"/>
            <w:vAlign w:val="bottom"/>
            <w:gridSpan w:val="2"/>
            <w:shd w:val="clear" w:color="auto" w:fill="28282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960" w:type="dxa"/>
            <w:vAlign w:val="bottom"/>
            <w:vMerge w:val="continue"/>
          </w:tcPr>
          <w:p>
            <w:pPr>
              <w:spacing w:after="0"/>
              <w:rPr>
                <w:sz w:val="24"/>
                <w:szCs w:val="24"/>
                <w:color w:val="auto"/>
              </w:rPr>
            </w:pPr>
          </w:p>
        </w:tc>
        <w:tc>
          <w:tcPr>
            <w:tcW w:w="3680" w:type="dxa"/>
            <w:vAlign w:val="bottom"/>
            <w:tcBorders>
              <w:bottom w:val="single" w:sz="8" w:color="282828"/>
            </w:tcBorders>
            <w:gridSpan w:val="15"/>
          </w:tcPr>
          <w:p>
            <w:pPr>
              <w:spacing w:after="0"/>
              <w:rPr>
                <w:sz w:val="20"/>
                <w:szCs w:val="20"/>
                <w:color w:val="auto"/>
              </w:rPr>
            </w:pPr>
            <w:r>
              <w:rPr>
                <w:rFonts w:ascii="Times New Roman" w:cs="Times New Roman" w:eastAsia="Times New Roman" w:hAnsi="Times New Roman"/>
                <w:sz w:val="20"/>
                <w:szCs w:val="20"/>
                <w:color w:val="282828"/>
                <w:w w:val="99"/>
              </w:rPr>
              <w:t>Power of Attorney (see signature page hereto)</w:t>
            </w:r>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545"/>
        </w:trPr>
        <w:tc>
          <w:tcPr>
            <w:tcW w:w="960" w:type="dxa"/>
            <w:vAlign w:val="bottom"/>
          </w:tcPr>
          <w:p>
            <w:pPr>
              <w:spacing w:after="0"/>
              <w:rPr>
                <w:sz w:val="24"/>
                <w:szCs w:val="24"/>
                <w:color w:val="auto"/>
              </w:rPr>
            </w:pPr>
          </w:p>
        </w:tc>
        <w:tc>
          <w:tcPr>
            <w:tcW w:w="3840" w:type="dxa"/>
            <w:vAlign w:val="bottom"/>
            <w:gridSpan w:val="17"/>
          </w:tcPr>
          <w:p>
            <w:pPr>
              <w:spacing w:after="0"/>
              <w:rPr>
                <w:sz w:val="20"/>
                <w:szCs w:val="20"/>
                <w:color w:val="auto"/>
              </w:rPr>
            </w:pPr>
            <w:r>
              <w:rPr>
                <w:rFonts w:ascii="Times New Roman" w:cs="Times New Roman" w:eastAsia="Times New Roman" w:hAnsi="Times New Roman"/>
                <w:sz w:val="20"/>
                <w:szCs w:val="20"/>
                <w:color w:val="282828"/>
              </w:rPr>
              <w:t>Certification of Principal Executive Officer</w:t>
            </w:r>
          </w:p>
        </w:tc>
        <w:tc>
          <w:tcPr>
            <w:tcW w:w="0" w:type="dxa"/>
            <w:vAlign w:val="bottom"/>
          </w:tcPr>
          <w:p>
            <w:pPr>
              <w:spacing w:after="0"/>
              <w:rPr>
                <w:sz w:val="1"/>
                <w:szCs w:val="1"/>
                <w:color w:val="auto"/>
              </w:rPr>
            </w:pPr>
          </w:p>
        </w:tc>
      </w:tr>
      <w:tr>
        <w:trPr>
          <w:trHeight w:val="220"/>
        </w:trPr>
        <w:tc>
          <w:tcPr>
            <w:tcW w:w="96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7"/>
              </w:rPr>
              <w:t>31.1</w:t>
            </w:r>
          </w:p>
        </w:tc>
        <w:tc>
          <w:tcPr>
            <w:tcW w:w="3460" w:type="dxa"/>
            <w:vAlign w:val="bottom"/>
            <w:tcBorders>
              <w:top w:val="single" w:sz="8" w:color="282828"/>
            </w:tcBorders>
            <w:gridSpan w:val="11"/>
          </w:tcPr>
          <w:p>
            <w:pPr>
              <w:spacing w:after="0" w:line="220" w:lineRule="exact"/>
              <w:rPr>
                <w:sz w:val="20"/>
                <w:szCs w:val="20"/>
                <w:color w:val="auto"/>
              </w:rPr>
            </w:pPr>
            <w:r>
              <w:rPr>
                <w:rFonts w:ascii="Times New Roman" w:cs="Times New Roman" w:eastAsia="Times New Roman" w:hAnsi="Times New Roman"/>
                <w:sz w:val="20"/>
                <w:szCs w:val="20"/>
                <w:color w:val="282828"/>
              </w:rPr>
              <w:t>Pursuant to Rules 13a-14(a) and 15d-14(a)</w:t>
            </w:r>
          </w:p>
        </w:tc>
        <w:tc>
          <w:tcPr>
            <w:tcW w:w="38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400" w:type="dxa"/>
            <w:vAlign w:val="bottom"/>
            <w:gridSpan w:val="2"/>
            <w:shd w:val="clear" w:color="auto" w:fill="282828"/>
          </w:tcPr>
          <w:p>
            <w:pPr>
              <w:spacing w:after="0" w:line="20" w:lineRule="exact"/>
              <w:rPr>
                <w:sz w:val="1"/>
                <w:szCs w:val="1"/>
                <w:color w:val="auto"/>
              </w:rPr>
            </w:pPr>
          </w:p>
        </w:tc>
        <w:tc>
          <w:tcPr>
            <w:tcW w:w="540" w:type="dxa"/>
            <w:vAlign w:val="bottom"/>
            <w:gridSpan w:val="2"/>
            <w:shd w:val="clear" w:color="auto" w:fill="282828"/>
          </w:tcPr>
          <w:p>
            <w:pPr>
              <w:spacing w:after="0" w:line="20" w:lineRule="exact"/>
              <w:rPr>
                <w:sz w:val="1"/>
                <w:szCs w:val="1"/>
                <w:color w:val="auto"/>
              </w:rPr>
            </w:pPr>
          </w:p>
        </w:tc>
        <w:tc>
          <w:tcPr>
            <w:tcW w:w="2460" w:type="dxa"/>
            <w:vAlign w:val="bottom"/>
            <w:gridSpan w:val="4"/>
            <w:shd w:val="clear" w:color="auto" w:fill="28282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960" w:type="dxa"/>
            <w:vAlign w:val="bottom"/>
            <w:vMerge w:val="continue"/>
          </w:tcPr>
          <w:p>
            <w:pPr>
              <w:spacing w:after="0"/>
              <w:rPr>
                <w:sz w:val="19"/>
                <w:szCs w:val="19"/>
                <w:color w:val="auto"/>
              </w:rPr>
            </w:pPr>
          </w:p>
        </w:tc>
        <w:tc>
          <w:tcPr>
            <w:tcW w:w="3660" w:type="dxa"/>
            <w:vAlign w:val="bottom"/>
            <w:tcBorders>
              <w:bottom w:val="single" w:sz="8" w:color="282828"/>
            </w:tcBorders>
            <w:gridSpan w:val="14"/>
          </w:tcPr>
          <w:p>
            <w:pPr>
              <w:spacing w:after="0" w:line="220" w:lineRule="exact"/>
              <w:rPr>
                <w:sz w:val="20"/>
                <w:szCs w:val="20"/>
                <w:color w:val="auto"/>
              </w:rPr>
            </w:pPr>
            <w:r>
              <w:rPr>
                <w:rFonts w:ascii="Times New Roman" w:cs="Times New Roman" w:eastAsia="Times New Roman" w:hAnsi="Times New Roman"/>
                <w:sz w:val="20"/>
                <w:szCs w:val="20"/>
                <w:color w:val="282828"/>
                <w:w w:val="98"/>
              </w:rPr>
              <w:t>under the Exchange Act, as Adopted Pursuant</w:t>
            </w:r>
          </w:p>
        </w:tc>
        <w:tc>
          <w:tcPr>
            <w:tcW w:w="1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60" w:type="dxa"/>
            <w:vAlign w:val="bottom"/>
          </w:tcPr>
          <w:p>
            <w:pPr>
              <w:spacing w:after="0"/>
              <w:rPr>
                <w:sz w:val="19"/>
                <w:szCs w:val="19"/>
                <w:color w:val="auto"/>
              </w:rPr>
            </w:pPr>
          </w:p>
        </w:tc>
        <w:tc>
          <w:tcPr>
            <w:tcW w:w="3840" w:type="dxa"/>
            <w:vAlign w:val="bottom"/>
            <w:gridSpan w:val="17"/>
          </w:tcPr>
          <w:p>
            <w:pPr>
              <w:spacing w:after="0" w:line="220" w:lineRule="exact"/>
              <w:rPr>
                <w:sz w:val="20"/>
                <w:szCs w:val="20"/>
                <w:color w:val="auto"/>
              </w:rPr>
            </w:pPr>
            <w:r>
              <w:rPr>
                <w:rFonts w:ascii="Times New Roman" w:cs="Times New Roman" w:eastAsia="Times New Roman" w:hAnsi="Times New Roman"/>
                <w:sz w:val="20"/>
                <w:szCs w:val="20"/>
                <w:color w:val="282828"/>
              </w:rPr>
              <w:t>to Section 302 of the Sarbanes-Oxley Act of</w:t>
            </w:r>
          </w:p>
        </w:tc>
        <w:tc>
          <w:tcPr>
            <w:tcW w:w="0" w:type="dxa"/>
            <w:vAlign w:val="bottom"/>
          </w:tcPr>
          <w:p>
            <w:pPr>
              <w:spacing w:after="0"/>
              <w:rPr>
                <w:sz w:val="1"/>
                <w:szCs w:val="1"/>
                <w:color w:val="auto"/>
              </w:rPr>
            </w:pPr>
          </w:p>
        </w:tc>
      </w:tr>
      <w:tr>
        <w:trPr>
          <w:trHeight w:val="220"/>
        </w:trPr>
        <w:tc>
          <w:tcPr>
            <w:tcW w:w="960" w:type="dxa"/>
            <w:vAlign w:val="bottom"/>
          </w:tcPr>
          <w:p>
            <w:pPr>
              <w:spacing w:after="0"/>
              <w:rPr>
                <w:sz w:val="19"/>
                <w:szCs w:val="19"/>
                <w:color w:val="auto"/>
              </w:rPr>
            </w:pPr>
          </w:p>
        </w:tc>
        <w:tc>
          <w:tcPr>
            <w:tcW w:w="400" w:type="dxa"/>
            <w:vAlign w:val="bottom"/>
            <w:tcBorders>
              <w:top w:val="single" w:sz="8" w:color="282828"/>
              <w:bottom w:val="single" w:sz="8" w:color="282828"/>
            </w:tcBorders>
            <w:gridSpan w:val="2"/>
          </w:tcPr>
          <w:p>
            <w:pPr>
              <w:spacing w:after="0" w:line="220" w:lineRule="exact"/>
              <w:rPr>
                <w:sz w:val="20"/>
                <w:szCs w:val="20"/>
                <w:color w:val="auto"/>
              </w:rPr>
            </w:pPr>
            <w:r>
              <w:rPr>
                <w:rFonts w:ascii="Times New Roman" w:cs="Times New Roman" w:eastAsia="Times New Roman" w:hAnsi="Times New Roman"/>
                <w:sz w:val="20"/>
                <w:szCs w:val="20"/>
                <w:color w:val="282828"/>
                <w:w w:val="94"/>
              </w:rPr>
              <w:t>2002</w:t>
            </w:r>
          </w:p>
        </w:tc>
        <w:tc>
          <w:tcPr>
            <w:tcW w:w="120" w:type="dxa"/>
            <w:vAlign w:val="bottom"/>
            <w:tcBorders>
              <w:top w:val="single" w:sz="8" w:color="282828"/>
            </w:tcBorders>
          </w:tcPr>
          <w:p>
            <w:pPr>
              <w:spacing w:after="0"/>
              <w:rPr>
                <w:sz w:val="19"/>
                <w:szCs w:val="19"/>
                <w:color w:val="auto"/>
              </w:rPr>
            </w:pPr>
          </w:p>
        </w:tc>
        <w:tc>
          <w:tcPr>
            <w:tcW w:w="420" w:type="dxa"/>
            <w:vAlign w:val="bottom"/>
            <w:tcBorders>
              <w:top w:val="single" w:sz="8" w:color="282828"/>
            </w:tcBorders>
          </w:tcPr>
          <w:p>
            <w:pPr>
              <w:spacing w:after="0"/>
              <w:rPr>
                <w:sz w:val="19"/>
                <w:szCs w:val="19"/>
                <w:color w:val="auto"/>
              </w:rPr>
            </w:pPr>
          </w:p>
        </w:tc>
        <w:tc>
          <w:tcPr>
            <w:tcW w:w="1360" w:type="dxa"/>
            <w:vAlign w:val="bottom"/>
            <w:tcBorders>
              <w:top w:val="single" w:sz="8" w:color="282828"/>
            </w:tcBorders>
          </w:tcPr>
          <w:p>
            <w:pPr>
              <w:spacing w:after="0"/>
              <w:rPr>
                <w:sz w:val="19"/>
                <w:szCs w:val="19"/>
                <w:color w:val="auto"/>
              </w:rPr>
            </w:pPr>
          </w:p>
        </w:tc>
        <w:tc>
          <w:tcPr>
            <w:tcW w:w="520" w:type="dxa"/>
            <w:vAlign w:val="bottom"/>
            <w:tcBorders>
              <w:top w:val="single" w:sz="8" w:color="282828"/>
            </w:tcBorders>
          </w:tcPr>
          <w:p>
            <w:pPr>
              <w:spacing w:after="0"/>
              <w:rPr>
                <w:sz w:val="19"/>
                <w:szCs w:val="19"/>
                <w:color w:val="auto"/>
              </w:rPr>
            </w:pPr>
          </w:p>
        </w:tc>
        <w:tc>
          <w:tcPr>
            <w:tcW w:w="480" w:type="dxa"/>
            <w:vAlign w:val="bottom"/>
            <w:tcBorders>
              <w:top w:val="single" w:sz="8" w:color="282828"/>
            </w:tcBorders>
          </w:tcPr>
          <w:p>
            <w:pPr>
              <w:spacing w:after="0"/>
              <w:rPr>
                <w:sz w:val="19"/>
                <w:szCs w:val="19"/>
                <w:color w:val="auto"/>
              </w:rPr>
            </w:pPr>
          </w:p>
        </w:tc>
        <w:tc>
          <w:tcPr>
            <w:tcW w:w="100" w:type="dxa"/>
            <w:vAlign w:val="bottom"/>
            <w:tcBorders>
              <w:top w:val="single" w:sz="8" w:color="282828"/>
            </w:tcBorders>
          </w:tcPr>
          <w:p>
            <w:pPr>
              <w:spacing w:after="0"/>
              <w:rPr>
                <w:sz w:val="19"/>
                <w:szCs w:val="19"/>
                <w:color w:val="auto"/>
              </w:rPr>
            </w:pPr>
          </w:p>
        </w:tc>
        <w:tc>
          <w:tcPr>
            <w:tcW w:w="20" w:type="dxa"/>
            <w:vAlign w:val="bottom"/>
            <w:tcBorders>
              <w:top w:val="single" w:sz="8" w:color="282828"/>
            </w:tcBorders>
          </w:tcPr>
          <w:p>
            <w:pPr>
              <w:spacing w:after="0"/>
              <w:rPr>
                <w:sz w:val="19"/>
                <w:szCs w:val="19"/>
                <w:color w:val="auto"/>
              </w:rPr>
            </w:pPr>
          </w:p>
        </w:tc>
        <w:tc>
          <w:tcPr>
            <w:tcW w:w="20" w:type="dxa"/>
            <w:vAlign w:val="bottom"/>
            <w:tcBorders>
              <w:top w:val="single" w:sz="8" w:color="282828"/>
            </w:tcBorders>
          </w:tcPr>
          <w:p>
            <w:pPr>
              <w:spacing w:after="0"/>
              <w:rPr>
                <w:sz w:val="19"/>
                <w:szCs w:val="19"/>
                <w:color w:val="auto"/>
              </w:rPr>
            </w:pPr>
          </w:p>
        </w:tc>
        <w:tc>
          <w:tcPr>
            <w:tcW w:w="20" w:type="dxa"/>
            <w:vAlign w:val="bottom"/>
            <w:tcBorders>
              <w:top w:val="single" w:sz="8" w:color="282828"/>
            </w:tcBorders>
          </w:tcPr>
          <w:p>
            <w:pPr>
              <w:spacing w:after="0"/>
              <w:rPr>
                <w:sz w:val="19"/>
                <w:szCs w:val="19"/>
                <w:color w:val="auto"/>
              </w:rPr>
            </w:pPr>
          </w:p>
        </w:tc>
        <w:tc>
          <w:tcPr>
            <w:tcW w:w="80" w:type="dxa"/>
            <w:vAlign w:val="bottom"/>
            <w:tcBorders>
              <w:top w:val="single" w:sz="8" w:color="282828"/>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5"/>
        </w:trPr>
        <w:tc>
          <w:tcPr>
            <w:tcW w:w="960" w:type="dxa"/>
            <w:vAlign w:val="bottom"/>
          </w:tcPr>
          <w:p>
            <w:pPr>
              <w:spacing w:after="0"/>
              <w:rPr>
                <w:sz w:val="24"/>
                <w:szCs w:val="24"/>
                <w:color w:val="auto"/>
              </w:rPr>
            </w:pPr>
          </w:p>
        </w:tc>
        <w:tc>
          <w:tcPr>
            <w:tcW w:w="3420" w:type="dxa"/>
            <w:vAlign w:val="bottom"/>
            <w:tcBorders>
              <w:bottom w:val="single" w:sz="8" w:color="282828"/>
            </w:tcBorders>
            <w:gridSpan w:val="9"/>
          </w:tcPr>
          <w:p>
            <w:pPr>
              <w:spacing w:after="0"/>
              <w:rPr>
                <w:sz w:val="20"/>
                <w:szCs w:val="20"/>
                <w:color w:val="auto"/>
              </w:rPr>
            </w:pPr>
            <w:r>
              <w:rPr>
                <w:rFonts w:ascii="Times New Roman" w:cs="Times New Roman" w:eastAsia="Times New Roman" w:hAnsi="Times New Roman"/>
                <w:sz w:val="20"/>
                <w:szCs w:val="20"/>
                <w:color w:val="282828"/>
                <w:w w:val="99"/>
              </w:rPr>
              <w:t>Certification of Principal Financial Officer</w:t>
            </w:r>
          </w:p>
        </w:tc>
        <w:tc>
          <w:tcPr>
            <w:tcW w:w="4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6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w w:val="97"/>
              </w:rPr>
              <w:t>31.2</w:t>
            </w:r>
          </w:p>
        </w:tc>
        <w:tc>
          <w:tcPr>
            <w:tcW w:w="3840" w:type="dxa"/>
            <w:vAlign w:val="bottom"/>
            <w:gridSpan w:val="17"/>
          </w:tcPr>
          <w:p>
            <w:pPr>
              <w:spacing w:after="0" w:line="220" w:lineRule="exact"/>
              <w:rPr>
                <w:sz w:val="20"/>
                <w:szCs w:val="20"/>
                <w:color w:val="auto"/>
              </w:rPr>
            </w:pPr>
            <w:r>
              <w:rPr>
                <w:rFonts w:ascii="Times New Roman" w:cs="Times New Roman" w:eastAsia="Times New Roman" w:hAnsi="Times New Roman"/>
                <w:sz w:val="20"/>
                <w:szCs w:val="20"/>
                <w:color w:val="282828"/>
              </w:rPr>
              <w:t>Pursuant to Rules 13a-14(a) and 15d-14(a)</w:t>
            </w:r>
          </w:p>
        </w:tc>
        <w:tc>
          <w:tcPr>
            <w:tcW w:w="0" w:type="dxa"/>
            <w:vAlign w:val="bottom"/>
          </w:tcPr>
          <w:p>
            <w:pPr>
              <w:spacing w:after="0"/>
              <w:rPr>
                <w:sz w:val="1"/>
                <w:szCs w:val="1"/>
                <w:color w:val="auto"/>
              </w:rPr>
            </w:pPr>
          </w:p>
        </w:tc>
      </w:tr>
      <w:tr>
        <w:trPr>
          <w:trHeight w:val="20"/>
        </w:trPr>
        <w:tc>
          <w:tcPr>
            <w:tcW w:w="960" w:type="dxa"/>
            <w:vAlign w:val="bottom"/>
            <w:vMerge w:val="continue"/>
          </w:tcPr>
          <w:p>
            <w:pPr>
              <w:spacing w:after="0" w:line="20" w:lineRule="exact"/>
              <w:rPr>
                <w:sz w:val="1"/>
                <w:szCs w:val="1"/>
                <w:color w:val="auto"/>
              </w:rPr>
            </w:pPr>
          </w:p>
        </w:tc>
        <w:tc>
          <w:tcPr>
            <w:tcW w:w="940" w:type="dxa"/>
            <w:vAlign w:val="bottom"/>
            <w:gridSpan w:val="4"/>
            <w:shd w:val="clear" w:color="auto" w:fill="282828"/>
          </w:tcPr>
          <w:p>
            <w:pPr>
              <w:spacing w:after="0" w:line="20" w:lineRule="exact"/>
              <w:rPr>
                <w:sz w:val="1"/>
                <w:szCs w:val="1"/>
                <w:color w:val="auto"/>
              </w:rPr>
            </w:pPr>
          </w:p>
        </w:tc>
        <w:tc>
          <w:tcPr>
            <w:tcW w:w="2460" w:type="dxa"/>
            <w:vAlign w:val="bottom"/>
            <w:gridSpan w:val="4"/>
            <w:shd w:val="clear" w:color="auto" w:fill="28282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960" w:type="dxa"/>
            <w:vAlign w:val="bottom"/>
            <w:vMerge w:val="continue"/>
          </w:tcPr>
          <w:p>
            <w:pPr>
              <w:spacing w:after="0"/>
              <w:rPr>
                <w:sz w:val="19"/>
                <w:szCs w:val="19"/>
                <w:color w:val="auto"/>
              </w:rPr>
            </w:pPr>
          </w:p>
        </w:tc>
        <w:tc>
          <w:tcPr>
            <w:tcW w:w="3660" w:type="dxa"/>
            <w:vAlign w:val="bottom"/>
            <w:tcBorders>
              <w:bottom w:val="single" w:sz="8" w:color="282828"/>
            </w:tcBorders>
            <w:gridSpan w:val="14"/>
          </w:tcPr>
          <w:p>
            <w:pPr>
              <w:spacing w:after="0" w:line="220" w:lineRule="exact"/>
              <w:rPr>
                <w:sz w:val="20"/>
                <w:szCs w:val="20"/>
                <w:color w:val="auto"/>
              </w:rPr>
            </w:pPr>
            <w:r>
              <w:rPr>
                <w:rFonts w:ascii="Times New Roman" w:cs="Times New Roman" w:eastAsia="Times New Roman" w:hAnsi="Times New Roman"/>
                <w:sz w:val="20"/>
                <w:szCs w:val="20"/>
                <w:color w:val="282828"/>
                <w:w w:val="98"/>
              </w:rPr>
              <w:t>under the Exchange Act, as Adopted Pursuant</w:t>
            </w:r>
          </w:p>
        </w:tc>
        <w:tc>
          <w:tcPr>
            <w:tcW w:w="1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60" w:type="dxa"/>
            <w:vAlign w:val="bottom"/>
          </w:tcPr>
          <w:p>
            <w:pPr>
              <w:spacing w:after="0"/>
              <w:rPr>
                <w:sz w:val="19"/>
                <w:szCs w:val="19"/>
                <w:color w:val="auto"/>
              </w:rPr>
            </w:pPr>
          </w:p>
        </w:tc>
        <w:tc>
          <w:tcPr>
            <w:tcW w:w="3840" w:type="dxa"/>
            <w:vAlign w:val="bottom"/>
            <w:gridSpan w:val="17"/>
          </w:tcPr>
          <w:p>
            <w:pPr>
              <w:spacing w:after="0" w:line="220" w:lineRule="exact"/>
              <w:rPr>
                <w:sz w:val="20"/>
                <w:szCs w:val="20"/>
                <w:color w:val="auto"/>
              </w:rPr>
            </w:pPr>
            <w:r>
              <w:rPr>
                <w:rFonts w:ascii="Times New Roman" w:cs="Times New Roman" w:eastAsia="Times New Roman" w:hAnsi="Times New Roman"/>
                <w:sz w:val="20"/>
                <w:szCs w:val="20"/>
                <w:color w:val="282828"/>
              </w:rPr>
              <w:t>to Section 302 of the Sarbanes-Oxley Act of</w:t>
            </w:r>
          </w:p>
        </w:tc>
        <w:tc>
          <w:tcPr>
            <w:tcW w:w="0" w:type="dxa"/>
            <w:vAlign w:val="bottom"/>
          </w:tcPr>
          <w:p>
            <w:pPr>
              <w:spacing w:after="0"/>
              <w:rPr>
                <w:sz w:val="1"/>
                <w:szCs w:val="1"/>
                <w:color w:val="auto"/>
              </w:rPr>
            </w:pPr>
          </w:p>
        </w:tc>
      </w:tr>
      <w:tr>
        <w:trPr>
          <w:trHeight w:val="220"/>
        </w:trPr>
        <w:tc>
          <w:tcPr>
            <w:tcW w:w="960" w:type="dxa"/>
            <w:vAlign w:val="bottom"/>
          </w:tcPr>
          <w:p>
            <w:pPr>
              <w:spacing w:after="0"/>
              <w:rPr>
                <w:sz w:val="19"/>
                <w:szCs w:val="19"/>
                <w:color w:val="auto"/>
              </w:rPr>
            </w:pPr>
          </w:p>
        </w:tc>
        <w:tc>
          <w:tcPr>
            <w:tcW w:w="400" w:type="dxa"/>
            <w:vAlign w:val="bottom"/>
            <w:tcBorders>
              <w:top w:val="single" w:sz="8" w:color="282828"/>
              <w:bottom w:val="single" w:sz="8" w:color="282828"/>
            </w:tcBorders>
            <w:gridSpan w:val="2"/>
          </w:tcPr>
          <w:p>
            <w:pPr>
              <w:spacing w:after="0" w:line="221" w:lineRule="exact"/>
              <w:rPr>
                <w:sz w:val="20"/>
                <w:szCs w:val="20"/>
                <w:color w:val="auto"/>
              </w:rPr>
            </w:pPr>
            <w:r>
              <w:rPr>
                <w:rFonts w:ascii="Times New Roman" w:cs="Times New Roman" w:eastAsia="Times New Roman" w:hAnsi="Times New Roman"/>
                <w:sz w:val="20"/>
                <w:szCs w:val="20"/>
                <w:color w:val="282828"/>
                <w:w w:val="94"/>
              </w:rPr>
              <w:t>2002</w:t>
            </w:r>
          </w:p>
        </w:tc>
        <w:tc>
          <w:tcPr>
            <w:tcW w:w="120" w:type="dxa"/>
            <w:vAlign w:val="bottom"/>
            <w:tcBorders>
              <w:top w:val="single" w:sz="8" w:color="282828"/>
            </w:tcBorders>
          </w:tcPr>
          <w:p>
            <w:pPr>
              <w:spacing w:after="0"/>
              <w:rPr>
                <w:sz w:val="19"/>
                <w:szCs w:val="19"/>
                <w:color w:val="auto"/>
              </w:rPr>
            </w:pPr>
          </w:p>
        </w:tc>
        <w:tc>
          <w:tcPr>
            <w:tcW w:w="420" w:type="dxa"/>
            <w:vAlign w:val="bottom"/>
            <w:tcBorders>
              <w:top w:val="single" w:sz="8" w:color="282828"/>
            </w:tcBorders>
          </w:tcPr>
          <w:p>
            <w:pPr>
              <w:spacing w:after="0"/>
              <w:rPr>
                <w:sz w:val="19"/>
                <w:szCs w:val="19"/>
                <w:color w:val="auto"/>
              </w:rPr>
            </w:pPr>
          </w:p>
        </w:tc>
        <w:tc>
          <w:tcPr>
            <w:tcW w:w="1360" w:type="dxa"/>
            <w:vAlign w:val="bottom"/>
            <w:tcBorders>
              <w:top w:val="single" w:sz="8" w:color="282828"/>
            </w:tcBorders>
          </w:tcPr>
          <w:p>
            <w:pPr>
              <w:spacing w:after="0"/>
              <w:rPr>
                <w:sz w:val="19"/>
                <w:szCs w:val="19"/>
                <w:color w:val="auto"/>
              </w:rPr>
            </w:pPr>
          </w:p>
        </w:tc>
        <w:tc>
          <w:tcPr>
            <w:tcW w:w="520" w:type="dxa"/>
            <w:vAlign w:val="bottom"/>
            <w:tcBorders>
              <w:top w:val="single" w:sz="8" w:color="282828"/>
            </w:tcBorders>
          </w:tcPr>
          <w:p>
            <w:pPr>
              <w:spacing w:after="0"/>
              <w:rPr>
                <w:sz w:val="19"/>
                <w:szCs w:val="19"/>
                <w:color w:val="auto"/>
              </w:rPr>
            </w:pPr>
          </w:p>
        </w:tc>
        <w:tc>
          <w:tcPr>
            <w:tcW w:w="480" w:type="dxa"/>
            <w:vAlign w:val="bottom"/>
            <w:tcBorders>
              <w:top w:val="single" w:sz="8" w:color="282828"/>
            </w:tcBorders>
          </w:tcPr>
          <w:p>
            <w:pPr>
              <w:spacing w:after="0"/>
              <w:rPr>
                <w:sz w:val="19"/>
                <w:szCs w:val="19"/>
                <w:color w:val="auto"/>
              </w:rPr>
            </w:pPr>
          </w:p>
        </w:tc>
        <w:tc>
          <w:tcPr>
            <w:tcW w:w="100" w:type="dxa"/>
            <w:vAlign w:val="bottom"/>
            <w:tcBorders>
              <w:top w:val="single" w:sz="8" w:color="282828"/>
            </w:tcBorders>
          </w:tcPr>
          <w:p>
            <w:pPr>
              <w:spacing w:after="0"/>
              <w:rPr>
                <w:sz w:val="19"/>
                <w:szCs w:val="19"/>
                <w:color w:val="auto"/>
              </w:rPr>
            </w:pPr>
          </w:p>
        </w:tc>
        <w:tc>
          <w:tcPr>
            <w:tcW w:w="20" w:type="dxa"/>
            <w:vAlign w:val="bottom"/>
            <w:tcBorders>
              <w:top w:val="single" w:sz="8" w:color="282828"/>
            </w:tcBorders>
          </w:tcPr>
          <w:p>
            <w:pPr>
              <w:spacing w:after="0"/>
              <w:rPr>
                <w:sz w:val="19"/>
                <w:szCs w:val="19"/>
                <w:color w:val="auto"/>
              </w:rPr>
            </w:pPr>
          </w:p>
        </w:tc>
        <w:tc>
          <w:tcPr>
            <w:tcW w:w="20" w:type="dxa"/>
            <w:vAlign w:val="bottom"/>
            <w:tcBorders>
              <w:top w:val="single" w:sz="8" w:color="282828"/>
            </w:tcBorders>
          </w:tcPr>
          <w:p>
            <w:pPr>
              <w:spacing w:after="0"/>
              <w:rPr>
                <w:sz w:val="19"/>
                <w:szCs w:val="19"/>
                <w:color w:val="auto"/>
              </w:rPr>
            </w:pPr>
          </w:p>
        </w:tc>
        <w:tc>
          <w:tcPr>
            <w:tcW w:w="20" w:type="dxa"/>
            <w:vAlign w:val="bottom"/>
            <w:tcBorders>
              <w:top w:val="single" w:sz="8" w:color="282828"/>
            </w:tcBorders>
          </w:tcPr>
          <w:p>
            <w:pPr>
              <w:spacing w:after="0"/>
              <w:rPr>
                <w:sz w:val="19"/>
                <w:szCs w:val="19"/>
                <w:color w:val="auto"/>
              </w:rPr>
            </w:pPr>
          </w:p>
        </w:tc>
        <w:tc>
          <w:tcPr>
            <w:tcW w:w="80" w:type="dxa"/>
            <w:vAlign w:val="bottom"/>
            <w:tcBorders>
              <w:top w:val="single" w:sz="8" w:color="282828"/>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5"/>
        </w:trPr>
        <w:tc>
          <w:tcPr>
            <w:tcW w:w="960" w:type="dxa"/>
            <w:vAlign w:val="bottom"/>
          </w:tcPr>
          <w:p>
            <w:pPr>
              <w:spacing w:after="0"/>
              <w:rPr>
                <w:sz w:val="24"/>
                <w:szCs w:val="24"/>
                <w:color w:val="auto"/>
              </w:rPr>
            </w:pPr>
          </w:p>
        </w:tc>
        <w:tc>
          <w:tcPr>
            <w:tcW w:w="3840" w:type="dxa"/>
            <w:vAlign w:val="bottom"/>
            <w:gridSpan w:val="17"/>
          </w:tcPr>
          <w:p>
            <w:pPr>
              <w:spacing w:after="0"/>
              <w:rPr>
                <w:sz w:val="20"/>
                <w:szCs w:val="20"/>
                <w:color w:val="auto"/>
              </w:rPr>
            </w:pPr>
            <w:r>
              <w:rPr>
                <w:rFonts w:ascii="Times New Roman" w:cs="Times New Roman" w:eastAsia="Times New Roman" w:hAnsi="Times New Roman"/>
                <w:sz w:val="20"/>
                <w:szCs w:val="20"/>
                <w:color w:val="282828"/>
              </w:rPr>
              <w:t>Certification of Principal Executive Officer</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40" w:type="dxa"/>
            <w:vAlign w:val="bottom"/>
            <w:gridSpan w:val="4"/>
            <w:shd w:val="clear" w:color="auto" w:fill="282828"/>
          </w:tcPr>
          <w:p>
            <w:pPr>
              <w:spacing w:after="0" w:line="20" w:lineRule="exact"/>
              <w:rPr>
                <w:sz w:val="1"/>
                <w:szCs w:val="1"/>
                <w:color w:val="auto"/>
              </w:rPr>
            </w:pPr>
          </w:p>
        </w:tc>
        <w:tc>
          <w:tcPr>
            <w:tcW w:w="2480" w:type="dxa"/>
            <w:vAlign w:val="bottom"/>
            <w:gridSpan w:val="5"/>
            <w:shd w:val="clear" w:color="auto" w:fill="282828"/>
          </w:tcPr>
          <w:p>
            <w:pPr>
              <w:spacing w:after="0" w:line="20" w:lineRule="exact"/>
              <w:rPr>
                <w:sz w:val="1"/>
                <w:szCs w:val="1"/>
                <w:color w:val="auto"/>
              </w:rPr>
            </w:pPr>
          </w:p>
        </w:tc>
        <w:tc>
          <w:tcPr>
            <w:tcW w:w="40" w:type="dxa"/>
            <w:vAlign w:val="bottom"/>
            <w:gridSpan w:val="2"/>
            <w:shd w:val="clear" w:color="auto" w:fill="28282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96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32.1#</w:t>
            </w:r>
          </w:p>
        </w:tc>
        <w:tc>
          <w:tcPr>
            <w:tcW w:w="3840" w:type="dxa"/>
            <w:vAlign w:val="bottom"/>
            <w:tcBorders>
              <w:bottom w:val="single" w:sz="8" w:color="282828"/>
            </w:tcBorders>
            <w:gridSpan w:val="17"/>
          </w:tcPr>
          <w:p>
            <w:pPr>
              <w:spacing w:after="0" w:line="220" w:lineRule="exact"/>
              <w:rPr>
                <w:sz w:val="20"/>
                <w:szCs w:val="20"/>
                <w:color w:val="auto"/>
              </w:rPr>
            </w:pPr>
            <w:r>
              <w:rPr>
                <w:rFonts w:ascii="Times New Roman" w:cs="Times New Roman" w:eastAsia="Times New Roman" w:hAnsi="Times New Roman"/>
                <w:sz w:val="20"/>
                <w:szCs w:val="20"/>
                <w:color w:val="282828"/>
                <w:w w:val="99"/>
              </w:rPr>
              <w:t>Pursuant to 18 U.S.C. Section 1350, as Adopted</w:t>
            </w:r>
          </w:p>
        </w:tc>
        <w:tc>
          <w:tcPr>
            <w:tcW w:w="0" w:type="dxa"/>
            <w:vAlign w:val="bottom"/>
          </w:tcPr>
          <w:p>
            <w:pPr>
              <w:spacing w:after="0"/>
              <w:rPr>
                <w:sz w:val="1"/>
                <w:szCs w:val="1"/>
                <w:color w:val="auto"/>
              </w:rPr>
            </w:pPr>
          </w:p>
        </w:tc>
      </w:tr>
      <w:tr>
        <w:trPr>
          <w:trHeight w:val="116"/>
        </w:trPr>
        <w:tc>
          <w:tcPr>
            <w:tcW w:w="960" w:type="dxa"/>
            <w:vAlign w:val="bottom"/>
            <w:vMerge w:val="continue"/>
          </w:tcPr>
          <w:p>
            <w:pPr>
              <w:spacing w:after="0"/>
              <w:rPr>
                <w:sz w:val="10"/>
                <w:szCs w:val="10"/>
                <w:color w:val="auto"/>
              </w:rPr>
            </w:pPr>
          </w:p>
        </w:tc>
        <w:tc>
          <w:tcPr>
            <w:tcW w:w="3740" w:type="dxa"/>
            <w:vAlign w:val="bottom"/>
            <w:gridSpan w:val="16"/>
            <w:vMerge w:val="restart"/>
          </w:tcPr>
          <w:p>
            <w:pPr>
              <w:spacing w:after="0" w:line="220" w:lineRule="exact"/>
              <w:rPr>
                <w:sz w:val="20"/>
                <w:szCs w:val="20"/>
                <w:color w:val="auto"/>
              </w:rPr>
            </w:pPr>
            <w:r>
              <w:rPr>
                <w:rFonts w:ascii="Times New Roman" w:cs="Times New Roman" w:eastAsia="Times New Roman" w:hAnsi="Times New Roman"/>
                <w:sz w:val="20"/>
                <w:szCs w:val="20"/>
                <w:color w:val="282828"/>
                <w:w w:val="99"/>
              </w:rPr>
              <w:t>Pursuant to Section 906 of the Sarbanes-Oxley</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960" w:type="dxa"/>
            <w:vAlign w:val="bottom"/>
          </w:tcPr>
          <w:p>
            <w:pPr>
              <w:spacing w:after="0"/>
              <w:rPr>
                <w:sz w:val="9"/>
                <w:szCs w:val="9"/>
                <w:color w:val="auto"/>
              </w:rPr>
            </w:pPr>
          </w:p>
        </w:tc>
        <w:tc>
          <w:tcPr>
            <w:tcW w:w="3740" w:type="dxa"/>
            <w:vAlign w:val="bottom"/>
            <w:tcBorders>
              <w:bottom w:val="single" w:sz="8" w:color="282828"/>
            </w:tcBorders>
            <w:gridSpan w:val="16"/>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960" w:type="dxa"/>
            <w:vAlign w:val="bottom"/>
          </w:tcPr>
          <w:p>
            <w:pPr>
              <w:spacing w:after="0"/>
              <w:rPr>
                <w:sz w:val="19"/>
                <w:szCs w:val="19"/>
                <w:color w:val="auto"/>
              </w:rPr>
            </w:pPr>
          </w:p>
        </w:tc>
        <w:tc>
          <w:tcPr>
            <w:tcW w:w="3840" w:type="dxa"/>
            <w:vAlign w:val="bottom"/>
            <w:gridSpan w:val="17"/>
          </w:tcPr>
          <w:p>
            <w:pPr>
              <w:spacing w:after="0" w:line="220" w:lineRule="exact"/>
              <w:rPr>
                <w:sz w:val="20"/>
                <w:szCs w:val="20"/>
                <w:color w:val="auto"/>
              </w:rPr>
            </w:pPr>
            <w:r>
              <w:rPr>
                <w:rFonts w:ascii="Times New Roman" w:cs="Times New Roman" w:eastAsia="Times New Roman" w:hAnsi="Times New Roman"/>
                <w:sz w:val="20"/>
                <w:szCs w:val="20"/>
                <w:color w:val="282828"/>
              </w:rPr>
              <w:t>Act of 2002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40" w:type="dxa"/>
            <w:vAlign w:val="bottom"/>
            <w:gridSpan w:val="4"/>
            <w:shd w:val="clear" w:color="auto" w:fill="282828"/>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960" w:type="dxa"/>
            <w:vAlign w:val="bottom"/>
          </w:tcPr>
          <w:p>
            <w:pPr>
              <w:spacing w:after="0"/>
              <w:rPr>
                <w:sz w:val="24"/>
                <w:szCs w:val="24"/>
                <w:color w:val="auto"/>
              </w:rPr>
            </w:pPr>
          </w:p>
        </w:tc>
        <w:tc>
          <w:tcPr>
            <w:tcW w:w="3420" w:type="dxa"/>
            <w:vAlign w:val="bottom"/>
            <w:tcBorders>
              <w:bottom w:val="single" w:sz="8" w:color="282828"/>
            </w:tcBorders>
            <w:gridSpan w:val="9"/>
          </w:tcPr>
          <w:p>
            <w:pPr>
              <w:spacing w:after="0"/>
              <w:rPr>
                <w:sz w:val="20"/>
                <w:szCs w:val="20"/>
                <w:color w:val="auto"/>
              </w:rPr>
            </w:pPr>
            <w:r>
              <w:rPr>
                <w:rFonts w:ascii="Times New Roman" w:cs="Times New Roman" w:eastAsia="Times New Roman" w:hAnsi="Times New Roman"/>
                <w:sz w:val="20"/>
                <w:szCs w:val="20"/>
                <w:color w:val="282828"/>
                <w:w w:val="99"/>
              </w:rPr>
              <w:t>Certification of Principal Financial Officer</w:t>
            </w:r>
          </w:p>
        </w:tc>
        <w:tc>
          <w:tcPr>
            <w:tcW w:w="4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960" w:type="dxa"/>
            <w:vAlign w:val="bottom"/>
            <w:vMerge w:val="restart"/>
          </w:tcPr>
          <w:p>
            <w:pPr>
              <w:jc w:val="center"/>
              <w:ind w:right="120"/>
              <w:spacing w:after="0"/>
              <w:rPr>
                <w:sz w:val="20"/>
                <w:szCs w:val="20"/>
                <w:color w:val="auto"/>
              </w:rPr>
            </w:pPr>
            <w:r>
              <w:rPr>
                <w:rFonts w:ascii="Times New Roman" w:cs="Times New Roman" w:eastAsia="Times New Roman" w:hAnsi="Times New Roman"/>
                <w:sz w:val="20"/>
                <w:szCs w:val="20"/>
                <w:color w:val="auto"/>
              </w:rPr>
              <w:t>32.2#</w:t>
            </w:r>
          </w:p>
        </w:tc>
        <w:tc>
          <w:tcPr>
            <w:tcW w:w="3840" w:type="dxa"/>
            <w:vAlign w:val="bottom"/>
            <w:tcBorders>
              <w:bottom w:val="single" w:sz="8" w:color="282828"/>
            </w:tcBorders>
            <w:gridSpan w:val="17"/>
          </w:tcPr>
          <w:p>
            <w:pPr>
              <w:spacing w:after="0" w:line="221" w:lineRule="exact"/>
              <w:rPr>
                <w:sz w:val="20"/>
                <w:szCs w:val="20"/>
                <w:color w:val="auto"/>
              </w:rPr>
            </w:pPr>
            <w:r>
              <w:rPr>
                <w:rFonts w:ascii="Times New Roman" w:cs="Times New Roman" w:eastAsia="Times New Roman" w:hAnsi="Times New Roman"/>
                <w:sz w:val="20"/>
                <w:szCs w:val="20"/>
                <w:color w:val="282828"/>
                <w:w w:val="99"/>
              </w:rPr>
              <w:t>Pursuant to 18 U.S.C. Section 1350, as Adopted</w:t>
            </w:r>
          </w:p>
        </w:tc>
        <w:tc>
          <w:tcPr>
            <w:tcW w:w="0" w:type="dxa"/>
            <w:vAlign w:val="bottom"/>
          </w:tcPr>
          <w:p>
            <w:pPr>
              <w:spacing w:after="0"/>
              <w:rPr>
                <w:sz w:val="1"/>
                <w:szCs w:val="1"/>
                <w:color w:val="auto"/>
              </w:rPr>
            </w:pPr>
          </w:p>
        </w:tc>
      </w:tr>
      <w:tr>
        <w:trPr>
          <w:trHeight w:val="116"/>
        </w:trPr>
        <w:tc>
          <w:tcPr>
            <w:tcW w:w="960" w:type="dxa"/>
            <w:vAlign w:val="bottom"/>
            <w:vMerge w:val="continue"/>
          </w:tcPr>
          <w:p>
            <w:pPr>
              <w:spacing w:after="0"/>
              <w:rPr>
                <w:sz w:val="10"/>
                <w:szCs w:val="10"/>
                <w:color w:val="auto"/>
              </w:rPr>
            </w:pPr>
          </w:p>
        </w:tc>
        <w:tc>
          <w:tcPr>
            <w:tcW w:w="3740" w:type="dxa"/>
            <w:vAlign w:val="bottom"/>
            <w:gridSpan w:val="16"/>
            <w:vMerge w:val="restart"/>
          </w:tcPr>
          <w:p>
            <w:pPr>
              <w:spacing w:after="0" w:line="220" w:lineRule="exact"/>
              <w:rPr>
                <w:sz w:val="20"/>
                <w:szCs w:val="20"/>
                <w:color w:val="auto"/>
              </w:rPr>
            </w:pPr>
            <w:r>
              <w:rPr>
                <w:rFonts w:ascii="Times New Roman" w:cs="Times New Roman" w:eastAsia="Times New Roman" w:hAnsi="Times New Roman"/>
                <w:sz w:val="20"/>
                <w:szCs w:val="20"/>
                <w:color w:val="282828"/>
                <w:w w:val="99"/>
              </w:rPr>
              <w:t>Pursuant to Section 906 of the Sarbanes-Oxley</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960" w:type="dxa"/>
            <w:vAlign w:val="bottom"/>
          </w:tcPr>
          <w:p>
            <w:pPr>
              <w:spacing w:after="0"/>
              <w:rPr>
                <w:sz w:val="9"/>
                <w:szCs w:val="9"/>
                <w:color w:val="auto"/>
              </w:rPr>
            </w:pPr>
          </w:p>
        </w:tc>
        <w:tc>
          <w:tcPr>
            <w:tcW w:w="3740" w:type="dxa"/>
            <w:vAlign w:val="bottom"/>
            <w:tcBorders>
              <w:bottom w:val="single" w:sz="8" w:color="282828"/>
            </w:tcBorders>
            <w:gridSpan w:val="16"/>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960" w:type="dxa"/>
            <w:vAlign w:val="bottom"/>
          </w:tcPr>
          <w:p>
            <w:pPr>
              <w:spacing w:after="0"/>
              <w:rPr>
                <w:sz w:val="19"/>
                <w:szCs w:val="19"/>
                <w:color w:val="auto"/>
              </w:rPr>
            </w:pPr>
          </w:p>
        </w:tc>
        <w:tc>
          <w:tcPr>
            <w:tcW w:w="3840" w:type="dxa"/>
            <w:vAlign w:val="bottom"/>
            <w:gridSpan w:val="17"/>
          </w:tcPr>
          <w:p>
            <w:pPr>
              <w:spacing w:after="0" w:line="220" w:lineRule="exact"/>
              <w:rPr>
                <w:sz w:val="20"/>
                <w:szCs w:val="20"/>
                <w:color w:val="auto"/>
              </w:rPr>
            </w:pPr>
            <w:r>
              <w:rPr>
                <w:rFonts w:ascii="Times New Roman" w:cs="Times New Roman" w:eastAsia="Times New Roman" w:hAnsi="Times New Roman"/>
                <w:sz w:val="20"/>
                <w:szCs w:val="20"/>
                <w:color w:val="282828"/>
              </w:rPr>
              <w:t>Act of 2002</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940" w:type="dxa"/>
            <w:vAlign w:val="bottom"/>
            <w:gridSpan w:val="4"/>
            <w:shd w:val="clear" w:color="auto" w:fill="282828"/>
          </w:tcPr>
          <w:p>
            <w:pPr>
              <w:spacing w:after="0" w:line="20" w:lineRule="exact"/>
              <w:rPr>
                <w:sz w:val="1"/>
                <w:szCs w:val="1"/>
                <w:color w:val="auto"/>
              </w:rPr>
            </w:pPr>
          </w:p>
        </w:tc>
        <w:tc>
          <w:tcPr>
            <w:tcW w:w="2620" w:type="dxa"/>
            <w:vAlign w:val="bottom"/>
            <w:gridSpan w:val="9"/>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96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auto"/>
                <w:w w:val="97"/>
              </w:rPr>
              <w:t>97.1</w:t>
            </w:r>
          </w:p>
        </w:tc>
        <w:tc>
          <w:tcPr>
            <w:tcW w:w="3840" w:type="dxa"/>
            <w:vAlign w:val="bottom"/>
            <w:gridSpan w:val="17"/>
          </w:tcPr>
          <w:p>
            <w:pPr>
              <w:spacing w:after="0"/>
              <w:rPr>
                <w:sz w:val="20"/>
                <w:szCs w:val="20"/>
                <w:color w:val="auto"/>
              </w:rPr>
            </w:pPr>
            <w:r>
              <w:rPr>
                <w:rFonts w:ascii="Times New Roman" w:cs="Times New Roman" w:eastAsia="Times New Roman" w:hAnsi="Times New Roman"/>
                <w:sz w:val="20"/>
                <w:szCs w:val="20"/>
                <w:color w:val="282828"/>
              </w:rPr>
              <w:t>Incentive Compensation Recoupment Policy</w:t>
            </w:r>
          </w:p>
        </w:tc>
        <w:tc>
          <w:tcPr>
            <w:tcW w:w="0" w:type="dxa"/>
            <w:vAlign w:val="bottom"/>
          </w:tcPr>
          <w:p>
            <w:pPr>
              <w:spacing w:after="0"/>
              <w:rPr>
                <w:sz w:val="1"/>
                <w:szCs w:val="1"/>
                <w:color w:val="auto"/>
              </w:rPr>
            </w:pPr>
          </w:p>
        </w:tc>
      </w:tr>
      <w:tr>
        <w:trPr>
          <w:trHeight w:val="632"/>
        </w:trPr>
        <w:tc>
          <w:tcPr>
            <w:tcW w:w="96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rPr>
              <w:t>101.INS</w:t>
            </w:r>
          </w:p>
        </w:tc>
        <w:tc>
          <w:tcPr>
            <w:tcW w:w="3560" w:type="dxa"/>
            <w:vAlign w:val="bottom"/>
            <w:tcBorders>
              <w:top w:val="single" w:sz="8" w:color="282828"/>
            </w:tcBorders>
            <w:gridSpan w:val="13"/>
          </w:tcPr>
          <w:p>
            <w:pPr>
              <w:spacing w:after="0"/>
              <w:rPr>
                <w:sz w:val="20"/>
                <w:szCs w:val="20"/>
                <w:color w:val="auto"/>
              </w:rPr>
            </w:pPr>
            <w:r>
              <w:rPr>
                <w:rFonts w:ascii="Times New Roman" w:cs="Times New Roman" w:eastAsia="Times New Roman" w:hAnsi="Times New Roman"/>
                <w:sz w:val="20"/>
                <w:szCs w:val="20"/>
                <w:color w:val="auto"/>
              </w:rPr>
              <w:t>XBRL Instance Document</w:t>
            </w:r>
          </w:p>
        </w:tc>
        <w:tc>
          <w:tcPr>
            <w:tcW w:w="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960" w:type="dxa"/>
            <w:vAlign w:val="bottom"/>
          </w:tcPr>
          <w:p>
            <w:pPr>
              <w:jc w:val="center"/>
              <w:ind w:right="120"/>
              <w:spacing w:after="0"/>
              <w:rPr>
                <w:sz w:val="20"/>
                <w:szCs w:val="20"/>
                <w:color w:val="auto"/>
              </w:rPr>
            </w:pPr>
            <w:r>
              <w:rPr>
                <w:rFonts w:ascii="Times New Roman" w:cs="Times New Roman" w:eastAsia="Times New Roman" w:hAnsi="Times New Roman"/>
                <w:sz w:val="20"/>
                <w:szCs w:val="20"/>
                <w:color w:val="auto"/>
              </w:rPr>
              <w:t>101.SCH</w:t>
            </w:r>
          </w:p>
        </w:tc>
        <w:tc>
          <w:tcPr>
            <w:tcW w:w="3840" w:type="dxa"/>
            <w:vAlign w:val="bottom"/>
            <w:gridSpan w:val="17"/>
          </w:tcPr>
          <w:p>
            <w:pPr>
              <w:spacing w:after="0"/>
              <w:rPr>
                <w:sz w:val="20"/>
                <w:szCs w:val="20"/>
                <w:color w:val="auto"/>
              </w:rPr>
            </w:pPr>
            <w:r>
              <w:rPr>
                <w:rFonts w:ascii="Times New Roman" w:cs="Times New Roman" w:eastAsia="Times New Roman" w:hAnsi="Times New Roman"/>
                <w:sz w:val="20"/>
                <w:szCs w:val="20"/>
                <w:color w:val="auto"/>
                <w:w w:val="98"/>
              </w:rPr>
              <w:t>XBRL Taxonomy Extension Schema Document</w:t>
            </w:r>
          </w:p>
        </w:tc>
        <w:tc>
          <w:tcPr>
            <w:tcW w:w="0" w:type="dxa"/>
            <w:vAlign w:val="bottom"/>
          </w:tcPr>
          <w:p>
            <w:pPr>
              <w:spacing w:after="0"/>
              <w:rPr>
                <w:sz w:val="1"/>
                <w:szCs w:val="1"/>
                <w:color w:val="auto"/>
              </w:rPr>
            </w:pPr>
          </w:p>
        </w:tc>
      </w:tr>
      <w:tr>
        <w:trPr>
          <w:trHeight w:val="327"/>
        </w:trPr>
        <w:tc>
          <w:tcPr>
            <w:tcW w:w="96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rPr>
              <w:t>101.CAL</w:t>
            </w:r>
          </w:p>
        </w:tc>
        <w:tc>
          <w:tcPr>
            <w:tcW w:w="3840" w:type="dxa"/>
            <w:vAlign w:val="bottom"/>
            <w:gridSpan w:val="17"/>
          </w:tcPr>
          <w:p>
            <w:pPr>
              <w:spacing w:after="0"/>
              <w:rPr>
                <w:sz w:val="20"/>
                <w:szCs w:val="20"/>
                <w:color w:val="auto"/>
              </w:rPr>
            </w:pPr>
            <w:r>
              <w:rPr>
                <w:rFonts w:ascii="Times New Roman" w:cs="Times New Roman" w:eastAsia="Times New Roman" w:hAnsi="Times New Roman"/>
                <w:sz w:val="20"/>
                <w:szCs w:val="20"/>
                <w:color w:val="auto"/>
              </w:rPr>
              <w:t>XBRL Taxonomy Extension Calculation</w:t>
            </w:r>
          </w:p>
        </w:tc>
        <w:tc>
          <w:tcPr>
            <w:tcW w:w="0" w:type="dxa"/>
            <w:vAlign w:val="bottom"/>
          </w:tcPr>
          <w:p>
            <w:pPr>
              <w:spacing w:after="0"/>
              <w:rPr>
                <w:sz w:val="1"/>
                <w:szCs w:val="1"/>
                <w:color w:val="auto"/>
              </w:rPr>
            </w:pPr>
          </w:p>
        </w:tc>
      </w:tr>
      <w:tr>
        <w:trPr>
          <w:trHeight w:val="261"/>
        </w:trPr>
        <w:tc>
          <w:tcPr>
            <w:tcW w:w="960" w:type="dxa"/>
            <w:vAlign w:val="bottom"/>
          </w:tcPr>
          <w:p>
            <w:pPr>
              <w:spacing w:after="0"/>
              <w:rPr>
                <w:sz w:val="22"/>
                <w:szCs w:val="22"/>
                <w:color w:val="auto"/>
              </w:rPr>
            </w:pPr>
          </w:p>
        </w:tc>
        <w:tc>
          <w:tcPr>
            <w:tcW w:w="3840" w:type="dxa"/>
            <w:vAlign w:val="bottom"/>
            <w:gridSpan w:val="17"/>
          </w:tcPr>
          <w:p>
            <w:pPr>
              <w:spacing w:after="0"/>
              <w:rPr>
                <w:sz w:val="20"/>
                <w:szCs w:val="20"/>
                <w:color w:val="auto"/>
              </w:rPr>
            </w:pPr>
            <w:r>
              <w:rPr>
                <w:rFonts w:ascii="Times New Roman" w:cs="Times New Roman" w:eastAsia="Times New Roman" w:hAnsi="Times New Roman"/>
                <w:sz w:val="20"/>
                <w:szCs w:val="20"/>
                <w:color w:val="auto"/>
              </w:rPr>
              <w:t>Linkbase Document</w:t>
            </w:r>
          </w:p>
        </w:tc>
        <w:tc>
          <w:tcPr>
            <w:tcW w:w="0" w:type="dxa"/>
            <w:vAlign w:val="bottom"/>
          </w:tcPr>
          <w:p>
            <w:pPr>
              <w:spacing w:after="0"/>
              <w:rPr>
                <w:sz w:val="1"/>
                <w:szCs w:val="1"/>
                <w:color w:val="auto"/>
              </w:rPr>
            </w:pPr>
          </w:p>
        </w:tc>
      </w:tr>
      <w:tr>
        <w:trPr>
          <w:trHeight w:val="283"/>
        </w:trPr>
        <w:tc>
          <w:tcPr>
            <w:tcW w:w="960" w:type="dxa"/>
            <w:vAlign w:val="bottom"/>
            <w:vMerge w:val="restart"/>
          </w:tcPr>
          <w:p>
            <w:pPr>
              <w:jc w:val="center"/>
              <w:ind w:right="100"/>
              <w:spacing w:after="0"/>
              <w:rPr>
                <w:sz w:val="20"/>
                <w:szCs w:val="20"/>
                <w:color w:val="auto"/>
              </w:rPr>
            </w:pPr>
            <w:r>
              <w:rPr>
                <w:rFonts w:ascii="Times New Roman" w:cs="Times New Roman" w:eastAsia="Times New Roman" w:hAnsi="Times New Roman"/>
                <w:sz w:val="20"/>
                <w:szCs w:val="20"/>
                <w:color w:val="auto"/>
                <w:w w:val="98"/>
              </w:rPr>
              <w:t>101.DEF</w:t>
            </w:r>
          </w:p>
        </w:tc>
        <w:tc>
          <w:tcPr>
            <w:tcW w:w="3840" w:type="dxa"/>
            <w:vAlign w:val="bottom"/>
            <w:gridSpan w:val="17"/>
          </w:tcPr>
          <w:p>
            <w:pPr>
              <w:spacing w:after="0"/>
              <w:rPr>
                <w:sz w:val="20"/>
                <w:szCs w:val="20"/>
                <w:color w:val="auto"/>
              </w:rPr>
            </w:pPr>
            <w:r>
              <w:rPr>
                <w:rFonts w:ascii="Times New Roman" w:cs="Times New Roman" w:eastAsia="Times New Roman" w:hAnsi="Times New Roman"/>
                <w:sz w:val="20"/>
                <w:szCs w:val="20"/>
                <w:color w:val="auto"/>
              </w:rPr>
              <w:t>XBRL Taxonomy Extension Definition</w:t>
            </w:r>
          </w:p>
        </w:tc>
        <w:tc>
          <w:tcPr>
            <w:tcW w:w="0" w:type="dxa"/>
            <w:vAlign w:val="bottom"/>
          </w:tcPr>
          <w:p>
            <w:pPr>
              <w:spacing w:after="0"/>
              <w:rPr>
                <w:sz w:val="1"/>
                <w:szCs w:val="1"/>
                <w:color w:val="auto"/>
              </w:rPr>
            </w:pPr>
          </w:p>
        </w:tc>
      </w:tr>
      <w:tr>
        <w:trPr>
          <w:trHeight w:val="118"/>
        </w:trPr>
        <w:tc>
          <w:tcPr>
            <w:tcW w:w="960" w:type="dxa"/>
            <w:vAlign w:val="bottom"/>
            <w:vMerge w:val="continue"/>
          </w:tcPr>
          <w:p>
            <w:pPr>
              <w:spacing w:after="0"/>
              <w:rPr>
                <w:sz w:val="10"/>
                <w:szCs w:val="10"/>
                <w:color w:val="auto"/>
              </w:rPr>
            </w:pPr>
          </w:p>
        </w:tc>
        <w:tc>
          <w:tcPr>
            <w:tcW w:w="3840" w:type="dxa"/>
            <w:vAlign w:val="bottom"/>
            <w:gridSpan w:val="17"/>
            <w:vMerge w:val="restart"/>
          </w:tcPr>
          <w:p>
            <w:pPr>
              <w:spacing w:after="0"/>
              <w:rPr>
                <w:sz w:val="20"/>
                <w:szCs w:val="20"/>
                <w:color w:val="auto"/>
              </w:rPr>
            </w:pPr>
            <w:r>
              <w:rPr>
                <w:rFonts w:ascii="Times New Roman" w:cs="Times New Roman" w:eastAsia="Times New Roman" w:hAnsi="Times New Roman"/>
                <w:sz w:val="20"/>
                <w:szCs w:val="20"/>
                <w:color w:val="auto"/>
              </w:rPr>
              <w:t>Linkbase Document</w:t>
            </w:r>
          </w:p>
        </w:tc>
        <w:tc>
          <w:tcPr>
            <w:tcW w:w="0" w:type="dxa"/>
            <w:vAlign w:val="bottom"/>
          </w:tcPr>
          <w:p>
            <w:pPr>
              <w:spacing w:after="0"/>
              <w:rPr>
                <w:sz w:val="1"/>
                <w:szCs w:val="1"/>
                <w:color w:val="auto"/>
              </w:rPr>
            </w:pPr>
          </w:p>
        </w:tc>
      </w:tr>
      <w:tr>
        <w:trPr>
          <w:trHeight w:val="143"/>
        </w:trPr>
        <w:tc>
          <w:tcPr>
            <w:tcW w:w="960" w:type="dxa"/>
            <w:vAlign w:val="bottom"/>
          </w:tcPr>
          <w:p>
            <w:pPr>
              <w:spacing w:after="0"/>
              <w:rPr>
                <w:sz w:val="12"/>
                <w:szCs w:val="12"/>
                <w:color w:val="auto"/>
              </w:rPr>
            </w:pPr>
          </w:p>
        </w:tc>
        <w:tc>
          <w:tcPr>
            <w:tcW w:w="3840" w:type="dxa"/>
            <w:vAlign w:val="bottom"/>
            <w:gridSpan w:val="1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7"/>
        </w:trPr>
        <w:tc>
          <w:tcPr>
            <w:tcW w:w="96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rPr>
              <w:t>101.LAB</w:t>
            </w:r>
          </w:p>
        </w:tc>
        <w:tc>
          <w:tcPr>
            <w:tcW w:w="3840" w:type="dxa"/>
            <w:vAlign w:val="bottom"/>
            <w:gridSpan w:val="17"/>
          </w:tcPr>
          <w:p>
            <w:pPr>
              <w:spacing w:after="0"/>
              <w:rPr>
                <w:sz w:val="20"/>
                <w:szCs w:val="20"/>
                <w:color w:val="auto"/>
              </w:rPr>
            </w:pPr>
            <w:r>
              <w:rPr>
                <w:rFonts w:ascii="Times New Roman" w:cs="Times New Roman" w:eastAsia="Times New Roman" w:hAnsi="Times New Roman"/>
                <w:sz w:val="20"/>
                <w:szCs w:val="20"/>
                <w:color w:val="auto"/>
              </w:rPr>
              <w:t>XBRL Taxonomy Extension Label Linkbase</w:t>
            </w:r>
          </w:p>
        </w:tc>
        <w:tc>
          <w:tcPr>
            <w:tcW w:w="0" w:type="dxa"/>
            <w:vAlign w:val="bottom"/>
          </w:tcPr>
          <w:p>
            <w:pPr>
              <w:spacing w:after="0"/>
              <w:rPr>
                <w:sz w:val="1"/>
                <w:szCs w:val="1"/>
                <w:color w:val="auto"/>
              </w:rPr>
            </w:pPr>
          </w:p>
        </w:tc>
      </w:tr>
      <w:tr>
        <w:trPr>
          <w:trHeight w:val="261"/>
        </w:trPr>
        <w:tc>
          <w:tcPr>
            <w:tcW w:w="960" w:type="dxa"/>
            <w:vAlign w:val="bottom"/>
          </w:tcPr>
          <w:p>
            <w:pPr>
              <w:spacing w:after="0"/>
              <w:rPr>
                <w:sz w:val="22"/>
                <w:szCs w:val="22"/>
                <w:color w:val="auto"/>
              </w:rPr>
            </w:pPr>
          </w:p>
        </w:tc>
        <w:tc>
          <w:tcPr>
            <w:tcW w:w="3840" w:type="dxa"/>
            <w:vAlign w:val="bottom"/>
            <w:gridSpan w:val="17"/>
          </w:tcPr>
          <w:p>
            <w:pPr>
              <w:spacing w:after="0"/>
              <w:rPr>
                <w:sz w:val="20"/>
                <w:szCs w:val="20"/>
                <w:color w:val="auto"/>
              </w:rPr>
            </w:pPr>
            <w:r>
              <w:rPr>
                <w:rFonts w:ascii="Times New Roman" w:cs="Times New Roman" w:eastAsia="Times New Roman" w:hAnsi="Times New Roman"/>
                <w:sz w:val="20"/>
                <w:szCs w:val="20"/>
                <w:color w:val="auto"/>
              </w:rPr>
              <w:t>Document</w:t>
            </w:r>
          </w:p>
        </w:tc>
        <w:tc>
          <w:tcPr>
            <w:tcW w:w="0" w:type="dxa"/>
            <w:vAlign w:val="bottom"/>
          </w:tcPr>
          <w:p>
            <w:pPr>
              <w:spacing w:after="0"/>
              <w:rPr>
                <w:sz w:val="1"/>
                <w:szCs w:val="1"/>
                <w:color w:val="auto"/>
              </w:rPr>
            </w:pPr>
          </w:p>
        </w:tc>
      </w:tr>
    </w:tbl>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101.PRE</w:t>
            </w:r>
          </w:p>
        </w:tc>
        <w:tc>
          <w:tcPr>
            <w:tcW w:w="342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XBRL Taxonomy Extension Presentation</w:t>
            </w:r>
          </w:p>
        </w:tc>
        <w:tc>
          <w:tcPr>
            <w:tcW w:w="0" w:type="dxa"/>
            <w:vAlign w:val="bottom"/>
          </w:tcPr>
          <w:p>
            <w:pPr>
              <w:spacing w:after="0"/>
              <w:rPr>
                <w:sz w:val="1"/>
                <w:szCs w:val="1"/>
                <w:color w:val="auto"/>
              </w:rPr>
            </w:pPr>
          </w:p>
        </w:tc>
      </w:tr>
      <w:tr>
        <w:trPr>
          <w:trHeight w:val="119"/>
        </w:trPr>
        <w:tc>
          <w:tcPr>
            <w:tcW w:w="820" w:type="dxa"/>
            <w:vAlign w:val="bottom"/>
            <w:vMerge w:val="continue"/>
          </w:tcPr>
          <w:p>
            <w:pPr>
              <w:spacing w:after="0"/>
              <w:rPr>
                <w:sz w:val="10"/>
                <w:szCs w:val="10"/>
                <w:color w:val="auto"/>
              </w:rPr>
            </w:pPr>
          </w:p>
        </w:tc>
        <w:tc>
          <w:tcPr>
            <w:tcW w:w="34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Linkbase Document</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3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0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rPr>
              <w:t>8-K</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001-39135</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10.1</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1/21/2026</w:t>
            </w:r>
          </w:p>
        </w:tc>
      </w:tr>
      <w:tr>
        <w:trPr>
          <w:trHeight w:val="613"/>
        </w:trPr>
        <w:tc>
          <w:tcPr>
            <w:tcW w:w="600" w:type="dxa"/>
            <w:vAlign w:val="bottom"/>
          </w:tcPr>
          <w:p>
            <w:pPr>
              <w:jc w:val="center"/>
              <w:ind w:right="100"/>
              <w:spacing w:after="0"/>
              <w:rPr>
                <w:sz w:val="20"/>
                <w:szCs w:val="20"/>
                <w:color w:val="auto"/>
              </w:rPr>
            </w:pPr>
            <w:r>
              <w:rPr>
                <w:rFonts w:ascii="Times New Roman" w:cs="Times New Roman" w:eastAsia="Times New Roman" w:hAnsi="Times New Roman"/>
                <w:sz w:val="20"/>
                <w:szCs w:val="20"/>
                <w:color w:val="auto"/>
                <w:w w:val="97"/>
              </w:rPr>
              <w:t>10-Q</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001-39135</w:t>
            </w:r>
          </w:p>
        </w:tc>
        <w:tc>
          <w:tcPr>
            <w:tcW w:w="8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rPr>
              <w:t>19.1</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8/7/2025</w:t>
            </w:r>
          </w:p>
        </w:tc>
      </w:tr>
    </w:tbl>
    <w:p>
      <w:pPr>
        <w:spacing w:after="0" w:line="30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X</w:t>
      </w:r>
    </w:p>
    <w:p>
      <w:pPr>
        <w:spacing w:after="0" w:line="200" w:lineRule="exact"/>
        <w:rPr>
          <w:sz w:val="20"/>
          <w:szCs w:val="20"/>
          <w:color w:val="auto"/>
        </w:rPr>
      </w:pPr>
    </w:p>
    <w:p>
      <w:pPr>
        <w:spacing w:after="0" w:line="37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X</w:t>
      </w:r>
    </w:p>
    <w:p>
      <w:pPr>
        <w:spacing w:after="0" w:line="33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X</w:t>
      </w:r>
    </w:p>
    <w:p>
      <w:pPr>
        <w:spacing w:after="0" w:line="383" w:lineRule="exact"/>
        <w:rPr>
          <w:sz w:val="20"/>
          <w:szCs w:val="20"/>
          <w:color w:val="auto"/>
        </w:rPr>
      </w:pPr>
    </w:p>
    <w:p>
      <w:pPr>
        <w:spacing w:after="0"/>
        <w:tabs>
          <w:tab w:leader="none" w:pos="760" w:val="left"/>
          <w:tab w:leader="none" w:pos="2140" w:val="left"/>
          <w:tab w:leader="none" w:pos="2920" w:val="left"/>
        </w:tabs>
        <w:rPr>
          <w:sz w:val="20"/>
          <w:szCs w:val="20"/>
          <w:color w:val="auto"/>
        </w:rPr>
      </w:pPr>
      <w:r>
        <w:rPr>
          <w:rFonts w:ascii="Times New Roman" w:cs="Times New Roman" w:eastAsia="Times New Roman" w:hAnsi="Times New Roman"/>
          <w:sz w:val="20"/>
          <w:szCs w:val="20"/>
          <w:color w:val="auto"/>
        </w:rPr>
        <w:t>10-K</w:t>
      </w:r>
      <w:r>
        <w:rPr>
          <w:sz w:val="20"/>
          <w:szCs w:val="20"/>
          <w:color w:val="auto"/>
        </w:rPr>
        <w:tab/>
      </w:r>
      <w:r>
        <w:rPr>
          <w:rFonts w:ascii="Times New Roman" w:cs="Times New Roman" w:eastAsia="Times New Roman" w:hAnsi="Times New Roman"/>
          <w:sz w:val="20"/>
          <w:szCs w:val="20"/>
          <w:color w:val="auto"/>
        </w:rPr>
        <w:t>001-39135</w:t>
      </w:r>
      <w:r>
        <w:rPr>
          <w:sz w:val="20"/>
          <w:szCs w:val="20"/>
          <w:color w:val="auto"/>
        </w:rPr>
        <w:tab/>
      </w:r>
      <w:r>
        <w:rPr>
          <w:rFonts w:ascii="Times New Roman" w:cs="Times New Roman" w:eastAsia="Times New Roman" w:hAnsi="Times New Roman"/>
          <w:sz w:val="20"/>
          <w:szCs w:val="20"/>
          <w:color w:val="auto"/>
        </w:rPr>
        <w:t>97.1</w:t>
      </w:r>
      <w:r>
        <w:rPr>
          <w:sz w:val="20"/>
          <w:szCs w:val="20"/>
          <w:color w:val="auto"/>
        </w:rPr>
        <w:tab/>
      </w:r>
      <w:r>
        <w:rPr>
          <w:rFonts w:ascii="Times New Roman" w:cs="Times New Roman" w:eastAsia="Times New Roman" w:hAnsi="Times New Roman"/>
          <w:sz w:val="20"/>
          <w:szCs w:val="20"/>
          <w:color w:val="auto"/>
        </w:rPr>
        <w:t>2/26/2024</w:t>
      </w:r>
    </w:p>
    <w:p>
      <w:pPr>
        <w:spacing w:after="0" w:line="33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X</w:t>
      </w:r>
    </w:p>
    <w:p>
      <w:pPr>
        <w:spacing w:after="0" w:line="9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X</w:t>
      </w:r>
    </w:p>
    <w:p>
      <w:pPr>
        <w:spacing w:after="0" w:line="33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X</w:t>
      </w:r>
    </w:p>
    <w:p>
      <w:pPr>
        <w:spacing w:after="0" w:line="33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X</w:t>
      </w:r>
    </w:p>
    <w:p>
      <w:pPr>
        <w:spacing w:after="0" w:line="33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X</w:t>
      </w:r>
    </w:p>
    <w:p>
      <w:pPr>
        <w:spacing w:after="0" w:line="33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0"/>
          <w:szCs w:val="20"/>
          <w:color w:val="auto"/>
        </w:rPr>
        <w:t>X</w:t>
      </w:r>
    </w:p>
    <w:p>
      <w:pPr>
        <w:spacing w:after="0" w:line="230" w:lineRule="exact"/>
        <w:rPr>
          <w:sz w:val="20"/>
          <w:szCs w:val="20"/>
          <w:color w:val="auto"/>
        </w:rPr>
      </w:pPr>
    </w:p>
    <w:p>
      <w:pPr>
        <w:sectPr>
          <w:pgSz w:w="12240" w:h="15840" w:orient="portrait"/>
          <w:cols w:equalWidth="0" w:num="2">
            <w:col w:w="4800" w:space="280"/>
            <w:col w:w="4480"/>
          </w:cols>
          <w:pgMar w:left="1240" w:top="913" w:right="1440" w:bottom="0" w:gutter="0" w:footer="0" w:header="0"/>
        </w:sectPr>
      </w:pPr>
    </w:p>
    <w:p>
      <w:pPr>
        <w:spacing w:after="0" w:line="359" w:lineRule="exact"/>
        <w:rPr>
          <w:sz w:val="20"/>
          <w:szCs w:val="20"/>
          <w:color w:val="auto"/>
        </w:rPr>
      </w:pPr>
    </w:p>
    <w:p>
      <w:pPr>
        <w:jc w:val="center"/>
        <w:ind w:right="-19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560"/>
          </w:cols>
          <w:pgMar w:left="1240" w:top="913" w:right="1440" w:bottom="0" w:gutter="0" w:footer="0" w:header="0"/>
          <w:type w:val="continuous"/>
        </w:sectPr>
      </w:pPr>
    </w:p>
    <w:bookmarkStart w:id="100" w:name="page101"/>
    <w:bookmarkEnd w:id="100"/>
    <w:p>
      <w:pPr>
        <w:ind w:left="10" w:right="400"/>
        <w:spacing w:after="0" w:line="271" w:lineRule="auto"/>
        <w:rPr>
          <w:sz w:val="20"/>
          <w:szCs w:val="20"/>
          <w:color w:val="auto"/>
        </w:rPr>
      </w:pPr>
      <w:r>
        <w:rPr>
          <w:rFonts w:ascii="Times New Roman" w:cs="Times New Roman" w:eastAsia="Times New Roman" w:hAnsi="Times New Roman"/>
          <w:sz w:val="20"/>
          <w:szCs w:val="20"/>
          <w:color w:val="auto"/>
        </w:rPr>
        <w:t>All references in the table above to previously filed documents or descriptions are incorporating those documents and descriptions by reference thereto.</w:t>
      </w:r>
    </w:p>
    <w:p>
      <w:pPr>
        <w:ind w:left="10" w:right="220"/>
        <w:spacing w:after="0" w:line="282" w:lineRule="auto"/>
        <w:rPr>
          <w:sz w:val="20"/>
          <w:szCs w:val="20"/>
          <w:color w:val="auto"/>
        </w:rPr>
      </w:pPr>
      <w:r>
        <w:rPr>
          <w:rFonts w:ascii="Times New Roman" w:cs="Times New Roman" w:eastAsia="Times New Roman" w:hAnsi="Times New Roman"/>
          <w:sz w:val="20"/>
          <w:szCs w:val="20"/>
          <w:color w:val="auto"/>
        </w:rPr>
        <w:t>All references to documents filed as exhibits to periodic reports are to periodic reports of SiTime Corporation, SEC File No. 001-39135.</w:t>
      </w:r>
    </w:p>
    <w:p>
      <w:pPr>
        <w:spacing w:after="0" w:line="1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______________</w:t>
      </w:r>
    </w:p>
    <w:p>
      <w:pPr>
        <w:spacing w:after="0" w:line="3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 Indicates a management contract or compensatory plan.</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 Portions of this exhibit have been omitted in accordance with Item 601 of Regulation S-K.</w:t>
      </w:r>
    </w:p>
    <w:p>
      <w:pPr>
        <w:spacing w:after="0" w:line="10" w:lineRule="exact"/>
        <w:rPr>
          <w:sz w:val="20"/>
          <w:szCs w:val="20"/>
          <w:color w:val="auto"/>
        </w:rPr>
      </w:pPr>
    </w:p>
    <w:p>
      <w:pPr>
        <w:ind w:left="10" w:hanging="10"/>
        <w:spacing w:after="0" w:line="253" w:lineRule="auto"/>
        <w:tabs>
          <w:tab w:leader="none" w:pos="16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Item 601(b)(32)(ii) of Regulation S</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and SEC Release No. 34</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47986, the certifications furnished in Exhibits 32.1 and 32.2 hereto are deemed to accompany this Form 10</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K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1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35" w:lineRule="exact"/>
        <w:rPr>
          <w:sz w:val="20"/>
          <w:szCs w:val="20"/>
          <w:color w:val="auto"/>
        </w:rPr>
      </w:pPr>
    </w:p>
    <w:p>
      <w:pPr>
        <w:ind w:left="73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810"/>
          </w:cols>
          <w:pgMar w:left="1170" w:top="85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810"/>
          </w:cols>
          <w:pgMar w:left="1170" w:top="856" w:right="1260" w:bottom="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SCHEDULE II</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VALUATION AND QUALIFYING ACCOUNTS</w:t>
      </w:r>
    </w:p>
    <w:p>
      <w:pPr>
        <w:spacing w:after="0" w:line="200" w:lineRule="exact"/>
        <w:rPr>
          <w:sz w:val="20"/>
          <w:szCs w:val="20"/>
          <w:color w:val="auto"/>
        </w:rPr>
      </w:pPr>
    </w:p>
    <w:p>
      <w:pPr>
        <w:spacing w:after="0" w:line="261"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Valuation and Qualifying Accounts</w:t>
            </w:r>
          </w:p>
        </w:tc>
        <w:tc>
          <w:tcPr>
            <w:tcW w:w="1080" w:type="dxa"/>
            <w:vAlign w:val="bottom"/>
          </w:tcPr>
          <w:p>
            <w:pPr>
              <w:spacing w:after="0"/>
              <w:rPr>
                <w:sz w:val="18"/>
                <w:szCs w:val="18"/>
                <w:color w:val="auto"/>
              </w:rPr>
            </w:pPr>
          </w:p>
        </w:tc>
      </w:tr>
      <w:tr>
        <w:trPr>
          <w:trHeight w:val="38"/>
        </w:trPr>
        <w:tc>
          <w:tcPr>
            <w:tcW w:w="36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99"/>
        </w:trPr>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ind w:right="128"/>
              <w:spacing w:after="0"/>
              <w:rPr>
                <w:sz w:val="20"/>
                <w:szCs w:val="20"/>
                <w:color w:val="auto"/>
              </w:rPr>
            </w:pPr>
            <w:r>
              <w:rPr>
                <w:rFonts w:ascii="Times New Roman" w:cs="Times New Roman" w:eastAsia="Times New Roman" w:hAnsi="Times New Roman"/>
                <w:sz w:val="16"/>
                <w:szCs w:val="16"/>
                <w:b w:val="1"/>
                <w:bCs w:val="1"/>
                <w:color w:val="auto"/>
                <w:w w:val="98"/>
              </w:rPr>
              <w:t>Additions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Deductions</w:t>
            </w:r>
          </w:p>
        </w:tc>
        <w:tc>
          <w:tcPr>
            <w:tcW w:w="1080" w:type="dxa"/>
            <w:vAlign w:val="bottom"/>
          </w:tcPr>
          <w:p>
            <w:pPr>
              <w:spacing w:after="0"/>
              <w:rPr>
                <w:sz w:val="17"/>
                <w:szCs w:val="17"/>
                <w:color w:val="auto"/>
              </w:rPr>
            </w:pPr>
          </w:p>
        </w:tc>
      </w:tr>
      <w:tr>
        <w:trPr>
          <w:trHeight w:val="192"/>
        </w:trPr>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w w:val="97"/>
              </w:rPr>
              <w:t>Balance at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w w:val="98"/>
              </w:rPr>
              <w:t>Charged to</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7"/>
              </w:rPr>
              <w:t>Credited to</w:t>
            </w:r>
          </w:p>
        </w:tc>
        <w:tc>
          <w:tcPr>
            <w:tcW w:w="1080" w:type="dxa"/>
            <w:vAlign w:val="bottom"/>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Balance at</w:t>
            </w:r>
          </w:p>
        </w:tc>
      </w:tr>
      <w:tr>
        <w:trPr>
          <w:trHeight w:val="193"/>
        </w:trPr>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rPr>
              <w:t>Beginning</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28"/>
              <w:spacing w:after="0"/>
              <w:rPr>
                <w:sz w:val="20"/>
                <w:szCs w:val="20"/>
                <w:color w:val="auto"/>
              </w:rPr>
            </w:pPr>
            <w:r>
              <w:rPr>
                <w:rFonts w:ascii="Times New Roman" w:cs="Times New Roman" w:eastAsia="Times New Roman" w:hAnsi="Times New Roman"/>
                <w:sz w:val="16"/>
                <w:szCs w:val="16"/>
                <w:b w:val="1"/>
                <w:bCs w:val="1"/>
                <w:color w:val="auto"/>
                <w:w w:val="99"/>
              </w:rPr>
              <w:t>Expenses or</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Expenses or</w:t>
            </w:r>
          </w:p>
        </w:tc>
        <w:tc>
          <w:tcPr>
            <w:tcW w:w="1080" w:type="dxa"/>
            <w:vAlign w:val="bottom"/>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End of</w:t>
            </w:r>
          </w:p>
        </w:tc>
      </w:tr>
      <w:tr>
        <w:trPr>
          <w:trHeight w:val="210"/>
        </w:trPr>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center"/>
              <w:ind w:right="127"/>
              <w:spacing w:after="0"/>
              <w:rPr>
                <w:sz w:val="20"/>
                <w:szCs w:val="20"/>
                <w:color w:val="auto"/>
              </w:rPr>
            </w:pPr>
            <w:r>
              <w:rPr>
                <w:rFonts w:ascii="Times New Roman" w:cs="Times New Roman" w:eastAsia="Times New Roman" w:hAnsi="Times New Roman"/>
                <w:sz w:val="16"/>
                <w:szCs w:val="16"/>
                <w:b w:val="1"/>
                <w:bCs w:val="1"/>
                <w:color w:val="auto"/>
                <w:w w:val="98"/>
              </w:rPr>
              <w:t>of Period</w:t>
            </w:r>
          </w:p>
        </w:tc>
        <w:tc>
          <w:tcPr>
            <w:tcW w:w="6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Other Accounts</w:t>
            </w:r>
          </w:p>
        </w:tc>
        <w:tc>
          <w:tcPr>
            <w:tcW w:w="60" w:type="dxa"/>
            <w:vAlign w:val="bottom"/>
          </w:tcPr>
          <w:p>
            <w:pPr>
              <w:spacing w:after="0"/>
              <w:rPr>
                <w:sz w:val="18"/>
                <w:szCs w:val="18"/>
                <w:color w:val="auto"/>
              </w:rPr>
            </w:pPr>
          </w:p>
        </w:tc>
        <w:tc>
          <w:tcPr>
            <w:tcW w:w="158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Other Accounts</w:t>
            </w:r>
          </w:p>
        </w:tc>
        <w:tc>
          <w:tcPr>
            <w:tcW w:w="1080" w:type="dxa"/>
            <w:vAlign w:val="bottom"/>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Period</w:t>
            </w:r>
          </w:p>
        </w:tc>
      </w:tr>
      <w:tr>
        <w:trPr>
          <w:trHeight w:val="38"/>
        </w:trPr>
        <w:tc>
          <w:tcPr>
            <w:tcW w:w="36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19"/>
        </w:trPr>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60" w:type="dxa"/>
            <w:vAlign w:val="bottom"/>
            <w:gridSpan w:val="6"/>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1080" w:type="dxa"/>
            <w:vAlign w:val="bottom"/>
          </w:tcPr>
          <w:p>
            <w:pPr>
              <w:spacing w:after="0"/>
              <w:rPr>
                <w:sz w:val="19"/>
                <w:szCs w:val="19"/>
                <w:color w:val="auto"/>
              </w:rPr>
            </w:pPr>
          </w:p>
        </w:tc>
      </w:tr>
      <w:tr>
        <w:trPr>
          <w:trHeight w:val="38"/>
        </w:trPr>
        <w:tc>
          <w:tcPr>
            <w:tcW w:w="3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305"/>
        </w:trPr>
        <w:tc>
          <w:tcPr>
            <w:tcW w:w="360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Allowance for credit losses</w:t>
            </w:r>
          </w:p>
        </w:tc>
        <w:tc>
          <w:tcPr>
            <w:tcW w:w="220" w:type="dxa"/>
            <w:vAlign w:val="bottom"/>
            <w:tcBorders>
              <w:bottom w:val="single" w:sz="8" w:color="DDDDDD"/>
            </w:tcBorders>
            <w:shd w:val="clear" w:color="auto" w:fill="DDDDDD"/>
          </w:tcPr>
          <w:p>
            <w:pPr>
              <w:spacing w:after="0"/>
              <w:rPr>
                <w:sz w:val="24"/>
                <w:szCs w:val="24"/>
                <w:color w:val="auto"/>
              </w:rPr>
            </w:pPr>
          </w:p>
        </w:tc>
        <w:tc>
          <w:tcPr>
            <w:tcW w:w="108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DDDDDD"/>
            </w:tcBorders>
            <w:shd w:val="clear" w:color="auto" w:fill="DDDDDD"/>
          </w:tcPr>
          <w:p>
            <w:pPr>
              <w:spacing w:after="0"/>
              <w:rPr>
                <w:sz w:val="24"/>
                <w:szCs w:val="24"/>
                <w:color w:val="auto"/>
              </w:rPr>
            </w:pPr>
          </w:p>
        </w:tc>
        <w:tc>
          <w:tcPr>
            <w:tcW w:w="1080" w:type="dxa"/>
            <w:vAlign w:val="bottom"/>
            <w:tcBorders>
              <w:bottom w:val="single" w:sz="8" w:color="DDDDDD"/>
            </w:tcBorders>
            <w:shd w:val="clear" w:color="auto" w:fill="DDDDDD"/>
          </w:tcPr>
          <w:p>
            <w:pPr>
              <w:spacing w:after="0"/>
              <w:rPr>
                <w:sz w:val="24"/>
                <w:szCs w:val="24"/>
                <w:color w:val="auto"/>
              </w:rPr>
            </w:pPr>
          </w:p>
        </w:tc>
      </w:tr>
      <w:tr>
        <w:trPr>
          <w:trHeight w:val="282"/>
        </w:trPr>
        <w:tc>
          <w:tcPr>
            <w:tcW w:w="3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Year Ended December 31, 2025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400" w:type="dxa"/>
            <w:vAlign w:val="bottom"/>
            <w:gridSpan w:val="3"/>
          </w:tcPr>
          <w:p>
            <w:pPr>
              <w:ind w:left="840"/>
              <w:spacing w:after="0"/>
              <w:rPr>
                <w:sz w:val="20"/>
                <w:szCs w:val="20"/>
                <w:color w:val="auto"/>
              </w:rPr>
            </w:pPr>
            <w:r>
              <w:rPr>
                <w:rFonts w:ascii="Times New Roman" w:cs="Times New Roman" w:eastAsia="Times New Roman" w:hAnsi="Times New Roman"/>
                <w:sz w:val="20"/>
                <w:szCs w:val="20"/>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43"/>
        </w:trPr>
        <w:tc>
          <w:tcPr>
            <w:tcW w:w="3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1360" w:type="dxa"/>
            <w:vAlign w:val="bottom"/>
            <w:gridSpan w:val="3"/>
          </w:tcPr>
          <w:p>
            <w:pPr>
              <w:spacing w:after="0"/>
              <w:rPr>
                <w:sz w:val="3"/>
                <w:szCs w:val="3"/>
                <w:color w:val="auto"/>
              </w:rPr>
            </w:pPr>
          </w:p>
        </w:tc>
        <w:tc>
          <w:tcPr>
            <w:tcW w:w="1400" w:type="dxa"/>
            <w:vAlign w:val="bottom"/>
            <w:gridSpan w:val="3"/>
          </w:tcPr>
          <w:p>
            <w:pPr>
              <w:spacing w:after="0"/>
              <w:rPr>
                <w:sz w:val="3"/>
                <w:szCs w:val="3"/>
                <w:color w:val="auto"/>
              </w:rPr>
            </w:pPr>
          </w:p>
        </w:tc>
        <w:tc>
          <w:tcPr>
            <w:tcW w:w="1080" w:type="dxa"/>
            <w:vAlign w:val="bottom"/>
          </w:tcPr>
          <w:p>
            <w:pPr>
              <w:spacing w:after="0"/>
              <w:rPr>
                <w:sz w:val="3"/>
                <w:szCs w:val="3"/>
                <w:color w:val="auto"/>
              </w:rPr>
            </w:pPr>
          </w:p>
        </w:tc>
      </w:tr>
      <w:tr>
        <w:trPr>
          <w:trHeight w:val="304"/>
        </w:trPr>
        <w:tc>
          <w:tcPr>
            <w:tcW w:w="3600" w:type="dxa"/>
            <w:vAlign w:val="bottom"/>
            <w:tcBorders>
              <w:bottom w:val="single" w:sz="8" w:color="DDDDDD"/>
            </w:tcBorders>
            <w:shd w:val="clear" w:color="auto" w:fill="DDDDDD"/>
          </w:tcPr>
          <w:p>
            <w:pPr>
              <w:ind w:left="140"/>
              <w:spacing w:after="0"/>
              <w:rPr>
                <w:sz w:val="20"/>
                <w:szCs w:val="20"/>
                <w:color w:val="auto"/>
              </w:rPr>
            </w:pPr>
            <w:r>
              <w:rPr>
                <w:rFonts w:ascii="Times New Roman" w:cs="Times New Roman" w:eastAsia="Times New Roman" w:hAnsi="Times New Roman"/>
                <w:sz w:val="20"/>
                <w:szCs w:val="20"/>
                <w:color w:val="auto"/>
              </w:rPr>
              <w:t>Year Ended December 31, 2024</w:t>
            </w:r>
          </w:p>
        </w:tc>
        <w:tc>
          <w:tcPr>
            <w:tcW w:w="2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6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DDDDDD"/>
            </w:tcBorders>
            <w:gridSpan w:val="3"/>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400" w:type="dxa"/>
            <w:vAlign w:val="bottom"/>
            <w:tcBorders>
              <w:bottom w:val="single" w:sz="8" w:color="DDDDDD"/>
            </w:tcBorders>
            <w:gridSpan w:val="3"/>
            <w:shd w:val="clear" w:color="auto" w:fill="DDDDDD"/>
          </w:tcPr>
          <w:p>
            <w:pPr>
              <w:ind w:left="840"/>
              <w:spacing w:after="0"/>
              <w:rPr>
                <w:sz w:val="20"/>
                <w:szCs w:val="20"/>
                <w:color w:val="auto"/>
              </w:rPr>
            </w:pPr>
            <w:r>
              <w:rPr>
                <w:rFonts w:ascii="Times New Roman" w:cs="Times New Roman" w:eastAsia="Times New Roman" w:hAnsi="Times New Roman"/>
                <w:sz w:val="20"/>
                <w:szCs w:val="20"/>
                <w:color w:val="auto"/>
              </w:rPr>
              <w:t>—  $</w:t>
            </w: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82"/>
        </w:trPr>
        <w:tc>
          <w:tcPr>
            <w:tcW w:w="3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Year Ended December 31, 2023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1400" w:type="dxa"/>
            <w:vAlign w:val="bottom"/>
            <w:gridSpan w:val="3"/>
          </w:tcPr>
          <w:p>
            <w:pPr>
              <w:ind w:left="840"/>
              <w:spacing w:after="0"/>
              <w:rPr>
                <w:sz w:val="20"/>
                <w:szCs w:val="20"/>
                <w:color w:val="auto"/>
              </w:rPr>
            </w:pPr>
            <w:r>
              <w:rPr>
                <w:rFonts w:ascii="Times New Roman" w:cs="Times New Roman" w:eastAsia="Times New Roman" w:hAnsi="Times New Roman"/>
                <w:sz w:val="20"/>
                <w:szCs w:val="20"/>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43"/>
        </w:trPr>
        <w:tc>
          <w:tcPr>
            <w:tcW w:w="3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305"/>
        </w:trPr>
        <w:tc>
          <w:tcPr>
            <w:tcW w:w="3600" w:type="dxa"/>
            <w:vAlign w:val="bottom"/>
            <w:tcBorders>
              <w:bottom w:val="single" w:sz="8" w:color="DDDDDD"/>
            </w:tcBorders>
            <w:shd w:val="clear" w:color="auto" w:fill="DDDDDD"/>
          </w:tcPr>
          <w:p>
            <w:pPr>
              <w:ind w:left="60"/>
              <w:spacing w:after="0"/>
              <w:rPr>
                <w:sz w:val="20"/>
                <w:szCs w:val="20"/>
                <w:color w:val="auto"/>
              </w:rPr>
            </w:pPr>
            <w:r>
              <w:rPr>
                <w:rFonts w:ascii="Times New Roman" w:cs="Times New Roman" w:eastAsia="Times New Roman" w:hAnsi="Times New Roman"/>
                <w:sz w:val="20"/>
                <w:szCs w:val="20"/>
                <w:color w:val="auto"/>
              </w:rPr>
              <w:t>Deferred tax valuation allowance</w:t>
            </w:r>
          </w:p>
        </w:tc>
        <w:tc>
          <w:tcPr>
            <w:tcW w:w="220" w:type="dxa"/>
            <w:vAlign w:val="bottom"/>
            <w:tcBorders>
              <w:bottom w:val="single" w:sz="8" w:color="DDDDDD"/>
            </w:tcBorders>
            <w:shd w:val="clear" w:color="auto" w:fill="DDDDDD"/>
          </w:tcPr>
          <w:p>
            <w:pPr>
              <w:spacing w:after="0"/>
              <w:rPr>
                <w:sz w:val="24"/>
                <w:szCs w:val="24"/>
                <w:color w:val="auto"/>
              </w:rPr>
            </w:pPr>
          </w:p>
        </w:tc>
        <w:tc>
          <w:tcPr>
            <w:tcW w:w="108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0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180" w:type="dxa"/>
            <w:vAlign w:val="bottom"/>
            <w:tcBorders>
              <w:bottom w:val="single" w:sz="8" w:color="DDDDDD"/>
            </w:tcBorders>
            <w:shd w:val="clear" w:color="auto" w:fill="DDDDDD"/>
          </w:tcPr>
          <w:p>
            <w:pPr>
              <w:spacing w:after="0"/>
              <w:rPr>
                <w:sz w:val="24"/>
                <w:szCs w:val="24"/>
                <w:color w:val="auto"/>
              </w:rPr>
            </w:pPr>
          </w:p>
        </w:tc>
        <w:tc>
          <w:tcPr>
            <w:tcW w:w="1120" w:type="dxa"/>
            <w:vAlign w:val="bottom"/>
            <w:tcBorders>
              <w:bottom w:val="single" w:sz="8" w:color="DDDDDD"/>
            </w:tcBorders>
            <w:shd w:val="clear" w:color="auto" w:fill="DDDDDD"/>
          </w:tcPr>
          <w:p>
            <w:pPr>
              <w:spacing w:after="0"/>
              <w:rPr>
                <w:sz w:val="24"/>
                <w:szCs w:val="24"/>
                <w:color w:val="auto"/>
              </w:rPr>
            </w:pPr>
          </w:p>
        </w:tc>
        <w:tc>
          <w:tcPr>
            <w:tcW w:w="6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DDDDDD"/>
            </w:tcBorders>
            <w:shd w:val="clear" w:color="auto" w:fill="DDDDDD"/>
          </w:tcPr>
          <w:p>
            <w:pPr>
              <w:spacing w:after="0"/>
              <w:rPr>
                <w:sz w:val="24"/>
                <w:szCs w:val="24"/>
                <w:color w:val="auto"/>
              </w:rPr>
            </w:pPr>
          </w:p>
        </w:tc>
        <w:tc>
          <w:tcPr>
            <w:tcW w:w="1080" w:type="dxa"/>
            <w:vAlign w:val="bottom"/>
            <w:tcBorders>
              <w:bottom w:val="single" w:sz="8" w:color="DDDDDD"/>
            </w:tcBorders>
            <w:shd w:val="clear" w:color="auto" w:fill="DDDDDD"/>
          </w:tcPr>
          <w:p>
            <w:pPr>
              <w:spacing w:after="0"/>
              <w:rPr>
                <w:sz w:val="24"/>
                <w:szCs w:val="24"/>
                <w:color w:val="auto"/>
              </w:rPr>
            </w:pPr>
          </w:p>
        </w:tc>
      </w:tr>
      <w:tr>
        <w:trPr>
          <w:trHeight w:val="282"/>
        </w:trPr>
        <w:tc>
          <w:tcPr>
            <w:tcW w:w="3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Year Ended December 31, 2025</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3"/>
          </w:tcPr>
          <w:p>
            <w:pPr>
              <w:ind w:left="840"/>
              <w:spacing w:after="0"/>
              <w:rPr>
                <w:sz w:val="20"/>
                <w:szCs w:val="20"/>
                <w:color w:val="auto"/>
              </w:rPr>
            </w:pPr>
            <w:r>
              <w:rPr>
                <w:rFonts w:ascii="Times New Roman" w:cs="Times New Roman" w:eastAsia="Times New Roman" w:hAnsi="Times New Roman"/>
                <w:sz w:val="20"/>
                <w:szCs w:val="20"/>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136,394</w:t>
            </w:r>
          </w:p>
        </w:tc>
      </w:tr>
      <w:tr>
        <w:trPr>
          <w:trHeight w:val="43"/>
        </w:trPr>
        <w:tc>
          <w:tcPr>
            <w:tcW w:w="3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1400" w:type="dxa"/>
            <w:vAlign w:val="bottom"/>
            <w:gridSpan w:val="3"/>
          </w:tcPr>
          <w:p>
            <w:pPr>
              <w:spacing w:after="0"/>
              <w:rPr>
                <w:sz w:val="3"/>
                <w:szCs w:val="3"/>
                <w:color w:val="auto"/>
              </w:rPr>
            </w:pPr>
          </w:p>
        </w:tc>
        <w:tc>
          <w:tcPr>
            <w:tcW w:w="1080" w:type="dxa"/>
            <w:vAlign w:val="bottom"/>
          </w:tcPr>
          <w:p>
            <w:pPr>
              <w:spacing w:after="0"/>
              <w:rPr>
                <w:sz w:val="3"/>
                <w:szCs w:val="3"/>
                <w:color w:val="auto"/>
              </w:rPr>
            </w:pPr>
          </w:p>
        </w:tc>
      </w:tr>
      <w:tr>
        <w:trPr>
          <w:trHeight w:val="305"/>
        </w:trPr>
        <w:tc>
          <w:tcPr>
            <w:tcW w:w="3600" w:type="dxa"/>
            <w:vAlign w:val="bottom"/>
            <w:tcBorders>
              <w:bottom w:val="single" w:sz="8" w:color="DDDDDD"/>
            </w:tcBorders>
            <w:shd w:val="clear" w:color="auto" w:fill="DDDDDD"/>
          </w:tcPr>
          <w:p>
            <w:pPr>
              <w:ind w:left="140"/>
              <w:spacing w:after="0"/>
              <w:rPr>
                <w:sz w:val="20"/>
                <w:szCs w:val="20"/>
                <w:color w:val="auto"/>
              </w:rPr>
            </w:pPr>
            <w:r>
              <w:rPr>
                <w:rFonts w:ascii="Times New Roman" w:cs="Times New Roman" w:eastAsia="Times New Roman" w:hAnsi="Times New Roman"/>
                <w:sz w:val="20"/>
                <w:szCs w:val="20"/>
                <w:color w:val="auto"/>
              </w:rPr>
              <w:t>Year Ended December 31, 2024</w:t>
            </w:r>
          </w:p>
        </w:tc>
        <w:tc>
          <w:tcPr>
            <w:tcW w:w="2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105,772</w:t>
            </w:r>
          </w:p>
        </w:tc>
        <w:tc>
          <w:tcPr>
            <w:tcW w:w="26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20,278</w:t>
            </w:r>
          </w:p>
        </w:tc>
        <w:tc>
          <w:tcPr>
            <w:tcW w:w="240" w:type="dxa"/>
            <w:vAlign w:val="bottom"/>
            <w:tcBorders>
              <w:bottom w:val="single" w:sz="8" w:color="DDDDDD"/>
            </w:tcBorders>
            <w:gridSpan w:val="2"/>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DDDDDD"/>
            </w:tcBorders>
            <w:gridSpan w:val="3"/>
            <w:shd w:val="clear" w:color="auto" w:fill="DDDDDD"/>
          </w:tcPr>
          <w:p>
            <w:pPr>
              <w:ind w:left="840"/>
              <w:spacing w:after="0"/>
              <w:rPr>
                <w:sz w:val="20"/>
                <w:szCs w:val="20"/>
                <w:color w:val="auto"/>
              </w:rPr>
            </w:pPr>
            <w:r>
              <w:rPr>
                <w:rFonts w:ascii="Times New Roman" w:cs="Times New Roman" w:eastAsia="Times New Roman" w:hAnsi="Times New Roman"/>
                <w:sz w:val="20"/>
                <w:szCs w:val="20"/>
                <w:color w:val="auto"/>
              </w:rPr>
              <w:t>—  $</w:t>
            </w:r>
          </w:p>
        </w:tc>
        <w:tc>
          <w:tcPr>
            <w:tcW w:w="1080" w:type="dxa"/>
            <w:vAlign w:val="bottom"/>
            <w:tcBorders>
              <w:bottom w:val="single" w:sz="8" w:color="DDDDDD"/>
            </w:tcBorders>
            <w:shd w:val="clear" w:color="auto" w:fill="DDDDDD"/>
          </w:tcPr>
          <w:p>
            <w:pPr>
              <w:jc w:val="right"/>
              <w:spacing w:after="0"/>
              <w:rPr>
                <w:sz w:val="20"/>
                <w:szCs w:val="20"/>
                <w:color w:val="auto"/>
              </w:rPr>
            </w:pPr>
            <w:r>
              <w:rPr>
                <w:rFonts w:ascii="Times New Roman" w:cs="Times New Roman" w:eastAsia="Times New Roman" w:hAnsi="Times New Roman"/>
                <w:sz w:val="20"/>
                <w:szCs w:val="20"/>
                <w:color w:val="auto"/>
              </w:rPr>
              <w:t>126,050</w:t>
            </w:r>
          </w:p>
        </w:tc>
      </w:tr>
      <w:tr>
        <w:trPr>
          <w:trHeight w:val="282"/>
        </w:trPr>
        <w:tc>
          <w:tcPr>
            <w:tcW w:w="3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Year Ended December 31, 2023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82,674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3"/>
          </w:tcPr>
          <w:p>
            <w:pPr>
              <w:ind w:left="840"/>
              <w:spacing w:after="0"/>
              <w:rPr>
                <w:sz w:val="20"/>
                <w:szCs w:val="20"/>
                <w:color w:val="auto"/>
              </w:rPr>
            </w:pPr>
            <w:r>
              <w:rPr>
                <w:rFonts w:ascii="Times New Roman" w:cs="Times New Roman" w:eastAsia="Times New Roman" w:hAnsi="Times New Roman"/>
                <w:sz w:val="20"/>
                <w:szCs w:val="20"/>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105,772</w:t>
            </w:r>
          </w:p>
        </w:tc>
      </w:tr>
    </w:tbl>
    <w:p>
      <w:pPr>
        <w:spacing w:after="0" w:line="200" w:lineRule="exact"/>
        <w:rPr>
          <w:sz w:val="20"/>
          <w:szCs w:val="20"/>
          <w:color w:val="auto"/>
        </w:rPr>
      </w:pPr>
    </w:p>
    <w:p>
      <w:pPr>
        <w:sectPr>
          <w:pgSz w:w="12240" w:h="15840" w:orient="portrait"/>
          <w:cols w:equalWidth="0" w:num="1">
            <w:col w:w="9360"/>
          </w:cols>
          <w:pgMar w:left="1440" w:top="85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360"/>
          </w:cols>
          <w:pgMar w:left="1440" w:top="852" w:right="1440" w:bottom="0" w:gutter="0" w:footer="0" w:header="0"/>
          <w:type w:val="continuous"/>
        </w:sectPr>
      </w:pPr>
    </w:p>
    <w:bookmarkStart w:id="102" w:name="page103"/>
    <w:bookmarkEnd w:id="102"/>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4" w:lineRule="exact"/>
        <w:rPr>
          <w:sz w:val="20"/>
          <w:szCs w:val="20"/>
          <w:color w:val="auto"/>
        </w:rPr>
      </w:pPr>
    </w:p>
    <w:p>
      <w:pPr>
        <w:ind w:right="300" w:firstLine="720"/>
        <w:spacing w:after="0" w:line="282"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auto"/>
        </w:rPr>
        <w:t>.</w:t>
      </w:r>
    </w:p>
    <w:p>
      <w:pPr>
        <w:spacing w:after="0" w:line="2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SiTime Corporation</w:t>
      </w:r>
    </w:p>
    <w:p>
      <w:pPr>
        <w:spacing w:after="0" w:line="336" w:lineRule="exact"/>
        <w:rPr>
          <w:sz w:val="20"/>
          <w:szCs w:val="20"/>
          <w:color w:val="auto"/>
        </w:rPr>
      </w:pPr>
    </w:p>
    <w:p>
      <w:pPr>
        <w:ind w:left="40"/>
        <w:spacing w:after="0"/>
        <w:tabs>
          <w:tab w:leader="none" w:pos="4780" w:val="left"/>
          <w:tab w:leader="none" w:pos="6620" w:val="left"/>
        </w:tabs>
        <w:rPr>
          <w:sz w:val="20"/>
          <w:szCs w:val="20"/>
          <w:color w:val="auto"/>
        </w:rPr>
      </w:pPr>
      <w:r>
        <w:rPr>
          <w:rFonts w:ascii="Times New Roman" w:cs="Times New Roman" w:eastAsia="Times New Roman" w:hAnsi="Times New Roman"/>
          <w:sz w:val="20"/>
          <w:szCs w:val="20"/>
          <w:color w:val="auto"/>
        </w:rPr>
        <w:t>Date: February 11,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Elizabeth A. Howe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3270250</wp:posOffset>
                </wp:positionH>
                <wp:positionV relativeFrom="paragraph">
                  <wp:posOffset>52705</wp:posOffset>
                </wp:positionV>
                <wp:extent cx="301053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10535"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7.5pt,4.15pt" to="494.55pt,4.15pt" o:allowincell="f" strokecolor="#000000" strokeweight="0.96pt"/>
            </w:pict>
          </mc:Fallback>
        </mc:AlternateContent>
      </w:r>
    </w:p>
    <w:p>
      <w:pPr>
        <w:spacing w:after="0" w:line="71"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20"/>
          <w:szCs w:val="20"/>
          <w:b w:val="1"/>
          <w:bCs w:val="1"/>
          <w:color w:val="auto"/>
        </w:rPr>
        <w:t>Elizabeth A. Howe</w:t>
      </w:r>
    </w:p>
    <w:p>
      <w:pPr>
        <w:spacing w:after="0" w:line="335" w:lineRule="exact"/>
        <w:rPr>
          <w:sz w:val="20"/>
          <w:szCs w:val="20"/>
          <w:color w:val="auto"/>
        </w:rPr>
      </w:pPr>
    </w:p>
    <w:p>
      <w:pPr>
        <w:ind w:left="3820" w:right="300" w:firstLine="1378"/>
        <w:spacing w:after="0" w:line="431" w:lineRule="auto"/>
        <w:rPr>
          <w:sz w:val="20"/>
          <w:szCs w:val="20"/>
          <w:color w:val="auto"/>
        </w:rPr>
      </w:pPr>
      <w:r>
        <w:rPr>
          <w:rFonts w:ascii="Times New Roman" w:cs="Times New Roman" w:eastAsia="Times New Roman" w:hAnsi="Times New Roman"/>
          <w:sz w:val="20"/>
          <w:szCs w:val="20"/>
          <w:b w:val="1"/>
          <w:bCs w:val="1"/>
          <w:color w:val="auto"/>
        </w:rPr>
        <w:t>Executive Vice President, Chief Financial Officer POWER OF ATTORNEY</w:t>
      </w:r>
    </w:p>
    <w:p>
      <w:pPr>
        <w:spacing w:after="0" w:line="37" w:lineRule="exact"/>
        <w:rPr>
          <w:sz w:val="20"/>
          <w:szCs w:val="20"/>
          <w:color w:val="auto"/>
        </w:rPr>
      </w:pPr>
    </w:p>
    <w:p>
      <w:pPr>
        <w:ind w:firstLine="720"/>
        <w:spacing w:after="0" w:line="254" w:lineRule="auto"/>
        <w:rPr>
          <w:sz w:val="20"/>
          <w:szCs w:val="20"/>
          <w:color w:val="auto"/>
        </w:rPr>
      </w:pPr>
      <w:r>
        <w:rPr>
          <w:rFonts w:ascii="Times New Roman" w:cs="Times New Roman" w:eastAsia="Times New Roman" w:hAnsi="Times New Roman"/>
          <w:sz w:val="20"/>
          <w:szCs w:val="20"/>
          <w:color w:val="auto"/>
        </w:rPr>
        <w:t>KNOW ALL BY THESE PRESENTS, that each person whose signature appears below constitutes and appoints Rajesh Vashist and Elizabeth A. Howe, and each of them, as his or her true and lawful attorneys-in-fact and agents, each with the full power of substitution, for him or her and in his or her name, place, or stead, in any and all capacities, to sign any and all amendments to this Report,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or substitutes, may lawfully do or cause to be done by virtue hereof.</w:t>
      </w:r>
    </w:p>
    <w:p>
      <w:pPr>
        <w:sectPr>
          <w:pgSz w:w="12240" w:h="15840" w:orient="portrait"/>
          <w:cols w:equalWidth="0" w:num="1">
            <w:col w:w="9680"/>
          </w:cols>
          <w:pgMar w:left="1180" w:top="852" w:right="13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1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680"/>
          </w:cols>
          <w:pgMar w:left="1180" w:top="852" w:right="1380" w:bottom="0" w:gutter="0" w:footer="0" w:header="0"/>
          <w:type w:val="continuous"/>
        </w:sectPr>
      </w:pPr>
    </w:p>
    <w:bookmarkStart w:id="103" w:name="page104"/>
    <w:bookmarkEnd w:id="103"/>
    <w:p>
      <w:pPr>
        <w:ind w:left="60" w:right="160" w:firstLine="720"/>
        <w:spacing w:after="0" w:line="282"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this report has been signed below by the following persons on behalf of the Registrant in the capacities and on the dates indicated.</w:t>
      </w:r>
    </w:p>
    <w:p>
      <w:pPr>
        <w:spacing w:after="0" w:line="251" w:lineRule="exact"/>
        <w:rPr>
          <w:sz w:val="20"/>
          <w:szCs w:val="20"/>
          <w:color w:val="auto"/>
        </w:rPr>
      </w:pPr>
    </w:p>
    <w:p>
      <w:pPr>
        <w:ind w:left="1080"/>
        <w:spacing w:after="0"/>
        <w:tabs>
          <w:tab w:leader="none" w:pos="4760" w:val="left"/>
          <w:tab w:leader="none" w:pos="8420" w:val="left"/>
        </w:tabs>
        <w:rPr>
          <w:sz w:val="20"/>
          <w:szCs w:val="20"/>
          <w:color w:val="auto"/>
        </w:rPr>
      </w:pPr>
      <w:r>
        <w:rPr>
          <w:rFonts w:ascii="Times New Roman" w:cs="Times New Roman" w:eastAsia="Times New Roman" w:hAnsi="Times New Roman"/>
          <w:sz w:val="16"/>
          <w:szCs w:val="16"/>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46990</wp:posOffset>
                </wp:positionV>
                <wp:extent cx="1640840"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084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7pt" to="129.1pt,3.7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1690370</wp:posOffset>
                </wp:positionH>
                <wp:positionV relativeFrom="paragraph">
                  <wp:posOffset>46990</wp:posOffset>
                </wp:positionV>
                <wp:extent cx="290322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0322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3.1pt,3.7pt" to="361.7pt,3.7pt" o:allowincell="f" strokecolor="#000000" strokeweight="0.9599pt"/>
            </w:pict>
          </mc:Fallback>
        </mc:AlternateContent>
        <mc:AlternateContent>
          <mc:Choice Requires="wps">
            <w:drawing>
              <wp:anchor simplePos="0" relativeHeight="251657728" behindDoc="1" locked="0" layoutInCell="0" allowOverlap="1">
                <wp:simplePos x="0" y="0"/>
                <wp:positionH relativeFrom="column">
                  <wp:posOffset>4644390</wp:posOffset>
                </wp:positionH>
                <wp:positionV relativeFrom="paragraph">
                  <wp:posOffset>46990</wp:posOffset>
                </wp:positionV>
                <wp:extent cx="164084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4084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5.7pt,3.7pt" to="494.9pt,3.7pt" o:allowincell="f" strokecolor="#000000" strokeweight="0.9599pt"/>
            </w:pict>
          </mc:Fallback>
        </mc:AlternateConten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580" w:type="dxa"/>
            <w:vAlign w:val="bottom"/>
          </w:tcPr>
          <w:p>
            <w:pPr>
              <w:spacing w:after="0"/>
              <w:rPr>
                <w:sz w:val="22"/>
                <w:szCs w:val="22"/>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1660" w:type="dxa"/>
            <w:vAlign w:val="bottom"/>
          </w:tcPr>
          <w:p>
            <w:pPr>
              <w:spacing w:after="0"/>
              <w:rPr>
                <w:sz w:val="22"/>
                <w:szCs w:val="22"/>
                <w:color w:val="auto"/>
              </w:rPr>
            </w:pPr>
          </w:p>
        </w:tc>
      </w:tr>
      <w:tr>
        <w:trPr>
          <w:trHeight w:val="325"/>
        </w:trPr>
        <w:tc>
          <w:tcPr>
            <w:tcW w:w="2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 Rajesh Vashist</w:t>
            </w:r>
          </w:p>
        </w:tc>
        <w:tc>
          <w:tcPr>
            <w:tcW w:w="4600" w:type="dxa"/>
            <w:vAlign w:val="bottom"/>
          </w:tcPr>
          <w:p>
            <w:pPr>
              <w:ind w:left="14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c>
          <w:tcPr>
            <w:tcW w:w="16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February 11, 2026</w:t>
            </w:r>
          </w:p>
        </w:tc>
      </w:tr>
      <w:tr>
        <w:trPr>
          <w:trHeight w:val="44"/>
        </w:trPr>
        <w:tc>
          <w:tcPr>
            <w:tcW w:w="2580" w:type="dxa"/>
            <w:vAlign w:val="bottom"/>
            <w:tcBorders>
              <w:bottom w:val="single" w:sz="8" w:color="auto"/>
            </w:tcBorders>
          </w:tcPr>
          <w:p>
            <w:pPr>
              <w:spacing w:after="0"/>
              <w:rPr>
                <w:sz w:val="3"/>
                <w:szCs w:val="3"/>
                <w:color w:val="auto"/>
              </w:rPr>
            </w:pPr>
          </w:p>
        </w:tc>
        <w:tc>
          <w:tcPr>
            <w:tcW w:w="460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9"/>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Rajesh Vashist</w:t>
            </w:r>
          </w:p>
        </w:tc>
        <w:tc>
          <w:tcPr>
            <w:tcW w:w="46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55"/>
        </w:trPr>
        <w:tc>
          <w:tcPr>
            <w:tcW w:w="2580" w:type="dxa"/>
            <w:vAlign w:val="bottom"/>
          </w:tcPr>
          <w:p>
            <w:pPr>
              <w:spacing w:after="0"/>
              <w:rPr>
                <w:sz w:val="24"/>
                <w:szCs w:val="2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Executive Vice President, Chief Financial Officer</w:t>
            </w:r>
          </w:p>
        </w:tc>
        <w:tc>
          <w:tcPr>
            <w:tcW w:w="1660" w:type="dxa"/>
            <w:vAlign w:val="bottom"/>
          </w:tcPr>
          <w:p>
            <w:pPr>
              <w:spacing w:after="0"/>
              <w:rPr>
                <w:sz w:val="24"/>
                <w:szCs w:val="24"/>
                <w:color w:val="auto"/>
              </w:rPr>
            </w:pPr>
          </w:p>
        </w:tc>
      </w:tr>
      <w:tr>
        <w:trPr>
          <w:trHeight w:val="325"/>
        </w:trPr>
        <w:tc>
          <w:tcPr>
            <w:tcW w:w="2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/s/ Elizabeth A. Howe</w:t>
            </w:r>
          </w:p>
        </w:tc>
        <w:tc>
          <w:tcPr>
            <w:tcW w:w="4600" w:type="dxa"/>
            <w:vAlign w:val="bottom"/>
          </w:tcPr>
          <w:p>
            <w:pPr>
              <w:ind w:left="14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tc>
        <w:tc>
          <w:tcPr>
            <w:tcW w:w="16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February 11, 2026</w:t>
            </w:r>
          </w:p>
        </w:tc>
      </w:tr>
      <w:tr>
        <w:trPr>
          <w:trHeight w:val="43"/>
        </w:trPr>
        <w:tc>
          <w:tcPr>
            <w:tcW w:w="2580" w:type="dxa"/>
            <w:vAlign w:val="bottom"/>
            <w:tcBorders>
              <w:bottom w:val="single" w:sz="8" w:color="auto"/>
            </w:tcBorders>
          </w:tcPr>
          <w:p>
            <w:pPr>
              <w:spacing w:after="0"/>
              <w:rPr>
                <w:sz w:val="3"/>
                <w:szCs w:val="3"/>
                <w:color w:val="auto"/>
              </w:rPr>
            </w:pPr>
          </w:p>
        </w:tc>
        <w:tc>
          <w:tcPr>
            <w:tcW w:w="460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9"/>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Elizabeth A. Howe</w:t>
            </w:r>
          </w:p>
        </w:tc>
        <w:tc>
          <w:tcPr>
            <w:tcW w:w="46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35"/>
        </w:trPr>
        <w:tc>
          <w:tcPr>
            <w:tcW w:w="2580" w:type="dxa"/>
            <w:vAlign w:val="bottom"/>
          </w:tcPr>
          <w:p>
            <w:pPr>
              <w:spacing w:after="0"/>
              <w:rPr>
                <w:sz w:val="24"/>
                <w:szCs w:val="24"/>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Senior Vice President, Finance and Chief Accounting</w:t>
            </w:r>
          </w:p>
        </w:tc>
        <w:tc>
          <w:tcPr>
            <w:tcW w:w="1660" w:type="dxa"/>
            <w:vAlign w:val="bottom"/>
          </w:tcPr>
          <w:p>
            <w:pPr>
              <w:spacing w:after="0"/>
              <w:rPr>
                <w:sz w:val="24"/>
                <w:szCs w:val="24"/>
                <w:color w:val="auto"/>
              </w:rPr>
            </w:pPr>
          </w:p>
        </w:tc>
      </w:tr>
      <w:tr>
        <w:trPr>
          <w:trHeight w:val="261"/>
        </w:trPr>
        <w:tc>
          <w:tcPr>
            <w:tcW w:w="2580" w:type="dxa"/>
            <w:vAlign w:val="bottom"/>
          </w:tcPr>
          <w:p>
            <w:pPr>
              <w:spacing w:after="0"/>
              <w:rPr>
                <w:sz w:val="22"/>
                <w:szCs w:val="22"/>
                <w:color w:val="auto"/>
              </w:rPr>
            </w:pPr>
          </w:p>
        </w:tc>
        <w:tc>
          <w:tcPr>
            <w:tcW w:w="4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Officer</w:t>
            </w:r>
          </w:p>
        </w:tc>
        <w:tc>
          <w:tcPr>
            <w:tcW w:w="1660" w:type="dxa"/>
            <w:vAlign w:val="bottom"/>
          </w:tcPr>
          <w:p>
            <w:pPr>
              <w:spacing w:after="0"/>
              <w:rPr>
                <w:sz w:val="22"/>
                <w:szCs w:val="22"/>
                <w:color w:val="auto"/>
              </w:rPr>
            </w:pPr>
          </w:p>
        </w:tc>
      </w:tr>
      <w:tr>
        <w:trPr>
          <w:trHeight w:val="324"/>
        </w:trPr>
        <w:tc>
          <w:tcPr>
            <w:tcW w:w="2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 Samsheer Ahmad</w:t>
            </w:r>
          </w:p>
        </w:tc>
        <w:tc>
          <w:tcPr>
            <w:tcW w:w="4600" w:type="dxa"/>
            <w:vAlign w:val="bottom"/>
          </w:tcPr>
          <w:p>
            <w:pPr>
              <w:ind w:left="140"/>
              <w:spacing w:after="0"/>
              <w:rPr>
                <w:sz w:val="20"/>
                <w:szCs w:val="20"/>
                <w:color w:val="auto"/>
              </w:rPr>
            </w:pPr>
            <w:r>
              <w:rPr>
                <w:rFonts w:ascii="Times New Roman" w:cs="Times New Roman" w:eastAsia="Times New Roman" w:hAnsi="Times New Roman"/>
                <w:sz w:val="20"/>
                <w:szCs w:val="20"/>
                <w:i w:val="1"/>
                <w:iCs w:val="1"/>
                <w:color w:val="auto"/>
              </w:rPr>
              <w:t>(Principal Accounting Officer)</w:t>
            </w:r>
          </w:p>
        </w:tc>
        <w:tc>
          <w:tcPr>
            <w:tcW w:w="16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February 11, 2026</w:t>
            </w:r>
          </w:p>
        </w:tc>
      </w:tr>
      <w:tr>
        <w:trPr>
          <w:trHeight w:val="43"/>
        </w:trPr>
        <w:tc>
          <w:tcPr>
            <w:tcW w:w="2580" w:type="dxa"/>
            <w:vAlign w:val="bottom"/>
            <w:tcBorders>
              <w:bottom w:val="single" w:sz="8" w:color="auto"/>
            </w:tcBorders>
          </w:tcPr>
          <w:p>
            <w:pPr>
              <w:spacing w:after="0"/>
              <w:rPr>
                <w:sz w:val="3"/>
                <w:szCs w:val="3"/>
                <w:color w:val="auto"/>
              </w:rPr>
            </w:pPr>
          </w:p>
        </w:tc>
        <w:tc>
          <w:tcPr>
            <w:tcW w:w="460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28"/>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Samsheer Ahmad</w:t>
            </w:r>
          </w:p>
        </w:tc>
        <w:tc>
          <w:tcPr>
            <w:tcW w:w="46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72"/>
        </w:trPr>
        <w:tc>
          <w:tcPr>
            <w:tcW w:w="2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 Faraj Aalaei</w:t>
            </w:r>
          </w:p>
        </w:tc>
        <w:tc>
          <w:tcPr>
            <w:tcW w:w="4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6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February 11, 2026</w:t>
            </w:r>
          </w:p>
        </w:tc>
      </w:tr>
      <w:tr>
        <w:trPr>
          <w:trHeight w:val="43"/>
        </w:trPr>
        <w:tc>
          <w:tcPr>
            <w:tcW w:w="2580" w:type="dxa"/>
            <w:vAlign w:val="bottom"/>
            <w:tcBorders>
              <w:bottom w:val="single" w:sz="8" w:color="auto"/>
            </w:tcBorders>
          </w:tcPr>
          <w:p>
            <w:pPr>
              <w:spacing w:after="0"/>
              <w:rPr>
                <w:sz w:val="3"/>
                <w:szCs w:val="3"/>
                <w:color w:val="auto"/>
              </w:rPr>
            </w:pPr>
          </w:p>
        </w:tc>
        <w:tc>
          <w:tcPr>
            <w:tcW w:w="460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315"/>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Faraj Aalaei</w:t>
            </w:r>
          </w:p>
        </w:tc>
        <w:tc>
          <w:tcPr>
            <w:tcW w:w="46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55"/>
        </w:trPr>
        <w:tc>
          <w:tcPr>
            <w:tcW w:w="2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 Raman K. Chitkara</w:t>
            </w:r>
          </w:p>
        </w:tc>
        <w:tc>
          <w:tcPr>
            <w:tcW w:w="4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6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February 11, 2026</w:t>
            </w:r>
          </w:p>
        </w:tc>
      </w:tr>
      <w:tr>
        <w:trPr>
          <w:trHeight w:val="43"/>
        </w:trPr>
        <w:tc>
          <w:tcPr>
            <w:tcW w:w="2580" w:type="dxa"/>
            <w:vAlign w:val="bottom"/>
            <w:tcBorders>
              <w:bottom w:val="single" w:sz="8" w:color="auto"/>
            </w:tcBorders>
          </w:tcPr>
          <w:p>
            <w:pPr>
              <w:spacing w:after="0"/>
              <w:rPr>
                <w:sz w:val="3"/>
                <w:szCs w:val="3"/>
                <w:color w:val="auto"/>
              </w:rPr>
            </w:pPr>
          </w:p>
        </w:tc>
        <w:tc>
          <w:tcPr>
            <w:tcW w:w="460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9"/>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Raman K. Chitkara</w:t>
            </w:r>
          </w:p>
        </w:tc>
        <w:tc>
          <w:tcPr>
            <w:tcW w:w="46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55"/>
        </w:trPr>
        <w:tc>
          <w:tcPr>
            <w:tcW w:w="2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 Edward H. Frank</w:t>
            </w:r>
          </w:p>
        </w:tc>
        <w:tc>
          <w:tcPr>
            <w:tcW w:w="4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6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February 11, 2026</w:t>
            </w:r>
          </w:p>
        </w:tc>
      </w:tr>
      <w:tr>
        <w:trPr>
          <w:trHeight w:val="43"/>
        </w:trPr>
        <w:tc>
          <w:tcPr>
            <w:tcW w:w="2580" w:type="dxa"/>
            <w:vAlign w:val="bottom"/>
            <w:tcBorders>
              <w:bottom w:val="single" w:sz="8" w:color="auto"/>
            </w:tcBorders>
          </w:tcPr>
          <w:p>
            <w:pPr>
              <w:spacing w:after="0"/>
              <w:rPr>
                <w:sz w:val="3"/>
                <w:szCs w:val="3"/>
                <w:color w:val="auto"/>
              </w:rPr>
            </w:pPr>
          </w:p>
        </w:tc>
        <w:tc>
          <w:tcPr>
            <w:tcW w:w="460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9"/>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Edward H. Frank</w:t>
            </w:r>
          </w:p>
        </w:tc>
        <w:tc>
          <w:tcPr>
            <w:tcW w:w="46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504"/>
        </w:trPr>
        <w:tc>
          <w:tcPr>
            <w:tcW w:w="2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 Christine Heckart</w:t>
            </w:r>
          </w:p>
        </w:tc>
        <w:tc>
          <w:tcPr>
            <w:tcW w:w="4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6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February 11, 2026</w:t>
            </w:r>
          </w:p>
        </w:tc>
      </w:tr>
      <w:tr>
        <w:trPr>
          <w:trHeight w:val="42"/>
        </w:trPr>
        <w:tc>
          <w:tcPr>
            <w:tcW w:w="2580" w:type="dxa"/>
            <w:vAlign w:val="bottom"/>
            <w:tcBorders>
              <w:bottom w:val="single" w:sz="8" w:color="auto"/>
            </w:tcBorders>
          </w:tcPr>
          <w:p>
            <w:pPr>
              <w:spacing w:after="0"/>
              <w:rPr>
                <w:sz w:val="3"/>
                <w:szCs w:val="3"/>
                <w:color w:val="auto"/>
              </w:rPr>
            </w:pPr>
          </w:p>
        </w:tc>
        <w:tc>
          <w:tcPr>
            <w:tcW w:w="460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315"/>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Christine Heckart</w:t>
            </w:r>
          </w:p>
        </w:tc>
        <w:tc>
          <w:tcPr>
            <w:tcW w:w="46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56"/>
        </w:trPr>
        <w:tc>
          <w:tcPr>
            <w:tcW w:w="2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 Torsten G. Kreindl</w:t>
            </w:r>
          </w:p>
        </w:tc>
        <w:tc>
          <w:tcPr>
            <w:tcW w:w="4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6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February 11, 2026</w:t>
            </w:r>
          </w:p>
        </w:tc>
      </w:tr>
      <w:tr>
        <w:trPr>
          <w:trHeight w:val="43"/>
        </w:trPr>
        <w:tc>
          <w:tcPr>
            <w:tcW w:w="2580" w:type="dxa"/>
            <w:vAlign w:val="bottom"/>
            <w:tcBorders>
              <w:bottom w:val="single" w:sz="8" w:color="auto"/>
            </w:tcBorders>
          </w:tcPr>
          <w:p>
            <w:pPr>
              <w:spacing w:after="0"/>
              <w:rPr>
                <w:sz w:val="3"/>
                <w:szCs w:val="3"/>
                <w:color w:val="auto"/>
              </w:rPr>
            </w:pPr>
          </w:p>
        </w:tc>
        <w:tc>
          <w:tcPr>
            <w:tcW w:w="460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8"/>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Torsten G. Kreindl</w:t>
            </w:r>
          </w:p>
        </w:tc>
        <w:tc>
          <w:tcPr>
            <w:tcW w:w="46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504"/>
        </w:trPr>
        <w:tc>
          <w:tcPr>
            <w:tcW w:w="2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 Ganesh Moorthy</w:t>
            </w:r>
          </w:p>
        </w:tc>
        <w:tc>
          <w:tcPr>
            <w:tcW w:w="4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6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February 11, 2026</w:t>
            </w:r>
          </w:p>
        </w:tc>
      </w:tr>
      <w:tr>
        <w:trPr>
          <w:trHeight w:val="43"/>
        </w:trPr>
        <w:tc>
          <w:tcPr>
            <w:tcW w:w="2580" w:type="dxa"/>
            <w:vAlign w:val="bottom"/>
            <w:tcBorders>
              <w:bottom w:val="single" w:sz="8" w:color="auto"/>
            </w:tcBorders>
          </w:tcPr>
          <w:p>
            <w:pPr>
              <w:spacing w:after="0"/>
              <w:rPr>
                <w:sz w:val="3"/>
                <w:szCs w:val="3"/>
                <w:color w:val="auto"/>
              </w:rPr>
            </w:pPr>
          </w:p>
        </w:tc>
        <w:tc>
          <w:tcPr>
            <w:tcW w:w="460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314"/>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Ganesh Moorthy</w:t>
            </w:r>
          </w:p>
        </w:tc>
        <w:tc>
          <w:tcPr>
            <w:tcW w:w="46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56"/>
        </w:trPr>
        <w:tc>
          <w:tcPr>
            <w:tcW w:w="2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 Katherine E. Schuelke</w:t>
            </w:r>
          </w:p>
        </w:tc>
        <w:tc>
          <w:tcPr>
            <w:tcW w:w="4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6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February 11, 2026</w:t>
            </w:r>
          </w:p>
        </w:tc>
      </w:tr>
      <w:tr>
        <w:trPr>
          <w:trHeight w:val="43"/>
        </w:trPr>
        <w:tc>
          <w:tcPr>
            <w:tcW w:w="2580" w:type="dxa"/>
            <w:vAlign w:val="bottom"/>
            <w:tcBorders>
              <w:bottom w:val="single" w:sz="8" w:color="auto"/>
            </w:tcBorders>
          </w:tcPr>
          <w:p>
            <w:pPr>
              <w:spacing w:after="0"/>
              <w:rPr>
                <w:sz w:val="3"/>
                <w:szCs w:val="3"/>
                <w:color w:val="auto"/>
              </w:rPr>
            </w:pPr>
          </w:p>
        </w:tc>
        <w:tc>
          <w:tcPr>
            <w:tcW w:w="460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9"/>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Katherine E. Schuelke</w:t>
            </w:r>
          </w:p>
        </w:tc>
        <w:tc>
          <w:tcPr>
            <w:tcW w:w="46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55"/>
        </w:trPr>
        <w:tc>
          <w:tcPr>
            <w:tcW w:w="2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/s/ Akira Takata</w:t>
            </w:r>
          </w:p>
        </w:tc>
        <w:tc>
          <w:tcPr>
            <w:tcW w:w="46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Director</w:t>
            </w:r>
          </w:p>
        </w:tc>
        <w:tc>
          <w:tcPr>
            <w:tcW w:w="1660" w:type="dxa"/>
            <w:vAlign w:val="bottom"/>
          </w:tcPr>
          <w:p>
            <w:pPr>
              <w:ind w:left="180"/>
              <w:spacing w:after="0"/>
              <w:rPr>
                <w:sz w:val="20"/>
                <w:szCs w:val="20"/>
                <w:color w:val="auto"/>
              </w:rPr>
            </w:pPr>
            <w:r>
              <w:rPr>
                <w:rFonts w:ascii="Times New Roman" w:cs="Times New Roman" w:eastAsia="Times New Roman" w:hAnsi="Times New Roman"/>
                <w:sz w:val="20"/>
                <w:szCs w:val="20"/>
                <w:color w:val="auto"/>
                <w:w w:val="99"/>
              </w:rPr>
              <w:t>February 11, 2026</w:t>
            </w:r>
          </w:p>
        </w:tc>
      </w:tr>
      <w:tr>
        <w:trPr>
          <w:trHeight w:val="43"/>
        </w:trPr>
        <w:tc>
          <w:tcPr>
            <w:tcW w:w="2580" w:type="dxa"/>
            <w:vAlign w:val="bottom"/>
            <w:tcBorders>
              <w:bottom w:val="single" w:sz="8" w:color="auto"/>
            </w:tcBorders>
          </w:tcPr>
          <w:p>
            <w:pPr>
              <w:spacing w:after="0"/>
              <w:rPr>
                <w:sz w:val="3"/>
                <w:szCs w:val="3"/>
                <w:color w:val="auto"/>
              </w:rPr>
            </w:pPr>
          </w:p>
        </w:tc>
        <w:tc>
          <w:tcPr>
            <w:tcW w:w="460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19"/>
        </w:trPr>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Akira Takata</w:t>
            </w:r>
          </w:p>
        </w:tc>
        <w:tc>
          <w:tcPr>
            <w:tcW w:w="460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spacing w:after="0" w:line="200" w:lineRule="exact"/>
        <w:rPr>
          <w:sz w:val="20"/>
          <w:szCs w:val="20"/>
          <w:color w:val="auto"/>
        </w:rPr>
      </w:pPr>
    </w:p>
    <w:p>
      <w:pPr>
        <w:sectPr>
          <w:pgSz w:w="12240" w:h="15840" w:orient="portrait"/>
          <w:cols w:equalWidth="0" w:num="1">
            <w:col w:w="9680"/>
          </w:cols>
          <w:pgMar w:left="1120" w:top="85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39"/>
        <w:spacing w:after="0" w:line="240" w:lineRule="exact"/>
        <w:rPr>
          <w:sz w:val="20"/>
          <w:szCs w:val="20"/>
          <w:color w:val="auto"/>
        </w:rPr>
      </w:pPr>
      <w:r>
        <w:rPr>
          <w:rFonts w:ascii="PMingLiU" w:cs="PMingLiU" w:eastAsia="PMingLiU" w:hAnsi="PMingLiU"/>
          <w:sz w:val="20"/>
          <w:szCs w:val="20"/>
          <w:color w:val="auto"/>
        </w:rPr>
        <w:t/>
      </w:r>
    </w:p>
    <w:p>
      <w:pPr>
        <w:sectPr>
          <w:pgSz w:w="12240" w:h="15840" w:orient="portrait"/>
          <w:cols w:equalWidth="0" w:num="1">
            <w:col w:w="9680"/>
          </w:cols>
          <w:pgMar w:left="1120" w:top="856" w:right="1440" w:bottom="0" w:gutter="0" w:footer="0" w:header="0"/>
          <w:type w:val="continuous"/>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161616"/>
        </w:rPr>
        <w:t>This Page Intentionally Left Blank</w:t>
      </w:r>
    </w:p>
    <w:p>
      <w:pPr>
        <w:sectPr>
          <w:pgSz w:w="12240" w:h="15840" w:orient="portrait"/>
          <w:cols w:equalWidth="0" w:num="1">
            <w:col w:w="9360"/>
          </w:cols>
          <w:pgMar w:left="1440" w:top="1440" w:right="1440"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161616"/>
        </w:rPr>
        <w:t>This Page Intentionally Left Blank</w:t>
      </w:r>
    </w:p>
    <w:p>
      <w:pPr>
        <w:sectPr>
          <w:pgSz w:w="12240" w:h="15840" w:orient="portrait"/>
          <w:cols w:equalWidth="0" w:num="1">
            <w:col w:w="9360"/>
          </w:cols>
          <w:pgMar w:left="1440" w:top="1440" w:right="1440" w:bottom="1440" w:gutter="0" w:footer="0" w:header="0"/>
        </w:sectPr>
      </w:pPr>
    </w:p>
    <w:bookmarkStart w:id="106" w:name="page107"/>
    <w:bookmarkEnd w:id="106"/>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107" w:name="page108"/>
    <w:bookmarkEnd w:id="107"/>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MS PGothic">
    <w:panose1 w:val="020B0600070205080204"/>
    <w:charset w:val="0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_"/>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decimal"/>
      <w:start w:val="4"/>
    </w:lvl>
  </w:abstractNum>
  <w:abstractNum w:abstractNumId="30">
    <w:nsid w:val="614FD4A1"/>
    <w:multiLevelType w:val="hybridMultilevel"/>
    <w:lvl w:ilvl="0">
      <w:lvlJc w:val="left"/>
      <w:lvlText w:val="%1."/>
      <w:numFmt w:val="decimal"/>
      <w:start w:val="6"/>
    </w:lvl>
  </w:abstractNum>
  <w:abstractNum w:abstractNumId="31">
    <w:nsid w:val="419AC241"/>
    <w:multiLevelType w:val="hybridMultilevel"/>
    <w:lvl w:ilvl="0">
      <w:lvlJc w:val="left"/>
      <w:lvlText w:val="%1."/>
      <w:numFmt w:val="decimal"/>
      <w:start w:val="7"/>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2"/>
    </w:lvl>
  </w:abstractNum>
  <w:abstractNum w:abstractNumId="35">
    <w:nsid w:val="3804823E"/>
    <w:multiLevelType w:val="hybridMultilevel"/>
    <w:lvl w:ilvl="0">
      <w:lvlJc w:val="left"/>
      <w:lvlText w:val="%1."/>
      <w:numFmt w:val="decimal"/>
      <w:start w:val="3"/>
    </w:lvl>
  </w:abstractNum>
  <w:abstractNum w:abstractNumId="36">
    <w:nsid w:val="77465F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2026-04-16T05:14:33Z</dcterms:created>
  <dcterms:modified xsi:type="dcterms:W3CDTF">2026-04-16T05:14:33Z</dcterms:modified>
</cp:coreProperties>
</file>