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47625</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82"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50800</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04"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468" w:hanging="468"/>
        <w:spacing w:after="0"/>
        <w:tabs>
          <w:tab w:leader="none" w:pos="468"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QUARTERLY REPORT 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ind w:left="468" w:hanging="468"/>
        <w:spacing w:after="0"/>
        <w:tabs>
          <w:tab w:leader="none" w:pos="468"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78" w:lineRule="exact"/>
        <w:rPr>
          <w:sz w:val="24"/>
          <w:szCs w:val="24"/>
          <w:color w:val="auto"/>
        </w:rPr>
      </w:pPr>
    </w:p>
    <w:p>
      <w:pPr>
        <w:ind w:left="4608"/>
        <w:spacing w:after="0"/>
        <w:tabs>
          <w:tab w:leader="none" w:pos="6328"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51" w:lineRule="exact"/>
        <w:rPr>
          <w:sz w:val="24"/>
          <w:szCs w:val="24"/>
          <w:color w:val="auto"/>
        </w:rPr>
      </w:pPr>
    </w:p>
    <w:p>
      <w:pPr>
        <w:ind w:left="4708"/>
        <w:spacing w:after="0"/>
        <w:rPr>
          <w:sz w:val="20"/>
          <w:szCs w:val="20"/>
          <w:color w:val="auto"/>
        </w:rPr>
      </w:pPr>
      <w:r>
        <w:rPr>
          <w:rFonts w:ascii="Arial" w:cs="Arial" w:eastAsia="Arial" w:hAnsi="Arial"/>
          <w:sz w:val="12"/>
          <w:szCs w:val="12"/>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52070</wp:posOffset>
            </wp:positionV>
            <wp:extent cx="1440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97" w:lineRule="exact"/>
        <w:rPr>
          <w:sz w:val="24"/>
          <w:szCs w:val="24"/>
          <w:color w:val="auto"/>
        </w:rPr>
      </w:pPr>
    </w:p>
    <w:tbl>
      <w:tblPr>
        <w:tblLayout w:type="fixed"/>
        <w:tblInd w:w="8" w:type="dxa"/>
        <w:tblCellMar>
          <w:top w:w="0" w:type="dxa"/>
          <w:left w:w="0" w:type="dxa"/>
          <w:bottom w:w="0" w:type="dxa"/>
          <w:right w:w="0" w:type="dxa"/>
        </w:tblCellMar>
      </w:tblPr>
      <w:tr>
        <w:trPr>
          <w:trHeight w:val="348"/>
        </w:trPr>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4"/>
          </w:tcPr>
          <w:p>
            <w:pPr>
              <w:jc w:val="center"/>
              <w:ind w:right="360"/>
              <w:spacing w:after="0"/>
              <w:rPr>
                <w:sz w:val="20"/>
                <w:szCs w:val="20"/>
                <w:color w:val="auto"/>
              </w:rPr>
            </w:pPr>
            <w:r>
              <w:rPr>
                <w:rFonts w:ascii="Arial" w:cs="Arial" w:eastAsia="Arial" w:hAnsi="Arial"/>
                <w:sz w:val="29"/>
                <w:szCs w:val="29"/>
                <w:b w:val="1"/>
                <w:bCs w:val="1"/>
                <w:color w:val="auto"/>
                <w:w w:val="92"/>
              </w:rPr>
              <w:t>SiTime Corporation</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2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89"/>
              </w:rPr>
              <w:t>(Exact name of registrant as specified in its charter)</w:t>
            </w: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920" w:type="dxa"/>
            <w:vAlign w:val="bottom"/>
            <w:gridSpan w:val="2"/>
            <w:vMerge w:val="restart"/>
          </w:tcPr>
          <w:p>
            <w:pPr>
              <w:jc w:val="center"/>
              <w:ind w:left="1648"/>
              <w:spacing w:after="0"/>
              <w:rPr>
                <w:sz w:val="20"/>
                <w:szCs w:val="20"/>
                <w:color w:val="auto"/>
              </w:rPr>
            </w:pPr>
            <w:r>
              <w:rPr>
                <w:rFonts w:ascii="Arial" w:cs="Arial" w:eastAsia="Arial" w:hAnsi="Arial"/>
                <w:sz w:val="12"/>
                <w:szCs w:val="12"/>
                <w:color w:val="auto"/>
                <w:w w:val="90"/>
              </w:rPr>
              <w:t>Delaware</w:t>
            </w: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20" w:type="dxa"/>
            <w:vAlign w:val="bottom"/>
            <w:vMerge w:val="restart"/>
          </w:tcPr>
          <w:p>
            <w:pPr>
              <w:jc w:val="right"/>
              <w:ind w:right="2490"/>
              <w:spacing w:after="0"/>
              <w:rPr>
                <w:sz w:val="20"/>
                <w:szCs w:val="20"/>
                <w:color w:val="auto"/>
              </w:rPr>
            </w:pPr>
            <w:r>
              <w:rPr>
                <w:rFonts w:ascii="Arial" w:cs="Arial" w:eastAsia="Arial" w:hAnsi="Arial"/>
                <w:sz w:val="12"/>
                <w:szCs w:val="12"/>
                <w:b w:val="1"/>
                <w:bCs w:val="1"/>
                <w:color w:val="auto"/>
              </w:rPr>
              <w:t>02-0713868</w:t>
            </w:r>
          </w:p>
        </w:tc>
        <w:tc>
          <w:tcPr>
            <w:tcW w:w="0" w:type="dxa"/>
            <w:vAlign w:val="bottom"/>
          </w:tcPr>
          <w:p>
            <w:pPr>
              <w:spacing w:after="0"/>
              <w:rPr>
                <w:sz w:val="1"/>
                <w:szCs w:val="1"/>
                <w:color w:val="auto"/>
              </w:rPr>
            </w:pPr>
          </w:p>
        </w:tc>
      </w:tr>
      <w:tr>
        <w:trPr>
          <w:trHeight w:val="176"/>
        </w:trPr>
        <w:tc>
          <w:tcPr>
            <w:tcW w:w="3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920" w:type="dxa"/>
            <w:vAlign w:val="bottom"/>
            <w:gridSpan w:val="2"/>
          </w:tcPr>
          <w:p>
            <w:pPr>
              <w:jc w:val="center"/>
              <w:ind w:left="1668"/>
              <w:spacing w:after="0" w:line="90" w:lineRule="exact"/>
              <w:rPr>
                <w:sz w:val="20"/>
                <w:szCs w:val="20"/>
                <w:color w:val="auto"/>
              </w:rPr>
            </w:pPr>
            <w:r>
              <w:rPr>
                <w:rFonts w:ascii="Arial" w:cs="Arial" w:eastAsia="Arial" w:hAnsi="Arial"/>
                <w:sz w:val="8"/>
                <w:szCs w:val="8"/>
                <w:b w:val="1"/>
                <w:bCs w:val="1"/>
                <w:color w:val="auto"/>
                <w:w w:val="94"/>
              </w:rPr>
              <w:t>(State or other jurisdiction of</w:t>
            </w: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20" w:type="dxa"/>
            <w:vAlign w:val="bottom"/>
          </w:tcPr>
          <w:p>
            <w:pPr>
              <w:jc w:val="center"/>
              <w:ind w:right="1990"/>
              <w:spacing w:after="0" w:line="90" w:lineRule="exact"/>
              <w:rPr>
                <w:sz w:val="20"/>
                <w:szCs w:val="20"/>
                <w:color w:val="auto"/>
              </w:rPr>
            </w:pPr>
            <w:r>
              <w:rPr>
                <w:rFonts w:ascii="Arial" w:cs="Arial" w:eastAsia="Arial" w:hAnsi="Arial"/>
                <w:sz w:val="8"/>
                <w:szCs w:val="8"/>
                <w:b w:val="1"/>
                <w:bCs w:val="1"/>
                <w:color w:val="auto"/>
              </w:rPr>
              <w:t>(I.R.S. Employer</w:t>
            </w:r>
          </w:p>
        </w:tc>
        <w:tc>
          <w:tcPr>
            <w:tcW w:w="0" w:type="dxa"/>
            <w:vAlign w:val="bottom"/>
          </w:tcPr>
          <w:p>
            <w:pPr>
              <w:spacing w:after="0"/>
              <w:rPr>
                <w:sz w:val="1"/>
                <w:szCs w:val="1"/>
                <w:color w:val="auto"/>
              </w:rPr>
            </w:pPr>
          </w:p>
        </w:tc>
      </w:tr>
      <w:tr>
        <w:trPr>
          <w:trHeight w:val="88"/>
        </w:trPr>
        <w:tc>
          <w:tcPr>
            <w:tcW w:w="3920" w:type="dxa"/>
            <w:vAlign w:val="bottom"/>
            <w:gridSpan w:val="2"/>
          </w:tcPr>
          <w:p>
            <w:pPr>
              <w:jc w:val="center"/>
              <w:ind w:left="1668"/>
              <w:spacing w:after="0" w:line="88" w:lineRule="exact"/>
              <w:rPr>
                <w:sz w:val="20"/>
                <w:szCs w:val="20"/>
                <w:color w:val="auto"/>
              </w:rPr>
            </w:pPr>
            <w:r>
              <w:rPr>
                <w:rFonts w:ascii="Arial" w:cs="Arial" w:eastAsia="Arial" w:hAnsi="Arial"/>
                <w:sz w:val="8"/>
                <w:szCs w:val="8"/>
                <w:b w:val="1"/>
                <w:bCs w:val="1"/>
                <w:color w:val="auto"/>
                <w:w w:val="94"/>
              </w:rPr>
              <w:t>incorporation or organization)</w:t>
            </w: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20" w:type="dxa"/>
            <w:vAlign w:val="bottom"/>
          </w:tcPr>
          <w:p>
            <w:pPr>
              <w:jc w:val="center"/>
              <w:ind w:right="1990"/>
              <w:spacing w:after="0" w:line="88" w:lineRule="exact"/>
              <w:rPr>
                <w:sz w:val="20"/>
                <w:szCs w:val="20"/>
                <w:color w:val="auto"/>
              </w:rPr>
            </w:pPr>
            <w:r>
              <w:rPr>
                <w:rFonts w:ascii="Arial" w:cs="Arial" w:eastAsia="Arial" w:hAnsi="Arial"/>
                <w:sz w:val="8"/>
                <w:szCs w:val="8"/>
                <w:b w:val="1"/>
                <w:bCs w:val="1"/>
                <w:color w:val="auto"/>
                <w:w w:val="97"/>
              </w:rPr>
              <w:t>Identification No.)</w:t>
            </w:r>
          </w:p>
        </w:tc>
        <w:tc>
          <w:tcPr>
            <w:tcW w:w="0" w:type="dxa"/>
            <w:vAlign w:val="bottom"/>
          </w:tcPr>
          <w:p>
            <w:pPr>
              <w:spacing w:after="0"/>
              <w:rPr>
                <w:sz w:val="1"/>
                <w:szCs w:val="1"/>
                <w:color w:val="auto"/>
              </w:rPr>
            </w:pPr>
          </w:p>
        </w:tc>
      </w:tr>
      <w:tr>
        <w:trPr>
          <w:trHeight w:val="144"/>
        </w:trPr>
        <w:tc>
          <w:tcPr>
            <w:tcW w:w="3920" w:type="dxa"/>
            <w:vAlign w:val="bottom"/>
            <w:gridSpan w:val="2"/>
          </w:tcPr>
          <w:p>
            <w:pPr>
              <w:jc w:val="center"/>
              <w:ind w:left="1668"/>
              <w:spacing w:after="0"/>
              <w:rPr>
                <w:sz w:val="20"/>
                <w:szCs w:val="20"/>
                <w:color w:val="auto"/>
              </w:rPr>
            </w:pPr>
            <w:r>
              <w:rPr>
                <w:rFonts w:ascii="Arial" w:cs="Arial" w:eastAsia="Arial" w:hAnsi="Arial"/>
                <w:sz w:val="12"/>
                <w:szCs w:val="12"/>
                <w:b w:val="1"/>
                <w:bCs w:val="1"/>
                <w:color w:val="auto"/>
                <w:w w:val="93"/>
              </w:rPr>
              <w:t>5451 Patrick Henry Drive</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20" w:type="dxa"/>
            <w:vAlign w:val="bottom"/>
            <w:gridSpan w:val="2"/>
          </w:tcPr>
          <w:p>
            <w:pPr>
              <w:jc w:val="center"/>
              <w:ind w:left="1668"/>
              <w:spacing w:after="0"/>
              <w:rPr>
                <w:sz w:val="20"/>
                <w:szCs w:val="20"/>
                <w:color w:val="auto"/>
              </w:rPr>
            </w:pPr>
            <w:r>
              <w:rPr>
                <w:rFonts w:ascii="Arial" w:cs="Arial" w:eastAsia="Arial" w:hAnsi="Arial"/>
                <w:sz w:val="12"/>
                <w:szCs w:val="12"/>
                <w:b w:val="1"/>
                <w:bCs w:val="1"/>
                <w:color w:val="auto"/>
                <w:w w:val="93"/>
              </w:rPr>
              <w:t>Santa Clara, CA</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jc w:val="right"/>
              <w:ind w:right="2630"/>
              <w:spacing w:after="0"/>
              <w:rPr>
                <w:sz w:val="20"/>
                <w:szCs w:val="20"/>
                <w:color w:val="auto"/>
              </w:rPr>
            </w:pPr>
            <w:r>
              <w:rPr>
                <w:rFonts w:ascii="Arial" w:cs="Arial" w:eastAsia="Arial" w:hAnsi="Arial"/>
                <w:sz w:val="12"/>
                <w:szCs w:val="12"/>
                <w:b w:val="1"/>
                <w:bCs w:val="1"/>
                <w:color w:val="auto"/>
              </w:rPr>
              <w:t>95054</w:t>
            </w:r>
          </w:p>
        </w:tc>
        <w:tc>
          <w:tcPr>
            <w:tcW w:w="0" w:type="dxa"/>
            <w:vAlign w:val="bottom"/>
          </w:tcPr>
          <w:p>
            <w:pPr>
              <w:spacing w:after="0"/>
              <w:rPr>
                <w:sz w:val="1"/>
                <w:szCs w:val="1"/>
                <w:color w:val="auto"/>
              </w:rPr>
            </w:pPr>
          </w:p>
        </w:tc>
      </w:tr>
      <w:tr>
        <w:trPr>
          <w:trHeight w:val="107"/>
        </w:trPr>
        <w:tc>
          <w:tcPr>
            <w:tcW w:w="3920" w:type="dxa"/>
            <w:vAlign w:val="bottom"/>
            <w:gridSpan w:val="2"/>
          </w:tcPr>
          <w:p>
            <w:pPr>
              <w:jc w:val="center"/>
              <w:ind w:left="1668"/>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20" w:type="dxa"/>
            <w:vAlign w:val="bottom"/>
          </w:tcPr>
          <w:p>
            <w:pPr>
              <w:jc w:val="center"/>
              <w:ind w:right="1990"/>
              <w:spacing w:after="0"/>
              <w:rPr>
                <w:sz w:val="20"/>
                <w:szCs w:val="20"/>
                <w:color w:val="auto"/>
              </w:rPr>
            </w:pPr>
            <w:r>
              <w:rPr>
                <w:rFonts w:ascii="Arial" w:cs="Arial" w:eastAsia="Arial" w:hAnsi="Arial"/>
                <w:sz w:val="8"/>
                <w:szCs w:val="8"/>
                <w:b w:val="1"/>
                <w:bCs w:val="1"/>
                <w:color w:val="auto"/>
                <w:w w:val="95"/>
              </w:rPr>
              <w:t>(Zip Code)</w:t>
            </w: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5"/>
          </w:tcPr>
          <w:p>
            <w:pPr>
              <w:jc w:val="center"/>
              <w:ind w:right="320"/>
              <w:spacing w:after="0"/>
              <w:rPr>
                <w:sz w:val="20"/>
                <w:szCs w:val="20"/>
                <w:color w:val="auto"/>
              </w:rPr>
            </w:pPr>
            <w:r>
              <w:rPr>
                <w:rFonts w:ascii="Arial" w:cs="Arial" w:eastAsia="Arial" w:hAnsi="Arial"/>
                <w:sz w:val="12"/>
                <w:szCs w:val="12"/>
                <w:b w:val="1"/>
                <w:bCs w:val="1"/>
                <w:color w:val="auto"/>
                <w:w w:val="89"/>
              </w:rPr>
              <w:t>Registrant’s telephone number, including area code: (408) 328-4400</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3920" w:type="dxa"/>
            <w:vAlign w:val="bottom"/>
            <w:gridSpan w:val="2"/>
            <w:vMerge w:val="restart"/>
          </w:tcPr>
          <w:p>
            <w:pPr>
              <w:ind w:left="600"/>
              <w:spacing w:after="0"/>
              <w:rPr>
                <w:sz w:val="20"/>
                <w:szCs w:val="20"/>
                <w:color w:val="auto"/>
              </w:rPr>
            </w:pPr>
            <w:r>
              <w:rPr>
                <w:rFonts w:ascii="Arial" w:cs="Arial" w:eastAsia="Arial" w:hAnsi="Arial"/>
                <w:sz w:val="11"/>
                <w:szCs w:val="11"/>
                <w:color w:val="auto"/>
              </w:rPr>
              <w:t>Securities registered pursuant to Section 12(b) of the Act:</w:t>
            </w: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3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180" w:type="dxa"/>
            <w:vAlign w:val="bottom"/>
            <w:gridSpan w:val="3"/>
          </w:tcPr>
          <w:p>
            <w:pPr>
              <w:jc w:val="center"/>
              <w:ind w:right="640"/>
              <w:spacing w:after="0"/>
              <w:rPr>
                <w:sz w:val="20"/>
                <w:szCs w:val="20"/>
                <w:color w:val="auto"/>
              </w:rPr>
            </w:pPr>
            <w:r>
              <w:rPr>
                <w:rFonts w:ascii="Arial" w:cs="Arial" w:eastAsia="Arial" w:hAnsi="Arial"/>
                <w:sz w:val="10"/>
                <w:szCs w:val="10"/>
                <w:b w:val="1"/>
                <w:bCs w:val="1"/>
                <w:color w:val="auto"/>
                <w:w w:val="88"/>
              </w:rPr>
              <w:t>Trading Symbol(s)</w:t>
            </w:r>
          </w:p>
        </w:tc>
        <w:tc>
          <w:tcPr>
            <w:tcW w:w="362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 on which registered</w:t>
            </w:r>
          </w:p>
        </w:tc>
        <w:tc>
          <w:tcPr>
            <w:tcW w:w="0" w:type="dxa"/>
            <w:vAlign w:val="bottom"/>
          </w:tcPr>
          <w:p>
            <w:pPr>
              <w:spacing w:after="0"/>
              <w:rPr>
                <w:sz w:val="1"/>
                <w:szCs w:val="1"/>
                <w:color w:val="auto"/>
              </w:rPr>
            </w:pPr>
          </w:p>
        </w:tc>
      </w:tr>
      <w:tr>
        <w:trPr>
          <w:trHeight w:val="125"/>
        </w:trPr>
        <w:tc>
          <w:tcPr>
            <w:tcW w:w="38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1"/>
                <w:szCs w:val="11"/>
                <w:color w:val="auto"/>
                <w:w w:val="87"/>
              </w:rPr>
              <w:t>Common Stock, $0.0001 par value per share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80" w:type="dxa"/>
            <w:vAlign w:val="bottom"/>
            <w:tcBorders>
              <w:top w:val="single" w:sz="8" w:color="auto"/>
            </w:tcBorders>
            <w:gridSpan w:val="2"/>
          </w:tcPr>
          <w:p>
            <w:pPr>
              <w:jc w:val="center"/>
              <w:ind w:right="540"/>
              <w:spacing w:after="0" w:line="125" w:lineRule="exact"/>
              <w:rPr>
                <w:sz w:val="20"/>
                <w:szCs w:val="20"/>
                <w:color w:val="auto"/>
              </w:rPr>
            </w:pPr>
            <w:r>
              <w:rPr>
                <w:rFonts w:ascii="Arial" w:cs="Arial" w:eastAsia="Arial" w:hAnsi="Arial"/>
                <w:sz w:val="11"/>
                <w:szCs w:val="11"/>
                <w:color w:val="auto"/>
                <w:w w:val="98"/>
              </w:rPr>
              <w:t>SITM</w:t>
            </w:r>
          </w:p>
        </w:tc>
        <w:tc>
          <w:tcPr>
            <w:tcW w:w="100" w:type="dxa"/>
            <w:vAlign w:val="bottom"/>
          </w:tcPr>
          <w:p>
            <w:pPr>
              <w:spacing w:after="0"/>
              <w:rPr>
                <w:sz w:val="10"/>
                <w:szCs w:val="10"/>
                <w:color w:val="auto"/>
              </w:rPr>
            </w:pPr>
          </w:p>
        </w:tc>
        <w:tc>
          <w:tcPr>
            <w:tcW w:w="36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1"/>
                <w:szCs w:val="11"/>
                <w:color w:val="auto"/>
                <w:w w:val="90"/>
              </w:rPr>
              <w:t>The Nasdaq Stock Market LLC</w:t>
            </w:r>
          </w:p>
        </w:tc>
        <w:tc>
          <w:tcPr>
            <w:tcW w:w="0" w:type="dxa"/>
            <w:vAlign w:val="bottom"/>
          </w:tcPr>
          <w:p>
            <w:pPr>
              <w:spacing w:after="0"/>
              <w:rPr>
                <w:sz w:val="1"/>
                <w:szCs w:val="1"/>
                <w:color w:val="auto"/>
              </w:rPr>
            </w:pPr>
          </w:p>
        </w:tc>
      </w:tr>
      <w:tr>
        <w:trPr>
          <w:trHeight w:val="154"/>
        </w:trPr>
        <w:tc>
          <w:tcPr>
            <w:tcW w:w="11300" w:type="dxa"/>
            <w:vAlign w:val="bottom"/>
            <w:gridSpan w:val="8"/>
          </w:tcPr>
          <w:p>
            <w:pPr>
              <w:ind w:left="600"/>
              <w:spacing w:after="0"/>
              <w:rPr>
                <w:sz w:val="20"/>
                <w:szCs w:val="20"/>
                <w:color w:val="auto"/>
              </w:rPr>
            </w:pPr>
            <w:r>
              <w:rPr>
                <w:rFonts w:ascii="Arial" w:cs="Arial" w:eastAsia="Arial" w:hAnsi="Arial"/>
                <w:sz w:val="11"/>
                <w:szCs w:val="11"/>
                <w:color w:val="auto"/>
                <w:w w:val="90"/>
              </w:rPr>
              <w:t>Indicate by check mark whether the registrant (1) has filed all reports required to be filed by Section 13 or 15(d) of the Securities Exchange Act of 1934 during the preceding 12 months (or for such shorter period that the registrant was required to</w:t>
            </w:r>
          </w:p>
        </w:tc>
        <w:tc>
          <w:tcPr>
            <w:tcW w:w="0" w:type="dxa"/>
            <w:vAlign w:val="bottom"/>
          </w:tcPr>
          <w:p>
            <w:pPr>
              <w:spacing w:after="0"/>
              <w:rPr>
                <w:sz w:val="1"/>
                <w:szCs w:val="1"/>
                <w:color w:val="auto"/>
              </w:rPr>
            </w:pPr>
          </w:p>
        </w:tc>
      </w:tr>
      <w:tr>
        <w:trPr>
          <w:trHeight w:val="168"/>
        </w:trPr>
        <w:tc>
          <w:tcPr>
            <w:tcW w:w="3920" w:type="dxa"/>
            <w:vAlign w:val="bottom"/>
            <w:gridSpan w:val="2"/>
          </w:tcPr>
          <w:p>
            <w:pPr>
              <w:spacing w:after="0"/>
              <w:rPr>
                <w:sz w:val="20"/>
                <w:szCs w:val="20"/>
                <w:color w:val="auto"/>
              </w:rPr>
            </w:pPr>
            <w:r>
              <w:rPr>
                <w:rFonts w:ascii="Arial" w:cs="Arial" w:eastAsia="Arial" w:hAnsi="Arial"/>
                <w:sz w:val="11"/>
                <w:szCs w:val="11"/>
                <w:color w:val="auto"/>
                <w:w w:val="88"/>
              </w:rPr>
              <w:t>file such reports), and (2) has been subject to such filing requirements for the past 90 days.</w:t>
            </w:r>
          </w:p>
        </w:tc>
        <w:tc>
          <w:tcPr>
            <w:tcW w:w="40" w:type="dxa"/>
            <w:vAlign w:val="bottom"/>
          </w:tcPr>
          <w:p>
            <w:pPr>
              <w:spacing w:after="0"/>
              <w:rPr>
                <w:sz w:val="14"/>
                <w:szCs w:val="14"/>
                <w:color w:val="auto"/>
              </w:rPr>
            </w:pPr>
          </w:p>
        </w:tc>
        <w:tc>
          <w:tcPr>
            <w:tcW w:w="3720" w:type="dxa"/>
            <w:vAlign w:val="bottom"/>
            <w:gridSpan w:val="4"/>
          </w:tcPr>
          <w:p>
            <w:pPr>
              <w:ind w:left="80"/>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8" w:right="80" w:firstLine="602"/>
        <w:spacing w:after="0" w:line="14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3" w:lineRule="exact"/>
        <w:rPr>
          <w:sz w:val="24"/>
          <w:szCs w:val="24"/>
          <w:color w:val="auto"/>
        </w:rPr>
      </w:pPr>
    </w:p>
    <w:p>
      <w:pPr>
        <w:ind w:left="8" w:right="160" w:firstLine="602"/>
        <w:spacing w:after="0" w:line="27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8" w:type="dxa"/>
        <w:tblCellMar>
          <w:top w:w="0" w:type="dxa"/>
          <w:left w:w="0" w:type="dxa"/>
          <w:bottom w:w="0" w:type="dxa"/>
          <w:right w:w="0" w:type="dxa"/>
        </w:tblCellMar>
      </w:tblPr>
      <w:tr>
        <w:trPr>
          <w:trHeight w:val="168"/>
        </w:trPr>
        <w:tc>
          <w:tcPr>
            <w:tcW w:w="17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720" w:type="dxa"/>
            <w:vAlign w:val="bottom"/>
          </w:tcPr>
          <w:p>
            <w:pPr>
              <w:spacing w:after="0"/>
              <w:rPr>
                <w:sz w:val="20"/>
                <w:szCs w:val="20"/>
                <w:color w:val="auto"/>
              </w:rPr>
            </w:pPr>
            <w:r>
              <w:rPr>
                <w:rFonts w:ascii="Arial" w:cs="Arial" w:eastAsia="Arial" w:hAnsi="Arial"/>
                <w:sz w:val="11"/>
                <w:szCs w:val="11"/>
                <w:color w:val="auto"/>
              </w:rPr>
              <w:t>Non-accelerated filer</w:t>
            </w:r>
          </w:p>
        </w:tc>
        <w:tc>
          <w:tcPr>
            <w:tcW w:w="38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72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41" w:lineRule="exact"/>
        <w:rPr>
          <w:sz w:val="24"/>
          <w:szCs w:val="24"/>
          <w:color w:val="auto"/>
        </w:rPr>
      </w:pPr>
    </w:p>
    <w:p>
      <w:pPr>
        <w:ind w:left="608"/>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Act. </w:t>
      </w:r>
      <w:r>
        <w:rPr>
          <w:rFonts w:ascii="MS PGothic" w:cs="MS PGothic" w:eastAsia="MS PGothic" w:hAnsi="MS PGothic"/>
          <w:sz w:val="11"/>
          <w:szCs w:val="11"/>
          <w:color w:val="auto"/>
        </w:rPr>
        <w:t>☒</w:t>
      </w:r>
    </w:p>
    <w:p>
      <w:pPr>
        <w:spacing w:after="0" w:line="32" w:lineRule="exact"/>
        <w:rPr>
          <w:sz w:val="24"/>
          <w:szCs w:val="24"/>
          <w:color w:val="auto"/>
        </w:rPr>
      </w:pPr>
    </w:p>
    <w:p>
      <w:pPr>
        <w:ind w:left="608" w:right="4960"/>
        <w:spacing w:after="0" w:line="173"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As of August 1, 2021, the registrant had 19,060,787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59690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361315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2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gridSpan w:val="3"/>
          </w:tcPr>
          <w:p>
            <w:pPr>
              <w:ind w:left="880"/>
              <w:spacing w:after="0"/>
              <w:rPr>
                <w:sz w:val="20"/>
                <w:szCs w:val="20"/>
                <w:color w:val="auto"/>
              </w:rPr>
            </w:pPr>
            <w:r>
              <w:rPr>
                <w:rFonts w:ascii="Arial" w:cs="Arial" w:eastAsia="Arial" w:hAnsi="Arial"/>
                <w:sz w:val="12"/>
                <w:szCs w:val="12"/>
                <w:b w:val="1"/>
                <w:bCs w:val="1"/>
                <w:color w:val="auto"/>
              </w:rPr>
              <w:t>Table of Contents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360" w:type="dxa"/>
            <w:vAlign w:val="bottom"/>
            <w:gridSpan w:val="17"/>
            <w:vMerge w:val="restart"/>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Risk Factor Summary</w:t>
              </w:r>
            </w:hyperlink>
          </w:p>
        </w:tc>
        <w:tc>
          <w:tcPr>
            <w:tcW w:w="80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5"/>
        </w:trPr>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PART I.</w:t>
            </w:r>
          </w:p>
        </w:tc>
        <w:tc>
          <w:tcPr>
            <w:tcW w:w="9360" w:type="dxa"/>
            <w:vAlign w:val="bottom"/>
            <w:gridSpan w:val="17"/>
            <w:vMerge w:val="continue"/>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40" w:type="dxa"/>
            <w:vAlign w:val="bottom"/>
            <w:gridSpan w:val="2"/>
            <w:vMerge w:val="continue"/>
          </w:tcPr>
          <w:p>
            <w:pPr>
              <w:spacing w:after="0"/>
              <w:rPr>
                <w:sz w:val="11"/>
                <w:szCs w:val="11"/>
                <w:color w:val="auto"/>
              </w:rPr>
            </w:pPr>
          </w:p>
        </w:tc>
        <w:tc>
          <w:tcPr>
            <w:tcW w:w="1500" w:type="dxa"/>
            <w:vAlign w:val="bottom"/>
            <w:tcBorders>
              <w:bottom w:val="single" w:sz="8" w:color="0000EE"/>
            </w:tcBorders>
            <w:gridSpan w:val="8"/>
          </w:tcPr>
          <w:p>
            <w:pPr>
              <w:spacing w:after="0" w:line="133" w:lineRule="exact"/>
              <w:rPr>
                <w:rFonts w:ascii="Arial" w:cs="Arial" w:eastAsia="Arial" w:hAnsi="Arial"/>
                <w:sz w:val="12"/>
                <w:szCs w:val="12"/>
                <w:color w:val="0000EE"/>
                <w:w w:val="98"/>
              </w:rPr>
            </w:pPr>
            <w:hyperlink w:anchor="page5">
              <w:r>
                <w:rPr>
                  <w:rFonts w:ascii="Arial" w:cs="Arial" w:eastAsia="Arial" w:hAnsi="Arial"/>
                  <w:sz w:val="12"/>
                  <w:szCs w:val="12"/>
                  <w:color w:val="0000EE"/>
                  <w:w w:val="98"/>
                </w:rPr>
                <w:t>FINANCIAL INFORMATION</w:t>
              </w:r>
            </w:hyperlink>
          </w:p>
        </w:tc>
        <w:tc>
          <w:tcPr>
            <w:tcW w:w="7860" w:type="dxa"/>
            <w:vAlign w:val="bottom"/>
            <w:gridSpan w:val="9"/>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1.</w:t>
            </w:r>
          </w:p>
        </w:tc>
        <w:tc>
          <w:tcPr>
            <w:tcW w:w="9360" w:type="dxa"/>
            <w:vAlign w:val="bottom"/>
            <w:gridSpan w:val="17"/>
          </w:tcPr>
          <w:p>
            <w:pPr>
              <w:spacing w:after="0" w:line="133" w:lineRule="exact"/>
              <w:rPr>
                <w:rFonts w:ascii="Arial" w:cs="Arial" w:eastAsia="Arial" w:hAnsi="Arial"/>
                <w:sz w:val="12"/>
                <w:szCs w:val="12"/>
                <w:color w:val="0000EE"/>
              </w:rPr>
            </w:pPr>
            <w:hyperlink w:anchor="page5">
              <w:r>
                <w:rPr>
                  <w:rFonts w:ascii="Arial" w:cs="Arial" w:eastAsia="Arial" w:hAnsi="Arial"/>
                  <w:sz w:val="12"/>
                  <w:szCs w:val="12"/>
                  <w:color w:val="0000EE"/>
                </w:rPr>
                <w:t>Financial Statements (Unaudited)</w:t>
              </w:r>
            </w:hyperlink>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60" w:type="dxa"/>
            <w:vAlign w:val="bottom"/>
            <w:tcBorders>
              <w:bottom w:val="single" w:sz="8" w:color="0000EE"/>
            </w:tcBorders>
            <w:gridSpan w:val="10"/>
          </w:tcPr>
          <w:p>
            <w:pPr>
              <w:spacing w:after="0" w:line="133" w:lineRule="exact"/>
              <w:rPr>
                <w:rFonts w:ascii="Arial" w:cs="Arial" w:eastAsia="Arial" w:hAnsi="Arial"/>
                <w:sz w:val="12"/>
                <w:szCs w:val="12"/>
                <w:color w:val="0000EE"/>
                <w:w w:val="87"/>
              </w:rPr>
            </w:pPr>
            <w:hyperlink w:anchor="page5">
              <w:r>
                <w:rPr>
                  <w:rFonts w:ascii="Arial" w:cs="Arial" w:eastAsia="Arial" w:hAnsi="Arial"/>
                  <w:sz w:val="12"/>
                  <w:szCs w:val="12"/>
                  <w:color w:val="0000EE"/>
                  <w:w w:val="87"/>
                </w:rPr>
                <w:t>Condensed Consolidated Balance Sheets</w:t>
              </w:r>
            </w:hyperlink>
          </w:p>
        </w:tc>
        <w:tc>
          <w:tcPr>
            <w:tcW w:w="7400" w:type="dxa"/>
            <w:vAlign w:val="bottom"/>
            <w:gridSpan w:val="7"/>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360" w:type="dxa"/>
            <w:vAlign w:val="bottom"/>
            <w:gridSpan w:val="17"/>
          </w:tcPr>
          <w:p>
            <w:pPr>
              <w:spacing w:after="0" w:line="133" w:lineRule="exact"/>
              <w:rPr>
                <w:rFonts w:ascii="Arial" w:cs="Arial" w:eastAsia="Arial" w:hAnsi="Arial"/>
                <w:sz w:val="12"/>
                <w:szCs w:val="12"/>
                <w:color w:val="0000EE"/>
              </w:rPr>
            </w:pPr>
            <w:hyperlink w:anchor="page6">
              <w:r>
                <w:rPr>
                  <w:rFonts w:ascii="Arial" w:cs="Arial" w:eastAsia="Arial" w:hAnsi="Arial"/>
                  <w:sz w:val="12"/>
                  <w:szCs w:val="12"/>
                  <w:color w:val="0000EE"/>
                </w:rPr>
                <w:t>Condensed Consolidated Statements of Operations and Comprehensive Income (Loss)</w:t>
              </w:r>
            </w:hyperlink>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140" w:type="dxa"/>
            <w:vAlign w:val="bottom"/>
            <w:tcBorders>
              <w:top w:val="single" w:sz="8" w:color="0000EE"/>
            </w:tcBorders>
            <w:gridSpan w:val="15"/>
          </w:tcPr>
          <w:p>
            <w:pPr>
              <w:spacing w:after="0" w:line="133" w:lineRule="exact"/>
              <w:rPr>
                <w:rFonts w:ascii="Arial" w:cs="Arial" w:eastAsia="Arial" w:hAnsi="Arial"/>
                <w:sz w:val="12"/>
                <w:szCs w:val="12"/>
                <w:color w:val="0000EE"/>
              </w:rPr>
            </w:pPr>
            <w:hyperlink w:anchor="page7">
              <w:r>
                <w:rPr>
                  <w:rFonts w:ascii="Arial" w:cs="Arial" w:eastAsia="Arial" w:hAnsi="Arial"/>
                  <w:sz w:val="12"/>
                  <w:szCs w:val="12"/>
                  <w:color w:val="0000EE"/>
                </w:rPr>
                <w:t>Condensed Consolidated Statements of Stockholders’ Equity</w:t>
              </w:r>
            </w:hyperlink>
          </w:p>
        </w:tc>
        <w:tc>
          <w:tcPr>
            <w:tcW w:w="5220" w:type="dxa"/>
            <w:vAlign w:val="bottom"/>
            <w:gridSpan w:val="2"/>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80" w:type="dxa"/>
            <w:vAlign w:val="bottom"/>
            <w:tcBorders>
              <w:top w:val="single" w:sz="8" w:color="0000EE"/>
              <w:bottom w:val="single" w:sz="8" w:color="0000EE"/>
            </w:tcBorders>
            <w:gridSpan w:val="11"/>
          </w:tcPr>
          <w:p>
            <w:pPr>
              <w:spacing w:after="0" w:line="133" w:lineRule="exact"/>
              <w:rPr>
                <w:rFonts w:ascii="Arial" w:cs="Arial" w:eastAsia="Arial" w:hAnsi="Arial"/>
                <w:sz w:val="12"/>
                <w:szCs w:val="12"/>
                <w:color w:val="0000EE"/>
                <w:w w:val="88"/>
              </w:rPr>
            </w:pPr>
            <w:hyperlink w:anchor="page8">
              <w:r>
                <w:rPr>
                  <w:rFonts w:ascii="Arial" w:cs="Arial" w:eastAsia="Arial" w:hAnsi="Arial"/>
                  <w:sz w:val="12"/>
                  <w:szCs w:val="12"/>
                  <w:color w:val="0000EE"/>
                  <w:w w:val="88"/>
                </w:rPr>
                <w:t>Condensed Consolidated Statements of Cash Flows</w:t>
              </w:r>
            </w:hyperlink>
          </w:p>
        </w:tc>
        <w:tc>
          <w:tcPr>
            <w:tcW w:w="440" w:type="dxa"/>
            <w:vAlign w:val="bottom"/>
            <w:tcBorders>
              <w:top w:val="single" w:sz="8" w:color="0000EE"/>
            </w:tcBorders>
            <w:gridSpan w:val="2"/>
          </w:tcPr>
          <w:p>
            <w:pPr>
              <w:spacing w:after="0"/>
              <w:rPr>
                <w:sz w:val="11"/>
                <w:szCs w:val="11"/>
                <w:color w:val="auto"/>
              </w:rPr>
            </w:pPr>
          </w:p>
        </w:tc>
        <w:tc>
          <w:tcPr>
            <w:tcW w:w="6440" w:type="dxa"/>
            <w:vAlign w:val="bottom"/>
            <w:gridSpan w:val="4"/>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360" w:type="dxa"/>
            <w:vAlign w:val="bottom"/>
            <w:gridSpan w:val="17"/>
          </w:tcPr>
          <w:p>
            <w:pPr>
              <w:spacing w:after="0" w:line="133" w:lineRule="exact"/>
              <w:rPr>
                <w:rFonts w:ascii="Arial" w:cs="Arial" w:eastAsia="Arial" w:hAnsi="Arial"/>
                <w:sz w:val="12"/>
                <w:szCs w:val="12"/>
                <w:color w:val="0000EE"/>
              </w:rPr>
            </w:pPr>
            <w:hyperlink w:anchor="page9">
              <w:r>
                <w:rPr>
                  <w:rFonts w:ascii="Arial" w:cs="Arial" w:eastAsia="Arial" w:hAnsi="Arial"/>
                  <w:sz w:val="12"/>
                  <w:szCs w:val="12"/>
                  <w:color w:val="0000EE"/>
                </w:rPr>
                <w:t>Notes to Unaudited Condensed Consolidated Financial Statements</w:t>
              </w:r>
            </w:hyperlink>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2.</w:t>
            </w:r>
          </w:p>
        </w:tc>
        <w:tc>
          <w:tcPr>
            <w:tcW w:w="4300" w:type="dxa"/>
            <w:vAlign w:val="bottom"/>
            <w:tcBorders>
              <w:bottom w:val="single" w:sz="8" w:color="0000EE"/>
            </w:tcBorders>
            <w:gridSpan w:val="16"/>
          </w:tcPr>
          <w:p>
            <w:pPr>
              <w:spacing w:after="0" w:line="133" w:lineRule="exact"/>
              <w:rPr>
                <w:rFonts w:ascii="Arial" w:cs="Arial" w:eastAsia="Arial" w:hAnsi="Arial"/>
                <w:sz w:val="12"/>
                <w:szCs w:val="12"/>
                <w:color w:val="0000EE"/>
                <w:w w:val="90"/>
              </w:rPr>
            </w:pPr>
            <w:hyperlink w:anchor="page18">
              <w:r>
                <w:rPr>
                  <w:rFonts w:ascii="Arial" w:cs="Arial" w:eastAsia="Arial" w:hAnsi="Arial"/>
                  <w:sz w:val="12"/>
                  <w:szCs w:val="12"/>
                  <w:color w:val="0000EE"/>
                  <w:w w:val="90"/>
                </w:rPr>
                <w:t>Management’s Discussion and Analysis of Financial Condition and Results of Operations</w:t>
              </w:r>
            </w:hyperlink>
          </w:p>
        </w:tc>
        <w:tc>
          <w:tcPr>
            <w:tcW w:w="506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3.</w:t>
            </w:r>
          </w:p>
        </w:tc>
        <w:tc>
          <w:tcPr>
            <w:tcW w:w="2900" w:type="dxa"/>
            <w:vAlign w:val="bottom"/>
            <w:tcBorders>
              <w:bottom w:val="single" w:sz="8" w:color="0000EE"/>
            </w:tcBorders>
            <w:gridSpan w:val="12"/>
          </w:tcPr>
          <w:p>
            <w:pPr>
              <w:spacing w:after="0" w:line="133" w:lineRule="exact"/>
              <w:rPr>
                <w:rFonts w:ascii="Arial" w:cs="Arial" w:eastAsia="Arial" w:hAnsi="Arial"/>
                <w:sz w:val="12"/>
                <w:szCs w:val="12"/>
                <w:color w:val="0000EE"/>
                <w:w w:val="91"/>
              </w:rPr>
            </w:pPr>
            <w:hyperlink w:anchor="page24">
              <w:r>
                <w:rPr>
                  <w:rFonts w:ascii="Arial" w:cs="Arial" w:eastAsia="Arial" w:hAnsi="Arial"/>
                  <w:sz w:val="12"/>
                  <w:szCs w:val="12"/>
                  <w:color w:val="0000EE"/>
                  <w:w w:val="91"/>
                </w:rPr>
                <w:t>Quantitative and Qualitative Disclosures About Market Risk</w:t>
              </w:r>
            </w:hyperlink>
          </w:p>
        </w:tc>
        <w:tc>
          <w:tcPr>
            <w:tcW w:w="6460" w:type="dxa"/>
            <w:vAlign w:val="bottom"/>
            <w:gridSpan w:val="5"/>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4.</w:t>
            </w:r>
          </w:p>
        </w:tc>
        <w:tc>
          <w:tcPr>
            <w:tcW w:w="1180" w:type="dxa"/>
            <w:vAlign w:val="bottom"/>
            <w:tcBorders>
              <w:bottom w:val="single" w:sz="8" w:color="0000EE"/>
            </w:tcBorders>
            <w:gridSpan w:val="6"/>
          </w:tcPr>
          <w:p>
            <w:pPr>
              <w:spacing w:after="0" w:line="133" w:lineRule="exact"/>
              <w:rPr>
                <w:rFonts w:ascii="Arial" w:cs="Arial" w:eastAsia="Arial" w:hAnsi="Arial"/>
                <w:sz w:val="12"/>
                <w:szCs w:val="12"/>
                <w:color w:val="0000EE"/>
                <w:w w:val="87"/>
              </w:rPr>
            </w:pPr>
            <w:hyperlink w:anchor="page24">
              <w:r>
                <w:rPr>
                  <w:rFonts w:ascii="Arial" w:cs="Arial" w:eastAsia="Arial" w:hAnsi="Arial"/>
                  <w:sz w:val="12"/>
                  <w:szCs w:val="12"/>
                  <w:color w:val="0000EE"/>
                  <w:w w:val="87"/>
                </w:rPr>
                <w:t>Controls and Procedures</w:t>
              </w:r>
            </w:hyperlink>
          </w:p>
        </w:tc>
        <w:tc>
          <w:tcPr>
            <w:tcW w:w="8180" w:type="dxa"/>
            <w:vAlign w:val="bottom"/>
            <w:gridSpan w:val="11"/>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PART II.</w:t>
            </w:r>
          </w:p>
        </w:tc>
        <w:tc>
          <w:tcPr>
            <w:tcW w:w="1260" w:type="dxa"/>
            <w:vAlign w:val="bottom"/>
            <w:tcBorders>
              <w:bottom w:val="single" w:sz="8" w:color="0000EE"/>
            </w:tcBorders>
            <w:gridSpan w:val="7"/>
          </w:tcPr>
          <w:p>
            <w:pPr>
              <w:spacing w:after="0" w:line="133" w:lineRule="exact"/>
              <w:rPr>
                <w:rFonts w:ascii="Arial" w:cs="Arial" w:eastAsia="Arial" w:hAnsi="Arial"/>
                <w:sz w:val="12"/>
                <w:szCs w:val="12"/>
                <w:color w:val="0000EE"/>
                <w:w w:val="95"/>
              </w:rPr>
            </w:pPr>
            <w:hyperlink w:anchor="page26">
              <w:r>
                <w:rPr>
                  <w:rFonts w:ascii="Arial" w:cs="Arial" w:eastAsia="Arial" w:hAnsi="Arial"/>
                  <w:sz w:val="12"/>
                  <w:szCs w:val="12"/>
                  <w:color w:val="0000EE"/>
                  <w:w w:val="95"/>
                </w:rPr>
                <w:t>OTHER INFORMATION</w:t>
              </w:r>
            </w:hyperlink>
          </w:p>
        </w:tc>
        <w:tc>
          <w:tcPr>
            <w:tcW w:w="8100" w:type="dxa"/>
            <w:vAlign w:val="bottom"/>
            <w:gridSpan w:val="10"/>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1.</w:t>
            </w:r>
          </w:p>
        </w:tc>
        <w:tc>
          <w:tcPr>
            <w:tcW w:w="900" w:type="dxa"/>
            <w:vAlign w:val="bottom"/>
            <w:tcBorders>
              <w:bottom w:val="single" w:sz="8" w:color="0000EE"/>
            </w:tcBorders>
            <w:gridSpan w:val="4"/>
          </w:tcPr>
          <w:p>
            <w:pPr>
              <w:spacing w:after="0" w:line="133" w:lineRule="exact"/>
              <w:rPr>
                <w:rFonts w:ascii="Arial" w:cs="Arial" w:eastAsia="Arial" w:hAnsi="Arial"/>
                <w:sz w:val="12"/>
                <w:szCs w:val="12"/>
                <w:color w:val="0000EE"/>
                <w:w w:val="88"/>
              </w:rPr>
            </w:pPr>
            <w:hyperlink w:anchor="page26">
              <w:r>
                <w:rPr>
                  <w:rFonts w:ascii="Arial" w:cs="Arial" w:eastAsia="Arial" w:hAnsi="Arial"/>
                  <w:sz w:val="12"/>
                  <w:szCs w:val="12"/>
                  <w:color w:val="0000EE"/>
                  <w:w w:val="88"/>
                </w:rPr>
                <w:t>Legal Proceedings</w:t>
              </w:r>
            </w:hyperlink>
          </w:p>
        </w:tc>
        <w:tc>
          <w:tcPr>
            <w:tcW w:w="8460" w:type="dxa"/>
            <w:vAlign w:val="bottom"/>
            <w:gridSpan w:val="13"/>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1A.</w:t>
            </w:r>
          </w:p>
        </w:tc>
        <w:tc>
          <w:tcPr>
            <w:tcW w:w="600" w:type="dxa"/>
            <w:vAlign w:val="bottom"/>
            <w:tcBorders>
              <w:bottom w:val="single" w:sz="8" w:color="0000EE"/>
            </w:tcBorders>
            <w:gridSpan w:val="2"/>
          </w:tcPr>
          <w:p>
            <w:pPr>
              <w:spacing w:after="0" w:line="133" w:lineRule="exact"/>
              <w:rPr>
                <w:rFonts w:ascii="Arial" w:cs="Arial" w:eastAsia="Arial" w:hAnsi="Arial"/>
                <w:sz w:val="12"/>
                <w:szCs w:val="12"/>
                <w:color w:val="0000EE"/>
                <w:w w:val="86"/>
              </w:rPr>
            </w:pPr>
            <w:hyperlink w:anchor="page26">
              <w:r>
                <w:rPr>
                  <w:rFonts w:ascii="Arial" w:cs="Arial" w:eastAsia="Arial" w:hAnsi="Arial"/>
                  <w:sz w:val="12"/>
                  <w:szCs w:val="12"/>
                  <w:color w:val="0000EE"/>
                  <w:w w:val="86"/>
                </w:rPr>
                <w:t>Risk Factors</w:t>
              </w:r>
            </w:hyperlink>
          </w:p>
        </w:tc>
        <w:tc>
          <w:tcPr>
            <w:tcW w:w="8760" w:type="dxa"/>
            <w:vAlign w:val="bottom"/>
            <w:gridSpan w:val="15"/>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5</w:t>
            </w:r>
          </w:p>
        </w:tc>
        <w:tc>
          <w:tcPr>
            <w:tcW w:w="880" w:type="dxa"/>
            <w:vAlign w:val="bottom"/>
            <w:tcBorders>
              <w:bottom w:val="single" w:sz="8" w:color="0000EE"/>
            </w:tcBorders>
            <w:gridSpan w:val="3"/>
          </w:tcPr>
          <w:p>
            <w:pPr>
              <w:spacing w:after="0" w:line="133" w:lineRule="exact"/>
              <w:rPr>
                <w:rFonts w:ascii="Arial" w:cs="Arial" w:eastAsia="Arial" w:hAnsi="Arial"/>
                <w:sz w:val="12"/>
                <w:szCs w:val="12"/>
                <w:color w:val="0000EE"/>
                <w:w w:val="92"/>
              </w:rPr>
            </w:pPr>
            <w:hyperlink w:anchor="page49">
              <w:r>
                <w:rPr>
                  <w:rFonts w:ascii="Arial" w:cs="Arial" w:eastAsia="Arial" w:hAnsi="Arial"/>
                  <w:sz w:val="12"/>
                  <w:szCs w:val="12"/>
                  <w:color w:val="0000EE"/>
                  <w:w w:val="92"/>
                </w:rPr>
                <w:t>Other Information</w:t>
              </w:r>
            </w:hyperlink>
          </w:p>
        </w:tc>
        <w:tc>
          <w:tcPr>
            <w:tcW w:w="8480" w:type="dxa"/>
            <w:vAlign w:val="bottom"/>
            <w:gridSpan w:val="14"/>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6.</w:t>
            </w:r>
          </w:p>
        </w:tc>
        <w:tc>
          <w:tcPr>
            <w:tcW w:w="9360" w:type="dxa"/>
            <w:vAlign w:val="bottom"/>
            <w:gridSpan w:val="17"/>
          </w:tcPr>
          <w:p>
            <w:pPr>
              <w:spacing w:after="0" w:line="133" w:lineRule="exact"/>
              <w:rPr>
                <w:rFonts w:ascii="Arial" w:cs="Arial" w:eastAsia="Arial" w:hAnsi="Arial"/>
                <w:sz w:val="12"/>
                <w:szCs w:val="12"/>
                <w:color w:val="0000EE"/>
              </w:rPr>
            </w:pPr>
            <w:hyperlink w:anchor="page50">
              <w:r>
                <w:rPr>
                  <w:rFonts w:ascii="Arial" w:cs="Arial" w:eastAsia="Arial" w:hAnsi="Arial"/>
                  <w:sz w:val="12"/>
                  <w:szCs w:val="12"/>
                  <w:color w:val="0000EE"/>
                </w:rPr>
                <w:t>Exhibits</w:t>
              </w:r>
            </w:hyperlink>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33"/>
        </w:trPr>
        <w:tc>
          <w:tcPr>
            <w:tcW w:w="500" w:type="dxa"/>
            <w:vAlign w:val="bottom"/>
            <w:tcBorders>
              <w:bottom w:val="single" w:sz="8" w:color="0000EE"/>
            </w:tcBorders>
          </w:tcPr>
          <w:p>
            <w:pPr>
              <w:spacing w:after="0" w:line="133" w:lineRule="exact"/>
              <w:rPr>
                <w:rFonts w:ascii="Arial" w:cs="Arial" w:eastAsia="Arial" w:hAnsi="Arial"/>
                <w:sz w:val="12"/>
                <w:szCs w:val="12"/>
                <w:color w:val="0000EE"/>
                <w:w w:val="83"/>
              </w:rPr>
            </w:pPr>
            <w:hyperlink w:anchor="page51">
              <w:r>
                <w:rPr>
                  <w:rFonts w:ascii="Arial" w:cs="Arial" w:eastAsia="Arial" w:hAnsi="Arial"/>
                  <w:sz w:val="12"/>
                  <w:szCs w:val="12"/>
                  <w:color w:val="0000EE"/>
                  <w:w w:val="83"/>
                </w:rPr>
                <w:t>Signatures</w:t>
              </w:r>
            </w:hyperlink>
          </w:p>
        </w:tc>
        <w:tc>
          <w:tcPr>
            <w:tcW w:w="640" w:type="dxa"/>
            <w:vAlign w:val="bottom"/>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2" w:name="page3"/>
    <w:bookmarkEnd w:id="2"/>
    <w:p>
      <w:pPr>
        <w:jc w:val="center"/>
        <w:ind w:right="-7"/>
        <w:spacing w:after="0"/>
        <w:rPr>
          <w:sz w:val="20"/>
          <w:szCs w:val="20"/>
          <w:color w:val="auto"/>
        </w:rPr>
      </w:pPr>
      <w:r>
        <w:rPr>
          <w:rFonts w:ascii="Arial" w:cs="Arial" w:eastAsia="Arial" w:hAnsi="Arial"/>
          <w:sz w:val="12"/>
          <w:szCs w:val="12"/>
          <w:b w:val="1"/>
          <w:bCs w:val="1"/>
          <w:color w:val="auto"/>
        </w:rPr>
        <w:t>RISK FACTOR SUMMARY</w:t>
      </w:r>
    </w:p>
    <w:p>
      <w:pPr>
        <w:spacing w:after="0" w:line="154"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Our business is subject to numerous risks, as more fully described in Part II, Item 1A titled “Risk Factors.”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15" w:lineRule="exact"/>
        <w:rPr>
          <w:sz w:val="20"/>
          <w:szCs w:val="20"/>
          <w:color w:val="auto"/>
        </w:rPr>
      </w:pPr>
    </w:p>
    <w:p>
      <w:pPr>
        <w:ind w:left="368" w:hanging="368"/>
        <w:spacing w:after="0"/>
        <w:tabs>
          <w:tab w:leader="none" w:pos="368"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impact and uncertainty related to the ongoing COVID-19 pandemic could adversely impact our business, results of operations and financial condition, as well as the businesses of our suppliers and customers;</w:t>
      </w:r>
    </w:p>
    <w:p>
      <w:pPr>
        <w:spacing w:after="0" w:line="26" w:lineRule="exact"/>
        <w:rPr>
          <w:rFonts w:ascii="Arial" w:cs="Arial" w:eastAsia="Arial" w:hAnsi="Arial"/>
          <w:sz w:val="11"/>
          <w:szCs w:val="11"/>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A downturn in the worldwide economy may harm our business;</w:t>
      </w:r>
    </w:p>
    <w:p>
      <w:pPr>
        <w:spacing w:after="0" w:line="6" w:lineRule="exact"/>
        <w:rPr>
          <w:rFonts w:ascii="Arial" w:cs="Arial" w:eastAsia="Arial" w:hAnsi="Arial"/>
          <w:sz w:val="12"/>
          <w:szCs w:val="12"/>
          <w:color w:val="auto"/>
        </w:rPr>
      </w:pPr>
    </w:p>
    <w:p>
      <w:pPr>
        <w:jc w:val="both"/>
        <w:ind w:left="368" w:right="100" w:hanging="368"/>
        <w:spacing w:after="0" w:line="250" w:lineRule="auto"/>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third parties we rely upon for our raw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ind w:left="368" w:right="60" w:hanging="368"/>
        <w:spacing w:after="0" w:line="250" w:lineRule="auto"/>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we are unable to expand or further diversify our customer base, our business, financial condition, and results of operations could suffer;</w:t>
      </w:r>
    </w:p>
    <w:p>
      <w:pPr>
        <w:spacing w:after="0" w:line="6" w:lineRule="exact"/>
        <w:rPr>
          <w:rFonts w:ascii="Arial" w:cs="Arial" w:eastAsia="Arial" w:hAnsi="Arial"/>
          <w:sz w:val="12"/>
          <w:szCs w:val="12"/>
          <w:color w:val="auto"/>
        </w:rPr>
      </w:pPr>
    </w:p>
    <w:p>
      <w:pPr>
        <w:ind w:left="368" w:right="420" w:hanging="368"/>
        <w:spacing w:after="0" w:line="250" w:lineRule="auto"/>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generally do not have long-term purchase commitments with our customers, and orders may be cancelled, reduced, or rescheduled with little or no notice, which in turn exposes us to inventory risk and may harm our operating results;</w:t>
      </w:r>
    </w:p>
    <w:p>
      <w:pPr>
        <w:ind w:left="368" w:right="20" w:hanging="368"/>
        <w:spacing w:after="0" w:line="250" w:lineRule="auto"/>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revenue and operating results may fluctuate from period to period due to, among other factors, the impact of the COVID-19 pandemic on our business as well as our suppliers and customers, customer demand, product life cycles, fluctuations in inventories held by our distributors or end customers, the gain or loss of significant customers, the availability of capacity in our supply chain, research and development costs, and product warranty claims. This in turn could cause our stock price to decline;</w:t>
      </w: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have an accumulated deficit and have incurred net losses in the past, and we may continue to incur net losses in the future;</w:t>
      </w:r>
    </w:p>
    <w:p>
      <w:pPr>
        <w:spacing w:after="0" w:line="6" w:lineRule="exact"/>
        <w:rPr>
          <w:rFonts w:ascii="Arial" w:cs="Arial" w:eastAsia="Arial" w:hAnsi="Arial"/>
          <w:sz w:val="12"/>
          <w:szCs w:val="12"/>
          <w:color w:val="auto"/>
        </w:rPr>
      </w:pPr>
    </w:p>
    <w:p>
      <w:pPr>
        <w:ind w:left="368" w:right="40" w:hanging="368"/>
        <w:spacing w:after="0" w:line="250" w:lineRule="auto"/>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ind w:left="368" w:right="340" w:hanging="368"/>
        <w:spacing w:after="0" w:line="250" w:lineRule="auto"/>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target customer and product markets may not grow or develop as we currently expect, and if we fail to penetrate new markets and scale successfully within those markets, our revenue and financial condition would be harmed;</w:t>
      </w: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we are not able to successfully introduce and ship in volume new products in a timely manner, our business and revenue will suffer;</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gross margins may fluctuate due to a variety of factors, which could negatively impact our results of operations and our financial condition;</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revenue in recent periods may not be indicative of future performance and our revenue may fluctuate over time;</w:t>
      </w:r>
    </w:p>
    <w:p>
      <w:pPr>
        <w:spacing w:after="0" w:line="6" w:lineRule="exact"/>
        <w:rPr>
          <w:rFonts w:ascii="Arial" w:cs="Arial" w:eastAsia="Arial" w:hAnsi="Arial"/>
          <w:sz w:val="12"/>
          <w:szCs w:val="12"/>
          <w:color w:val="auto"/>
        </w:rPr>
      </w:pPr>
    </w:p>
    <w:p>
      <w:pPr>
        <w:ind w:left="368" w:right="380" w:hanging="368"/>
        <w:spacing w:after="0" w:line="250" w:lineRule="auto"/>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provide a lifetime warranty on our products and may be subject to warranty or product liability claims, which could harm our reputation, result in unexpected expenses, and cause us to lose market share;</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Defects in our products could harm our relationships with our customers and damage our reputation;</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are subject to the cyclical nature of the semiconductor industry;</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may not be able to accurately predict our future capital needs, and we may not be able to obtain additional financing to fund our operations;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may seek, or be required to seek debt financing in the immediate or near term;</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1"/>
          <w:szCs w:val="11"/>
          <w:color w:val="auto"/>
        </w:rPr>
      </w:pPr>
      <w:r>
        <w:rPr>
          <w:rFonts w:ascii="Arial" w:cs="Arial" w:eastAsia="Arial" w:hAnsi="Arial"/>
          <w:sz w:val="11"/>
          <w:szCs w:val="11"/>
          <w:color w:val="auto"/>
        </w:rPr>
        <w:t>A portion of our operations is located outside of the United States, which subjects us to additional risks, including increased complexity and costs of managing international operations and geopolitical instability;</w:t>
      </w:r>
    </w:p>
    <w:p>
      <w:pPr>
        <w:spacing w:after="0" w:line="17" w:lineRule="exact"/>
        <w:rPr>
          <w:rFonts w:ascii="Arial" w:cs="Arial" w:eastAsia="Arial" w:hAnsi="Arial"/>
          <w:sz w:val="11"/>
          <w:szCs w:val="11"/>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significant tariffs or other restrictions are placed on Chinese imports or any related counter-measures are taken by China, our revenue and results of operations may be materially harmed;</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Failure to comply with the laws associated with our activities outside of the United States could subject us to penalties and other adverse consequences;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are subject to government regulation, including import, export and economic sanctions laws and regulations that may expose us to liability and increase our costs;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New or future changes to U.S. and non-U.S. tax laws, or tax regulatory authorities disagreeing with our positions and conclusions regarding certain tax positions, could materially adversely affect us;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Breaches or other disruptions of our security systems may damage our reputation and adversely affect our business;</w:t>
      </w:r>
    </w:p>
    <w:p>
      <w:pPr>
        <w:spacing w:after="0" w:line="6" w:lineRule="exact"/>
        <w:rPr>
          <w:rFonts w:ascii="Arial" w:cs="Arial" w:eastAsia="Arial" w:hAnsi="Arial"/>
          <w:sz w:val="12"/>
          <w:szCs w:val="12"/>
          <w:color w:val="auto"/>
        </w:rPr>
      </w:pPr>
    </w:p>
    <w:p>
      <w:pPr>
        <w:ind w:left="368" w:hanging="368"/>
        <w:spacing w:after="0" w:line="260" w:lineRule="auto"/>
        <w:tabs>
          <w:tab w:leader="none" w:pos="36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1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415" w:right="299" w:bottom="1440" w:gutter="0" w:footer="0" w:header="0"/>
        </w:sectPr>
      </w:pPr>
    </w:p>
    <w:bookmarkStart w:id="3" w:name="page4"/>
    <w:bookmarkEnd w:id="3"/>
    <w:p>
      <w:pPr>
        <w:ind w:left="368" w:hanging="368"/>
        <w:spacing w:after="0" w:line="281" w:lineRule="auto"/>
        <w:tabs>
          <w:tab w:leader="none" w:pos="368" w:val="left"/>
        </w:tabs>
        <w:numPr>
          <w:ilvl w:val="0"/>
          <w:numId w:val="4"/>
        </w:numPr>
        <w:rPr>
          <w:rFonts w:ascii="Arial" w:cs="Arial" w:eastAsia="Arial" w:hAnsi="Arial"/>
          <w:sz w:val="11"/>
          <w:szCs w:val="11"/>
          <w:color w:val="auto"/>
        </w:rPr>
      </w:pPr>
      <w:r>
        <w:rPr>
          <w:rFonts w:ascii="Arial" w:cs="Arial" w:eastAsia="Arial" w:hAnsi="Arial"/>
          <w:sz w:val="11"/>
          <w:szCs w:val="11"/>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ind w:left="368" w:hanging="368"/>
        <w:spacing w:after="0"/>
        <w:tabs>
          <w:tab w:leader="none" w:pos="368" w:val="left"/>
        </w:tabs>
        <w:numPr>
          <w:ilvl w:val="0"/>
          <w:numId w:val="4"/>
        </w:numPr>
        <w:rPr>
          <w:rFonts w:ascii="Arial" w:cs="Arial" w:eastAsia="Arial" w:hAnsi="Arial"/>
          <w:sz w:val="12"/>
          <w:szCs w:val="12"/>
          <w:color w:val="auto"/>
        </w:rPr>
      </w:pPr>
      <w:r>
        <w:rPr>
          <w:rFonts w:ascii="Arial" w:cs="Arial" w:eastAsia="Arial" w:hAnsi="Arial"/>
          <w:sz w:val="12"/>
          <w:szCs w:val="12"/>
          <w:color w:val="auto"/>
        </w:rPr>
        <w:t>Substantial future sales of our common stock could cause the market price of our common stock to decline; and</w:t>
      </w:r>
    </w:p>
    <w:p>
      <w:pPr>
        <w:spacing w:after="0" w:line="6" w:lineRule="exact"/>
        <w:rPr>
          <w:rFonts w:ascii="Arial" w:cs="Arial" w:eastAsia="Arial" w:hAnsi="Arial"/>
          <w:sz w:val="12"/>
          <w:szCs w:val="12"/>
          <w:color w:val="auto"/>
        </w:rPr>
      </w:pPr>
    </w:p>
    <w:p>
      <w:pPr>
        <w:ind w:left="368" w:hanging="368"/>
        <w:spacing w:after="0" w:line="260" w:lineRule="auto"/>
        <w:tabs>
          <w:tab w:leader="none" w:pos="368" w:val="left"/>
        </w:tabs>
        <w:numPr>
          <w:ilvl w:val="0"/>
          <w:numId w:val="4"/>
        </w:numPr>
        <w:rPr>
          <w:rFonts w:ascii="Arial" w:cs="Arial" w:eastAsia="Arial" w:hAnsi="Arial"/>
          <w:sz w:val="12"/>
          <w:szCs w:val="12"/>
          <w:color w:val="auto"/>
        </w:rPr>
      </w:pPr>
      <w:r>
        <w:rPr>
          <w:rFonts w:ascii="Arial" w:cs="Arial" w:eastAsia="Arial" w:hAnsi="Arial"/>
          <w:sz w:val="12"/>
          <w:szCs w:val="12"/>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31" w:lineRule="exact"/>
        <w:rPr>
          <w:sz w:val="20"/>
          <w:szCs w:val="20"/>
          <w:color w:val="auto"/>
        </w:rPr>
      </w:pPr>
    </w:p>
    <w:p>
      <w:pPr>
        <w:jc w:val="center"/>
        <w:ind w:right="-14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8"/>
          </w:cols>
          <w:pgMar w:left="292" w:top="275"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PART I—FINANCIAL INFORMATION</w:t>
      </w: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SITIME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w w:val="79"/>
              </w:rPr>
              <w:t>As of</w:t>
            </w:r>
          </w:p>
        </w:tc>
        <w:tc>
          <w:tcPr>
            <w:tcW w:w="1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7760" w:type="dxa"/>
            <w:vAlign w:val="bottom"/>
          </w:tcPr>
          <w:p>
            <w:pPr>
              <w:spacing w:after="0"/>
              <w:rPr>
                <w:sz w:val="8"/>
                <w:szCs w:val="8"/>
                <w:color w:val="auto"/>
              </w:rPr>
            </w:pPr>
          </w:p>
        </w:tc>
        <w:tc>
          <w:tcPr>
            <w:tcW w:w="112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June 30, 2021</w:t>
            </w: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jc w:val="right"/>
              <w:ind w:right="341"/>
              <w:spacing w:after="0" w:line="97" w:lineRule="exact"/>
              <w:rPr>
                <w:sz w:val="20"/>
                <w:szCs w:val="20"/>
                <w:color w:val="auto"/>
              </w:rPr>
            </w:pPr>
            <w:r>
              <w:rPr>
                <w:rFonts w:ascii="Arial" w:cs="Arial" w:eastAsia="Arial" w:hAnsi="Arial"/>
                <w:sz w:val="10"/>
                <w:szCs w:val="10"/>
                <w:b w:val="1"/>
                <w:bCs w:val="1"/>
                <w:color w:val="auto"/>
                <w:w w:val="97"/>
              </w:rPr>
              <w:t>December 31, 2020</w:t>
            </w:r>
          </w:p>
        </w:tc>
        <w:tc>
          <w:tcPr>
            <w:tcW w:w="120" w:type="dxa"/>
            <w:vAlign w:val="bottom"/>
          </w:tcPr>
          <w:p>
            <w:pPr>
              <w:spacing w:after="0"/>
              <w:rPr>
                <w:sz w:val="8"/>
                <w:szCs w:val="8"/>
                <w:color w:val="auto"/>
              </w:rPr>
            </w:pPr>
          </w:p>
        </w:tc>
      </w:tr>
      <w:tr>
        <w:trPr>
          <w:trHeight w:val="97"/>
        </w:trPr>
        <w:tc>
          <w:tcPr>
            <w:tcW w:w="7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gridSpan w:val="3"/>
          </w:tcPr>
          <w:p>
            <w:pPr>
              <w:jc w:val="right"/>
              <w:ind w:right="120"/>
              <w:spacing w:after="0" w:line="97" w:lineRule="exact"/>
              <w:rPr>
                <w:sz w:val="20"/>
                <w:szCs w:val="20"/>
                <w:color w:val="auto"/>
              </w:rPr>
            </w:pPr>
            <w:r>
              <w:rPr>
                <w:rFonts w:ascii="Arial" w:cs="Arial" w:eastAsia="Arial" w:hAnsi="Arial"/>
                <w:sz w:val="10"/>
                <w:szCs w:val="10"/>
                <w:b w:val="1"/>
                <w:bCs w:val="1"/>
                <w:color w:val="auto"/>
              </w:rPr>
              <w:t>(in thousands)</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120" w:type="dxa"/>
            <w:vAlign w:val="bottom"/>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Current assets:</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1120" w:type="dxa"/>
            <w:vAlign w:val="bottom"/>
            <w:shd w:val="clear" w:color="auto" w:fill="CFF0FC"/>
          </w:tcPr>
          <w:p>
            <w:pPr>
              <w:jc w:val="right"/>
              <w:ind w:right="1012"/>
              <w:spacing w:after="0"/>
              <w:rPr>
                <w:sz w:val="20"/>
                <w:szCs w:val="20"/>
                <w:color w:val="auto"/>
              </w:rPr>
            </w:pPr>
            <w:r>
              <w:rPr>
                <w:rFonts w:ascii="Arial" w:cs="Arial" w:eastAsia="Arial" w:hAnsi="Arial"/>
                <w:sz w:val="10"/>
                <w:szCs w:val="10"/>
                <w:color w:val="auto"/>
                <w:w w:val="71"/>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6"/>
              </w:rPr>
              <w:t>253,538</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73,525</w:t>
            </w: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Pr>
          <w:p>
            <w:pPr>
              <w:ind w:left="160"/>
              <w:spacing w:after="0"/>
              <w:rPr>
                <w:sz w:val="20"/>
                <w:szCs w:val="20"/>
                <w:color w:val="auto"/>
              </w:rPr>
            </w:pPr>
            <w:r>
              <w:rPr>
                <w:rFonts w:ascii="Arial" w:cs="Arial" w:eastAsia="Arial" w:hAnsi="Arial"/>
                <w:sz w:val="12"/>
                <w:szCs w:val="12"/>
                <w:color w:val="auto"/>
              </w:rPr>
              <w:t>Accounts receivable, net</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25,270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23,920</w:t>
            </w:r>
          </w:p>
        </w:tc>
        <w:tc>
          <w:tcPr>
            <w:tcW w:w="120" w:type="dxa"/>
            <w:vAlign w:val="bottom"/>
          </w:tcPr>
          <w:p>
            <w:pPr>
              <w:spacing w:after="0"/>
              <w:rPr>
                <w:sz w:val="13"/>
                <w:szCs w:val="13"/>
                <w:color w:val="auto"/>
              </w:rPr>
            </w:pPr>
          </w:p>
        </w:tc>
      </w:tr>
      <w:tr>
        <w:trPr>
          <w:trHeight w:val="153"/>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Related party accounts receivable</w:t>
            </w:r>
          </w:p>
        </w:tc>
        <w:tc>
          <w:tcPr>
            <w:tcW w:w="1120" w:type="dxa"/>
            <w:vAlign w:val="bottom"/>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2,411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736</w:t>
            </w: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Pr>
          <w:p>
            <w:pPr>
              <w:ind w:left="160"/>
              <w:spacing w:after="0"/>
              <w:rPr>
                <w:sz w:val="20"/>
                <w:szCs w:val="20"/>
                <w:color w:val="auto"/>
              </w:rPr>
            </w:pPr>
            <w:r>
              <w:rPr>
                <w:rFonts w:ascii="Arial" w:cs="Arial" w:eastAsia="Arial" w:hAnsi="Arial"/>
                <w:sz w:val="12"/>
                <w:szCs w:val="12"/>
                <w:color w:val="auto"/>
              </w:rPr>
              <w:t>Inventories</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18,494</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12,350</w:t>
            </w:r>
          </w:p>
        </w:tc>
        <w:tc>
          <w:tcPr>
            <w:tcW w:w="120" w:type="dxa"/>
            <w:vAlign w:val="bottom"/>
          </w:tcPr>
          <w:p>
            <w:pPr>
              <w:spacing w:after="0"/>
              <w:rPr>
                <w:sz w:val="13"/>
                <w:szCs w:val="13"/>
                <w:color w:val="auto"/>
              </w:rPr>
            </w:pPr>
          </w:p>
        </w:tc>
      </w:tr>
      <w:tr>
        <w:trPr>
          <w:trHeight w:val="153"/>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1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2,844</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2,649</w:t>
            </w:r>
          </w:p>
        </w:tc>
        <w:tc>
          <w:tcPr>
            <w:tcW w:w="120" w:type="dxa"/>
            <w:vAlign w:val="bottom"/>
            <w:shd w:val="clear" w:color="auto" w:fill="CFF0FC"/>
          </w:tcPr>
          <w:p>
            <w:pPr>
              <w:spacing w:after="0"/>
              <w:rPr>
                <w:sz w:val="13"/>
                <w:szCs w:val="13"/>
                <w:color w:val="auto"/>
              </w:rPr>
            </w:pPr>
          </w:p>
        </w:tc>
      </w:tr>
      <w:tr>
        <w:trPr>
          <w:trHeight w:val="142"/>
        </w:trPr>
        <w:tc>
          <w:tcPr>
            <w:tcW w:w="7760" w:type="dxa"/>
            <w:vAlign w:val="bottom"/>
          </w:tcPr>
          <w:p>
            <w:pPr>
              <w:ind w:left="320"/>
              <w:spacing w:after="0"/>
              <w:rPr>
                <w:sz w:val="20"/>
                <w:szCs w:val="20"/>
                <w:color w:val="auto"/>
              </w:rPr>
            </w:pPr>
            <w:r>
              <w:rPr>
                <w:rFonts w:ascii="Arial" w:cs="Arial" w:eastAsia="Arial" w:hAnsi="Arial"/>
                <w:sz w:val="12"/>
                <w:szCs w:val="12"/>
                <w:color w:val="auto"/>
              </w:rPr>
              <w:t>Total current assets</w:t>
            </w:r>
          </w:p>
        </w:tc>
        <w:tc>
          <w:tcPr>
            <w:tcW w:w="1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6"/>
              </w:rPr>
              <w:t>302,557</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113,180</w:t>
            </w:r>
          </w:p>
        </w:tc>
        <w:tc>
          <w:tcPr>
            <w:tcW w:w="120" w:type="dxa"/>
            <w:vAlign w:val="bottom"/>
          </w:tcPr>
          <w:p>
            <w:pPr>
              <w:spacing w:after="0"/>
              <w:rPr>
                <w:sz w:val="12"/>
                <w:szCs w:val="12"/>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Property and equipment, net</w:t>
            </w:r>
          </w:p>
        </w:tc>
        <w:tc>
          <w:tcPr>
            <w:tcW w:w="1120" w:type="dxa"/>
            <w:vAlign w:val="bottom"/>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20,772</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11,708</w:t>
            </w: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Intangible assets, net</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2,475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2,069</w:t>
            </w:r>
          </w:p>
        </w:tc>
        <w:tc>
          <w:tcPr>
            <w:tcW w:w="120" w:type="dxa"/>
            <w:vAlign w:val="bottom"/>
          </w:tcPr>
          <w:p>
            <w:pPr>
              <w:spacing w:after="0"/>
              <w:rPr>
                <w:sz w:val="13"/>
                <w:szCs w:val="13"/>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Right-of-use assets, net</w:t>
            </w:r>
          </w:p>
        </w:tc>
        <w:tc>
          <w:tcPr>
            <w:tcW w:w="1120" w:type="dxa"/>
            <w:vAlign w:val="bottom"/>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8,417</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8,892</w:t>
            </w: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assets</w:t>
            </w:r>
          </w:p>
        </w:tc>
        <w:tc>
          <w:tcPr>
            <w:tcW w:w="1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120" w:type="dxa"/>
            <w:vAlign w:val="bottom"/>
            <w:tcBorders>
              <w:bottom w:val="single" w:sz="8" w:color="CFF0FC"/>
            </w:tcBorders>
          </w:tcPr>
          <w:p>
            <w:pPr>
              <w:spacing w:after="0"/>
              <w:rPr>
                <w:sz w:val="13"/>
                <w:szCs w:val="13"/>
                <w:color w:val="auto"/>
              </w:rPr>
            </w:pPr>
          </w:p>
        </w:tc>
      </w:tr>
      <w:tr>
        <w:trPr>
          <w:trHeight w:val="162"/>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assets</w:t>
            </w:r>
          </w:p>
        </w:tc>
        <w:tc>
          <w:tcPr>
            <w:tcW w:w="1120" w:type="dxa"/>
            <w:vAlign w:val="bottom"/>
            <w:shd w:val="clear" w:color="auto" w:fill="CFF0FC"/>
          </w:tcPr>
          <w:p>
            <w:pPr>
              <w:jc w:val="right"/>
              <w:ind w:right="1012"/>
              <w:spacing w:after="0"/>
              <w:rPr>
                <w:sz w:val="20"/>
                <w:szCs w:val="20"/>
                <w:color w:val="auto"/>
              </w:rPr>
            </w:pPr>
            <w:r>
              <w:rPr>
                <w:rFonts w:ascii="Arial" w:cs="Arial" w:eastAsia="Arial" w:hAnsi="Arial"/>
                <w:sz w:val="10"/>
                <w:szCs w:val="10"/>
                <w:color w:val="auto"/>
                <w:w w:val="71"/>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6"/>
              </w:rPr>
              <w:t>334,383</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136,011</w:t>
            </w:r>
          </w:p>
        </w:tc>
        <w:tc>
          <w:tcPr>
            <w:tcW w:w="120" w:type="dxa"/>
            <w:vAlign w:val="bottom"/>
            <w:shd w:val="clear" w:color="auto" w:fill="CFF0FC"/>
          </w:tcPr>
          <w:p>
            <w:pPr>
              <w:spacing w:after="0"/>
              <w:rPr>
                <w:sz w:val="14"/>
                <w:szCs w:val="14"/>
                <w:color w:val="auto"/>
              </w:rPr>
            </w:pPr>
          </w:p>
        </w:tc>
      </w:tr>
      <w:tr>
        <w:trPr>
          <w:trHeight w:val="140"/>
        </w:trPr>
        <w:tc>
          <w:tcPr>
            <w:tcW w:w="7760" w:type="dxa"/>
            <w:vAlign w:val="bottom"/>
            <w:tcBorders>
              <w:top w:val="single" w:sz="8" w:color="CFF0FC"/>
            </w:tcBorders>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Current liabilities:</w:t>
            </w:r>
          </w:p>
        </w:tc>
        <w:tc>
          <w:tcPr>
            <w:tcW w:w="1120" w:type="dxa"/>
            <w:vAlign w:val="bottom"/>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1120" w:type="dxa"/>
            <w:vAlign w:val="bottom"/>
          </w:tcPr>
          <w:p>
            <w:pPr>
              <w:jc w:val="right"/>
              <w:ind w:right="101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9,932</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6,182</w:t>
            </w:r>
          </w:p>
        </w:tc>
        <w:tc>
          <w:tcPr>
            <w:tcW w:w="120" w:type="dxa"/>
            <w:vAlign w:val="bottom"/>
          </w:tcPr>
          <w:p>
            <w:pPr>
              <w:spacing w:after="0"/>
              <w:rPr>
                <w:sz w:val="13"/>
                <w:szCs w:val="13"/>
                <w:color w:val="auto"/>
              </w:rPr>
            </w:pPr>
          </w:p>
        </w:tc>
      </w:tr>
      <w:tr>
        <w:trPr>
          <w:trHeight w:val="153"/>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1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13,807</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12,963</w:t>
            </w:r>
          </w:p>
        </w:tc>
        <w:tc>
          <w:tcPr>
            <w:tcW w:w="120" w:type="dxa"/>
            <w:vAlign w:val="bottom"/>
            <w:shd w:val="clear" w:color="auto" w:fill="CFF0FC"/>
          </w:tcPr>
          <w:p>
            <w:pPr>
              <w:spacing w:after="0"/>
              <w:rPr>
                <w:sz w:val="13"/>
                <w:szCs w:val="13"/>
                <w:color w:val="auto"/>
              </w:rPr>
            </w:pPr>
          </w:p>
        </w:tc>
      </w:tr>
      <w:tr>
        <w:trPr>
          <w:trHeight w:val="142"/>
        </w:trPr>
        <w:tc>
          <w:tcPr>
            <w:tcW w:w="7760" w:type="dxa"/>
            <w:vAlign w:val="bottom"/>
          </w:tcPr>
          <w:p>
            <w:pPr>
              <w:ind w:left="320"/>
              <w:spacing w:after="0"/>
              <w:rPr>
                <w:sz w:val="20"/>
                <w:szCs w:val="20"/>
                <w:color w:val="auto"/>
              </w:rPr>
            </w:pPr>
            <w:r>
              <w:rPr>
                <w:rFonts w:ascii="Arial" w:cs="Arial" w:eastAsia="Arial" w:hAnsi="Arial"/>
                <w:sz w:val="12"/>
                <w:szCs w:val="12"/>
                <w:color w:val="auto"/>
              </w:rPr>
              <w:t>Total current liabilities</w:t>
            </w:r>
          </w:p>
        </w:tc>
        <w:tc>
          <w:tcPr>
            <w:tcW w:w="1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23,739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19,145</w:t>
            </w:r>
          </w:p>
        </w:tc>
        <w:tc>
          <w:tcPr>
            <w:tcW w:w="120" w:type="dxa"/>
            <w:vAlign w:val="bottom"/>
          </w:tcPr>
          <w:p>
            <w:pPr>
              <w:spacing w:after="0"/>
              <w:rPr>
                <w:sz w:val="12"/>
                <w:szCs w:val="12"/>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Lease liabilities</w:t>
            </w:r>
          </w:p>
        </w:tc>
        <w:tc>
          <w:tcPr>
            <w:tcW w:w="11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6,718</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6,986</w:t>
            </w:r>
          </w:p>
        </w:tc>
        <w:tc>
          <w:tcPr>
            <w:tcW w:w="120" w:type="dxa"/>
            <w:vAlign w:val="bottom"/>
            <w:shd w:val="clear" w:color="auto" w:fill="CFF0FC"/>
          </w:tcPr>
          <w:p>
            <w:pPr>
              <w:spacing w:after="0"/>
              <w:rPr>
                <w:sz w:val="13"/>
                <w:szCs w:val="13"/>
                <w:color w:val="auto"/>
              </w:rPr>
            </w:pPr>
          </w:p>
        </w:tc>
      </w:tr>
      <w:tr>
        <w:trPr>
          <w:trHeight w:val="142"/>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liabilities</w:t>
            </w:r>
          </w:p>
        </w:tc>
        <w:tc>
          <w:tcPr>
            <w:tcW w:w="1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30,457</w:t>
            </w:r>
          </w:p>
        </w:tc>
        <w:tc>
          <w:tcPr>
            <w:tcW w:w="2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26,131</w:t>
            </w:r>
          </w:p>
        </w:tc>
        <w:tc>
          <w:tcPr>
            <w:tcW w:w="120" w:type="dxa"/>
            <w:vAlign w:val="bottom"/>
            <w:tcBorders>
              <w:bottom w:val="single" w:sz="8" w:color="CFF0FC"/>
            </w:tcBorders>
          </w:tcPr>
          <w:p>
            <w:pPr>
              <w:spacing w:after="0"/>
              <w:rPr>
                <w:sz w:val="12"/>
                <w:szCs w:val="12"/>
                <w:color w:val="auto"/>
              </w:rPr>
            </w:pPr>
          </w:p>
        </w:tc>
      </w:tr>
      <w:tr>
        <w:trPr>
          <w:trHeight w:val="142"/>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Commitments and contingencies (Note 10)</w:t>
            </w:r>
          </w:p>
        </w:tc>
        <w:tc>
          <w:tcPr>
            <w:tcW w:w="1120" w:type="dxa"/>
            <w:vAlign w:val="bottom"/>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Stockholders’ equity:</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Common stock, $0.0001 par value - 200,000 shares authorized;</w:t>
            </w:r>
          </w:p>
        </w:tc>
        <w:tc>
          <w:tcPr>
            <w:tcW w:w="1120" w:type="dxa"/>
            <w:vAlign w:val="bottom"/>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60" w:type="dxa"/>
            <w:vAlign w:val="bottom"/>
            <w:shd w:val="clear" w:color="auto" w:fill="CFF0FC"/>
          </w:tcPr>
          <w:p>
            <w:pPr>
              <w:ind w:left="240"/>
              <w:spacing w:after="0"/>
              <w:rPr>
                <w:sz w:val="20"/>
                <w:szCs w:val="20"/>
                <w:color w:val="auto"/>
              </w:rPr>
            </w:pPr>
            <w:r>
              <w:rPr>
                <w:rFonts w:ascii="Arial" w:cs="Arial" w:eastAsia="Arial" w:hAnsi="Arial"/>
                <w:sz w:val="12"/>
                <w:szCs w:val="12"/>
                <w:color w:val="auto"/>
              </w:rPr>
              <w:t>19,061 and 17,150 shares issued and outstanding at</w:t>
            </w:r>
          </w:p>
        </w:tc>
        <w:tc>
          <w:tcPr>
            <w:tcW w:w="1120" w:type="dxa"/>
            <w:vAlign w:val="bottom"/>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760" w:type="dxa"/>
            <w:vAlign w:val="bottom"/>
            <w:shd w:val="clear" w:color="auto" w:fill="CFF0FC"/>
          </w:tcPr>
          <w:p>
            <w:pPr>
              <w:ind w:left="240"/>
              <w:spacing w:after="0"/>
              <w:rPr>
                <w:sz w:val="20"/>
                <w:szCs w:val="20"/>
                <w:color w:val="auto"/>
              </w:rPr>
            </w:pPr>
            <w:r>
              <w:rPr>
                <w:rFonts w:ascii="Arial" w:cs="Arial" w:eastAsia="Arial" w:hAnsi="Arial"/>
                <w:sz w:val="12"/>
                <w:szCs w:val="12"/>
                <w:color w:val="auto"/>
              </w:rPr>
              <w:t>June 30, 2021 and December 31, 2020</w:t>
            </w:r>
          </w:p>
        </w:tc>
        <w:tc>
          <w:tcPr>
            <w:tcW w:w="1120" w:type="dxa"/>
            <w:vAlign w:val="bottom"/>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6"/>
              </w:rPr>
              <w:t>368,862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173,274</w:t>
            </w:r>
          </w:p>
        </w:tc>
        <w:tc>
          <w:tcPr>
            <w:tcW w:w="120" w:type="dxa"/>
            <w:vAlign w:val="bottom"/>
          </w:tcPr>
          <w:p>
            <w:pPr>
              <w:spacing w:after="0"/>
              <w:rPr>
                <w:sz w:val="13"/>
                <w:szCs w:val="13"/>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Accumulated deficit</w:t>
            </w:r>
          </w:p>
        </w:tc>
        <w:tc>
          <w:tcPr>
            <w:tcW w:w="1120" w:type="dxa"/>
            <w:vAlign w:val="bottom"/>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(64,938)</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(63,396)</w:t>
            </w:r>
          </w:p>
        </w:tc>
      </w:tr>
      <w:tr>
        <w:trPr>
          <w:trHeight w:val="142"/>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stockholders’ equity</w:t>
            </w:r>
          </w:p>
        </w:tc>
        <w:tc>
          <w:tcPr>
            <w:tcW w:w="1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6"/>
              </w:rPr>
              <w:t>303,926</w:t>
            </w:r>
          </w:p>
        </w:tc>
        <w:tc>
          <w:tcPr>
            <w:tcW w:w="26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109,880</w:t>
            </w:r>
          </w:p>
        </w:tc>
        <w:tc>
          <w:tcPr>
            <w:tcW w:w="120" w:type="dxa"/>
            <w:vAlign w:val="bottom"/>
            <w:tcBorders>
              <w:bottom w:val="single" w:sz="8" w:color="CFF0FC"/>
            </w:tcBorders>
          </w:tcPr>
          <w:p>
            <w:pPr>
              <w:spacing w:after="0"/>
              <w:rPr>
                <w:sz w:val="12"/>
                <w:szCs w:val="12"/>
                <w:color w:val="auto"/>
              </w:rPr>
            </w:pPr>
          </w:p>
        </w:tc>
      </w:tr>
      <w:tr>
        <w:trPr>
          <w:trHeight w:val="142"/>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liabilities and stockholders’ equity</w:t>
            </w:r>
          </w:p>
        </w:tc>
        <w:tc>
          <w:tcPr>
            <w:tcW w:w="1120" w:type="dxa"/>
            <w:vAlign w:val="bottom"/>
            <w:shd w:val="clear" w:color="auto" w:fill="CFF0FC"/>
          </w:tcPr>
          <w:p>
            <w:pPr>
              <w:jc w:val="right"/>
              <w:ind w:right="1012"/>
              <w:spacing w:after="0"/>
              <w:rPr>
                <w:sz w:val="20"/>
                <w:szCs w:val="20"/>
                <w:color w:val="auto"/>
              </w:rPr>
            </w:pPr>
            <w:r>
              <w:rPr>
                <w:rFonts w:ascii="Arial" w:cs="Arial" w:eastAsia="Arial" w:hAnsi="Arial"/>
                <w:sz w:val="10"/>
                <w:szCs w:val="10"/>
                <w:color w:val="auto"/>
                <w:w w:val="71"/>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6"/>
              </w:rPr>
              <w:t>334,383</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136,011</w:t>
            </w:r>
          </w:p>
        </w:tc>
        <w:tc>
          <w:tcPr>
            <w:tcW w:w="120" w:type="dxa"/>
            <w:vAlign w:val="bottom"/>
            <w:shd w:val="clear" w:color="auto" w:fill="CFF0FC"/>
          </w:tcPr>
          <w:p>
            <w:pPr>
              <w:spacing w:after="0"/>
              <w:rPr>
                <w:sz w:val="12"/>
                <w:szCs w:val="12"/>
                <w:color w:val="auto"/>
              </w:rPr>
            </w:pPr>
          </w:p>
        </w:tc>
      </w:tr>
      <w:tr>
        <w:trPr>
          <w:trHeight w:val="27"/>
        </w:trPr>
        <w:tc>
          <w:tcPr>
            <w:tcW w:w="7760" w:type="dxa"/>
            <w:vAlign w:val="bottom"/>
            <w:shd w:val="clear" w:color="auto" w:fill="CFF0F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tcBorders>
              <w:right w:val="single" w:sz="8" w:color="CFF0FC"/>
            </w:tcBorders>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SITIME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 AND COMPREHENSIVE INCOME (LOSS)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60" w:type="dxa"/>
            <w:vAlign w:val="bottom"/>
          </w:tcPr>
          <w:p>
            <w:pPr>
              <w:spacing w:after="0"/>
              <w:rPr>
                <w:sz w:val="10"/>
                <w:szCs w:val="10"/>
                <w:color w:val="auto"/>
              </w:rPr>
            </w:pPr>
          </w:p>
        </w:tc>
        <w:tc>
          <w:tcPr>
            <w:tcW w:w="21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auto"/>
              </w:rPr>
              <w:t>Three Months Ended June 30,</w:t>
            </w: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Six Months Ended June 30,</w:t>
            </w: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760" w:type="dxa"/>
            <w:vAlign w:val="bottom"/>
          </w:tcPr>
          <w:p>
            <w:pPr>
              <w:spacing w:after="0"/>
              <w:rPr>
                <w:sz w:val="8"/>
                <w:szCs w:val="8"/>
                <w:color w:val="auto"/>
              </w:rPr>
            </w:pPr>
          </w:p>
        </w:tc>
        <w:tc>
          <w:tcPr>
            <w:tcW w:w="72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2"/>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421"/>
              <w:spacing w:after="0" w:line="97" w:lineRule="exact"/>
              <w:rPr>
                <w:sz w:val="20"/>
                <w:szCs w:val="20"/>
                <w:color w:val="auto"/>
              </w:rPr>
            </w:pPr>
            <w:r>
              <w:rPr>
                <w:rFonts w:ascii="Arial" w:cs="Arial" w:eastAsia="Arial" w:hAnsi="Arial"/>
                <w:sz w:val="10"/>
                <w:szCs w:val="10"/>
                <w:b w:val="1"/>
                <w:bCs w:val="1"/>
                <w:color w:val="auto"/>
                <w:w w:val="80"/>
              </w:rPr>
              <w:t>2020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20" w:type="dxa"/>
            <w:vAlign w:val="bottom"/>
            <w:gridSpan w:val="4"/>
          </w:tcPr>
          <w:p>
            <w:pPr>
              <w:jc w:val="right"/>
              <w:ind w:right="72"/>
              <w:spacing w:after="0" w:line="97" w:lineRule="exact"/>
              <w:rPr>
                <w:sz w:val="20"/>
                <w:szCs w:val="20"/>
                <w:color w:val="auto"/>
              </w:rPr>
            </w:pPr>
            <w:r>
              <w:rPr>
                <w:rFonts w:ascii="Arial" w:cs="Arial" w:eastAsia="Arial" w:hAnsi="Arial"/>
                <w:sz w:val="10"/>
                <w:szCs w:val="10"/>
                <w:b w:val="1"/>
                <w:bCs w:val="1"/>
                <w:color w:val="auto"/>
              </w:rPr>
              <w:t>(in thousands, except per share data)</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760" w:type="dxa"/>
            <w:vAlign w:val="bottom"/>
            <w:shd w:val="clear" w:color="auto" w:fill="CFF0FC"/>
          </w:tcPr>
          <w:p>
            <w:pPr>
              <w:spacing w:after="0"/>
              <w:rPr>
                <w:sz w:val="20"/>
                <w:szCs w:val="20"/>
                <w:color w:val="auto"/>
              </w:rPr>
            </w:pPr>
            <w:r>
              <w:rPr>
                <w:rFonts w:ascii="Arial" w:cs="Arial" w:eastAsia="Arial" w:hAnsi="Arial"/>
                <w:sz w:val="12"/>
                <w:szCs w:val="12"/>
                <w:color w:val="auto"/>
              </w:rPr>
              <w:t>Revenue</w:t>
            </w:r>
          </w:p>
        </w:tc>
        <w:tc>
          <w:tcPr>
            <w:tcW w:w="720" w:type="dxa"/>
            <w:vAlign w:val="bottom"/>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44,496</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21,473</w:t>
            </w:r>
          </w:p>
        </w:tc>
        <w:tc>
          <w:tcPr>
            <w:tcW w:w="40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80,038</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43,215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revenue</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17,669</w:t>
            </w: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11,490</w:t>
            </w:r>
          </w:p>
        </w:tc>
        <w:tc>
          <w:tcPr>
            <w:tcW w:w="4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34,393</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23,256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6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7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26,827</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9,983</w:t>
            </w:r>
          </w:p>
        </w:tc>
        <w:tc>
          <w:tcPr>
            <w:tcW w:w="4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45,645</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60" w:type="dxa"/>
            <w:vAlign w:val="bottom"/>
          </w:tcPr>
          <w:p>
            <w:pPr>
              <w:spacing w:after="0"/>
              <w:rPr>
                <w:sz w:val="20"/>
                <w:szCs w:val="20"/>
                <w:color w:val="auto"/>
              </w:rPr>
            </w:pPr>
            <w:r>
              <w:rPr>
                <w:rFonts w:ascii="Arial" w:cs="Arial" w:eastAsia="Arial" w:hAnsi="Arial"/>
                <w:sz w:val="12"/>
                <w:szCs w:val="12"/>
                <w:color w:val="auto"/>
              </w:rPr>
              <w:t>Operating expenses:</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7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12,067</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7,398</w:t>
            </w:r>
          </w:p>
        </w:tc>
        <w:tc>
          <w:tcPr>
            <w:tcW w:w="4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23,247</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Selling, general and administrative</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12,686</w:t>
            </w: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7,856</w:t>
            </w:r>
          </w:p>
        </w:tc>
        <w:tc>
          <w:tcPr>
            <w:tcW w:w="4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23,809</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15,664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operating expenses</w:t>
            </w:r>
          </w:p>
        </w:tc>
        <w:tc>
          <w:tcPr>
            <w:tcW w:w="7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24,753</w:t>
            </w:r>
          </w:p>
        </w:tc>
        <w:tc>
          <w:tcPr>
            <w:tcW w:w="24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15,254</w:t>
            </w:r>
          </w:p>
        </w:tc>
        <w:tc>
          <w:tcPr>
            <w:tcW w:w="400" w:type="dxa"/>
            <w:vAlign w:val="bottom"/>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47,056</w:t>
            </w:r>
          </w:p>
        </w:tc>
        <w:tc>
          <w:tcPr>
            <w:tcW w:w="24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30,086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20"/>
                <w:szCs w:val="20"/>
                <w:color w:val="auto"/>
              </w:rPr>
            </w:pPr>
            <w:r>
              <w:rPr>
                <w:rFonts w:ascii="Arial" w:cs="Arial" w:eastAsia="Arial" w:hAnsi="Arial"/>
                <w:sz w:val="12"/>
                <w:szCs w:val="12"/>
                <w:color w:val="auto"/>
              </w:rPr>
              <w:t>Income (loss) from operations</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2,074</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(5,271)</w:t>
            </w:r>
          </w:p>
        </w:tc>
        <w:tc>
          <w:tcPr>
            <w:tcW w:w="6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(1,411)</w:t>
            </w:r>
          </w:p>
        </w:tc>
        <w:tc>
          <w:tcPr>
            <w:tcW w:w="4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(10,127)</w:t>
            </w:r>
          </w:p>
        </w:tc>
        <w:tc>
          <w:tcPr>
            <w:tcW w:w="0" w:type="dxa"/>
            <w:vAlign w:val="bottom"/>
          </w:tcPr>
          <w:p>
            <w:pPr>
              <w:spacing w:after="0"/>
              <w:rPr>
                <w:sz w:val="1"/>
                <w:szCs w:val="1"/>
                <w:color w:val="auto"/>
              </w:rPr>
            </w:pPr>
          </w:p>
        </w:tc>
      </w:tr>
      <w:tr>
        <w:trPr>
          <w:trHeight w:val="153"/>
        </w:trPr>
        <w:tc>
          <w:tcPr>
            <w:tcW w:w="5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Interest expense</w:t>
            </w:r>
          </w:p>
        </w:tc>
        <w:tc>
          <w:tcPr>
            <w:tcW w:w="7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(313)</w:t>
            </w:r>
          </w:p>
        </w:tc>
        <w:tc>
          <w:tcPr>
            <w:tcW w:w="6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(616)</w:t>
            </w:r>
          </w:p>
        </w:tc>
        <w:tc>
          <w:tcPr>
            <w:tcW w:w="0" w:type="dxa"/>
            <w:vAlign w:val="bottom"/>
          </w:tcPr>
          <w:p>
            <w:pPr>
              <w:spacing w:after="0"/>
              <w:rPr>
                <w:sz w:val="1"/>
                <w:szCs w:val="1"/>
                <w:color w:val="auto"/>
              </w:rPr>
            </w:pPr>
          </w:p>
        </w:tc>
      </w:tr>
      <w:tr>
        <w:trPr>
          <w:trHeight w:val="153"/>
        </w:trPr>
        <w:tc>
          <w:tcPr>
            <w:tcW w:w="5760" w:type="dxa"/>
            <w:vAlign w:val="bottom"/>
          </w:tcPr>
          <w:p>
            <w:pPr>
              <w:ind w:left="160"/>
              <w:spacing w:after="0"/>
              <w:rPr>
                <w:sz w:val="20"/>
                <w:szCs w:val="20"/>
                <w:color w:val="auto"/>
              </w:rPr>
            </w:pPr>
            <w:r>
              <w:rPr>
                <w:rFonts w:ascii="Arial" w:cs="Arial" w:eastAsia="Arial" w:hAnsi="Arial"/>
                <w:sz w:val="12"/>
                <w:szCs w:val="12"/>
                <w:color w:val="auto"/>
              </w:rPr>
              <w:t>Other income (expense), net</w:t>
            </w:r>
          </w:p>
        </w:tc>
        <w:tc>
          <w:tcPr>
            <w:tcW w:w="7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(28)</w:t>
            </w:r>
          </w:p>
        </w:tc>
        <w:tc>
          <w:tcPr>
            <w:tcW w:w="74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(20)</w:t>
            </w:r>
          </w:p>
        </w:tc>
        <w:tc>
          <w:tcPr>
            <w:tcW w:w="6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(68)</w:t>
            </w: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Income (loss) before income taxes</w:t>
            </w: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vMerge w:val="continue"/>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2,046</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(5,604)</w:t>
            </w:r>
          </w:p>
        </w:tc>
        <w:tc>
          <w:tcPr>
            <w:tcW w:w="6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(1,479)</w:t>
            </w:r>
          </w:p>
        </w:tc>
        <w:tc>
          <w:tcPr>
            <w:tcW w:w="4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(10,695)</w:t>
            </w:r>
          </w:p>
        </w:tc>
        <w:tc>
          <w:tcPr>
            <w:tcW w:w="0" w:type="dxa"/>
            <w:vAlign w:val="bottom"/>
          </w:tcPr>
          <w:p>
            <w:pPr>
              <w:spacing w:after="0"/>
              <w:rPr>
                <w:sz w:val="1"/>
                <w:szCs w:val="1"/>
                <w:color w:val="auto"/>
              </w:rPr>
            </w:pPr>
          </w:p>
        </w:tc>
      </w:tr>
      <w:tr>
        <w:trPr>
          <w:trHeight w:val="153"/>
        </w:trPr>
        <w:tc>
          <w:tcPr>
            <w:tcW w:w="576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7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(23)</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(63)</w:t>
            </w:r>
          </w:p>
        </w:tc>
        <w:tc>
          <w:tcPr>
            <w:tcW w:w="4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760" w:type="dxa"/>
            <w:vAlign w:val="bottom"/>
            <w:vMerge w:val="continue"/>
            <w:shd w:val="clear" w:color="auto" w:fill="CFF0FC"/>
          </w:tcPr>
          <w:p>
            <w:pPr>
              <w:spacing w:after="0"/>
              <w:rPr>
                <w:sz w:val="14"/>
                <w:szCs w:val="14"/>
                <w:color w:val="auto"/>
              </w:rPr>
            </w:pPr>
          </w:p>
        </w:tc>
        <w:tc>
          <w:tcPr>
            <w:tcW w:w="720" w:type="dxa"/>
            <w:vAlign w:val="bottom"/>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2,023</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(5,603)</w:t>
            </w:r>
          </w:p>
        </w:tc>
        <w:tc>
          <w:tcPr>
            <w:tcW w:w="680" w:type="dxa"/>
            <w:vAlign w:val="bottom"/>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(1,542)</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(10,696)</w:t>
            </w:r>
          </w:p>
        </w:tc>
        <w:tc>
          <w:tcPr>
            <w:tcW w:w="0" w:type="dxa"/>
            <w:vAlign w:val="bottom"/>
          </w:tcPr>
          <w:p>
            <w:pPr>
              <w:spacing w:after="0"/>
              <w:rPr>
                <w:sz w:val="1"/>
                <w:szCs w:val="1"/>
                <w:color w:val="auto"/>
              </w:rPr>
            </w:pPr>
          </w:p>
        </w:tc>
      </w:tr>
      <w:tr>
        <w:trPr>
          <w:trHeight w:val="131"/>
        </w:trPr>
        <w:tc>
          <w:tcPr>
            <w:tcW w:w="576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Net income (loss) attributable to common stockholders and</w:t>
            </w:r>
          </w:p>
        </w:tc>
        <w:tc>
          <w:tcPr>
            <w:tcW w:w="7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760" w:type="dxa"/>
            <w:vAlign w:val="bottom"/>
          </w:tcPr>
          <w:p>
            <w:pPr>
              <w:ind w:left="80"/>
              <w:spacing w:after="0"/>
              <w:rPr>
                <w:sz w:val="20"/>
                <w:szCs w:val="20"/>
                <w:color w:val="auto"/>
              </w:rPr>
            </w:pPr>
            <w:r>
              <w:rPr>
                <w:rFonts w:ascii="Arial" w:cs="Arial" w:eastAsia="Arial" w:hAnsi="Arial"/>
                <w:sz w:val="12"/>
                <w:szCs w:val="12"/>
                <w:color w:val="auto"/>
              </w:rPr>
              <w:t>comprehensive loss</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2,023</w:t>
            </w:r>
          </w:p>
        </w:tc>
        <w:tc>
          <w:tcPr>
            <w:tcW w:w="240" w:type="dxa"/>
            <w:vAlign w:val="bottom"/>
          </w:tcPr>
          <w:p>
            <w:pPr>
              <w:spacing w:after="0"/>
              <w:rPr>
                <w:sz w:val="13"/>
                <w:szCs w:val="13"/>
                <w:color w:val="auto"/>
              </w:rPr>
            </w:pP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(5,603)</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(1,542)</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(10,696)</w:t>
            </w:r>
          </w:p>
        </w:tc>
        <w:tc>
          <w:tcPr>
            <w:tcW w:w="0" w:type="dxa"/>
            <w:vAlign w:val="bottom"/>
          </w:tcPr>
          <w:p>
            <w:pPr>
              <w:spacing w:after="0"/>
              <w:rPr>
                <w:sz w:val="1"/>
                <w:szCs w:val="1"/>
                <w:color w:val="auto"/>
              </w:rPr>
            </w:pPr>
          </w:p>
        </w:tc>
      </w:tr>
      <w:tr>
        <w:trPr>
          <w:trHeight w:val="144"/>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Net income (loss) per share attributable to common</w:t>
            </w:r>
          </w:p>
        </w:tc>
        <w:tc>
          <w:tcPr>
            <w:tcW w:w="72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60" w:type="dxa"/>
            <w:vAlign w:val="bottom"/>
            <w:shd w:val="clear" w:color="auto" w:fill="CFF0FC"/>
          </w:tcPr>
          <w:p>
            <w:pPr>
              <w:ind w:left="80"/>
              <w:spacing w:after="0"/>
              <w:rPr>
                <w:sz w:val="20"/>
                <w:szCs w:val="20"/>
                <w:color w:val="auto"/>
              </w:rPr>
            </w:pPr>
            <w:r>
              <w:rPr>
                <w:rFonts w:ascii="Arial" w:cs="Arial" w:eastAsia="Arial" w:hAnsi="Arial"/>
                <w:sz w:val="12"/>
                <w:szCs w:val="12"/>
                <w:color w:val="auto"/>
              </w:rPr>
              <w:t>stockholders, basic</w:t>
            </w:r>
          </w:p>
        </w:tc>
        <w:tc>
          <w:tcPr>
            <w:tcW w:w="720" w:type="dxa"/>
            <w:vAlign w:val="bottom"/>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0.11</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(0.36)</w:t>
            </w:r>
          </w:p>
        </w:tc>
        <w:tc>
          <w:tcPr>
            <w:tcW w:w="680" w:type="dxa"/>
            <w:vAlign w:val="bottom"/>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(0.08)</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(0.70)</w:t>
            </w:r>
          </w:p>
        </w:tc>
        <w:tc>
          <w:tcPr>
            <w:tcW w:w="0" w:type="dxa"/>
            <w:vAlign w:val="bottom"/>
          </w:tcPr>
          <w:p>
            <w:pPr>
              <w:spacing w:after="0"/>
              <w:rPr>
                <w:sz w:val="1"/>
                <w:szCs w:val="1"/>
                <w:color w:val="auto"/>
              </w:rPr>
            </w:pPr>
          </w:p>
        </w:tc>
      </w:tr>
      <w:tr>
        <w:trPr>
          <w:trHeight w:val="131"/>
        </w:trPr>
        <w:tc>
          <w:tcPr>
            <w:tcW w:w="576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Net income (loss) per share attributable to common</w:t>
            </w:r>
          </w:p>
        </w:tc>
        <w:tc>
          <w:tcPr>
            <w:tcW w:w="7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760" w:type="dxa"/>
            <w:vAlign w:val="bottom"/>
          </w:tcPr>
          <w:p>
            <w:pPr>
              <w:ind w:left="80"/>
              <w:spacing w:after="0"/>
              <w:rPr>
                <w:sz w:val="20"/>
                <w:szCs w:val="20"/>
                <w:color w:val="auto"/>
              </w:rPr>
            </w:pPr>
            <w:r>
              <w:rPr>
                <w:rFonts w:ascii="Arial" w:cs="Arial" w:eastAsia="Arial" w:hAnsi="Arial"/>
                <w:sz w:val="12"/>
                <w:szCs w:val="12"/>
                <w:color w:val="auto"/>
              </w:rPr>
              <w:t>stockholders, diluted</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0.10</w:t>
            </w:r>
          </w:p>
        </w:tc>
        <w:tc>
          <w:tcPr>
            <w:tcW w:w="240" w:type="dxa"/>
            <w:vAlign w:val="bottom"/>
          </w:tcPr>
          <w:p>
            <w:pPr>
              <w:spacing w:after="0"/>
              <w:rPr>
                <w:sz w:val="13"/>
                <w:szCs w:val="13"/>
                <w:color w:val="auto"/>
              </w:rPr>
            </w:pP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(0.36)</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(0.08)</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(0.70)</w:t>
            </w:r>
          </w:p>
        </w:tc>
        <w:tc>
          <w:tcPr>
            <w:tcW w:w="0" w:type="dxa"/>
            <w:vAlign w:val="bottom"/>
          </w:tcPr>
          <w:p>
            <w:pPr>
              <w:spacing w:after="0"/>
              <w:rPr>
                <w:sz w:val="1"/>
                <w:szCs w:val="1"/>
                <w:color w:val="auto"/>
              </w:rPr>
            </w:pPr>
          </w:p>
        </w:tc>
      </w:tr>
      <w:tr>
        <w:trPr>
          <w:trHeight w:val="144"/>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Weighted-average shares used to compute basic</w:t>
            </w:r>
          </w:p>
        </w:tc>
        <w:tc>
          <w:tcPr>
            <w:tcW w:w="72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net income (loss) per share</w:t>
            </w:r>
          </w:p>
        </w:tc>
        <w:tc>
          <w:tcPr>
            <w:tcW w:w="7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18,942</w:t>
            </w:r>
          </w:p>
        </w:tc>
        <w:tc>
          <w:tcPr>
            <w:tcW w:w="24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15,371</w:t>
            </w:r>
          </w:p>
        </w:tc>
        <w:tc>
          <w:tcPr>
            <w:tcW w:w="4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18,408</w:t>
            </w:r>
          </w:p>
        </w:tc>
        <w:tc>
          <w:tcPr>
            <w:tcW w:w="24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15,191</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line="132" w:lineRule="exact"/>
              <w:rPr>
                <w:sz w:val="20"/>
                <w:szCs w:val="20"/>
                <w:color w:val="auto"/>
              </w:rPr>
            </w:pPr>
            <w:r>
              <w:rPr>
                <w:rFonts w:ascii="Arial" w:cs="Arial" w:eastAsia="Arial" w:hAnsi="Arial"/>
                <w:sz w:val="12"/>
                <w:szCs w:val="12"/>
                <w:color w:val="auto"/>
              </w:rPr>
              <w:t>Weighted-average shares used to compute diluted</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760" w:type="dxa"/>
            <w:vAlign w:val="bottom"/>
          </w:tcPr>
          <w:p>
            <w:pPr>
              <w:ind w:left="80"/>
              <w:spacing w:after="0"/>
              <w:rPr>
                <w:sz w:val="20"/>
                <w:szCs w:val="20"/>
                <w:color w:val="auto"/>
              </w:rPr>
            </w:pPr>
            <w:r>
              <w:rPr>
                <w:rFonts w:ascii="Arial" w:cs="Arial" w:eastAsia="Arial" w:hAnsi="Arial"/>
                <w:sz w:val="12"/>
                <w:szCs w:val="12"/>
                <w:color w:val="auto"/>
              </w:rPr>
              <w:t>net income (loss) per share</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20,893</w:t>
            </w:r>
          </w:p>
        </w:tc>
        <w:tc>
          <w:tcPr>
            <w:tcW w:w="2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15,371</w:t>
            </w:r>
          </w:p>
        </w:tc>
        <w:tc>
          <w:tcPr>
            <w:tcW w:w="4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18,408</w:t>
            </w:r>
          </w:p>
        </w:tc>
        <w:tc>
          <w:tcPr>
            <w:tcW w:w="2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SITIME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r>
        <w:rPr>
          <w:rFonts w:ascii="Arial" w:cs="Arial" w:eastAsia="Arial" w:hAnsi="Arial"/>
          <w:sz w:val="12"/>
          <w:szCs w:val="12"/>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Additional</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13"/>
        </w:trPr>
        <w:tc>
          <w:tcPr>
            <w:tcW w:w="52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3"/>
          </w:tcPr>
          <w:p>
            <w:pPr>
              <w:jc w:val="right"/>
              <w:ind w:right="532"/>
              <w:spacing w:after="0" w:line="114" w:lineRule="exact"/>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9"/>
              </w:rPr>
              <w:t>Paid-in</w:t>
            </w:r>
          </w:p>
        </w:tc>
        <w:tc>
          <w:tcPr>
            <w:tcW w:w="160" w:type="dxa"/>
            <w:vAlign w:val="bottom"/>
          </w:tcPr>
          <w:p>
            <w:pPr>
              <w:spacing w:after="0"/>
              <w:rPr>
                <w:sz w:val="9"/>
                <w:szCs w:val="9"/>
                <w:color w:val="auto"/>
              </w:rPr>
            </w:pPr>
          </w:p>
        </w:tc>
        <w:tc>
          <w:tcPr>
            <w:tcW w:w="1080" w:type="dxa"/>
            <w:vAlign w:val="bottom"/>
            <w:gridSpan w:val="2"/>
          </w:tcPr>
          <w:p>
            <w:pPr>
              <w:jc w:val="right"/>
              <w:ind w:right="460"/>
              <w:spacing w:after="0" w:line="114" w:lineRule="exact"/>
              <w:rPr>
                <w:sz w:val="20"/>
                <w:szCs w:val="20"/>
                <w:color w:val="auto"/>
              </w:rPr>
            </w:pPr>
            <w:r>
              <w:rPr>
                <w:rFonts w:ascii="Arial" w:cs="Arial" w:eastAsia="Arial" w:hAnsi="Arial"/>
                <w:sz w:val="10"/>
                <w:szCs w:val="10"/>
                <w:b w:val="1"/>
                <w:bCs w:val="1"/>
                <w:color w:val="auto"/>
                <w:w w:val="95"/>
              </w:rPr>
              <w:t>Accumulated</w:t>
            </w:r>
          </w:p>
        </w:tc>
        <w:tc>
          <w:tcPr>
            <w:tcW w:w="140" w:type="dxa"/>
            <w:vAlign w:val="bottom"/>
          </w:tcPr>
          <w:p>
            <w:pPr>
              <w:spacing w:after="0"/>
              <w:rPr>
                <w:sz w:val="9"/>
                <w:szCs w:val="9"/>
                <w:color w:val="auto"/>
              </w:rPr>
            </w:pPr>
          </w:p>
        </w:tc>
        <w:tc>
          <w:tcPr>
            <w:tcW w:w="10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5"/>
              </w:rPr>
              <w:t>Stockholders'</w:t>
            </w:r>
          </w:p>
        </w:tc>
        <w:tc>
          <w:tcPr>
            <w:tcW w:w="0" w:type="dxa"/>
            <w:vAlign w:val="bottom"/>
          </w:tcPr>
          <w:p>
            <w:pPr>
              <w:spacing w:after="0"/>
              <w:rPr>
                <w:sz w:val="1"/>
                <w:szCs w:val="1"/>
                <w:color w:val="auto"/>
              </w:rPr>
            </w:pPr>
          </w:p>
        </w:tc>
      </w:tr>
      <w:tr>
        <w:trPr>
          <w:trHeight w:val="97"/>
        </w:trPr>
        <w:tc>
          <w:tcPr>
            <w:tcW w:w="5220" w:type="dxa"/>
            <w:vAlign w:val="bottom"/>
          </w:tcPr>
          <w:p>
            <w:pPr>
              <w:spacing w:after="0"/>
              <w:rPr>
                <w:sz w:val="8"/>
                <w:szCs w:val="8"/>
                <w:color w:val="auto"/>
              </w:rPr>
            </w:pPr>
          </w:p>
        </w:tc>
        <w:tc>
          <w:tcPr>
            <w:tcW w:w="660" w:type="dxa"/>
            <w:vAlign w:val="bottom"/>
          </w:tcPr>
          <w:p>
            <w:pPr>
              <w:ind w:left="380"/>
              <w:spacing w:after="0" w:line="97" w:lineRule="exact"/>
              <w:rPr>
                <w:sz w:val="20"/>
                <w:szCs w:val="20"/>
                <w:color w:val="auto"/>
              </w:rPr>
            </w:pPr>
            <w:r>
              <w:rPr>
                <w:rFonts w:ascii="Arial" w:cs="Arial" w:eastAsia="Arial" w:hAnsi="Arial"/>
                <w:sz w:val="10"/>
                <w:szCs w:val="10"/>
                <w:b w:val="1"/>
                <w:bCs w:val="1"/>
                <w:color w:val="auto"/>
                <w:w w:val="77"/>
              </w:rPr>
              <w:t>Shares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jc w:val="right"/>
              <w:ind w:right="52"/>
              <w:spacing w:after="0" w:line="97" w:lineRule="exact"/>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jc w:val="center"/>
              <w:ind w:right="380"/>
              <w:spacing w:after="0" w:line="97" w:lineRule="exact"/>
              <w:rPr>
                <w:sz w:val="20"/>
                <w:szCs w:val="20"/>
                <w:color w:val="auto"/>
              </w:rPr>
            </w:pPr>
            <w:r>
              <w:rPr>
                <w:rFonts w:ascii="Arial" w:cs="Arial" w:eastAsia="Arial" w:hAnsi="Arial"/>
                <w:sz w:val="10"/>
                <w:szCs w:val="10"/>
                <w:b w:val="1"/>
                <w:bCs w:val="1"/>
                <w:color w:val="auto"/>
                <w:w w:val="89"/>
              </w:rPr>
              <w:t>Capital</w:t>
            </w:r>
          </w:p>
        </w:tc>
        <w:tc>
          <w:tcPr>
            <w:tcW w:w="160" w:type="dxa"/>
            <w:vAlign w:val="bottom"/>
          </w:tcPr>
          <w:p>
            <w:pPr>
              <w:spacing w:after="0"/>
              <w:rPr>
                <w:sz w:val="8"/>
                <w:szCs w:val="8"/>
                <w:color w:val="auto"/>
              </w:rPr>
            </w:pPr>
          </w:p>
        </w:tc>
        <w:tc>
          <w:tcPr>
            <w:tcW w:w="1080" w:type="dxa"/>
            <w:vAlign w:val="bottom"/>
            <w:gridSpan w:val="2"/>
          </w:tcPr>
          <w:p>
            <w:pPr>
              <w:jc w:val="right"/>
              <w:ind w:right="600"/>
              <w:spacing w:after="0" w:line="97" w:lineRule="exact"/>
              <w:rPr>
                <w:sz w:val="20"/>
                <w:szCs w:val="20"/>
                <w:color w:val="auto"/>
              </w:rPr>
            </w:pPr>
            <w:r>
              <w:rPr>
                <w:rFonts w:ascii="Arial" w:cs="Arial" w:eastAsia="Arial" w:hAnsi="Arial"/>
                <w:sz w:val="10"/>
                <w:szCs w:val="10"/>
                <w:b w:val="1"/>
                <w:bCs w:val="1"/>
                <w:color w:val="auto"/>
              </w:rPr>
              <w:t>Deficit</w:t>
            </w:r>
          </w:p>
        </w:tc>
        <w:tc>
          <w:tcPr>
            <w:tcW w:w="140" w:type="dxa"/>
            <w:vAlign w:val="bottom"/>
          </w:tcPr>
          <w:p>
            <w:pPr>
              <w:spacing w:after="0"/>
              <w:rPr>
                <w:sz w:val="8"/>
                <w:szCs w:val="8"/>
                <w:color w:val="auto"/>
              </w:rPr>
            </w:pPr>
          </w:p>
        </w:tc>
        <w:tc>
          <w:tcPr>
            <w:tcW w:w="1000" w:type="dxa"/>
            <w:vAlign w:val="bottom"/>
            <w:gridSpan w:val="2"/>
          </w:tcPr>
          <w:p>
            <w:pPr>
              <w:jc w:val="center"/>
              <w:ind w:right="260"/>
              <w:spacing w:after="0" w:line="97" w:lineRule="exact"/>
              <w:rPr>
                <w:sz w:val="20"/>
                <w:szCs w:val="20"/>
                <w:color w:val="auto"/>
              </w:rPr>
            </w:pPr>
            <w:r>
              <w:rPr>
                <w:rFonts w:ascii="Arial" w:cs="Arial" w:eastAsia="Arial" w:hAnsi="Arial"/>
                <w:sz w:val="10"/>
                <w:szCs w:val="10"/>
                <w:b w:val="1"/>
                <w:bCs w:val="1"/>
                <w:color w:val="auto"/>
                <w:w w:val="84"/>
              </w:rPr>
              <w:t>Equity</w:t>
            </w:r>
          </w:p>
        </w:tc>
        <w:tc>
          <w:tcPr>
            <w:tcW w:w="0" w:type="dxa"/>
            <w:vAlign w:val="bottom"/>
          </w:tcPr>
          <w:p>
            <w:pPr>
              <w:spacing w:after="0"/>
              <w:rPr>
                <w:sz w:val="1"/>
                <w:szCs w:val="1"/>
                <w:color w:val="auto"/>
              </w:rPr>
            </w:pPr>
          </w:p>
        </w:tc>
      </w:tr>
      <w:tr>
        <w:trPr>
          <w:trHeight w:val="97"/>
        </w:trPr>
        <w:tc>
          <w:tcPr>
            <w:tcW w:w="5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center"/>
              <w:ind w:right="340"/>
              <w:spacing w:after="0" w:line="97" w:lineRule="exact"/>
              <w:rPr>
                <w:sz w:val="20"/>
                <w:szCs w:val="20"/>
                <w:color w:val="auto"/>
              </w:rPr>
            </w:pPr>
            <w:r>
              <w:rPr>
                <w:rFonts w:ascii="Arial" w:cs="Arial" w:eastAsia="Arial" w:hAnsi="Arial"/>
                <w:sz w:val="10"/>
                <w:szCs w:val="10"/>
                <w:b w:val="1"/>
                <w:bCs w:val="1"/>
                <w:color w:val="auto"/>
                <w:w w:val="84"/>
              </w:rPr>
              <w:t>(in thousands)</w:t>
            </w: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Balances at March 31, 2021</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18,840</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362,228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(66,961)</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295,269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8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6,634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6,634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Issuance of shares upon vesting of restricted stock units</w:t>
            </w: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Balances at June 30, 2021</w:t>
            </w: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19,061</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368,862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(64,938)</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303,926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2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5220" w:type="dxa"/>
            <w:vAlign w:val="bottom"/>
          </w:tcPr>
          <w:p>
            <w:pPr>
              <w:spacing w:after="0"/>
              <w:rPr>
                <w:sz w:val="20"/>
                <w:szCs w:val="20"/>
                <w:color w:val="auto"/>
              </w:rPr>
            </w:pPr>
            <w:r>
              <w:rPr>
                <w:rFonts w:ascii="Arial" w:cs="Arial" w:eastAsia="Arial" w:hAnsi="Arial"/>
                <w:sz w:val="12"/>
                <w:szCs w:val="12"/>
                <w:b w:val="1"/>
                <w:bCs w:val="1"/>
                <w:color w:val="auto"/>
              </w:rPr>
              <w:t>Balances at March 31, 2020</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87"/>
              </w:rPr>
              <w:t>15,061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117,129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(59,117)</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58,014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3,076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3,076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8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(5,603)</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(5,603)</w:t>
            </w: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Issuance of common stock upon follow-on public offering</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net of underwriting discounts and commissions and</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 offering costs</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45,789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45,789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Issuance of shares upon vesting of restricted stock units, net of tax withholdings</w:t>
            </w: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(1,707)</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(1,707)</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2"/>
                <w:szCs w:val="12"/>
                <w:b w:val="1"/>
                <w:bCs w:val="1"/>
                <w:color w:val="auto"/>
              </w:rPr>
              <w:t>Balances at June 30, 2020</w:t>
            </w: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vMerge w:val="continue"/>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16,716</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164,287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(64,720)</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99,569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2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5220" w:type="dxa"/>
            <w:vAlign w:val="bottom"/>
          </w:tcPr>
          <w:p>
            <w:pPr>
              <w:spacing w:after="0"/>
              <w:rPr>
                <w:sz w:val="20"/>
                <w:szCs w:val="20"/>
                <w:color w:val="auto"/>
              </w:rPr>
            </w:pPr>
            <w:r>
              <w:rPr>
                <w:rFonts w:ascii="Arial" w:cs="Arial" w:eastAsia="Arial" w:hAnsi="Arial"/>
                <w:sz w:val="12"/>
                <w:szCs w:val="12"/>
                <w:b w:val="1"/>
                <w:bCs w:val="1"/>
                <w:color w:val="auto"/>
              </w:rPr>
              <w:t>Balances at December 31, 2020</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87"/>
              </w:rPr>
              <w:t>17,150</w:t>
            </w:r>
          </w:p>
        </w:tc>
        <w:tc>
          <w:tcPr>
            <w:tcW w:w="220" w:type="dxa"/>
            <w:vAlign w:val="bottom"/>
          </w:tcPr>
          <w:p>
            <w:pPr>
              <w:spacing w:after="0"/>
              <w:rPr>
                <w:sz w:val="24"/>
                <w:szCs w:val="24"/>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24"/>
                <w:szCs w:val="2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173,274</w:t>
            </w:r>
          </w:p>
        </w:tc>
        <w:tc>
          <w:tcPr>
            <w:tcW w:w="220" w:type="dxa"/>
            <w:vAlign w:val="bottom"/>
          </w:tcPr>
          <w:p>
            <w:pPr>
              <w:spacing w:after="0"/>
              <w:rPr>
                <w:sz w:val="24"/>
                <w:szCs w:val="2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(63,396)</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109,880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14,000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8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(1,542)</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(1,542)</w:t>
            </w: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Issuance of common stock upon follow-on public offering</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net of underwriting discounts and commissions and</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 offering costs</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181,588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181,588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Issuance of shares upon vesting of restricted stock units</w:t>
            </w: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Balances at June 30, 2021</w:t>
            </w: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19,061</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368,862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(64,938)</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303,926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2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5220" w:type="dxa"/>
            <w:vAlign w:val="bottom"/>
          </w:tcPr>
          <w:p>
            <w:pPr>
              <w:spacing w:after="0"/>
              <w:rPr>
                <w:sz w:val="20"/>
                <w:szCs w:val="20"/>
                <w:color w:val="auto"/>
              </w:rPr>
            </w:pPr>
            <w:r>
              <w:rPr>
                <w:rFonts w:ascii="Arial" w:cs="Arial" w:eastAsia="Arial" w:hAnsi="Arial"/>
                <w:sz w:val="12"/>
                <w:szCs w:val="12"/>
                <w:b w:val="1"/>
                <w:bCs w:val="1"/>
                <w:color w:val="auto"/>
              </w:rPr>
              <w:t>Balances at December 31, 2019</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87"/>
              </w:rPr>
              <w:t>14,968</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116,162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(54,024)</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62,140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5,831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5,831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8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(10,696)</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(10,696)</w:t>
            </w: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Issuance of common stock upon follow-on public offering</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net of underwriting discounts and commissions and</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 offering costs</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45,789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45,789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Issuance of shares upon vesting of restricted stock units, net of tax withholdings</w:t>
            </w: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223</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(3,495)</w:t>
            </w:r>
          </w:p>
        </w:tc>
        <w:tc>
          <w:tcPr>
            <w:tcW w:w="1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(3,495)</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2"/>
                <w:szCs w:val="12"/>
                <w:b w:val="1"/>
                <w:bCs w:val="1"/>
                <w:color w:val="auto"/>
              </w:rPr>
              <w:t>Balances at June 30, 2020</w:t>
            </w: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vMerge w:val="continue"/>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16,716</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164,287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(64,720)</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99,569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2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2"/>
          <w:szCs w:val="12"/>
          <w:b w:val="1"/>
          <w:bCs w:val="1"/>
          <w:color w:val="auto"/>
        </w:rPr>
        <w:t>SITIME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r>
        <w:rPr>
          <w:rFonts w:ascii="Arial" w:cs="Arial" w:eastAsia="Arial" w:hAnsi="Arial"/>
          <w:sz w:val="12"/>
          <w:szCs w:val="12"/>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0"/>
                <w:szCs w:val="10"/>
                <w:b w:val="1"/>
                <w:bCs w:val="1"/>
                <w:color w:val="auto"/>
                <w:w w:val="95"/>
              </w:rPr>
              <w:t>Six Months Ended June 30,</w:t>
            </w: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06"/>
        </w:trPr>
        <w:tc>
          <w:tcPr>
            <w:tcW w:w="7760" w:type="dxa"/>
            <w:vAlign w:val="bottom"/>
          </w:tcPr>
          <w:p>
            <w:pPr>
              <w:spacing w:after="0"/>
              <w:rPr>
                <w:sz w:val="9"/>
                <w:szCs w:val="9"/>
                <w:color w:val="auto"/>
              </w:rPr>
            </w:pPr>
          </w:p>
        </w:tc>
        <w:tc>
          <w:tcPr>
            <w:tcW w:w="1020" w:type="dxa"/>
            <w:vAlign w:val="bottom"/>
            <w:tcBorders>
              <w:bottom w:val="single" w:sz="8" w:color="auto"/>
            </w:tcBorders>
          </w:tcPr>
          <w:p>
            <w:pPr>
              <w:jc w:val="right"/>
              <w:ind w:right="90"/>
              <w:spacing w:after="0" w:line="106" w:lineRule="exact"/>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643"/>
              <w:spacing w:after="0" w:line="106" w:lineRule="exact"/>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9"/>
                <w:szCs w:val="9"/>
                <w:color w:val="auto"/>
              </w:rPr>
            </w:pPr>
          </w:p>
        </w:tc>
      </w:tr>
      <w:tr>
        <w:trPr>
          <w:trHeight w:val="97"/>
        </w:trPr>
        <w:tc>
          <w:tcPr>
            <w:tcW w:w="7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80" w:type="dxa"/>
            <w:vAlign w:val="bottom"/>
            <w:gridSpan w:val="3"/>
          </w:tcPr>
          <w:p>
            <w:pPr>
              <w:jc w:val="right"/>
              <w:ind w:right="349"/>
              <w:spacing w:after="0" w:line="97" w:lineRule="exact"/>
              <w:rPr>
                <w:sz w:val="20"/>
                <w:szCs w:val="20"/>
                <w:color w:val="auto"/>
              </w:rPr>
            </w:pPr>
            <w:r>
              <w:rPr>
                <w:rFonts w:ascii="Arial" w:cs="Arial" w:eastAsia="Arial" w:hAnsi="Arial"/>
                <w:sz w:val="10"/>
                <w:szCs w:val="10"/>
                <w:b w:val="1"/>
                <w:bCs w:val="1"/>
                <w:color w:val="auto"/>
              </w:rPr>
              <w:t>(in thousands)</w:t>
            </w: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4"/>
        </w:trPr>
        <w:tc>
          <w:tcPr>
            <w:tcW w:w="7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60" w:type="dxa"/>
            <w:vAlign w:val="bottom"/>
          </w:tcPr>
          <w:p>
            <w:pPr>
              <w:ind w:left="160"/>
              <w:spacing w:after="0"/>
              <w:rPr>
                <w:sz w:val="20"/>
                <w:szCs w:val="20"/>
                <w:color w:val="auto"/>
              </w:rPr>
            </w:pPr>
            <w:r>
              <w:rPr>
                <w:rFonts w:ascii="Arial" w:cs="Arial" w:eastAsia="Arial" w:hAnsi="Arial"/>
                <w:sz w:val="11"/>
                <w:szCs w:val="11"/>
                <w:color w:val="auto"/>
              </w:rPr>
              <w:t>Net loss</w:t>
            </w:r>
          </w:p>
        </w:tc>
        <w:tc>
          <w:tcPr>
            <w:tcW w:w="1020" w:type="dxa"/>
            <w:vAlign w:val="bottom"/>
          </w:tcPr>
          <w:p>
            <w:pPr>
              <w:jc w:val="right"/>
              <w:ind w:right="91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(1,542)</w:t>
            </w: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(10,696)</w:t>
            </w:r>
          </w:p>
        </w:tc>
      </w:tr>
      <w:tr>
        <w:trPr>
          <w:trHeight w:val="131"/>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Adjustments to reconcile net loss to net cash provided by</w:t>
            </w: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7760" w:type="dxa"/>
            <w:vAlign w:val="bottom"/>
            <w:shd w:val="clear" w:color="auto" w:fill="CFF0FC"/>
          </w:tcPr>
          <w:p>
            <w:pPr>
              <w:ind w:left="240"/>
              <w:spacing w:after="0"/>
              <w:rPr>
                <w:sz w:val="20"/>
                <w:szCs w:val="20"/>
                <w:color w:val="auto"/>
              </w:rPr>
            </w:pPr>
            <w:r>
              <w:rPr>
                <w:rFonts w:ascii="Arial" w:cs="Arial" w:eastAsia="Arial" w:hAnsi="Arial"/>
                <w:sz w:val="11"/>
                <w:szCs w:val="11"/>
                <w:color w:val="auto"/>
              </w:rPr>
              <w:t>operating activities</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60" w:type="dxa"/>
            <w:vAlign w:val="bottom"/>
          </w:tcPr>
          <w:p>
            <w:pPr>
              <w:ind w:left="320"/>
              <w:spacing w:after="0"/>
              <w:rPr>
                <w:sz w:val="20"/>
                <w:szCs w:val="20"/>
                <w:color w:val="auto"/>
              </w:rPr>
            </w:pPr>
            <w:r>
              <w:rPr>
                <w:rFonts w:ascii="Arial" w:cs="Arial" w:eastAsia="Arial" w:hAnsi="Arial"/>
                <w:sz w:val="11"/>
                <w:szCs w:val="11"/>
                <w:color w:val="auto"/>
              </w:rPr>
              <w:t>Depreciation and amortization expense</w:t>
            </w: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3,544</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3,696</w:t>
            </w:r>
          </w:p>
        </w:tc>
        <w:tc>
          <w:tcPr>
            <w:tcW w:w="120" w:type="dxa"/>
            <w:vAlign w:val="bottom"/>
          </w:tcPr>
          <w:p>
            <w:pPr>
              <w:spacing w:after="0"/>
              <w:rPr>
                <w:sz w:val="12"/>
                <w:szCs w:val="12"/>
                <w:color w:val="auto"/>
              </w:rPr>
            </w:pPr>
          </w:p>
        </w:tc>
      </w:tr>
      <w:tr>
        <w:trPr>
          <w:trHeight w:val="144"/>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Stock-based compensation expense</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14,149</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5,831</w:t>
            </w:r>
          </w:p>
        </w:tc>
        <w:tc>
          <w:tcPr>
            <w:tcW w:w="120" w:type="dxa"/>
            <w:vAlign w:val="bottom"/>
            <w:shd w:val="clear" w:color="auto" w:fill="CFF0FC"/>
          </w:tcPr>
          <w:p>
            <w:pPr>
              <w:spacing w:after="0"/>
              <w:rPr>
                <w:sz w:val="12"/>
                <w:szCs w:val="12"/>
                <w:color w:val="auto"/>
              </w:rPr>
            </w:pPr>
          </w:p>
        </w:tc>
      </w:tr>
      <w:tr>
        <w:trPr>
          <w:trHeight w:val="140"/>
        </w:trPr>
        <w:tc>
          <w:tcPr>
            <w:tcW w:w="7760" w:type="dxa"/>
            <w:vAlign w:val="bottom"/>
          </w:tcPr>
          <w:p>
            <w:pPr>
              <w:ind w:left="320"/>
              <w:spacing w:after="0"/>
              <w:rPr>
                <w:sz w:val="20"/>
                <w:szCs w:val="20"/>
                <w:color w:val="auto"/>
              </w:rPr>
            </w:pPr>
            <w:r>
              <w:rPr>
                <w:rFonts w:ascii="Arial" w:cs="Arial" w:eastAsia="Arial" w:hAnsi="Arial"/>
                <w:sz w:val="11"/>
                <w:szCs w:val="11"/>
                <w:color w:val="auto"/>
              </w:rPr>
              <w:t>Impairment of internal-use software</w:t>
            </w:r>
          </w:p>
        </w:tc>
        <w:tc>
          <w:tcPr>
            <w:tcW w:w="102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12"/>
                <w:szCs w:val="12"/>
                <w:color w:val="auto"/>
              </w:rPr>
            </w:pPr>
          </w:p>
        </w:tc>
      </w:tr>
      <w:tr>
        <w:trPr>
          <w:trHeight w:val="147"/>
        </w:trPr>
        <w:tc>
          <w:tcPr>
            <w:tcW w:w="7760" w:type="dxa"/>
            <w:vAlign w:val="bottom"/>
          </w:tcPr>
          <w:p>
            <w:pPr>
              <w:ind w:left="320"/>
              <w:spacing w:after="0"/>
              <w:rPr>
                <w:sz w:val="20"/>
                <w:szCs w:val="20"/>
                <w:color w:val="auto"/>
              </w:rPr>
            </w:pPr>
            <w:r>
              <w:rPr>
                <w:rFonts w:ascii="Arial" w:cs="Arial" w:eastAsia="Arial" w:hAnsi="Arial"/>
                <w:sz w:val="11"/>
                <w:szCs w:val="11"/>
                <w:color w:val="auto"/>
              </w:rPr>
              <w:t>Changes in assets and liabilities:</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7760" w:type="dxa"/>
            <w:vAlign w:val="bottom"/>
            <w:shd w:val="clear" w:color="auto" w:fill="CFF0FC"/>
          </w:tcPr>
          <w:p>
            <w:pPr>
              <w:ind w:left="480"/>
              <w:spacing w:after="0"/>
              <w:rPr>
                <w:sz w:val="20"/>
                <w:szCs w:val="20"/>
                <w:color w:val="auto"/>
              </w:rPr>
            </w:pPr>
            <w:r>
              <w:rPr>
                <w:rFonts w:ascii="Arial" w:cs="Arial" w:eastAsia="Arial" w:hAnsi="Arial"/>
                <w:sz w:val="11"/>
                <w:szCs w:val="11"/>
                <w:color w:val="auto"/>
              </w:rPr>
              <w:t>Accounts receivable, net</w:t>
            </w: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(1,350)</w:t>
            </w: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4,658</w:t>
            </w:r>
          </w:p>
        </w:tc>
        <w:tc>
          <w:tcPr>
            <w:tcW w:w="120" w:type="dxa"/>
            <w:vAlign w:val="bottom"/>
            <w:shd w:val="clear" w:color="auto" w:fill="CFF0FC"/>
          </w:tcPr>
          <w:p>
            <w:pPr>
              <w:spacing w:after="0"/>
              <w:rPr>
                <w:sz w:val="12"/>
                <w:szCs w:val="12"/>
                <w:color w:val="auto"/>
              </w:rPr>
            </w:pPr>
          </w:p>
        </w:tc>
      </w:tr>
      <w:tr>
        <w:trPr>
          <w:trHeight w:val="144"/>
        </w:trPr>
        <w:tc>
          <w:tcPr>
            <w:tcW w:w="7760" w:type="dxa"/>
            <w:vAlign w:val="bottom"/>
          </w:tcPr>
          <w:p>
            <w:pPr>
              <w:ind w:left="480"/>
              <w:spacing w:after="0"/>
              <w:rPr>
                <w:sz w:val="20"/>
                <w:szCs w:val="20"/>
                <w:color w:val="auto"/>
              </w:rPr>
            </w:pPr>
            <w:r>
              <w:rPr>
                <w:rFonts w:ascii="Arial" w:cs="Arial" w:eastAsia="Arial" w:hAnsi="Arial"/>
                <w:sz w:val="11"/>
                <w:szCs w:val="11"/>
                <w:color w:val="auto"/>
              </w:rPr>
              <w:t>Related party accounts receivable</w:t>
            </w:r>
          </w:p>
        </w:tc>
        <w:tc>
          <w:tcPr>
            <w:tcW w:w="102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(1,675)</w:t>
            </w:r>
          </w:p>
        </w:tc>
        <w:tc>
          <w:tcPr>
            <w:tcW w:w="5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492</w:t>
            </w:r>
          </w:p>
        </w:tc>
        <w:tc>
          <w:tcPr>
            <w:tcW w:w="120" w:type="dxa"/>
            <w:vAlign w:val="bottom"/>
          </w:tcPr>
          <w:p>
            <w:pPr>
              <w:spacing w:after="0"/>
              <w:rPr>
                <w:sz w:val="12"/>
                <w:szCs w:val="12"/>
                <w:color w:val="auto"/>
              </w:rPr>
            </w:pPr>
          </w:p>
        </w:tc>
      </w:tr>
      <w:tr>
        <w:trPr>
          <w:trHeight w:val="144"/>
        </w:trPr>
        <w:tc>
          <w:tcPr>
            <w:tcW w:w="7760" w:type="dxa"/>
            <w:vAlign w:val="bottom"/>
            <w:shd w:val="clear" w:color="auto" w:fill="CFF0FC"/>
          </w:tcPr>
          <w:p>
            <w:pPr>
              <w:ind w:left="480"/>
              <w:spacing w:after="0"/>
              <w:rPr>
                <w:sz w:val="20"/>
                <w:szCs w:val="20"/>
                <w:color w:val="auto"/>
              </w:rPr>
            </w:pPr>
            <w:r>
              <w:rPr>
                <w:rFonts w:ascii="Arial" w:cs="Arial" w:eastAsia="Arial" w:hAnsi="Arial"/>
                <w:sz w:val="11"/>
                <w:szCs w:val="11"/>
                <w:color w:val="auto"/>
              </w:rPr>
              <w:t>Inventories</w:t>
            </w: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(6,143)</w:t>
            </w:r>
          </w:p>
        </w:tc>
        <w:tc>
          <w:tcPr>
            <w:tcW w:w="5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(3,054)</w:t>
            </w:r>
          </w:p>
        </w:tc>
      </w:tr>
      <w:tr>
        <w:trPr>
          <w:trHeight w:val="144"/>
        </w:trPr>
        <w:tc>
          <w:tcPr>
            <w:tcW w:w="7760" w:type="dxa"/>
            <w:vAlign w:val="bottom"/>
          </w:tcPr>
          <w:p>
            <w:pPr>
              <w:ind w:left="480"/>
              <w:spacing w:after="0"/>
              <w:rPr>
                <w:sz w:val="20"/>
                <w:szCs w:val="20"/>
                <w:color w:val="auto"/>
              </w:rPr>
            </w:pPr>
            <w:r>
              <w:rPr>
                <w:rFonts w:ascii="Arial" w:cs="Arial" w:eastAsia="Arial" w:hAnsi="Arial"/>
                <w:sz w:val="11"/>
                <w:szCs w:val="11"/>
                <w:color w:val="auto"/>
              </w:rPr>
              <w:t>Prepaid expenses and other assets</w:t>
            </w: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4,019</w:t>
            </w:r>
          </w:p>
        </w:tc>
        <w:tc>
          <w:tcPr>
            <w:tcW w:w="120" w:type="dxa"/>
            <w:vAlign w:val="bottom"/>
          </w:tcPr>
          <w:p>
            <w:pPr>
              <w:spacing w:after="0"/>
              <w:rPr>
                <w:sz w:val="12"/>
                <w:szCs w:val="12"/>
                <w:color w:val="auto"/>
              </w:rPr>
            </w:pPr>
          </w:p>
        </w:tc>
      </w:tr>
      <w:tr>
        <w:trPr>
          <w:trHeight w:val="144"/>
        </w:trPr>
        <w:tc>
          <w:tcPr>
            <w:tcW w:w="7760" w:type="dxa"/>
            <w:vAlign w:val="bottom"/>
            <w:shd w:val="clear" w:color="auto" w:fill="CFF0FC"/>
          </w:tcPr>
          <w:p>
            <w:pPr>
              <w:ind w:left="480"/>
              <w:spacing w:after="0"/>
              <w:rPr>
                <w:sz w:val="20"/>
                <w:szCs w:val="20"/>
                <w:color w:val="auto"/>
              </w:rPr>
            </w:pPr>
            <w:r>
              <w:rPr>
                <w:rFonts w:ascii="Arial" w:cs="Arial" w:eastAsia="Arial" w:hAnsi="Arial"/>
                <w:sz w:val="11"/>
                <w:szCs w:val="11"/>
                <w:color w:val="auto"/>
              </w:rPr>
              <w:t>Accounts payable</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2,448</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w:t>
            </w:r>
          </w:p>
        </w:tc>
        <w:tc>
          <w:tcPr>
            <w:tcW w:w="120" w:type="dxa"/>
            <w:vAlign w:val="bottom"/>
            <w:shd w:val="clear" w:color="auto" w:fill="CFF0FC"/>
          </w:tcPr>
          <w:p>
            <w:pPr>
              <w:spacing w:after="0"/>
              <w:rPr>
                <w:sz w:val="12"/>
                <w:szCs w:val="12"/>
                <w:color w:val="auto"/>
              </w:rPr>
            </w:pPr>
          </w:p>
        </w:tc>
      </w:tr>
      <w:tr>
        <w:trPr>
          <w:trHeight w:val="144"/>
        </w:trPr>
        <w:tc>
          <w:tcPr>
            <w:tcW w:w="7760" w:type="dxa"/>
            <w:vAlign w:val="bottom"/>
          </w:tcPr>
          <w:p>
            <w:pPr>
              <w:ind w:left="480"/>
              <w:spacing w:after="0"/>
              <w:rPr>
                <w:sz w:val="20"/>
                <w:szCs w:val="20"/>
                <w:color w:val="auto"/>
              </w:rPr>
            </w:pPr>
            <w:r>
              <w:rPr>
                <w:rFonts w:ascii="Arial" w:cs="Arial" w:eastAsia="Arial" w:hAnsi="Arial"/>
                <w:sz w:val="11"/>
                <w:szCs w:val="11"/>
                <w:color w:val="auto"/>
              </w:rPr>
              <w:t>Accrued expenses and other liabilities</w:t>
            </w: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912</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758</w:t>
            </w:r>
          </w:p>
        </w:tc>
        <w:tc>
          <w:tcPr>
            <w:tcW w:w="120" w:type="dxa"/>
            <w:vAlign w:val="bottom"/>
          </w:tcPr>
          <w:p>
            <w:pPr>
              <w:spacing w:after="0"/>
              <w:rPr>
                <w:sz w:val="12"/>
                <w:szCs w:val="12"/>
                <w:color w:val="auto"/>
              </w:rPr>
            </w:pPr>
          </w:p>
        </w:tc>
      </w:tr>
      <w:tr>
        <w:trPr>
          <w:trHeight w:val="144"/>
        </w:trPr>
        <w:tc>
          <w:tcPr>
            <w:tcW w:w="7760" w:type="dxa"/>
            <w:vAlign w:val="bottom"/>
            <w:shd w:val="clear" w:color="auto" w:fill="CFF0FC"/>
          </w:tcPr>
          <w:p>
            <w:pPr>
              <w:ind w:left="480"/>
              <w:spacing w:after="0"/>
              <w:rPr>
                <w:sz w:val="20"/>
                <w:szCs w:val="20"/>
                <w:color w:val="auto"/>
              </w:rPr>
            </w:pPr>
            <w:r>
              <w:rPr>
                <w:rFonts w:ascii="Arial" w:cs="Arial" w:eastAsia="Arial" w:hAnsi="Arial"/>
                <w:sz w:val="11"/>
                <w:szCs w:val="11"/>
                <w:color w:val="auto"/>
              </w:rPr>
              <w:t>Lease liabilities</w:t>
            </w: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(713)</w:t>
            </w:r>
          </w:p>
        </w:tc>
      </w:tr>
      <w:tr>
        <w:trPr>
          <w:trHeight w:val="133"/>
        </w:trPr>
        <w:tc>
          <w:tcPr>
            <w:tcW w:w="7760" w:type="dxa"/>
            <w:vAlign w:val="bottom"/>
            <w:tcBorders>
              <w:bottom w:val="single" w:sz="8" w:color="CFF0FC"/>
            </w:tcBorders>
          </w:tcPr>
          <w:p>
            <w:pPr>
              <w:ind w:left="640"/>
              <w:spacing w:after="0"/>
              <w:rPr>
                <w:sz w:val="20"/>
                <w:szCs w:val="20"/>
                <w:color w:val="auto"/>
              </w:rPr>
            </w:pPr>
            <w:r>
              <w:rPr>
                <w:rFonts w:ascii="Arial" w:cs="Arial" w:eastAsia="Arial" w:hAnsi="Arial"/>
                <w:sz w:val="11"/>
                <w:szCs w:val="11"/>
                <w:color w:val="auto"/>
              </w:rPr>
              <w:t>Net cash provided by operating activities</w:t>
            </w:r>
          </w:p>
        </w:tc>
        <w:tc>
          <w:tcPr>
            <w:tcW w:w="10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10,390</w:t>
            </w:r>
          </w:p>
        </w:tc>
        <w:tc>
          <w:tcPr>
            <w:tcW w:w="300" w:type="dxa"/>
            <w:vAlign w:val="bottom"/>
            <w:tcBorders>
              <w:bottom w:val="single" w:sz="8" w:color="CFF0FC"/>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5,655</w:t>
            </w:r>
          </w:p>
        </w:tc>
        <w:tc>
          <w:tcPr>
            <w:tcW w:w="120" w:type="dxa"/>
            <w:vAlign w:val="bottom"/>
            <w:tcBorders>
              <w:bottom w:val="single" w:sz="8" w:color="CFF0FC"/>
            </w:tcBorders>
          </w:tcPr>
          <w:p>
            <w:pPr>
              <w:spacing w:after="0"/>
              <w:rPr>
                <w:sz w:val="11"/>
                <w:szCs w:val="11"/>
                <w:color w:val="auto"/>
              </w:rPr>
            </w:pP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7760" w:type="dxa"/>
            <w:vAlign w:val="bottom"/>
          </w:tcPr>
          <w:p>
            <w:pPr>
              <w:ind w:left="160"/>
              <w:spacing w:after="0"/>
              <w:rPr>
                <w:sz w:val="20"/>
                <w:szCs w:val="20"/>
                <w:color w:val="auto"/>
              </w:rPr>
            </w:pPr>
            <w:r>
              <w:rPr>
                <w:rFonts w:ascii="Arial" w:cs="Arial" w:eastAsia="Arial" w:hAnsi="Arial"/>
                <w:sz w:val="11"/>
                <w:szCs w:val="11"/>
                <w:color w:val="auto"/>
              </w:rPr>
              <w:t>Purchase of property and equipment</w:t>
            </w:r>
          </w:p>
        </w:tc>
        <w:tc>
          <w:tcPr>
            <w:tcW w:w="102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(11,388)</w:t>
            </w:r>
          </w:p>
        </w:tc>
        <w:tc>
          <w:tcPr>
            <w:tcW w:w="54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(1,675)</w:t>
            </w:r>
          </w:p>
        </w:tc>
      </w:tr>
      <w:tr>
        <w:trPr>
          <w:trHeight w:val="144"/>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Cash paid for intangibles</w:t>
            </w: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(577)</w:t>
            </w:r>
          </w:p>
        </w:tc>
        <w:tc>
          <w:tcPr>
            <w:tcW w:w="5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(1,206)</w:t>
            </w:r>
          </w:p>
        </w:tc>
      </w:tr>
      <w:tr>
        <w:trPr>
          <w:trHeight w:val="133"/>
        </w:trPr>
        <w:tc>
          <w:tcPr>
            <w:tcW w:w="7760" w:type="dxa"/>
            <w:vAlign w:val="bottom"/>
            <w:tcBorders>
              <w:bottom w:val="single" w:sz="8" w:color="CFF0FC"/>
            </w:tcBorders>
          </w:tcPr>
          <w:p>
            <w:pPr>
              <w:ind w:left="640"/>
              <w:spacing w:after="0"/>
              <w:rPr>
                <w:sz w:val="20"/>
                <w:szCs w:val="20"/>
                <w:color w:val="auto"/>
              </w:rPr>
            </w:pPr>
            <w:r>
              <w:rPr>
                <w:rFonts w:ascii="Arial" w:cs="Arial" w:eastAsia="Arial" w:hAnsi="Arial"/>
                <w:sz w:val="11"/>
                <w:szCs w:val="11"/>
                <w:color w:val="auto"/>
              </w:rPr>
              <w:t>Net cash used in investing activities</w:t>
            </w:r>
          </w:p>
        </w:tc>
        <w:tc>
          <w:tcPr>
            <w:tcW w:w="10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(11,965)</w:t>
            </w:r>
          </w:p>
        </w:tc>
        <w:tc>
          <w:tcPr>
            <w:tcW w:w="300" w:type="dxa"/>
            <w:vAlign w:val="bottom"/>
            <w:tcBorders>
              <w:bottom w:val="single" w:sz="8" w:color="CFF0FC"/>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(2,881)</w:t>
            </w:r>
          </w:p>
        </w:tc>
        <w:tc>
          <w:tcPr>
            <w:tcW w:w="120" w:type="dxa"/>
            <w:vAlign w:val="bottom"/>
            <w:tcBorders>
              <w:bottom w:val="single" w:sz="8" w:color="CFF0FC"/>
            </w:tcBorders>
          </w:tcPr>
          <w:p>
            <w:pPr>
              <w:spacing w:after="0"/>
              <w:rPr>
                <w:sz w:val="11"/>
                <w:szCs w:val="11"/>
                <w:color w:val="auto"/>
              </w:rPr>
            </w:pPr>
          </w:p>
        </w:tc>
      </w:tr>
      <w:tr>
        <w:trPr>
          <w:trHeight w:val="133"/>
        </w:trPr>
        <w:tc>
          <w:tcPr>
            <w:tcW w:w="7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1"/>
        </w:trPr>
        <w:tc>
          <w:tcPr>
            <w:tcW w:w="7760" w:type="dxa"/>
            <w:vAlign w:val="bottom"/>
          </w:tcPr>
          <w:p>
            <w:pPr>
              <w:ind w:left="160"/>
              <w:spacing w:after="0"/>
              <w:rPr>
                <w:sz w:val="20"/>
                <w:szCs w:val="20"/>
                <w:color w:val="auto"/>
              </w:rPr>
            </w:pPr>
            <w:r>
              <w:rPr>
                <w:rFonts w:ascii="Arial" w:cs="Arial" w:eastAsia="Arial" w:hAnsi="Arial"/>
                <w:sz w:val="11"/>
                <w:szCs w:val="11"/>
                <w:color w:val="auto"/>
              </w:rPr>
              <w:t>Proceeds from public offering, net of underwriting</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7760" w:type="dxa"/>
            <w:vAlign w:val="bottom"/>
          </w:tcPr>
          <w:p>
            <w:pPr>
              <w:ind w:left="160"/>
              <w:spacing w:after="0"/>
              <w:rPr>
                <w:sz w:val="20"/>
                <w:szCs w:val="20"/>
                <w:color w:val="auto"/>
              </w:rPr>
            </w:pPr>
            <w:r>
              <w:rPr>
                <w:rFonts w:ascii="Arial" w:cs="Arial" w:eastAsia="Arial" w:hAnsi="Arial"/>
                <w:sz w:val="11"/>
                <w:szCs w:val="11"/>
                <w:color w:val="auto"/>
              </w:rPr>
              <w:t>discounts and commissions</w:t>
            </w: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181,928</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46,116</w:t>
            </w:r>
          </w:p>
        </w:tc>
        <w:tc>
          <w:tcPr>
            <w:tcW w:w="120" w:type="dxa"/>
            <w:vAlign w:val="bottom"/>
          </w:tcPr>
          <w:p>
            <w:pPr>
              <w:spacing w:after="0"/>
              <w:rPr>
                <w:sz w:val="12"/>
                <w:szCs w:val="12"/>
                <w:color w:val="auto"/>
              </w:rPr>
            </w:pPr>
          </w:p>
        </w:tc>
      </w:tr>
      <w:tr>
        <w:trPr>
          <w:trHeight w:val="145"/>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Payments for offering costs</w:t>
            </w: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(340)</w:t>
            </w:r>
          </w:p>
        </w:tc>
        <w:tc>
          <w:tcPr>
            <w:tcW w:w="5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(327)</w:t>
            </w:r>
          </w:p>
        </w:tc>
      </w:tr>
      <w:tr>
        <w:trPr>
          <w:trHeight w:val="144"/>
        </w:trPr>
        <w:tc>
          <w:tcPr>
            <w:tcW w:w="7760" w:type="dxa"/>
            <w:vAlign w:val="bottom"/>
          </w:tcPr>
          <w:p>
            <w:pPr>
              <w:ind w:left="160"/>
              <w:spacing w:after="0"/>
              <w:rPr>
                <w:sz w:val="20"/>
                <w:szCs w:val="20"/>
                <w:color w:val="auto"/>
              </w:rPr>
            </w:pPr>
            <w:r>
              <w:rPr>
                <w:rFonts w:ascii="Arial" w:cs="Arial" w:eastAsia="Arial" w:hAnsi="Arial"/>
                <w:sz w:val="11"/>
                <w:szCs w:val="11"/>
                <w:color w:val="auto"/>
              </w:rPr>
              <w:t>Tax withholding paid on behalf of employees for net share settlement</w:t>
            </w:r>
          </w:p>
        </w:tc>
        <w:tc>
          <w:tcPr>
            <w:tcW w:w="102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(3,495)</w:t>
            </w:r>
          </w:p>
        </w:tc>
      </w:tr>
      <w:tr>
        <w:trPr>
          <w:trHeight w:val="144"/>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Proceeds from loans from financial institutions</w:t>
            </w: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35,000</w:t>
            </w:r>
          </w:p>
        </w:tc>
        <w:tc>
          <w:tcPr>
            <w:tcW w:w="120" w:type="dxa"/>
            <w:vAlign w:val="bottom"/>
            <w:shd w:val="clear" w:color="auto" w:fill="CFF0FC"/>
          </w:tcPr>
          <w:p>
            <w:pPr>
              <w:spacing w:after="0"/>
              <w:rPr>
                <w:sz w:val="12"/>
                <w:szCs w:val="12"/>
                <w:color w:val="auto"/>
              </w:rPr>
            </w:pPr>
          </w:p>
        </w:tc>
      </w:tr>
      <w:tr>
        <w:trPr>
          <w:trHeight w:val="144"/>
        </w:trPr>
        <w:tc>
          <w:tcPr>
            <w:tcW w:w="7760" w:type="dxa"/>
            <w:vAlign w:val="bottom"/>
          </w:tcPr>
          <w:p>
            <w:pPr>
              <w:ind w:left="160"/>
              <w:spacing w:after="0"/>
              <w:rPr>
                <w:sz w:val="20"/>
                <w:szCs w:val="20"/>
                <w:color w:val="auto"/>
              </w:rPr>
            </w:pPr>
            <w:r>
              <w:rPr>
                <w:rFonts w:ascii="Arial" w:cs="Arial" w:eastAsia="Arial" w:hAnsi="Arial"/>
                <w:sz w:val="11"/>
                <w:szCs w:val="11"/>
                <w:color w:val="auto"/>
              </w:rPr>
              <w:t>Principal payments on loans to financial institutions</w:t>
            </w:r>
          </w:p>
        </w:tc>
        <w:tc>
          <w:tcPr>
            <w:tcW w:w="102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(41,000)</w:t>
            </w:r>
          </w:p>
        </w:tc>
      </w:tr>
      <w:tr>
        <w:trPr>
          <w:trHeight w:val="133"/>
        </w:trPr>
        <w:tc>
          <w:tcPr>
            <w:tcW w:w="7760" w:type="dxa"/>
            <w:vAlign w:val="bottom"/>
            <w:tcBorders>
              <w:top w:val="single" w:sz="8" w:color="CFF0FC"/>
            </w:tcBorders>
            <w:shd w:val="clear" w:color="auto" w:fill="CFF0FC"/>
          </w:tcPr>
          <w:p>
            <w:pPr>
              <w:ind w:left="640"/>
              <w:spacing w:after="0"/>
              <w:rPr>
                <w:sz w:val="20"/>
                <w:szCs w:val="20"/>
                <w:color w:val="auto"/>
              </w:rPr>
            </w:pPr>
            <w:r>
              <w:rPr>
                <w:rFonts w:ascii="Arial" w:cs="Arial" w:eastAsia="Arial" w:hAnsi="Arial"/>
                <w:sz w:val="11"/>
                <w:szCs w:val="11"/>
                <w:color w:val="auto"/>
              </w:rPr>
              <w:t>Net cash provided by financing activities</w:t>
            </w:r>
          </w:p>
        </w:tc>
        <w:tc>
          <w:tcPr>
            <w:tcW w:w="102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181,588</w:t>
            </w:r>
          </w:p>
        </w:tc>
        <w:tc>
          <w:tcPr>
            <w:tcW w:w="30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36,294</w:t>
            </w:r>
          </w:p>
        </w:tc>
        <w:tc>
          <w:tcPr>
            <w:tcW w:w="120" w:type="dxa"/>
            <w:vAlign w:val="bottom"/>
            <w:tcBorders>
              <w:top w:val="single" w:sz="8" w:color="CFF0FC"/>
            </w:tcBorders>
            <w:shd w:val="clear" w:color="auto" w:fill="CFF0FC"/>
          </w:tcPr>
          <w:p>
            <w:pPr>
              <w:spacing w:after="0"/>
              <w:rPr>
                <w:sz w:val="11"/>
                <w:szCs w:val="11"/>
                <w:color w:val="auto"/>
              </w:rPr>
            </w:pPr>
          </w:p>
        </w:tc>
      </w:tr>
      <w:tr>
        <w:trPr>
          <w:trHeight w:val="133"/>
        </w:trPr>
        <w:tc>
          <w:tcPr>
            <w:tcW w:w="7760" w:type="dxa"/>
            <w:vAlign w:val="bottom"/>
          </w:tcPr>
          <w:p>
            <w:pPr>
              <w:ind w:left="640"/>
              <w:spacing w:after="0"/>
              <w:rPr>
                <w:sz w:val="20"/>
                <w:szCs w:val="20"/>
                <w:color w:val="auto"/>
              </w:rPr>
            </w:pPr>
            <w:r>
              <w:rPr>
                <w:rFonts w:ascii="Arial" w:cs="Arial" w:eastAsia="Arial" w:hAnsi="Arial"/>
                <w:sz w:val="11"/>
                <w:szCs w:val="11"/>
                <w:color w:val="auto"/>
              </w:rPr>
              <w:t>Net increase in cash and cash equivalents</w:t>
            </w:r>
          </w:p>
        </w:tc>
        <w:tc>
          <w:tcPr>
            <w:tcW w:w="10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180,013</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39,068</w:t>
            </w:r>
          </w:p>
        </w:tc>
        <w:tc>
          <w:tcPr>
            <w:tcW w:w="120" w:type="dxa"/>
            <w:vAlign w:val="bottom"/>
          </w:tcPr>
          <w:p>
            <w:pPr>
              <w:spacing w:after="0"/>
              <w:rPr>
                <w:sz w:val="11"/>
                <w:szCs w:val="11"/>
                <w:color w:val="auto"/>
              </w:rPr>
            </w:pPr>
          </w:p>
        </w:tc>
      </w:tr>
      <w:tr>
        <w:trPr>
          <w:trHeight w:val="144"/>
        </w:trPr>
        <w:tc>
          <w:tcPr>
            <w:tcW w:w="7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and cash equivalents</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Beginning of period</w:t>
            </w: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73,525</w:t>
            </w:r>
          </w:p>
        </w:tc>
        <w:tc>
          <w:tcPr>
            <w:tcW w:w="3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63,418</w:t>
            </w:r>
          </w:p>
        </w:tc>
        <w:tc>
          <w:tcPr>
            <w:tcW w:w="120" w:type="dxa"/>
            <w:vAlign w:val="bottom"/>
            <w:tcBorders>
              <w:bottom w:val="single" w:sz="8" w:color="CFF0FC"/>
            </w:tcBorders>
          </w:tcPr>
          <w:p>
            <w:pPr>
              <w:spacing w:after="0"/>
              <w:rPr>
                <w:sz w:val="12"/>
                <w:szCs w:val="12"/>
                <w:color w:val="auto"/>
              </w:rPr>
            </w:pPr>
          </w:p>
        </w:tc>
      </w:tr>
      <w:tr>
        <w:trPr>
          <w:trHeight w:val="153"/>
        </w:trPr>
        <w:tc>
          <w:tcPr>
            <w:tcW w:w="77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End of period</w:t>
            </w:r>
          </w:p>
        </w:tc>
        <w:tc>
          <w:tcPr>
            <w:tcW w:w="102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253,538</w:t>
            </w:r>
          </w:p>
        </w:tc>
        <w:tc>
          <w:tcPr>
            <w:tcW w:w="3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ind w:right="4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102,486</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30"/>
        </w:trPr>
        <w:tc>
          <w:tcPr>
            <w:tcW w:w="7760" w:type="dxa"/>
            <w:vAlign w:val="bottom"/>
          </w:tcPr>
          <w:p>
            <w:pPr>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5"/>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Interest paid during the period</w:t>
            </w: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604</w:t>
            </w:r>
          </w:p>
        </w:tc>
        <w:tc>
          <w:tcPr>
            <w:tcW w:w="120" w:type="dxa"/>
            <w:vAlign w:val="bottom"/>
            <w:shd w:val="clear" w:color="auto" w:fill="CFF0FC"/>
          </w:tcPr>
          <w:p>
            <w:pPr>
              <w:spacing w:after="0"/>
              <w:rPr>
                <w:sz w:val="12"/>
                <w:szCs w:val="12"/>
                <w:color w:val="auto"/>
              </w:rPr>
            </w:pPr>
          </w:p>
        </w:tc>
      </w:tr>
      <w:tr>
        <w:trPr>
          <w:trHeight w:val="144"/>
        </w:trPr>
        <w:tc>
          <w:tcPr>
            <w:tcW w:w="7760" w:type="dxa"/>
            <w:vAlign w:val="bottom"/>
          </w:tcPr>
          <w:p>
            <w:pPr>
              <w:ind w:left="160"/>
              <w:spacing w:after="0"/>
              <w:rPr>
                <w:sz w:val="20"/>
                <w:szCs w:val="20"/>
                <w:color w:val="auto"/>
              </w:rPr>
            </w:pPr>
            <w:r>
              <w:rPr>
                <w:rFonts w:ascii="Arial" w:cs="Arial" w:eastAsia="Arial" w:hAnsi="Arial"/>
                <w:sz w:val="11"/>
                <w:szCs w:val="11"/>
                <w:color w:val="auto"/>
              </w:rPr>
              <w:t>Income taxes paid</w:t>
            </w: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r>
      <w:tr>
        <w:trPr>
          <w:trHeight w:val="144"/>
        </w:trPr>
        <w:tc>
          <w:tcPr>
            <w:tcW w:w="7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Supplemental disclosure of noncash flow information</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60" w:type="dxa"/>
            <w:vAlign w:val="bottom"/>
          </w:tcPr>
          <w:p>
            <w:pPr>
              <w:ind w:left="160"/>
              <w:spacing w:after="0"/>
              <w:rPr>
                <w:sz w:val="20"/>
                <w:szCs w:val="20"/>
                <w:color w:val="auto"/>
              </w:rPr>
            </w:pPr>
            <w:r>
              <w:rPr>
                <w:rFonts w:ascii="Arial" w:cs="Arial" w:eastAsia="Arial" w:hAnsi="Arial"/>
                <w:sz w:val="11"/>
                <w:szCs w:val="11"/>
                <w:color w:val="auto"/>
              </w:rPr>
              <w:t>Unpaid property and equipment</w:t>
            </w: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1,644</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1,279</w:t>
            </w:r>
          </w:p>
        </w:tc>
        <w:tc>
          <w:tcPr>
            <w:tcW w:w="120" w:type="dxa"/>
            <w:vAlign w:val="bottom"/>
          </w:tcPr>
          <w:p>
            <w:pPr>
              <w:spacing w:after="0"/>
              <w:rPr>
                <w:sz w:val="12"/>
                <w:szCs w:val="12"/>
                <w:color w:val="auto"/>
              </w:rPr>
            </w:pPr>
          </w:p>
        </w:tc>
      </w:tr>
      <w:tr>
        <w:trPr>
          <w:trHeight w:val="144"/>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Right-of-use assets acquired under operating leases</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w:t>
            </w:r>
          </w:p>
        </w:tc>
        <w:tc>
          <w:tcPr>
            <w:tcW w:w="120" w:type="dxa"/>
            <w:vAlign w:val="bottom"/>
            <w:shd w:val="clear" w:color="auto" w:fill="CFF0FC"/>
          </w:tcPr>
          <w:p>
            <w:pPr>
              <w:spacing w:after="0"/>
              <w:rPr>
                <w:sz w:val="12"/>
                <w:szCs w:val="12"/>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2"/>
          <w:szCs w:val="12"/>
          <w:b w:val="1"/>
          <w:bCs w:val="1"/>
          <w:color w:val="auto"/>
        </w:rPr>
        <w:t>SITIME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The Company and Basis of Presentation</w:t>
      </w:r>
    </w:p>
    <w:p>
      <w:pPr>
        <w:spacing w:after="0" w:line="82"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SiTime Corporation (the “Company”) was incorporated in the State of Delaware in December 2003. The Company is a provider of silicon timing systems. The Company primarily supplies oscillator products that comprise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w:t>
      </w:r>
    </w:p>
    <w:p>
      <w:pPr>
        <w:spacing w:after="0" w:line="33" w:lineRule="exact"/>
        <w:rPr>
          <w:sz w:val="20"/>
          <w:szCs w:val="20"/>
          <w:color w:val="auto"/>
        </w:rPr>
      </w:pPr>
    </w:p>
    <w:p>
      <w:pPr>
        <w:ind w:right="300"/>
        <w:spacing w:after="0" w:line="298" w:lineRule="auto"/>
        <w:rPr>
          <w:sz w:val="20"/>
          <w:szCs w:val="20"/>
          <w:color w:val="auto"/>
        </w:rPr>
      </w:pPr>
      <w:r>
        <w:rPr>
          <w:rFonts w:ascii="Arial" w:cs="Arial" w:eastAsia="Arial" w:hAnsi="Arial"/>
          <w:sz w:val="11"/>
          <w:szCs w:val="11"/>
          <w:color w:val="auto"/>
        </w:rPr>
        <w:t>In the opinion of management, the accompanying unaudited condensed consolidated financial statements contain all adjustments of a normal, recurring nature, which are necessary to state fairly the financial information included therein. These financial statements should be read in conjunction with the audited consolidated financial statements and related notes thereto included in SiTime Corporation's Annual Report on Form 10-K for the fiscal year ended December 31, 2020. The year-end condensed balance sheet data was derived from audited financial statements, but does not include all disclosures required by GAAP.</w:t>
      </w:r>
    </w:p>
    <w:p>
      <w:pPr>
        <w:spacing w:after="0" w:line="3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The Company was a wholly-owned subsidiary of MegaChips Corporation (“MegaChips”), a fabless semiconductor company based in Japan and traded on the Tokyo Stock Exchange, until the Company completed its initial public offering in November 2019.</w:t>
      </w:r>
    </w:p>
    <w:p>
      <w:pPr>
        <w:spacing w:after="0" w:line="43"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On June 16, 2020, the Company completed a follow-on public offering, in which it issued and sold 1,525,000 shares of its common stock and MegaChips sold 2,500,000 of the Company’s common stock held by them, resulting in net proceeds to the Company of $45.8 million after deducting underwriting discounts and commissions of $2.7 million and deferred offering costs of $0.3 million.</w:t>
      </w:r>
    </w:p>
    <w:p>
      <w:pPr>
        <w:spacing w:after="0" w:line="43"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On February 22, 2021, the Company completed an additional follow-on public offering, in which it issued and sold 1,500,000 shares of its common stock and MegaChips sold 1,500,000 of the Company’s common stock held by them, resulting in net proceeds to the Company of $181.6 million after deducting underwriting discounts and commissions of $8.6 million and deferred offering costs of $0.3 million.</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MegaChips remains the largest stockholder of the Company and held approximately 31.5% of the Company’s outstanding common stock as of June 30, 2021.</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Outbreak of Coronavirus Disease 2019 (“the COVID-19 pandemic”)</w:t>
      </w:r>
    </w:p>
    <w:p>
      <w:pPr>
        <w:spacing w:after="0" w:line="82" w:lineRule="exact"/>
        <w:rPr>
          <w:sz w:val="20"/>
          <w:szCs w:val="20"/>
          <w:color w:val="auto"/>
        </w:rPr>
      </w:pPr>
    </w:p>
    <w:p>
      <w:pPr>
        <w:ind w:right="200"/>
        <w:spacing w:after="0" w:line="289" w:lineRule="auto"/>
        <w:rPr>
          <w:sz w:val="20"/>
          <w:szCs w:val="20"/>
          <w:color w:val="auto"/>
        </w:rPr>
      </w:pPr>
      <w:r>
        <w:rPr>
          <w:rFonts w:ascii="Arial" w:cs="Arial" w:eastAsia="Arial" w:hAnsi="Arial"/>
          <w:sz w:val="11"/>
          <w:szCs w:val="11"/>
          <w:color w:val="auto"/>
        </w:rPr>
        <w:t>On March 11, 2020, the World Health Organization characterized the outbreak of the coronavirus disease known as COVID-19 as a global pandemic and recommended containment and mitigation measures. On March 13, 2020, the United States declared a national emergency concerning the outbreak, and several states and municipalities have declared public health emergencies. To combat the spread of the COVID-19 pandemic, the United States and other foreign countries in which the Company operates have imposed measures such as quarantines and “shelter-in-place” orders that are restricting business operations and travel and requiring individuals to work from home (“WFH”), which has impacted all aspects of the Company’s business as well as those of the third-parties we rely upon for our manufacturing, assembly, testing, shipping and other operations.</w:t>
      </w:r>
    </w:p>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global health crisis caused by the COVID-19 pandemic has negatively impacted business activity across the globe and has impacted the Company's employees and operations. The inputs into the Company’s judgments and estimates consider the economic implications of the COVID-19 pandemic, as the Company knows them, on the Company’s critical and significant accounting estimates. The extent to which the COVID-19 pandemic may impact the Company’s business will depend on future developments, which are highly uncertain, including the future effects of the COVID-19 pandemic on its employees, customers, suppliers, results of operations, financial condition, or liquidity for the remainder of fiscal year 2021.</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Principles of Consolidation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The condensed consolidated financial statements include the accounts of the Company and its wholly-owned subsidiaries. All intercompany transactions and balances have been eliminated in consolidation.</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Accounting Policies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color w:val="auto"/>
        </w:rPr>
        <w:t>The Company’s significant accounting policies are disclosed in the Company’s audited consolidated financial statements and related notes thereto included in the Annual Report on Form 10-K for the year ended December 31, 2020.</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There had been no changes to these accounting policies except for the recently adopted accounting guidance as discussed below.</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Guidance</w:t>
      </w:r>
    </w:p>
    <w:p>
      <w:pPr>
        <w:spacing w:after="0" w:line="82"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In December 2019, the Financial Accounting Standard Board (“FASB”) issued Accounting Standard Update (“ASU”) 2019-12, Income Taxes (Topic 740): Simplifying the Accounting for Income Taxes, which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adoption of this standard on January 1, 2021 did not have any impact on the Company’s consolidated financial position, results of operations or cash flows.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There are no new accounting pronouncements that are pending to be adopted by the Company.</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Net Income (Loss) Per Share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computation of basic and diluted net loss (income) per share attributable to common stockholders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60" w:type="dxa"/>
            <w:vAlign w:val="bottom"/>
          </w:tcPr>
          <w:p>
            <w:pPr>
              <w:spacing w:after="0"/>
              <w:rPr>
                <w:sz w:val="10"/>
                <w:szCs w:val="10"/>
                <w:color w:val="auto"/>
              </w:rPr>
            </w:pPr>
          </w:p>
        </w:tc>
        <w:tc>
          <w:tcPr>
            <w:tcW w:w="21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auto"/>
              </w:rPr>
              <w:t>Three Months Ended June 30,</w:t>
            </w:r>
          </w:p>
        </w:tc>
        <w:tc>
          <w:tcPr>
            <w:tcW w:w="4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Six Months Ended June 30,</w:t>
            </w: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760" w:type="dxa"/>
            <w:vAlign w:val="bottom"/>
          </w:tcPr>
          <w:p>
            <w:pPr>
              <w:spacing w:after="0"/>
              <w:rPr>
                <w:sz w:val="8"/>
                <w:szCs w:val="8"/>
                <w:color w:val="auto"/>
              </w:rPr>
            </w:pPr>
          </w:p>
        </w:tc>
        <w:tc>
          <w:tcPr>
            <w:tcW w:w="760" w:type="dxa"/>
            <w:vAlign w:val="bottom"/>
            <w:tcBorders>
              <w:bottom w:val="single" w:sz="8" w:color="auto"/>
            </w:tcBorders>
          </w:tcPr>
          <w:p>
            <w:pPr>
              <w:jc w:val="right"/>
              <w:ind w:right="25"/>
              <w:spacing w:after="0" w:line="97" w:lineRule="exact"/>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442"/>
              <w:spacing w:after="0" w:line="97" w:lineRule="exact"/>
              <w:rPr>
                <w:sz w:val="20"/>
                <w:szCs w:val="20"/>
                <w:color w:val="auto"/>
              </w:rPr>
            </w:pPr>
            <w:r>
              <w:rPr>
                <w:rFonts w:ascii="Arial" w:cs="Arial" w:eastAsia="Arial" w:hAnsi="Arial"/>
                <w:sz w:val="10"/>
                <w:szCs w:val="10"/>
                <w:b w:val="1"/>
                <w:bCs w:val="1"/>
                <w:color w:val="auto"/>
                <w:w w:val="89"/>
              </w:rPr>
              <w:t>2020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20" w:type="dxa"/>
            <w:vAlign w:val="bottom"/>
            <w:gridSpan w:val="4"/>
          </w:tcPr>
          <w:p>
            <w:pPr>
              <w:jc w:val="right"/>
              <w:ind w:right="32"/>
              <w:spacing w:after="0" w:line="97" w:lineRule="exact"/>
              <w:rPr>
                <w:sz w:val="20"/>
                <w:szCs w:val="20"/>
                <w:color w:val="auto"/>
              </w:rPr>
            </w:pPr>
            <w:r>
              <w:rPr>
                <w:rFonts w:ascii="Arial" w:cs="Arial" w:eastAsia="Arial" w:hAnsi="Arial"/>
                <w:sz w:val="10"/>
                <w:szCs w:val="10"/>
                <w:b w:val="1"/>
                <w:bCs w:val="1"/>
                <w:color w:val="auto"/>
              </w:rPr>
              <w:t>(in thousands, except per share data)</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76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 attributable to common stockholders</w:t>
            </w:r>
          </w:p>
        </w:tc>
        <w:tc>
          <w:tcPr>
            <w:tcW w:w="760" w:type="dxa"/>
            <w:vAlign w:val="bottom"/>
            <w:shd w:val="clear" w:color="auto" w:fill="CFF0FC"/>
          </w:tcPr>
          <w:p>
            <w:pPr>
              <w:jc w:val="right"/>
              <w:ind w:right="625"/>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2,023</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(5,603)</w:t>
            </w:r>
          </w:p>
        </w:tc>
        <w:tc>
          <w:tcPr>
            <w:tcW w:w="720" w:type="dxa"/>
            <w:vAlign w:val="bottom"/>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(1,542)</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(10,696)</w:t>
            </w:r>
          </w:p>
        </w:tc>
        <w:tc>
          <w:tcPr>
            <w:tcW w:w="0" w:type="dxa"/>
            <w:vAlign w:val="bottom"/>
          </w:tcPr>
          <w:p>
            <w:pPr>
              <w:spacing w:after="0"/>
              <w:rPr>
                <w:sz w:val="1"/>
                <w:szCs w:val="1"/>
                <w:color w:val="auto"/>
              </w:rPr>
            </w:pPr>
          </w:p>
        </w:tc>
      </w:tr>
      <w:tr>
        <w:trPr>
          <w:trHeight w:val="140"/>
        </w:trPr>
        <w:tc>
          <w:tcPr>
            <w:tcW w:w="576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Weighted-average shares outstanding</w:t>
            </w:r>
          </w:p>
        </w:tc>
        <w:tc>
          <w:tcPr>
            <w:tcW w:w="7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Weighted average shares used to compute basic net income (loss) per share</w:t>
            </w:r>
          </w:p>
        </w:tc>
        <w:tc>
          <w:tcPr>
            <w:tcW w:w="7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18,942</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15,371</w:t>
            </w: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18,408</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60" w:type="dxa"/>
            <w:vAlign w:val="bottom"/>
          </w:tcPr>
          <w:p>
            <w:pPr>
              <w:ind w:left="160"/>
              <w:spacing w:after="0"/>
              <w:rPr>
                <w:sz w:val="20"/>
                <w:szCs w:val="20"/>
                <w:color w:val="auto"/>
              </w:rPr>
            </w:pPr>
            <w:r>
              <w:rPr>
                <w:rFonts w:ascii="Arial" w:cs="Arial" w:eastAsia="Arial" w:hAnsi="Arial"/>
                <w:sz w:val="12"/>
                <w:szCs w:val="12"/>
                <w:color w:val="auto"/>
              </w:rPr>
              <w:t>Dilutive effect of employee equity incentive plans</w:t>
            </w:r>
          </w:p>
        </w:tc>
        <w:tc>
          <w:tcPr>
            <w:tcW w:w="7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1,951</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576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Weighted average shares used to compute diluted net income (loss) per share</w:t>
            </w:r>
          </w:p>
        </w:tc>
        <w:tc>
          <w:tcPr>
            <w:tcW w:w="760" w:type="dxa"/>
            <w:vAlign w:val="bottom"/>
            <w:tcBorders>
              <w:top w:val="single" w:sz="8" w:color="auto"/>
              <w:bottom w:val="single" w:sz="8" w:color="auto"/>
            </w:tcBorders>
            <w:shd w:val="clear" w:color="auto" w:fill="CFF0FC"/>
          </w:tcPr>
          <w:p>
            <w:pPr>
              <w:spacing w:after="0"/>
              <w:rPr>
                <w:sz w:val="14"/>
                <w:szCs w:val="1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20,893</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spacing w:after="0"/>
              <w:rPr>
                <w:sz w:val="14"/>
                <w:szCs w:val="1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15,371</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18,408</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15,191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760" w:type="dxa"/>
            <w:vAlign w:val="bottom"/>
          </w:tcPr>
          <w:p>
            <w:pPr>
              <w:ind w:left="160"/>
              <w:spacing w:after="0"/>
              <w:rPr>
                <w:sz w:val="20"/>
                <w:szCs w:val="20"/>
                <w:color w:val="auto"/>
              </w:rPr>
            </w:pPr>
            <w:r>
              <w:rPr>
                <w:rFonts w:ascii="Arial" w:cs="Arial" w:eastAsia="Arial" w:hAnsi="Arial"/>
                <w:sz w:val="12"/>
                <w:szCs w:val="12"/>
                <w:color w:val="auto"/>
              </w:rPr>
              <w:t>Net income (loss) attributable to common stockholders per share, basic</w:t>
            </w:r>
          </w:p>
        </w:tc>
        <w:tc>
          <w:tcPr>
            <w:tcW w:w="760" w:type="dxa"/>
            <w:vAlign w:val="bottom"/>
          </w:tcPr>
          <w:p>
            <w:pPr>
              <w:jc w:val="right"/>
              <w:ind w:right="625"/>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0.11</w:t>
            </w:r>
          </w:p>
        </w:tc>
        <w:tc>
          <w:tcPr>
            <w:tcW w:w="240" w:type="dxa"/>
            <w:vAlign w:val="bottom"/>
          </w:tcPr>
          <w:p>
            <w:pPr>
              <w:spacing w:after="0"/>
              <w:rPr>
                <w:sz w:val="12"/>
                <w:szCs w:val="12"/>
                <w:color w:val="auto"/>
              </w:rPr>
            </w:pP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(0.36)</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(0.08)</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(0.70)</w:t>
            </w:r>
          </w:p>
        </w:tc>
        <w:tc>
          <w:tcPr>
            <w:tcW w:w="0" w:type="dxa"/>
            <w:vAlign w:val="bottom"/>
          </w:tcPr>
          <w:p>
            <w:pPr>
              <w:spacing w:after="0"/>
              <w:rPr>
                <w:sz w:val="1"/>
                <w:szCs w:val="1"/>
                <w:color w:val="auto"/>
              </w:rPr>
            </w:pPr>
          </w:p>
        </w:tc>
      </w:tr>
      <w:tr>
        <w:trPr>
          <w:trHeight w:val="27"/>
        </w:trPr>
        <w:tc>
          <w:tcPr>
            <w:tcW w:w="576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Net income (loss) attributable to common stockholders per share, diluted</w:t>
            </w:r>
          </w:p>
        </w:tc>
        <w:tc>
          <w:tcPr>
            <w:tcW w:w="7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760" w:type="dxa"/>
            <w:vAlign w:val="bottom"/>
            <w:vMerge w:val="continue"/>
            <w:shd w:val="clear" w:color="auto" w:fill="CFF0FC"/>
          </w:tcPr>
          <w:p>
            <w:pPr>
              <w:spacing w:after="0"/>
              <w:rPr>
                <w:sz w:val="13"/>
                <w:szCs w:val="13"/>
                <w:color w:val="auto"/>
              </w:rPr>
            </w:pPr>
          </w:p>
        </w:tc>
        <w:tc>
          <w:tcPr>
            <w:tcW w:w="760" w:type="dxa"/>
            <w:vAlign w:val="bottom"/>
            <w:shd w:val="clear" w:color="auto" w:fill="CFF0FC"/>
          </w:tcPr>
          <w:p>
            <w:pPr>
              <w:jc w:val="right"/>
              <w:ind w:right="625"/>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0.10</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(0.36)</w:t>
            </w:r>
          </w:p>
        </w:tc>
        <w:tc>
          <w:tcPr>
            <w:tcW w:w="720" w:type="dxa"/>
            <w:vAlign w:val="bottom"/>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(0.08)</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(0.70)</w:t>
            </w:r>
          </w:p>
        </w:tc>
        <w:tc>
          <w:tcPr>
            <w:tcW w:w="0" w:type="dxa"/>
            <w:vAlign w:val="bottom"/>
          </w:tcPr>
          <w:p>
            <w:pPr>
              <w:spacing w:after="0"/>
              <w:rPr>
                <w:sz w:val="1"/>
                <w:szCs w:val="1"/>
                <w:color w:val="auto"/>
              </w:rPr>
            </w:pPr>
          </w:p>
        </w:tc>
      </w:tr>
      <w:tr>
        <w:trPr>
          <w:trHeight w:val="27"/>
        </w:trPr>
        <w:tc>
          <w:tcPr>
            <w:tcW w:w="576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Fair Value Measurements</w:t>
      </w:r>
    </w:p>
    <w:p>
      <w:pPr>
        <w:spacing w:after="0" w:line="8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carrying amounts of the Company’s financial instruments, which include cash equivalents, accounts receivable, accounts payable, accrued liabilities, short-term debt obligations, and other current liabilities, approximate their fair values due to their short maturities.</w:t>
      </w:r>
    </w:p>
    <w:p>
      <w:pPr>
        <w:spacing w:after="0" w:line="43" w:lineRule="exact"/>
        <w:rPr>
          <w:sz w:val="20"/>
          <w:szCs w:val="20"/>
          <w:color w:val="auto"/>
        </w:rPr>
      </w:pPr>
    </w:p>
    <w:p>
      <w:pPr>
        <w:spacing w:after="0" w:line="371" w:lineRule="auto"/>
        <w:rPr>
          <w:sz w:val="20"/>
          <w:szCs w:val="20"/>
          <w:color w:val="auto"/>
        </w:rPr>
      </w:pPr>
      <w:r>
        <w:rPr>
          <w:rFonts w:ascii="Arial" w:cs="Arial" w:eastAsia="Arial" w:hAnsi="Arial"/>
          <w:sz w:val="10"/>
          <w:szCs w:val="10"/>
          <w:color w:val="auto"/>
        </w:rPr>
        <w:t>At June 30, 2021 and December 31, 2020, cash balances in bank checking and savings accounts of $53.4 million and $18.4 million, respectively, were valued using Level 1 of the fair value hierarchy. At June 30, 2021 and December 31, 2020, highly liquid money market funds of $200.1 million and $55.1 million, respectively, were valued using Level 1 of the fair value hierarchy, quoted prices in active markets for identical assets, and are included in cash equivalents.</w:t>
      </w:r>
    </w:p>
    <w:p>
      <w:pPr>
        <w:sectPr>
          <w:pgSz w:w="11900" w:h="16838" w:orient="portrait"/>
          <w:cols w:equalWidth="0" w:num="1">
            <w:col w:w="11300"/>
          </w:cols>
          <w:pgMar w:left="300" w:top="347" w:right="299" w:bottom="1440" w:gutter="0" w:footer="0" w:header="0"/>
        </w:sectPr>
      </w:pPr>
    </w:p>
    <w:p>
      <w:pPr>
        <w:spacing w:after="0"/>
        <w:rPr>
          <w:sz w:val="20"/>
          <w:szCs w:val="20"/>
          <w:color w:val="auto"/>
        </w:rPr>
      </w:pPr>
      <w:r>
        <w:rPr>
          <w:rFonts w:ascii="Arial" w:cs="Arial" w:eastAsia="Arial" w:hAnsi="Arial"/>
          <w:sz w:val="12"/>
          <w:szCs w:val="12"/>
          <w:b w:val="1"/>
          <w:bCs w:val="1"/>
          <w:color w:val="auto"/>
        </w:rPr>
        <w:t>Note 4. Balance Sheet Components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Accounts Receivable, net</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Accounts receivable,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Accounts receivable, gross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Allowance for credit losses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Accounts receivable, net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Inventories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Inventories consisted of the following:</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2"/>
          <w:szCs w:val="12"/>
          <w:color w:val="auto"/>
        </w:rPr>
        <w:t>Raw materials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Work in progress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Finished goods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700"/>
        <w:spacing w:after="0"/>
        <w:rPr>
          <w:sz w:val="20"/>
          <w:szCs w:val="20"/>
          <w:color w:val="auto"/>
        </w:rPr>
      </w:pPr>
      <w:r>
        <w:rPr>
          <w:rFonts w:ascii="Arial" w:cs="Arial" w:eastAsia="Arial" w:hAnsi="Arial"/>
          <w:sz w:val="10"/>
          <w:szCs w:val="10"/>
          <w:b w:val="1"/>
          <w:bCs w:val="1"/>
          <w:color w:val="auto"/>
        </w:rPr>
        <w:t>As of</w:t>
      </w:r>
    </w:p>
    <w:tbl>
      <w:tblPr>
        <w:tblLayout w:type="fixed"/>
        <w:tblInd w:w="0" w:type="dxa"/>
        <w:tblCellMar>
          <w:top w:w="0" w:type="dxa"/>
          <w:left w:w="0" w:type="dxa"/>
          <w:bottom w:w="0" w:type="dxa"/>
          <w:right w:w="0" w:type="dxa"/>
        </w:tblCellMar>
      </w:tblPr>
      <w:tr>
        <w:trPr>
          <w:trHeight w:val="97"/>
        </w:trPr>
        <w:tc>
          <w:tcPr>
            <w:tcW w:w="300" w:type="dxa"/>
            <w:vAlign w:val="bottom"/>
            <w:tcBorders>
              <w:top w:val="single" w:sz="8" w:color="auto"/>
              <w:bottom w:val="single" w:sz="8" w:color="auto"/>
            </w:tcBorders>
          </w:tcPr>
          <w:p>
            <w:pPr>
              <w:spacing w:after="0"/>
              <w:rPr>
                <w:sz w:val="8"/>
                <w:szCs w:val="8"/>
                <w:color w:val="auto"/>
              </w:rPr>
            </w:pPr>
          </w:p>
        </w:tc>
        <w:tc>
          <w:tcPr>
            <w:tcW w:w="1400" w:type="dxa"/>
            <w:vAlign w:val="bottom"/>
            <w:tcBorders>
              <w:top w:val="single" w:sz="8" w:color="auto"/>
              <w:bottom w:val="single" w:sz="8" w:color="auto"/>
            </w:tcBorders>
            <w:gridSpan w:val="2"/>
          </w:tcPr>
          <w:p>
            <w:pPr>
              <w:jc w:val="right"/>
              <w:ind w:right="600"/>
              <w:spacing w:after="0" w:line="97" w:lineRule="exact"/>
              <w:rPr>
                <w:sz w:val="20"/>
                <w:szCs w:val="20"/>
                <w:color w:val="auto"/>
              </w:rPr>
            </w:pPr>
            <w:r>
              <w:rPr>
                <w:rFonts w:ascii="Arial" w:cs="Arial" w:eastAsia="Arial" w:hAnsi="Arial"/>
                <w:sz w:val="10"/>
                <w:szCs w:val="10"/>
                <w:b w:val="1"/>
                <w:bCs w:val="1"/>
                <w:color w:val="auto"/>
              </w:rPr>
              <w:t>June 30, 2021</w:t>
            </w:r>
          </w:p>
        </w:tc>
        <w:tc>
          <w:tcPr>
            <w:tcW w:w="2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383"/>
              <w:spacing w:after="0" w:line="97" w:lineRule="exact"/>
              <w:rPr>
                <w:sz w:val="20"/>
                <w:szCs w:val="20"/>
                <w:color w:val="auto"/>
              </w:rPr>
            </w:pPr>
            <w:r>
              <w:rPr>
                <w:rFonts w:ascii="Arial" w:cs="Arial" w:eastAsia="Arial" w:hAnsi="Arial"/>
                <w:sz w:val="10"/>
                <w:szCs w:val="10"/>
                <w:b w:val="1"/>
                <w:bCs w:val="1"/>
                <w:color w:val="auto"/>
                <w:w w:val="99"/>
              </w:rPr>
              <w:t>December 31, 2020</w:t>
            </w:r>
          </w:p>
        </w:tc>
        <w:tc>
          <w:tcPr>
            <w:tcW w:w="40" w:type="dxa"/>
            <w:vAlign w:val="bottom"/>
          </w:tcPr>
          <w:p>
            <w:pPr>
              <w:spacing w:after="0"/>
              <w:rPr>
                <w:sz w:val="8"/>
                <w:szCs w:val="8"/>
                <w:color w:val="auto"/>
              </w:rPr>
            </w:pPr>
          </w:p>
        </w:tc>
      </w:tr>
      <w:tr>
        <w:trPr>
          <w:trHeight w:val="142"/>
        </w:trPr>
        <w:tc>
          <w:tcPr>
            <w:tcW w:w="300" w:type="dxa"/>
            <w:vAlign w:val="bottom"/>
          </w:tcPr>
          <w:p>
            <w:pPr>
              <w:spacing w:after="0"/>
              <w:rPr>
                <w:sz w:val="12"/>
                <w:szCs w:val="12"/>
                <w:color w:val="auto"/>
              </w:rPr>
            </w:pPr>
          </w:p>
        </w:tc>
        <w:tc>
          <w:tcPr>
            <w:tcW w:w="1960" w:type="dxa"/>
            <w:vAlign w:val="bottom"/>
            <w:gridSpan w:val="4"/>
          </w:tcPr>
          <w:p>
            <w:pPr>
              <w:jc w:val="center"/>
              <w:ind w:left="1004"/>
              <w:spacing w:after="0"/>
              <w:rPr>
                <w:sz w:val="20"/>
                <w:szCs w:val="20"/>
                <w:color w:val="auto"/>
              </w:rPr>
            </w:pPr>
            <w:r>
              <w:rPr>
                <w:rFonts w:ascii="Arial" w:cs="Arial" w:eastAsia="Arial" w:hAnsi="Arial"/>
                <w:sz w:val="10"/>
                <w:szCs w:val="10"/>
                <w:b w:val="1"/>
                <w:bCs w:val="1"/>
                <w:color w:val="auto"/>
                <w:w w:val="84"/>
              </w:rPr>
              <w:t>(in thousands)</w:t>
            </w: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25,320</w:t>
            </w:r>
          </w:p>
        </w:tc>
        <w:tc>
          <w:tcPr>
            <w:tcW w:w="4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23,970</w:t>
            </w:r>
          </w:p>
        </w:tc>
        <w:tc>
          <w:tcPr>
            <w:tcW w:w="40" w:type="dxa"/>
            <w:vAlign w:val="bottom"/>
          </w:tcPr>
          <w:p>
            <w:pPr>
              <w:spacing w:after="0"/>
              <w:rPr>
                <w:sz w:val="13"/>
                <w:szCs w:val="13"/>
                <w:color w:val="auto"/>
              </w:rPr>
            </w:pPr>
          </w:p>
        </w:tc>
      </w:tr>
      <w:tr>
        <w:trPr>
          <w:trHeight w:val="153"/>
        </w:trPr>
        <w:tc>
          <w:tcPr>
            <w:tcW w:w="30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(50)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(50)</w:t>
            </w:r>
          </w:p>
        </w:tc>
      </w:tr>
      <w:tr>
        <w:trPr>
          <w:trHeight w:val="20"/>
        </w:trPr>
        <w:tc>
          <w:tcPr>
            <w:tcW w:w="3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25,270</w:t>
            </w:r>
          </w:p>
        </w:tc>
        <w:tc>
          <w:tcPr>
            <w:tcW w:w="4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23,920</w:t>
            </w:r>
          </w:p>
        </w:tc>
        <w:tc>
          <w:tcPr>
            <w:tcW w:w="40" w:type="dxa"/>
            <w:vAlign w:val="bottom"/>
          </w:tcPr>
          <w:p>
            <w:pPr>
              <w:spacing w:after="0"/>
              <w:rPr>
                <w:sz w:val="12"/>
                <w:szCs w:val="12"/>
                <w:color w:val="auto"/>
              </w:rPr>
            </w:pPr>
          </w:p>
        </w:tc>
      </w:tr>
      <w:tr>
        <w:trPr>
          <w:trHeight w:val="729"/>
        </w:trPr>
        <w:tc>
          <w:tcPr>
            <w:tcW w:w="3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As of</w:t>
            </w:r>
          </w:p>
        </w:tc>
        <w:tc>
          <w:tcPr>
            <w:tcW w:w="3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2"/>
          </w:tcPr>
          <w:p>
            <w:pPr>
              <w:jc w:val="right"/>
              <w:ind w:right="600"/>
              <w:spacing w:after="0" w:line="97" w:lineRule="exact"/>
              <w:rPr>
                <w:sz w:val="20"/>
                <w:szCs w:val="20"/>
                <w:color w:val="auto"/>
              </w:rPr>
            </w:pPr>
            <w:r>
              <w:rPr>
                <w:rFonts w:ascii="Arial" w:cs="Arial" w:eastAsia="Arial" w:hAnsi="Arial"/>
                <w:sz w:val="10"/>
                <w:szCs w:val="10"/>
                <w:b w:val="1"/>
                <w:bCs w:val="1"/>
                <w:color w:val="auto"/>
              </w:rPr>
              <w:t>June 30, 2021</w:t>
            </w: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jc w:val="right"/>
              <w:ind w:right="383"/>
              <w:spacing w:after="0" w:line="97" w:lineRule="exact"/>
              <w:rPr>
                <w:sz w:val="20"/>
                <w:szCs w:val="20"/>
                <w:color w:val="auto"/>
              </w:rPr>
            </w:pPr>
            <w:r>
              <w:rPr>
                <w:rFonts w:ascii="Arial" w:cs="Arial" w:eastAsia="Arial" w:hAnsi="Arial"/>
                <w:sz w:val="10"/>
                <w:szCs w:val="10"/>
                <w:b w:val="1"/>
                <w:bCs w:val="1"/>
                <w:color w:val="auto"/>
                <w:w w:val="99"/>
              </w:rPr>
              <w:t>December 31, 2020</w:t>
            </w:r>
          </w:p>
        </w:tc>
        <w:tc>
          <w:tcPr>
            <w:tcW w:w="40" w:type="dxa"/>
            <w:vAlign w:val="bottom"/>
          </w:tcPr>
          <w:p>
            <w:pPr>
              <w:spacing w:after="0"/>
              <w:rPr>
                <w:sz w:val="8"/>
                <w:szCs w:val="8"/>
                <w:color w:val="auto"/>
              </w:rPr>
            </w:pPr>
          </w:p>
        </w:tc>
      </w:tr>
      <w:tr>
        <w:trPr>
          <w:trHeight w:val="142"/>
        </w:trPr>
        <w:tc>
          <w:tcPr>
            <w:tcW w:w="300" w:type="dxa"/>
            <w:vAlign w:val="bottom"/>
          </w:tcPr>
          <w:p>
            <w:pPr>
              <w:spacing w:after="0"/>
              <w:rPr>
                <w:sz w:val="12"/>
                <w:szCs w:val="12"/>
                <w:color w:val="auto"/>
              </w:rPr>
            </w:pPr>
          </w:p>
        </w:tc>
        <w:tc>
          <w:tcPr>
            <w:tcW w:w="1960" w:type="dxa"/>
            <w:vAlign w:val="bottom"/>
            <w:gridSpan w:val="4"/>
          </w:tcPr>
          <w:p>
            <w:pPr>
              <w:jc w:val="center"/>
              <w:ind w:left="1004"/>
              <w:spacing w:after="0"/>
              <w:rPr>
                <w:sz w:val="20"/>
                <w:szCs w:val="20"/>
                <w:color w:val="auto"/>
              </w:rPr>
            </w:pPr>
            <w:r>
              <w:rPr>
                <w:rFonts w:ascii="Arial" w:cs="Arial" w:eastAsia="Arial" w:hAnsi="Arial"/>
                <w:sz w:val="10"/>
                <w:szCs w:val="10"/>
                <w:b w:val="1"/>
                <w:bCs w:val="1"/>
                <w:color w:val="auto"/>
                <w:w w:val="84"/>
              </w:rPr>
              <w:t>(in thousands)</w:t>
            </w: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1,619</w:t>
            </w:r>
          </w:p>
        </w:tc>
        <w:tc>
          <w:tcPr>
            <w:tcW w:w="4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435</w:t>
            </w:r>
          </w:p>
        </w:tc>
        <w:tc>
          <w:tcPr>
            <w:tcW w:w="40" w:type="dxa"/>
            <w:vAlign w:val="bottom"/>
          </w:tcPr>
          <w:p>
            <w:pPr>
              <w:spacing w:after="0"/>
              <w:rPr>
                <w:sz w:val="13"/>
                <w:szCs w:val="13"/>
                <w:color w:val="auto"/>
              </w:rPr>
            </w:pPr>
          </w:p>
        </w:tc>
      </w:tr>
      <w:tr>
        <w:trPr>
          <w:trHeight w:val="153"/>
        </w:trPr>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13,567</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10,184</w:t>
            </w:r>
          </w:p>
        </w:tc>
        <w:tc>
          <w:tcPr>
            <w:tcW w:w="40" w:type="dxa"/>
            <w:vAlign w:val="bottom"/>
          </w:tcPr>
          <w:p>
            <w:pPr>
              <w:spacing w:after="0"/>
              <w:rPr>
                <w:sz w:val="13"/>
                <w:szCs w:val="13"/>
                <w:color w:val="auto"/>
              </w:rPr>
            </w:pPr>
          </w:p>
        </w:tc>
      </w:tr>
      <w:tr>
        <w:trPr>
          <w:trHeight w:val="153"/>
        </w:trPr>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3,308</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1,731</w:t>
            </w:r>
          </w:p>
        </w:tc>
        <w:tc>
          <w:tcPr>
            <w:tcW w:w="40" w:type="dxa"/>
            <w:vAlign w:val="bottom"/>
          </w:tcPr>
          <w:p>
            <w:pPr>
              <w:spacing w:after="0"/>
              <w:rPr>
                <w:sz w:val="13"/>
                <w:szCs w:val="13"/>
                <w:color w:val="auto"/>
              </w:rPr>
            </w:pPr>
          </w:p>
        </w:tc>
      </w:tr>
      <w:tr>
        <w:trPr>
          <w:trHeight w:val="142"/>
        </w:trPr>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18,494</w:t>
            </w:r>
          </w:p>
        </w:tc>
        <w:tc>
          <w:tcPr>
            <w:tcW w:w="4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12,350</w:t>
            </w:r>
          </w:p>
        </w:tc>
        <w:tc>
          <w:tcPr>
            <w:tcW w:w="40" w:type="dxa"/>
            <w:vAlign w:val="bottom"/>
          </w:tcPr>
          <w:p>
            <w:pPr>
              <w:spacing w:after="0"/>
              <w:rPr>
                <w:sz w:val="12"/>
                <w:szCs w:val="12"/>
                <w:color w:val="auto"/>
              </w:rPr>
            </w:pPr>
          </w:p>
        </w:tc>
      </w:tr>
      <w:tr>
        <w:trPr>
          <w:trHeight w:val="27"/>
        </w:trPr>
        <w:tc>
          <w:tcPr>
            <w:tcW w:w="3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-1365250</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-1170940</wp:posOffset>
            </wp:positionV>
            <wp:extent cx="7178040" cy="108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-410845</wp:posOffset>
            </wp:positionV>
            <wp:extent cx="7178040"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-216535</wp:posOffset>
            </wp:positionV>
            <wp:extent cx="717804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740"/>
          </w:cols>
          <w:pgMar w:left="300" w:top="347" w:right="29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Prepaid Expenses and Other Current Assets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Prepaid expenses and other current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Advance to suppliers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Prepaid expenses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Other current assets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Total prepaid expenses and other current assets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and Equipment, Net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Property and equipment, net consisted of the following:</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2"/>
          <w:szCs w:val="12"/>
          <w:color w:val="auto"/>
        </w:rPr>
        <w:t>Lab and manufacturing equipment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Computer Equipment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Furniture and fixtures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Construction in progress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7"/>
              </w:rPr>
              <w:t>As of</w:t>
            </w:r>
          </w:p>
        </w:tc>
        <w:tc>
          <w:tcPr>
            <w:tcW w:w="1360" w:type="dxa"/>
            <w:vAlign w:val="bottom"/>
            <w:tcBorders>
              <w:bottom w:val="single" w:sz="8" w:color="auto"/>
            </w:tcBorders>
          </w:tcPr>
          <w:p>
            <w:pPr>
              <w:spacing w:after="0"/>
              <w:rPr>
                <w:sz w:val="10"/>
                <w:szCs w:val="10"/>
                <w:color w:val="auto"/>
              </w:rPr>
            </w:pPr>
          </w:p>
        </w:tc>
      </w:tr>
      <w:tr>
        <w:trPr>
          <w:trHeight w:val="97"/>
        </w:trPr>
        <w:tc>
          <w:tcPr>
            <w:tcW w:w="3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jc w:val="right"/>
              <w:ind w:right="504"/>
              <w:spacing w:after="0" w:line="97" w:lineRule="exact"/>
              <w:rPr>
                <w:sz w:val="20"/>
                <w:szCs w:val="20"/>
                <w:color w:val="auto"/>
              </w:rPr>
            </w:pPr>
            <w:r>
              <w:rPr>
                <w:rFonts w:ascii="Arial" w:cs="Arial" w:eastAsia="Arial" w:hAnsi="Arial"/>
                <w:sz w:val="10"/>
                <w:szCs w:val="10"/>
                <w:b w:val="1"/>
                <w:bCs w:val="1"/>
                <w:color w:val="auto"/>
              </w:rPr>
              <w:t>June 30, 2021</w:t>
            </w: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jc w:val="right"/>
              <w:ind w:right="382"/>
              <w:spacing w:after="0" w:line="97" w:lineRule="exact"/>
              <w:rPr>
                <w:sz w:val="20"/>
                <w:szCs w:val="20"/>
                <w:color w:val="auto"/>
              </w:rPr>
            </w:pPr>
            <w:r>
              <w:rPr>
                <w:rFonts w:ascii="Arial" w:cs="Arial" w:eastAsia="Arial" w:hAnsi="Arial"/>
                <w:sz w:val="10"/>
                <w:szCs w:val="10"/>
                <w:b w:val="1"/>
                <w:bCs w:val="1"/>
                <w:color w:val="auto"/>
                <w:w w:val="99"/>
              </w:rPr>
              <w:t>December 31, 2020</w:t>
            </w:r>
          </w:p>
        </w:tc>
      </w:tr>
      <w:tr>
        <w:trPr>
          <w:trHeight w:val="142"/>
        </w:trPr>
        <w:tc>
          <w:tcPr>
            <w:tcW w:w="300" w:type="dxa"/>
            <w:vAlign w:val="bottom"/>
          </w:tcPr>
          <w:p>
            <w:pPr>
              <w:spacing w:after="0"/>
              <w:rPr>
                <w:sz w:val="12"/>
                <w:szCs w:val="12"/>
                <w:color w:val="auto"/>
              </w:rPr>
            </w:pPr>
          </w:p>
        </w:tc>
        <w:tc>
          <w:tcPr>
            <w:tcW w:w="1960" w:type="dxa"/>
            <w:vAlign w:val="bottom"/>
            <w:gridSpan w:val="3"/>
          </w:tcPr>
          <w:p>
            <w:pPr>
              <w:jc w:val="center"/>
              <w:ind w:left="1004"/>
              <w:spacing w:after="0"/>
              <w:rPr>
                <w:sz w:val="20"/>
                <w:szCs w:val="20"/>
                <w:color w:val="auto"/>
              </w:rPr>
            </w:pPr>
            <w:r>
              <w:rPr>
                <w:rFonts w:ascii="Arial" w:cs="Arial" w:eastAsia="Arial" w:hAnsi="Arial"/>
                <w:sz w:val="10"/>
                <w:szCs w:val="10"/>
                <w:b w:val="1"/>
                <w:bCs w:val="1"/>
                <w:color w:val="auto"/>
                <w:w w:val="84"/>
              </w:rPr>
              <w:t>(in thousands)</w:t>
            </w:r>
          </w:p>
        </w:tc>
        <w:tc>
          <w:tcPr>
            <w:tcW w:w="1360" w:type="dxa"/>
            <w:vAlign w:val="bottom"/>
          </w:tcPr>
          <w:p>
            <w:pPr>
              <w:spacing w:after="0"/>
              <w:rPr>
                <w:sz w:val="12"/>
                <w:szCs w:val="12"/>
                <w:color w:val="auto"/>
              </w:rPr>
            </w:pPr>
          </w:p>
        </w:tc>
      </w:tr>
      <w:tr>
        <w:trPr>
          <w:trHeight w:val="153"/>
        </w:trPr>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339</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853</w:t>
            </w:r>
          </w:p>
        </w:tc>
      </w:tr>
      <w:tr>
        <w:trPr>
          <w:trHeight w:val="153"/>
        </w:trPr>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1,700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1,074</w:t>
            </w:r>
          </w:p>
        </w:tc>
      </w:tr>
      <w:tr>
        <w:trPr>
          <w:trHeight w:val="153"/>
        </w:trPr>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805</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w:t>
            </w:r>
          </w:p>
        </w:tc>
      </w:tr>
      <w:tr>
        <w:trPr>
          <w:trHeight w:val="149"/>
        </w:trPr>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2,844</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2,649</w:t>
            </w:r>
          </w:p>
        </w:tc>
      </w:tr>
      <w:tr>
        <w:trPr>
          <w:trHeight w:val="738"/>
        </w:trPr>
        <w:tc>
          <w:tcPr>
            <w:tcW w:w="3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As of</w:t>
            </w:r>
          </w:p>
        </w:tc>
        <w:tc>
          <w:tcPr>
            <w:tcW w:w="3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r>
      <w:tr>
        <w:trPr>
          <w:trHeight w:val="97"/>
        </w:trPr>
        <w:tc>
          <w:tcPr>
            <w:tcW w:w="3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jc w:val="right"/>
              <w:ind w:right="504"/>
              <w:spacing w:after="0" w:line="97" w:lineRule="exact"/>
              <w:rPr>
                <w:sz w:val="20"/>
                <w:szCs w:val="20"/>
                <w:color w:val="auto"/>
              </w:rPr>
            </w:pPr>
            <w:r>
              <w:rPr>
                <w:rFonts w:ascii="Arial" w:cs="Arial" w:eastAsia="Arial" w:hAnsi="Arial"/>
                <w:sz w:val="10"/>
                <w:szCs w:val="10"/>
                <w:b w:val="1"/>
                <w:bCs w:val="1"/>
                <w:color w:val="auto"/>
              </w:rPr>
              <w:t>June 30, 2021</w:t>
            </w: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jc w:val="right"/>
              <w:ind w:right="382"/>
              <w:spacing w:after="0" w:line="97" w:lineRule="exact"/>
              <w:rPr>
                <w:sz w:val="20"/>
                <w:szCs w:val="20"/>
                <w:color w:val="auto"/>
              </w:rPr>
            </w:pPr>
            <w:r>
              <w:rPr>
                <w:rFonts w:ascii="Arial" w:cs="Arial" w:eastAsia="Arial" w:hAnsi="Arial"/>
                <w:sz w:val="10"/>
                <w:szCs w:val="10"/>
                <w:b w:val="1"/>
                <w:bCs w:val="1"/>
                <w:color w:val="auto"/>
                <w:w w:val="99"/>
              </w:rPr>
              <w:t>December 31, 2020</w:t>
            </w:r>
          </w:p>
        </w:tc>
      </w:tr>
      <w:tr>
        <w:trPr>
          <w:trHeight w:val="142"/>
        </w:trPr>
        <w:tc>
          <w:tcPr>
            <w:tcW w:w="300" w:type="dxa"/>
            <w:vAlign w:val="bottom"/>
          </w:tcPr>
          <w:p>
            <w:pPr>
              <w:spacing w:after="0"/>
              <w:rPr>
                <w:sz w:val="12"/>
                <w:szCs w:val="12"/>
                <w:color w:val="auto"/>
              </w:rPr>
            </w:pPr>
          </w:p>
        </w:tc>
        <w:tc>
          <w:tcPr>
            <w:tcW w:w="1960" w:type="dxa"/>
            <w:vAlign w:val="bottom"/>
            <w:gridSpan w:val="3"/>
          </w:tcPr>
          <w:p>
            <w:pPr>
              <w:jc w:val="center"/>
              <w:ind w:left="1004"/>
              <w:spacing w:after="0"/>
              <w:rPr>
                <w:sz w:val="20"/>
                <w:szCs w:val="20"/>
                <w:color w:val="auto"/>
              </w:rPr>
            </w:pPr>
            <w:r>
              <w:rPr>
                <w:rFonts w:ascii="Arial" w:cs="Arial" w:eastAsia="Arial" w:hAnsi="Arial"/>
                <w:sz w:val="10"/>
                <w:szCs w:val="10"/>
                <w:b w:val="1"/>
                <w:bCs w:val="1"/>
                <w:color w:val="auto"/>
                <w:w w:val="84"/>
              </w:rPr>
              <w:t>(in thousands)</w:t>
            </w:r>
          </w:p>
        </w:tc>
        <w:tc>
          <w:tcPr>
            <w:tcW w:w="1360" w:type="dxa"/>
            <w:vAlign w:val="bottom"/>
          </w:tcPr>
          <w:p>
            <w:pPr>
              <w:spacing w:after="0"/>
              <w:rPr>
                <w:sz w:val="12"/>
                <w:szCs w:val="12"/>
                <w:color w:val="auto"/>
              </w:rPr>
            </w:pPr>
          </w:p>
        </w:tc>
      </w:tr>
      <w:tr>
        <w:trPr>
          <w:trHeight w:val="153"/>
        </w:trPr>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32,024</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21,958</w:t>
            </w:r>
          </w:p>
        </w:tc>
      </w:tr>
      <w:tr>
        <w:trPr>
          <w:trHeight w:val="153"/>
        </w:trPr>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1,494</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1,121</w:t>
            </w:r>
          </w:p>
        </w:tc>
      </w:tr>
      <w:tr>
        <w:trPr>
          <w:trHeight w:val="153"/>
        </w:trPr>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292</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237</w:t>
            </w:r>
          </w:p>
        </w:tc>
      </w:tr>
      <w:tr>
        <w:trPr>
          <w:trHeight w:val="153"/>
        </w:trPr>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638</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638</w:t>
            </w:r>
          </w:p>
        </w:tc>
      </w:tr>
      <w:tr>
        <w:trPr>
          <w:trHeight w:val="153"/>
        </w:trPr>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4,783</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-1542415</wp:posOffset>
            </wp:positionV>
            <wp:extent cx="717804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-1348105</wp:posOffset>
            </wp:positionV>
            <wp:extent cx="717804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-485140</wp:posOffset>
            </wp:positionV>
            <wp:extent cx="717804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-290830</wp:posOffset>
            </wp:positionV>
            <wp:extent cx="7178040" cy="97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-96520</wp:posOffset>
            </wp:positionV>
            <wp:extent cx="7178040" cy="97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840" w:space="720"/>
            <w:col w:w="3740"/>
          </w:cols>
          <w:pgMar w:left="300" w:top="415" w:right="299" w:bottom="1440" w:gutter="0" w:footer="0" w:header="0"/>
        </w:sectPr>
      </w:pP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39,231</w:t>
            </w: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28,088</w:t>
            </w:r>
          </w:p>
        </w:tc>
        <w:tc>
          <w:tcPr>
            <w:tcW w:w="120" w:type="dxa"/>
            <w:vAlign w:val="bottom"/>
          </w:tcPr>
          <w:p>
            <w:pPr>
              <w:spacing w:after="0"/>
              <w:rPr>
                <w:sz w:val="12"/>
                <w:szCs w:val="12"/>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Accumulated depreciation</w:t>
            </w:r>
          </w:p>
        </w:tc>
        <w:tc>
          <w:tcPr>
            <w:tcW w:w="6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(18,459)</w:t>
            </w:r>
          </w:p>
        </w:tc>
        <w:tc>
          <w:tcPr>
            <w:tcW w:w="6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(16,380)</w:t>
            </w:r>
          </w:p>
        </w:tc>
      </w:tr>
      <w:tr>
        <w:trPr>
          <w:trHeight w:val="149"/>
        </w:trPr>
        <w:tc>
          <w:tcPr>
            <w:tcW w:w="7560" w:type="dxa"/>
            <w:vAlign w:val="bottom"/>
          </w:tcPr>
          <w:p>
            <w:pPr>
              <w:spacing w:after="0"/>
              <w:rPr>
                <w:sz w:val="20"/>
                <w:szCs w:val="20"/>
                <w:color w:val="auto"/>
              </w:rPr>
            </w:pPr>
            <w:r>
              <w:rPr>
                <w:rFonts w:ascii="Arial" w:cs="Arial" w:eastAsia="Arial" w:hAnsi="Arial"/>
                <w:sz w:val="12"/>
                <w:szCs w:val="12"/>
                <w:color w:val="auto"/>
              </w:rPr>
              <w:t>Total property and equipment, net</w:t>
            </w:r>
          </w:p>
        </w:tc>
        <w:tc>
          <w:tcPr>
            <w:tcW w:w="6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20,772</w:t>
            </w: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11,708</w:t>
            </w:r>
          </w:p>
        </w:tc>
        <w:tc>
          <w:tcPr>
            <w:tcW w:w="120" w:type="dxa"/>
            <w:vAlign w:val="bottom"/>
          </w:tcPr>
          <w:p>
            <w:pPr>
              <w:spacing w:after="0"/>
              <w:rPr>
                <w:sz w:val="12"/>
                <w:szCs w:val="12"/>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related to property and equipment was $1.4 million, $2.5 million, $0.8 million, and $1.7 million for the three and six months ended June 30, 2021 and 2020,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Intangible Assets, Net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Intangible assets, net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0"/>
                <w:szCs w:val="10"/>
                <w:b w:val="1"/>
                <w:bCs w:val="1"/>
                <w:color w:val="auto"/>
                <w:w w:val="87"/>
              </w:rPr>
              <w:t>As of</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82"/>
              </w:rPr>
              <w:t>June 30, 2021</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140"/>
              <w:spacing w:after="0"/>
              <w:rPr>
                <w:sz w:val="20"/>
                <w:szCs w:val="20"/>
                <w:color w:val="auto"/>
              </w:rPr>
            </w:pPr>
            <w:r>
              <w:rPr>
                <w:rFonts w:ascii="Arial" w:cs="Arial" w:eastAsia="Arial" w:hAnsi="Arial"/>
                <w:sz w:val="10"/>
                <w:szCs w:val="10"/>
                <w:b w:val="1"/>
                <w:bCs w:val="1"/>
                <w:color w:val="auto"/>
              </w:rPr>
              <w:t>December 31, 2020</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left="46"/>
              <w:spacing w:after="0"/>
              <w:rPr>
                <w:sz w:val="20"/>
                <w:szCs w:val="20"/>
                <w:color w:val="auto"/>
              </w:rPr>
            </w:pPr>
            <w:r>
              <w:rPr>
                <w:rFonts w:ascii="Arial" w:cs="Arial" w:eastAsia="Arial" w:hAnsi="Arial"/>
                <w:sz w:val="10"/>
                <w:szCs w:val="10"/>
                <w:b w:val="1"/>
                <w:bCs w:val="1"/>
                <w:color w:val="auto"/>
                <w:w w:val="84"/>
              </w:rPr>
              <w:t>(in thousands)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w w:val="95"/>
              </w:rPr>
              <w:t>Accumulated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ind w:left="100"/>
              <w:spacing w:after="0"/>
              <w:rPr>
                <w:sz w:val="20"/>
                <w:szCs w:val="20"/>
                <w:color w:val="auto"/>
              </w:rPr>
            </w:pPr>
            <w:r>
              <w:rPr>
                <w:rFonts w:ascii="Arial" w:cs="Arial" w:eastAsia="Arial" w:hAnsi="Arial"/>
                <w:sz w:val="10"/>
                <w:szCs w:val="10"/>
                <w:b w:val="1"/>
                <w:bCs w:val="1"/>
                <w:color w:val="auto"/>
              </w:rPr>
              <w:t>Gross Assets</w:t>
            </w:r>
          </w:p>
        </w:tc>
        <w:tc>
          <w:tcPr>
            <w:tcW w:w="80" w:type="dxa"/>
            <w:vAlign w:val="bottom"/>
          </w:tcPr>
          <w:p>
            <w:pPr>
              <w:spacing w:after="0"/>
              <w:rPr>
                <w:sz w:val="10"/>
                <w:szCs w:val="1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Amortization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40"/>
              <w:spacing w:after="0"/>
              <w:rPr>
                <w:sz w:val="20"/>
                <w:szCs w:val="20"/>
                <w:color w:val="auto"/>
              </w:rPr>
            </w:pPr>
            <w:r>
              <w:rPr>
                <w:rFonts w:ascii="Arial" w:cs="Arial" w:eastAsia="Arial" w:hAnsi="Arial"/>
                <w:sz w:val="10"/>
                <w:szCs w:val="10"/>
                <w:b w:val="1"/>
                <w:bCs w:val="1"/>
                <w:color w:val="auto"/>
              </w:rPr>
              <w:t>Net Assets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Gross Assets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8"/>
              </w:rPr>
              <w:t>Amortization</w:t>
            </w:r>
          </w:p>
        </w:tc>
        <w:tc>
          <w:tcPr>
            <w:tcW w:w="140" w:type="dxa"/>
            <w:vAlign w:val="bottom"/>
          </w:tcPr>
          <w:p>
            <w:pPr>
              <w:spacing w:after="0"/>
              <w:rPr>
                <w:sz w:val="10"/>
                <w:szCs w:val="10"/>
                <w:color w:val="auto"/>
              </w:rPr>
            </w:pPr>
          </w:p>
        </w:tc>
        <w:tc>
          <w:tcPr>
            <w:tcW w:w="620" w:type="dxa"/>
            <w:vAlign w:val="bottom"/>
            <w:gridSpan w:val="3"/>
          </w:tcPr>
          <w:p>
            <w:pPr>
              <w:ind w:left="40"/>
              <w:spacing w:after="0"/>
              <w:rPr>
                <w:sz w:val="20"/>
                <w:szCs w:val="20"/>
                <w:color w:val="auto"/>
              </w:rPr>
            </w:pPr>
            <w:r>
              <w:rPr>
                <w:rFonts w:ascii="Arial" w:cs="Arial" w:eastAsia="Arial" w:hAnsi="Arial"/>
                <w:sz w:val="10"/>
                <w:szCs w:val="10"/>
                <w:b w:val="1"/>
                <w:bCs w:val="1"/>
                <w:color w:val="auto"/>
              </w:rPr>
              <w:t>Net Assets</w:t>
            </w:r>
          </w:p>
        </w:tc>
        <w:tc>
          <w:tcPr>
            <w:tcW w:w="0" w:type="dxa"/>
            <w:vAlign w:val="bottom"/>
          </w:tcPr>
          <w:p>
            <w:pPr>
              <w:spacing w:after="0"/>
              <w:rPr>
                <w:sz w:val="1"/>
                <w:szCs w:val="1"/>
                <w:color w:val="auto"/>
              </w:rPr>
            </w:pPr>
          </w:p>
        </w:tc>
      </w:tr>
      <w:tr>
        <w:trPr>
          <w:trHeight w:val="143"/>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5"/>
          </w:tcPr>
          <w:p>
            <w:pPr>
              <w:jc w:val="right"/>
              <w:ind w:right="100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80" w:type="dxa"/>
            <w:vAlign w:val="bottom"/>
            <w:shd w:val="clear" w:color="auto" w:fill="CFF0FC"/>
          </w:tcPr>
          <w:p>
            <w:pPr>
              <w:spacing w:after="0"/>
              <w:rPr>
                <w:sz w:val="20"/>
                <w:szCs w:val="20"/>
                <w:color w:val="auto"/>
              </w:rPr>
            </w:pPr>
            <w:r>
              <w:rPr>
                <w:rFonts w:ascii="Arial" w:cs="Arial" w:eastAsia="Arial" w:hAnsi="Arial"/>
                <w:sz w:val="12"/>
                <w:szCs w:val="12"/>
                <w:color w:val="auto"/>
              </w:rPr>
              <w:t>Internal use software</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9,434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(8,504)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930</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9,377</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(8,312)</w:t>
            </w:r>
          </w:p>
        </w:tc>
        <w:tc>
          <w:tcPr>
            <w:tcW w:w="28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80" w:type="dxa"/>
            <w:vAlign w:val="bottom"/>
          </w:tcPr>
          <w:p>
            <w:pPr>
              <w:spacing w:after="0"/>
              <w:rPr>
                <w:sz w:val="20"/>
                <w:szCs w:val="20"/>
                <w:color w:val="auto"/>
              </w:rPr>
            </w:pPr>
            <w:r>
              <w:rPr>
                <w:rFonts w:ascii="Arial" w:cs="Arial" w:eastAsia="Arial" w:hAnsi="Arial"/>
                <w:sz w:val="12"/>
                <w:szCs w:val="12"/>
                <w:color w:val="auto"/>
              </w:rPr>
              <w:t>Purchased intangibles</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7,067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(5,522)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1,545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(4,659)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1,004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Intangible assets</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8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16,501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(14,026)</w:t>
            </w:r>
          </w:p>
        </w:tc>
        <w:tc>
          <w:tcPr>
            <w:tcW w:w="120" w:type="dxa"/>
            <w:vAlign w:val="bottom"/>
            <w:shd w:val="clear" w:color="auto" w:fill="CCEEFF"/>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2,475</w:t>
            </w:r>
          </w:p>
        </w:tc>
        <w:tc>
          <w:tcPr>
            <w:tcW w:w="120" w:type="dxa"/>
            <w:vAlign w:val="bottom"/>
            <w:shd w:val="clear" w:color="auto" w:fill="CFF0FC"/>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15,040</w:t>
            </w:r>
          </w:p>
        </w:tc>
        <w:tc>
          <w:tcPr>
            <w:tcW w:w="100" w:type="dxa"/>
            <w:vAlign w:val="bottom"/>
            <w:shd w:val="clear" w:color="auto" w:fill="CFF0FC"/>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(12,971)</w:t>
            </w:r>
          </w:p>
        </w:tc>
        <w:tc>
          <w:tcPr>
            <w:tcW w:w="140" w:type="dxa"/>
            <w:vAlign w:val="bottom"/>
            <w:shd w:val="clear" w:color="auto" w:fill="CCEEFF"/>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9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Amortization expense for intangible assets was $0.5 million, $1.0 million, $0.9 million, and $2.0 million for the three and six months ended June 30, 2021 and 2020, respectively. In the three and six months ended June 30, 2020, the Company recorded impairment charges of $0.2 million related to cost of software that was in process of development for internal use.</w:t>
      </w:r>
    </w:p>
    <w:p>
      <w:pPr>
        <w:spacing w:after="0" w:line="4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As of June 30, 2021, the Company had $0.8 million of intangibles that were still in development stage and were not being amortized. The estimated aggregate future amortization expense for intangible assets in development stage and subject to amortization as of June 30, 2021 is summarized as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2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gridSpan w:val="2"/>
          </w:tcPr>
          <w:p>
            <w:pPr>
              <w:ind w:left="280"/>
              <w:spacing w:after="0"/>
              <w:rPr>
                <w:sz w:val="20"/>
                <w:szCs w:val="20"/>
                <w:color w:val="auto"/>
              </w:rPr>
            </w:pPr>
            <w:r>
              <w:rPr>
                <w:rFonts w:ascii="Arial" w:cs="Arial" w:eastAsia="Arial" w:hAnsi="Arial"/>
                <w:sz w:val="10"/>
                <w:szCs w:val="10"/>
                <w:b w:val="1"/>
                <w:bCs w:val="1"/>
                <w:color w:val="auto"/>
              </w:rPr>
              <w:t>(in thousands)</w:t>
            </w:r>
          </w:p>
        </w:tc>
      </w:tr>
      <w:tr>
        <w:trPr>
          <w:trHeight w:val="35"/>
        </w:trPr>
        <w:tc>
          <w:tcPr>
            <w:tcW w:w="32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53"/>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2021 (remainder)</w:t>
            </w:r>
          </w:p>
        </w:tc>
        <w:tc>
          <w:tcPr>
            <w:tcW w:w="64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759</w:t>
            </w:r>
          </w:p>
        </w:tc>
        <w:tc>
          <w:tcPr>
            <w:tcW w:w="120" w:type="dxa"/>
            <w:vAlign w:val="bottom"/>
            <w:shd w:val="clear" w:color="auto" w:fill="CFF0FC"/>
          </w:tcPr>
          <w:p>
            <w:pPr>
              <w:spacing w:after="0"/>
              <w:rPr>
                <w:sz w:val="13"/>
                <w:szCs w:val="13"/>
                <w:color w:val="auto"/>
              </w:rPr>
            </w:pPr>
          </w:p>
        </w:tc>
      </w:tr>
      <w:tr>
        <w:trPr>
          <w:trHeight w:val="153"/>
        </w:trPr>
        <w:tc>
          <w:tcPr>
            <w:tcW w:w="3220" w:type="dxa"/>
            <w:vAlign w:val="bottom"/>
          </w:tcPr>
          <w:p>
            <w:pPr>
              <w:spacing w:after="0"/>
              <w:rPr>
                <w:sz w:val="20"/>
                <w:szCs w:val="20"/>
                <w:color w:val="auto"/>
              </w:rPr>
            </w:pPr>
            <w:r>
              <w:rPr>
                <w:rFonts w:ascii="Arial" w:cs="Arial" w:eastAsia="Arial" w:hAnsi="Arial"/>
                <w:sz w:val="12"/>
                <w:szCs w:val="12"/>
                <w:color w:val="auto"/>
              </w:rPr>
              <w:t>2022</w:t>
            </w:r>
          </w:p>
        </w:tc>
        <w:tc>
          <w:tcPr>
            <w:tcW w:w="6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816</w:t>
            </w:r>
          </w:p>
        </w:tc>
        <w:tc>
          <w:tcPr>
            <w:tcW w:w="120" w:type="dxa"/>
            <w:vAlign w:val="bottom"/>
          </w:tcPr>
          <w:p>
            <w:pPr>
              <w:spacing w:after="0"/>
              <w:rPr>
                <w:sz w:val="13"/>
                <w:szCs w:val="13"/>
                <w:color w:val="auto"/>
              </w:rPr>
            </w:pPr>
          </w:p>
        </w:tc>
      </w:tr>
      <w:tr>
        <w:trPr>
          <w:trHeight w:val="153"/>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60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479</w:t>
            </w:r>
          </w:p>
        </w:tc>
        <w:tc>
          <w:tcPr>
            <w:tcW w:w="120" w:type="dxa"/>
            <w:vAlign w:val="bottom"/>
            <w:shd w:val="clear" w:color="auto" w:fill="CFF0FC"/>
          </w:tcPr>
          <w:p>
            <w:pPr>
              <w:spacing w:after="0"/>
              <w:rPr>
                <w:sz w:val="13"/>
                <w:szCs w:val="13"/>
                <w:color w:val="auto"/>
              </w:rPr>
            </w:pPr>
          </w:p>
        </w:tc>
      </w:tr>
      <w:tr>
        <w:trPr>
          <w:trHeight w:val="153"/>
        </w:trPr>
        <w:tc>
          <w:tcPr>
            <w:tcW w:w="3220" w:type="dxa"/>
            <w:vAlign w:val="bottom"/>
          </w:tcPr>
          <w:p>
            <w:pPr>
              <w:spacing w:after="0"/>
              <w:rPr>
                <w:sz w:val="20"/>
                <w:szCs w:val="20"/>
                <w:color w:val="auto"/>
              </w:rPr>
            </w:pPr>
            <w:r>
              <w:rPr>
                <w:rFonts w:ascii="Arial" w:cs="Arial" w:eastAsia="Arial" w:hAnsi="Arial"/>
                <w:sz w:val="12"/>
                <w:szCs w:val="12"/>
                <w:color w:val="auto"/>
              </w:rPr>
              <w:t>2024</w:t>
            </w:r>
          </w:p>
        </w:tc>
        <w:tc>
          <w:tcPr>
            <w:tcW w:w="6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196</w:t>
            </w:r>
          </w:p>
        </w:tc>
        <w:tc>
          <w:tcPr>
            <w:tcW w:w="120" w:type="dxa"/>
            <w:vAlign w:val="bottom"/>
          </w:tcPr>
          <w:p>
            <w:pPr>
              <w:spacing w:after="0"/>
              <w:rPr>
                <w:sz w:val="13"/>
                <w:szCs w:val="13"/>
                <w:color w:val="auto"/>
              </w:rPr>
            </w:pPr>
          </w:p>
        </w:tc>
      </w:tr>
      <w:tr>
        <w:trPr>
          <w:trHeight w:val="153"/>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2025 and beyond</w:t>
            </w:r>
          </w:p>
        </w:tc>
        <w:tc>
          <w:tcPr>
            <w:tcW w:w="608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w:t>
            </w:r>
          </w:p>
        </w:tc>
        <w:tc>
          <w:tcPr>
            <w:tcW w:w="120" w:type="dxa"/>
            <w:vAlign w:val="bottom"/>
            <w:shd w:val="clear" w:color="auto" w:fill="CFF0FC"/>
          </w:tcPr>
          <w:p>
            <w:pPr>
              <w:spacing w:after="0"/>
              <w:rPr>
                <w:sz w:val="13"/>
                <w:szCs w:val="13"/>
                <w:color w:val="auto"/>
              </w:rPr>
            </w:pPr>
          </w:p>
        </w:tc>
      </w:tr>
      <w:tr>
        <w:trPr>
          <w:trHeight w:val="149"/>
        </w:trPr>
        <w:tc>
          <w:tcPr>
            <w:tcW w:w="3220" w:type="dxa"/>
            <w:vAlign w:val="bottom"/>
          </w:tcPr>
          <w:p>
            <w:pPr>
              <w:spacing w:after="0"/>
              <w:rPr>
                <w:sz w:val="12"/>
                <w:szCs w:val="12"/>
                <w:color w:val="auto"/>
              </w:rPr>
            </w:pPr>
          </w:p>
        </w:tc>
        <w:tc>
          <w:tcPr>
            <w:tcW w:w="64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2,475</w:t>
            </w:r>
          </w:p>
        </w:tc>
        <w:tc>
          <w:tcPr>
            <w:tcW w:w="120" w:type="dxa"/>
            <w:vAlign w:val="bottom"/>
          </w:tcPr>
          <w:p>
            <w:pPr>
              <w:spacing w:after="0"/>
              <w:rPr>
                <w:sz w:val="12"/>
                <w:szCs w:val="12"/>
                <w:color w:val="auto"/>
              </w:rPr>
            </w:pPr>
          </w:p>
        </w:tc>
      </w:tr>
      <w:tr>
        <w:trPr>
          <w:trHeight w:val="351"/>
        </w:trPr>
        <w:tc>
          <w:tcPr>
            <w:tcW w:w="3220" w:type="dxa"/>
            <w:vAlign w:val="bottom"/>
          </w:tcPr>
          <w:p>
            <w:pPr>
              <w:spacing w:after="0"/>
              <w:rPr>
                <w:sz w:val="24"/>
                <w:szCs w:val="24"/>
                <w:color w:val="auto"/>
              </w:rPr>
            </w:pPr>
          </w:p>
        </w:tc>
        <w:tc>
          <w:tcPr>
            <w:tcW w:w="6080" w:type="dxa"/>
            <w:vAlign w:val="bottom"/>
          </w:tcPr>
          <w:p>
            <w:pPr>
              <w:jc w:val="right"/>
              <w:ind w:right="3560"/>
              <w:spacing w:after="0"/>
              <w:rPr>
                <w:sz w:val="20"/>
                <w:szCs w:val="20"/>
                <w:color w:val="auto"/>
              </w:rPr>
            </w:pPr>
            <w:r>
              <w:rPr>
                <w:rFonts w:ascii="Arial" w:cs="Arial" w:eastAsia="Arial" w:hAnsi="Arial"/>
                <w:sz w:val="12"/>
                <w:szCs w:val="12"/>
                <w:color w:val="auto"/>
              </w:rPr>
              <w:t>9</w:t>
            </w: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3220" w:type="dxa"/>
            <w:vAlign w:val="bottom"/>
            <w:tcBorders>
              <w:bottom w:val="single" w:sz="8" w:color="9A9A9A"/>
            </w:tcBorders>
          </w:tcPr>
          <w:p>
            <w:pPr>
              <w:spacing w:after="0"/>
              <w:rPr>
                <w:sz w:val="6"/>
                <w:szCs w:val="6"/>
                <w:color w:val="auto"/>
              </w:rPr>
            </w:pPr>
          </w:p>
        </w:tc>
        <w:tc>
          <w:tcPr>
            <w:tcW w:w="60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Accrued Expenses and Other Current Liabilities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Accrued expenses and other current liabilities consisted of the following:</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6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0"/>
                <w:szCs w:val="10"/>
                <w:b w:val="1"/>
                <w:bCs w:val="1"/>
                <w:color w:val="auto"/>
                <w:w w:val="95"/>
              </w:rPr>
              <w:t>As of</w:t>
            </w:r>
          </w:p>
        </w:tc>
        <w:tc>
          <w:tcPr>
            <w:tcW w:w="1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42"/>
        </w:trPr>
        <w:tc>
          <w:tcPr>
            <w:tcW w:w="7560" w:type="dxa"/>
            <w:vAlign w:val="bottom"/>
          </w:tcPr>
          <w:p>
            <w:pPr>
              <w:spacing w:after="0"/>
              <w:rPr>
                <w:sz w:val="12"/>
                <w:szCs w:val="12"/>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b w:val="1"/>
                <w:bCs w:val="1"/>
                <w:color w:val="auto"/>
              </w:rPr>
              <w:t>June 30, 2021</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tcPr>
          <w:p>
            <w:pPr>
              <w:ind w:left="140"/>
              <w:spacing w:after="0"/>
              <w:rPr>
                <w:sz w:val="20"/>
                <w:szCs w:val="20"/>
                <w:color w:val="auto"/>
              </w:rPr>
            </w:pPr>
            <w:r>
              <w:rPr>
                <w:rFonts w:ascii="Arial" w:cs="Arial" w:eastAsia="Arial" w:hAnsi="Arial"/>
                <w:sz w:val="10"/>
                <w:szCs w:val="10"/>
                <w:b w:val="1"/>
                <w:bCs w:val="1"/>
                <w:color w:val="auto"/>
              </w:rPr>
              <w:t>December 31, 2020</w:t>
            </w:r>
          </w:p>
        </w:tc>
      </w:tr>
      <w:tr>
        <w:trPr>
          <w:trHeight w:val="142"/>
        </w:trPr>
        <w:tc>
          <w:tcPr>
            <w:tcW w:w="75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(in thousands)</w:t>
            </w: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Accrued payroll and related benefits</w:t>
            </w:r>
          </w:p>
        </w:tc>
        <w:tc>
          <w:tcPr>
            <w:tcW w:w="1220" w:type="dxa"/>
            <w:vAlign w:val="bottom"/>
            <w:shd w:val="clear" w:color="auto" w:fill="CFF0FC"/>
          </w:tcPr>
          <w:p>
            <w:pPr>
              <w:jc w:val="right"/>
              <w:ind w:right="111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5,142</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5,362</w:t>
            </w:r>
          </w:p>
        </w:tc>
        <w:tc>
          <w:tcPr>
            <w:tcW w:w="120" w:type="dxa"/>
            <w:vAlign w:val="bottom"/>
            <w:shd w:val="clear" w:color="auto" w:fill="CFF0FC"/>
          </w:tcPr>
          <w:p>
            <w:pPr>
              <w:spacing w:after="0"/>
              <w:rPr>
                <w:sz w:val="13"/>
                <w:szCs w:val="13"/>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Price adjustment and other revenue reserves</w:t>
            </w:r>
          </w:p>
        </w:tc>
        <w:tc>
          <w:tcPr>
            <w:tcW w:w="1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3,850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3,063</w:t>
            </w:r>
          </w:p>
        </w:tc>
        <w:tc>
          <w:tcPr>
            <w:tcW w:w="120" w:type="dxa"/>
            <w:vAlign w:val="bottom"/>
          </w:tcPr>
          <w:p>
            <w:pPr>
              <w:spacing w:after="0"/>
              <w:rPr>
                <w:sz w:val="13"/>
                <w:szCs w:val="13"/>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Short term lease liability</w:t>
            </w:r>
          </w:p>
        </w:tc>
        <w:tc>
          <w:tcPr>
            <w:tcW w:w="12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1,086</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1,264</w:t>
            </w:r>
          </w:p>
        </w:tc>
        <w:tc>
          <w:tcPr>
            <w:tcW w:w="120" w:type="dxa"/>
            <w:vAlign w:val="bottom"/>
            <w:shd w:val="clear" w:color="auto" w:fill="CFF0FC"/>
          </w:tcPr>
          <w:p>
            <w:pPr>
              <w:spacing w:after="0"/>
              <w:rPr>
                <w:sz w:val="13"/>
                <w:szCs w:val="13"/>
                <w:color w:val="auto"/>
              </w:rPr>
            </w:pPr>
          </w:p>
        </w:tc>
      </w:tr>
      <w:tr>
        <w:trPr>
          <w:trHeight w:val="153"/>
        </w:trPr>
        <w:tc>
          <w:tcPr>
            <w:tcW w:w="75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accrued expenses</w:t>
            </w: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3,729</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3,274</w:t>
            </w:r>
          </w:p>
        </w:tc>
        <w:tc>
          <w:tcPr>
            <w:tcW w:w="120" w:type="dxa"/>
            <w:vAlign w:val="bottom"/>
            <w:tcBorders>
              <w:bottom w:val="single" w:sz="8" w:color="CFF0FC"/>
            </w:tcBorders>
          </w:tcPr>
          <w:p>
            <w:pPr>
              <w:spacing w:after="0"/>
              <w:rPr>
                <w:sz w:val="13"/>
                <w:szCs w:val="13"/>
                <w:color w:val="auto"/>
              </w:rPr>
            </w:pPr>
          </w:p>
        </w:tc>
      </w:tr>
      <w:tr>
        <w:trPr>
          <w:trHeight w:val="142"/>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Total accrued expenses and other current liabilities</w:t>
            </w:r>
          </w:p>
        </w:tc>
        <w:tc>
          <w:tcPr>
            <w:tcW w:w="1220" w:type="dxa"/>
            <w:vAlign w:val="bottom"/>
            <w:shd w:val="clear" w:color="auto" w:fill="CFF0FC"/>
          </w:tcPr>
          <w:p>
            <w:pPr>
              <w:jc w:val="right"/>
              <w:ind w:right="111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13,807</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12,963</w:t>
            </w:r>
          </w:p>
        </w:tc>
        <w:tc>
          <w:tcPr>
            <w:tcW w:w="120" w:type="dxa"/>
            <w:vAlign w:val="bottom"/>
            <w:shd w:val="clear" w:color="auto" w:fill="CFF0FC"/>
          </w:tcPr>
          <w:p>
            <w:pPr>
              <w:spacing w:after="0"/>
              <w:rPr>
                <w:sz w:val="12"/>
                <w:szCs w:val="12"/>
                <w:color w:val="auto"/>
              </w:rPr>
            </w:pPr>
          </w:p>
        </w:tc>
      </w:tr>
      <w:tr>
        <w:trPr>
          <w:trHeight w:val="27"/>
        </w:trPr>
        <w:tc>
          <w:tcPr>
            <w:tcW w:w="756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Leases</w:t>
      </w:r>
    </w:p>
    <w:p>
      <w:pPr>
        <w:spacing w:after="0" w:line="82"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The Company leases real estate property under operating leases. The Company leases office space in Santa Clara, Michigan, Malaysia, Japan, Taiwan, the Netherlands, and Ukraine all under non-cancellable operating leases with various expiration dates through March 2027. The Company signed an amendment to its Santa Clara office space lease where the lessor paid the Company lease incentives of $0.4 million and extended the term of the lease by three months. The amendment was accounted as a single modified lease and the remaining payments were remeasured using an updated discount rate. The remaining lease terms vary from a few months to 6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2021, the Company did not have any leases that had not yet commenced.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the lease-related assets and liabilities recorded on the consolidated balance sheet as of June 30,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w w:val="95"/>
              </w:rPr>
              <w:t>As of</w:t>
            </w: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5"/>
        </w:trPr>
        <w:tc>
          <w:tcPr>
            <w:tcW w:w="4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42"/>
        </w:trPr>
        <w:tc>
          <w:tcPr>
            <w:tcW w:w="4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June 30, 2021</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86"/>
              </w:rPr>
              <w:t>December 31, 2020</w:t>
            </w:r>
          </w:p>
        </w:tc>
      </w:tr>
      <w:tr>
        <w:trPr>
          <w:trHeight w:val="97"/>
        </w:trPr>
        <w:tc>
          <w:tcPr>
            <w:tcW w:w="4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4"/>
          </w:tcPr>
          <w:p>
            <w:pPr>
              <w:jc w:val="right"/>
              <w:ind w:right="180"/>
              <w:spacing w:after="0" w:line="97" w:lineRule="exact"/>
              <w:rPr>
                <w:sz w:val="20"/>
                <w:szCs w:val="20"/>
                <w:color w:val="auto"/>
              </w:rPr>
            </w:pPr>
            <w:r>
              <w:rPr>
                <w:rFonts w:ascii="Arial" w:cs="Arial" w:eastAsia="Arial" w:hAnsi="Arial"/>
                <w:sz w:val="10"/>
                <w:szCs w:val="10"/>
                <w:b w:val="1"/>
                <w:bCs w:val="1"/>
                <w:color w:val="auto"/>
              </w:rPr>
              <w:t>(in thousands)</w:t>
            </w:r>
          </w:p>
        </w:tc>
        <w:tc>
          <w:tcPr>
            <w:tcW w:w="10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Right-of-use assets</w:t>
            </w:r>
          </w:p>
        </w:tc>
        <w:tc>
          <w:tcPr>
            <w:tcW w:w="8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65"/>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8,417</w:t>
            </w:r>
          </w:p>
        </w:tc>
        <w:tc>
          <w:tcPr>
            <w:tcW w:w="62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8,892</w:t>
            </w:r>
          </w:p>
        </w:tc>
        <w:tc>
          <w:tcPr>
            <w:tcW w:w="120" w:type="dxa"/>
            <w:vAlign w:val="bottom"/>
            <w:shd w:val="clear" w:color="auto" w:fill="CFF0FC"/>
          </w:tcPr>
          <w:p>
            <w:pPr>
              <w:spacing w:after="0"/>
              <w:rPr>
                <w:sz w:val="13"/>
                <w:szCs w:val="13"/>
                <w:color w:val="auto"/>
              </w:rPr>
            </w:pPr>
          </w:p>
        </w:tc>
      </w:tr>
      <w:tr>
        <w:trPr>
          <w:trHeight w:val="142"/>
        </w:trPr>
        <w:tc>
          <w:tcPr>
            <w:tcW w:w="4940" w:type="dxa"/>
            <w:vAlign w:val="bottom"/>
          </w:tcPr>
          <w:p>
            <w:pPr>
              <w:spacing w:after="0"/>
              <w:rPr>
                <w:sz w:val="20"/>
                <w:szCs w:val="20"/>
                <w:color w:val="auto"/>
              </w:rPr>
            </w:pPr>
            <w:r>
              <w:rPr>
                <w:rFonts w:ascii="Arial" w:cs="Arial" w:eastAsia="Arial" w:hAnsi="Arial"/>
                <w:sz w:val="12"/>
                <w:szCs w:val="12"/>
                <w:color w:val="auto"/>
              </w:rPr>
              <w:t>Lease liabilities included in accrued expenses and other current liabilities</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1,086</w:t>
            </w:r>
          </w:p>
        </w:tc>
        <w:tc>
          <w:tcPr>
            <w:tcW w:w="3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1,264</w:t>
            </w:r>
          </w:p>
        </w:tc>
        <w:tc>
          <w:tcPr>
            <w:tcW w:w="120" w:type="dxa"/>
            <w:vAlign w:val="bottom"/>
          </w:tcPr>
          <w:p>
            <w:pPr>
              <w:spacing w:after="0"/>
              <w:rPr>
                <w:sz w:val="12"/>
                <w:szCs w:val="12"/>
                <w:color w:val="auto"/>
              </w:rPr>
            </w:pPr>
          </w:p>
        </w:tc>
      </w:tr>
      <w:tr>
        <w:trPr>
          <w:trHeight w:val="153"/>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Lease liabilities - non-current</w:t>
            </w:r>
          </w:p>
        </w:tc>
        <w:tc>
          <w:tcPr>
            <w:tcW w:w="8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6,718</w:t>
            </w:r>
          </w:p>
        </w:tc>
        <w:tc>
          <w:tcPr>
            <w:tcW w:w="300" w:type="dxa"/>
            <w:vAlign w:val="bottom"/>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6,986</w:t>
            </w:r>
          </w:p>
        </w:tc>
        <w:tc>
          <w:tcPr>
            <w:tcW w:w="120" w:type="dxa"/>
            <w:vAlign w:val="bottom"/>
            <w:shd w:val="clear" w:color="auto" w:fill="CFF0FC"/>
          </w:tcPr>
          <w:p>
            <w:pPr>
              <w:spacing w:after="0"/>
              <w:rPr>
                <w:sz w:val="13"/>
                <w:szCs w:val="13"/>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Total operating lease liabilities</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ind w:right="265"/>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7,804</w:t>
            </w:r>
          </w:p>
        </w:tc>
        <w:tc>
          <w:tcPr>
            <w:tcW w:w="62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8,250</w:t>
            </w:r>
          </w:p>
        </w:tc>
        <w:tc>
          <w:tcPr>
            <w:tcW w:w="120" w:type="dxa"/>
            <w:vAlign w:val="bottom"/>
          </w:tcPr>
          <w:p>
            <w:pPr>
              <w:spacing w:after="0"/>
              <w:rPr>
                <w:sz w:val="12"/>
                <w:szCs w:val="12"/>
                <w:color w:val="auto"/>
              </w:rPr>
            </w:pPr>
          </w:p>
        </w:tc>
      </w:tr>
      <w:tr>
        <w:trPr>
          <w:trHeight w:val="15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Weighted-average remaining lease term (years)</w:t>
            </w:r>
          </w:p>
        </w:tc>
        <w:tc>
          <w:tcPr>
            <w:tcW w:w="82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3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120" w:type="dxa"/>
            <w:vAlign w:val="bottom"/>
            <w:tcBorders>
              <w:top w:val="single" w:sz="8" w:color="CFF0FC"/>
            </w:tcBorders>
            <w:shd w:val="clear" w:color="auto" w:fill="CFF0FC"/>
          </w:tcPr>
          <w:p>
            <w:pPr>
              <w:spacing w:after="0"/>
              <w:rPr>
                <w:sz w:val="13"/>
                <w:szCs w:val="13"/>
                <w:color w:val="auto"/>
              </w:rPr>
            </w:pPr>
          </w:p>
        </w:tc>
      </w:tr>
      <w:tr>
        <w:trPr>
          <w:trHeight w:val="153"/>
        </w:trPr>
        <w:tc>
          <w:tcPr>
            <w:tcW w:w="4940" w:type="dxa"/>
            <w:vAlign w:val="bottom"/>
          </w:tcPr>
          <w:p>
            <w:pPr>
              <w:spacing w:after="0"/>
              <w:rPr>
                <w:sz w:val="20"/>
                <w:szCs w:val="20"/>
                <w:color w:val="auto"/>
              </w:rPr>
            </w:pPr>
            <w:r>
              <w:rPr>
                <w:rFonts w:ascii="Arial" w:cs="Arial" w:eastAsia="Arial" w:hAnsi="Arial"/>
                <w:sz w:val="12"/>
                <w:szCs w:val="12"/>
                <w:color w:val="auto"/>
              </w:rPr>
              <w:t>Weighted-average discount rate</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2"/>
                <w:szCs w:val="12"/>
                <w:color w:val="auto"/>
              </w:rPr>
              <w:t>4.6%</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2"/>
                <w:szCs w:val="12"/>
                <w:color w:val="auto"/>
              </w:rPr>
              <w:t>4.2%</w:t>
            </w:r>
          </w:p>
        </w:tc>
      </w:tr>
      <w:tr>
        <w:trPr>
          <w:trHeight w:val="315"/>
        </w:trPr>
        <w:tc>
          <w:tcPr>
            <w:tcW w:w="7540" w:type="dxa"/>
            <w:vAlign w:val="bottom"/>
            <w:gridSpan w:val="5"/>
          </w:tcPr>
          <w:p>
            <w:pPr>
              <w:spacing w:after="0"/>
              <w:rPr>
                <w:sz w:val="20"/>
                <w:szCs w:val="20"/>
                <w:color w:val="auto"/>
              </w:rPr>
            </w:pPr>
            <w:r>
              <w:rPr>
                <w:rFonts w:ascii="Arial" w:cs="Arial" w:eastAsia="Arial" w:hAnsi="Arial"/>
                <w:sz w:val="12"/>
                <w:szCs w:val="12"/>
                <w:color w:val="auto"/>
                <w:w w:val="93"/>
              </w:rPr>
              <w:t>The table below presents certain information related to the lease costs for operating leases for the three and six months ended June 30, 2021 and 2020:</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4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gridSpan w:val="3"/>
          </w:tcPr>
          <w:p>
            <w:pPr>
              <w:jc w:val="right"/>
              <w:ind w:right="452"/>
              <w:spacing w:after="0"/>
              <w:rPr>
                <w:sz w:val="20"/>
                <w:szCs w:val="20"/>
                <w:color w:val="auto"/>
              </w:rPr>
            </w:pPr>
            <w:r>
              <w:rPr>
                <w:rFonts w:ascii="Arial" w:cs="Arial" w:eastAsia="Arial" w:hAnsi="Arial"/>
                <w:sz w:val="10"/>
                <w:szCs w:val="10"/>
                <w:b w:val="1"/>
                <w:bCs w:val="1"/>
                <w:color w:val="auto"/>
                <w:w w:val="88"/>
              </w:rPr>
              <w:t>Three Months Ended June 30,</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gridSpan w:val="7"/>
          </w:tcPr>
          <w:p>
            <w:pPr>
              <w:jc w:val="right"/>
              <w:ind w:right="1060"/>
              <w:spacing w:after="0"/>
              <w:rPr>
                <w:sz w:val="20"/>
                <w:szCs w:val="20"/>
                <w:color w:val="auto"/>
              </w:rPr>
            </w:pPr>
            <w:r>
              <w:rPr>
                <w:rFonts w:ascii="Arial" w:cs="Arial" w:eastAsia="Arial" w:hAnsi="Arial"/>
                <w:sz w:val="10"/>
                <w:szCs w:val="10"/>
                <w:b w:val="1"/>
                <w:bCs w:val="1"/>
                <w:color w:val="auto"/>
              </w:rPr>
              <w:t>Six Months Ended June 30,</w:t>
            </w:r>
          </w:p>
        </w:tc>
      </w:tr>
      <w:tr>
        <w:trPr>
          <w:trHeight w:val="142"/>
        </w:trPr>
        <w:tc>
          <w:tcPr>
            <w:tcW w:w="49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2020</w:t>
            </w:r>
          </w:p>
        </w:tc>
        <w:tc>
          <w:tcPr>
            <w:tcW w:w="38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gridSpan w:val="3"/>
          </w:tcPr>
          <w:p>
            <w:pPr>
              <w:jc w:val="right"/>
              <w:ind w:right="292"/>
              <w:spacing w:after="0"/>
              <w:rPr>
                <w:sz w:val="20"/>
                <w:szCs w:val="20"/>
                <w:color w:val="auto"/>
              </w:rPr>
            </w:pPr>
            <w:r>
              <w:rPr>
                <w:rFonts w:ascii="Arial" w:cs="Arial" w:eastAsia="Arial" w:hAnsi="Arial"/>
                <w:sz w:val="10"/>
                <w:szCs w:val="10"/>
                <w:b w:val="1"/>
                <w:bCs w:val="1"/>
                <w:color w:val="auto"/>
              </w:rPr>
              <w:t>(in thousands)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 cost</w:t>
            </w:r>
          </w:p>
        </w:tc>
        <w:tc>
          <w:tcPr>
            <w:tcW w:w="820" w:type="dxa"/>
            <w:vAlign w:val="bottom"/>
            <w:shd w:val="clear" w:color="auto" w:fill="CFF0FC"/>
          </w:tcPr>
          <w:p>
            <w:pPr>
              <w:jc w:val="right"/>
              <w:ind w:right="71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567</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7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w:t>
            </w:r>
          </w:p>
        </w:tc>
        <w:tc>
          <w:tcPr>
            <w:tcW w:w="780" w:type="dxa"/>
            <w:vAlign w:val="bottom"/>
            <w:gridSpan w:val="2"/>
            <w:shd w:val="clear" w:color="auto" w:fill="CFF0FC"/>
          </w:tcPr>
          <w:p>
            <w:pPr>
              <w:jc w:val="right"/>
              <w:ind w:right="412"/>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882</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851</w:t>
            </w:r>
          </w:p>
        </w:tc>
        <w:tc>
          <w:tcPr>
            <w:tcW w:w="120" w:type="dxa"/>
            <w:vAlign w:val="bottom"/>
            <w:shd w:val="clear" w:color="auto" w:fill="CFF0FC"/>
          </w:tcPr>
          <w:p>
            <w:pPr>
              <w:spacing w:after="0"/>
              <w:rPr>
                <w:sz w:val="13"/>
                <w:szCs w:val="13"/>
                <w:color w:val="auto"/>
              </w:rPr>
            </w:pPr>
          </w:p>
        </w:tc>
      </w:tr>
      <w:tr>
        <w:trPr>
          <w:trHeight w:val="153"/>
        </w:trPr>
        <w:tc>
          <w:tcPr>
            <w:tcW w:w="4940" w:type="dxa"/>
            <w:vAlign w:val="bottom"/>
          </w:tcPr>
          <w:p>
            <w:pPr>
              <w:spacing w:after="0"/>
              <w:rPr>
                <w:sz w:val="20"/>
                <w:szCs w:val="20"/>
                <w:color w:val="auto"/>
              </w:rPr>
            </w:pPr>
            <w:r>
              <w:rPr>
                <w:rFonts w:ascii="Arial" w:cs="Arial" w:eastAsia="Arial" w:hAnsi="Arial"/>
                <w:sz w:val="12"/>
                <w:szCs w:val="12"/>
                <w:color w:val="auto"/>
              </w:rPr>
              <w:t>Short-term lease cost</w:t>
            </w:r>
          </w:p>
        </w:tc>
        <w:tc>
          <w:tcPr>
            <w:tcW w:w="8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86</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80</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164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165</w:t>
            </w:r>
          </w:p>
        </w:tc>
        <w:tc>
          <w:tcPr>
            <w:tcW w:w="120" w:type="dxa"/>
            <w:vAlign w:val="bottom"/>
          </w:tcPr>
          <w:p>
            <w:pPr>
              <w:spacing w:after="0"/>
              <w:rPr>
                <w:sz w:val="13"/>
                <w:szCs w:val="13"/>
                <w:color w:val="auto"/>
              </w:rPr>
            </w:pPr>
          </w:p>
        </w:tc>
      </w:tr>
      <w:tr>
        <w:trPr>
          <w:trHeight w:val="153"/>
        </w:trPr>
        <w:tc>
          <w:tcPr>
            <w:tcW w:w="4940" w:type="dxa"/>
            <w:vAlign w:val="bottom"/>
            <w:shd w:val="clear" w:color="auto" w:fill="CFF0FC"/>
          </w:tcPr>
          <w:p>
            <w:pPr>
              <w:spacing w:after="0"/>
              <w:rPr>
                <w:sz w:val="20"/>
                <w:szCs w:val="20"/>
                <w:color w:val="auto"/>
              </w:rPr>
            </w:pPr>
            <w:r>
              <w:rPr>
                <w:rFonts w:ascii="Arial" w:cs="Arial" w:eastAsia="Arial" w:hAnsi="Arial"/>
                <w:sz w:val="12"/>
                <w:szCs w:val="12"/>
                <w:color w:val="auto"/>
              </w:rPr>
              <w:t>Variable lease cost</w:t>
            </w:r>
          </w:p>
        </w:tc>
        <w:tc>
          <w:tcPr>
            <w:tcW w:w="8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w:t>
            </w:r>
          </w:p>
        </w:tc>
        <w:tc>
          <w:tcPr>
            <w:tcW w:w="26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26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165</w:t>
            </w:r>
          </w:p>
        </w:tc>
        <w:tc>
          <w:tcPr>
            <w:tcW w:w="2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156</w:t>
            </w:r>
          </w:p>
        </w:tc>
        <w:tc>
          <w:tcPr>
            <w:tcW w:w="120" w:type="dxa"/>
            <w:vAlign w:val="bottom"/>
            <w:shd w:val="clear" w:color="auto" w:fill="CFF0FC"/>
          </w:tcPr>
          <w:p>
            <w:pPr>
              <w:spacing w:after="0"/>
              <w:rPr>
                <w:sz w:val="13"/>
                <w:szCs w:val="13"/>
                <w:color w:val="auto"/>
              </w:rPr>
            </w:pPr>
          </w:p>
        </w:tc>
      </w:tr>
      <w:tr>
        <w:trPr>
          <w:trHeight w:val="149"/>
        </w:trPr>
        <w:tc>
          <w:tcPr>
            <w:tcW w:w="4940" w:type="dxa"/>
            <w:vAlign w:val="bottom"/>
          </w:tcPr>
          <w:p>
            <w:pPr>
              <w:spacing w:after="0"/>
              <w:rPr>
                <w:sz w:val="20"/>
                <w:szCs w:val="20"/>
                <w:color w:val="auto"/>
              </w:rPr>
            </w:pPr>
            <w:r>
              <w:rPr>
                <w:rFonts w:ascii="Arial" w:cs="Arial" w:eastAsia="Arial" w:hAnsi="Arial"/>
                <w:sz w:val="12"/>
                <w:szCs w:val="12"/>
                <w:color w:val="auto"/>
              </w:rPr>
              <w:t>Total lease cost</w:t>
            </w:r>
          </w:p>
        </w:tc>
        <w:tc>
          <w:tcPr>
            <w:tcW w:w="82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735</w:t>
            </w: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562</w:t>
            </w:r>
          </w:p>
        </w:tc>
        <w:tc>
          <w:tcPr>
            <w:tcW w:w="260" w:type="dxa"/>
            <w:vAlign w:val="bottom"/>
          </w:tcPr>
          <w:p>
            <w:pPr>
              <w:spacing w:after="0"/>
              <w:rPr>
                <w:sz w:val="12"/>
                <w:szCs w:val="12"/>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1,211</w:t>
            </w:r>
          </w:p>
        </w:tc>
        <w:tc>
          <w:tcPr>
            <w:tcW w:w="2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1,172</w:t>
            </w:r>
          </w:p>
        </w:tc>
        <w:tc>
          <w:tcPr>
            <w:tcW w:w="120" w:type="dxa"/>
            <w:vAlign w:val="bottom"/>
          </w:tcPr>
          <w:p>
            <w:pPr>
              <w:spacing w:after="0"/>
              <w:rPr>
                <w:sz w:val="12"/>
                <w:szCs w:val="1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Cash paid for operating lease liabilities was $0.4 million, $0.4 million, $0.8 million, and $1.6 million, respectively, for the three and six months ended June 30, 2021 and 2020.</w:t>
      </w: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96"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Operating Lease Cash Flows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color w:val="auto"/>
        </w:rPr>
        <w:t>The table below reconciles the undiscounted cash flows for each of the first five years and total of the remaining years to the operating lease liabilities recorded on the consolidated balance sheet as of June 30,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00" w:type="dxa"/>
            <w:vAlign w:val="bottom"/>
            <w:gridSpan w:val="2"/>
          </w:tcPr>
          <w:p>
            <w:pPr>
              <w:jc w:val="right"/>
              <w:ind w:right="1080"/>
              <w:spacing w:after="0"/>
              <w:rPr>
                <w:sz w:val="20"/>
                <w:szCs w:val="20"/>
                <w:color w:val="auto"/>
              </w:rPr>
            </w:pPr>
            <w:r>
              <w:rPr>
                <w:rFonts w:ascii="Arial" w:cs="Arial" w:eastAsia="Arial" w:hAnsi="Arial"/>
                <w:sz w:val="10"/>
                <w:szCs w:val="10"/>
                <w:b w:val="1"/>
                <w:bCs w:val="1"/>
                <w:color w:val="auto"/>
              </w:rPr>
              <w:t>(in thousands)</w:t>
            </w:r>
          </w:p>
        </w:tc>
      </w:tr>
      <w:tr>
        <w:trPr>
          <w:trHeight w:val="161"/>
        </w:trPr>
        <w:tc>
          <w:tcPr>
            <w:tcW w:w="870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w:t>
            </w:r>
          </w:p>
        </w:tc>
        <w:tc>
          <w:tcPr>
            <w:tcW w:w="120" w:type="dxa"/>
            <w:vAlign w:val="bottom"/>
            <w:shd w:val="clear" w:color="auto" w:fill="CFF0FC"/>
          </w:tcPr>
          <w:p>
            <w:pPr>
              <w:spacing w:after="0"/>
              <w:rPr>
                <w:sz w:val="14"/>
                <w:szCs w:val="14"/>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2022</w:t>
            </w:r>
          </w:p>
        </w:tc>
        <w:tc>
          <w:tcPr>
            <w:tcW w:w="5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1,739</w:t>
            </w:r>
          </w:p>
        </w:tc>
        <w:tc>
          <w:tcPr>
            <w:tcW w:w="120" w:type="dxa"/>
            <w:vAlign w:val="bottom"/>
          </w:tcPr>
          <w:p>
            <w:pPr>
              <w:spacing w:after="0"/>
              <w:rPr>
                <w:sz w:val="13"/>
                <w:szCs w:val="13"/>
                <w:color w:val="auto"/>
              </w:rPr>
            </w:pPr>
          </w:p>
        </w:tc>
      </w:tr>
      <w:tr>
        <w:trPr>
          <w:trHeight w:val="153"/>
        </w:trPr>
        <w:tc>
          <w:tcPr>
            <w:tcW w:w="870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500" w:type="dxa"/>
            <w:vAlign w:val="bottom"/>
            <w:shd w:val="clear" w:color="auto" w:fill="CFF0FC"/>
          </w:tcPr>
          <w:p>
            <w:pPr>
              <w:spacing w:after="0"/>
              <w:rPr>
                <w:sz w:val="13"/>
                <w:szCs w:val="13"/>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1,585</w:t>
            </w:r>
          </w:p>
        </w:tc>
        <w:tc>
          <w:tcPr>
            <w:tcW w:w="120" w:type="dxa"/>
            <w:vAlign w:val="bottom"/>
            <w:shd w:val="clear" w:color="auto" w:fill="CFF0FC"/>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2024</w:t>
            </w:r>
          </w:p>
        </w:tc>
        <w:tc>
          <w:tcPr>
            <w:tcW w:w="5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1,548</w:t>
            </w:r>
          </w:p>
        </w:tc>
        <w:tc>
          <w:tcPr>
            <w:tcW w:w="120" w:type="dxa"/>
            <w:vAlign w:val="bottom"/>
          </w:tcPr>
          <w:p>
            <w:pPr>
              <w:spacing w:after="0"/>
              <w:rPr>
                <w:sz w:val="13"/>
                <w:szCs w:val="13"/>
                <w:color w:val="auto"/>
              </w:rPr>
            </w:pPr>
          </w:p>
        </w:tc>
      </w:tr>
      <w:tr>
        <w:trPr>
          <w:trHeight w:val="153"/>
        </w:trPr>
        <w:tc>
          <w:tcPr>
            <w:tcW w:w="870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500" w:type="dxa"/>
            <w:vAlign w:val="bottom"/>
            <w:shd w:val="clear" w:color="auto" w:fill="CFF0FC"/>
          </w:tcPr>
          <w:p>
            <w:pPr>
              <w:spacing w:after="0"/>
              <w:rPr>
                <w:sz w:val="13"/>
                <w:szCs w:val="13"/>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1,580</w:t>
            </w:r>
          </w:p>
        </w:tc>
        <w:tc>
          <w:tcPr>
            <w:tcW w:w="120" w:type="dxa"/>
            <w:vAlign w:val="bottom"/>
            <w:shd w:val="clear" w:color="auto" w:fill="CFF0FC"/>
          </w:tcPr>
          <w:p>
            <w:pPr>
              <w:spacing w:after="0"/>
              <w:rPr>
                <w:sz w:val="13"/>
                <w:szCs w:val="13"/>
                <w:color w:val="auto"/>
              </w:rPr>
            </w:pPr>
          </w:p>
        </w:tc>
      </w:tr>
      <w:tr>
        <w:trPr>
          <w:trHeight w:val="153"/>
        </w:trPr>
        <w:tc>
          <w:tcPr>
            <w:tcW w:w="87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2026 and beyond</w:t>
            </w:r>
          </w:p>
        </w:tc>
        <w:tc>
          <w:tcPr>
            <w:tcW w:w="5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2,019</w:t>
            </w:r>
          </w:p>
        </w:tc>
        <w:tc>
          <w:tcPr>
            <w:tcW w:w="120" w:type="dxa"/>
            <w:vAlign w:val="bottom"/>
            <w:tcBorders>
              <w:bottom w:val="single" w:sz="8" w:color="CFF0FC"/>
            </w:tcBorders>
          </w:tcPr>
          <w:p>
            <w:pPr>
              <w:spacing w:after="0"/>
              <w:rPr>
                <w:sz w:val="13"/>
                <w:szCs w:val="13"/>
                <w:color w:val="auto"/>
              </w:rPr>
            </w:pPr>
          </w:p>
        </w:tc>
      </w:tr>
      <w:tr>
        <w:trPr>
          <w:trHeight w:val="142"/>
        </w:trPr>
        <w:tc>
          <w:tcPr>
            <w:tcW w:w="8700" w:type="dxa"/>
            <w:vAlign w:val="bottom"/>
            <w:shd w:val="clear" w:color="auto" w:fill="CFF0FC"/>
          </w:tcPr>
          <w:p>
            <w:pPr>
              <w:spacing w:after="0"/>
              <w:rPr>
                <w:sz w:val="20"/>
                <w:szCs w:val="20"/>
                <w:color w:val="auto"/>
              </w:rPr>
            </w:pPr>
            <w:r>
              <w:rPr>
                <w:rFonts w:ascii="Arial" w:cs="Arial" w:eastAsia="Arial" w:hAnsi="Arial"/>
                <w:sz w:val="12"/>
                <w:szCs w:val="12"/>
                <w:color w:val="auto"/>
              </w:rPr>
              <w:t>Total minimum lease payments</w:t>
            </w:r>
          </w:p>
        </w:tc>
        <w:tc>
          <w:tcPr>
            <w:tcW w:w="50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8,866</w:t>
            </w:r>
          </w:p>
        </w:tc>
        <w:tc>
          <w:tcPr>
            <w:tcW w:w="120" w:type="dxa"/>
            <w:vAlign w:val="bottom"/>
            <w:shd w:val="clear" w:color="auto" w:fill="CFF0FC"/>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Less: amount of lease payments representing interest</w:t>
            </w:r>
          </w:p>
        </w:tc>
        <w:tc>
          <w:tcPr>
            <w:tcW w:w="500" w:type="dxa"/>
            <w:vAlign w:val="bottom"/>
          </w:tcPr>
          <w:p>
            <w:pPr>
              <w:spacing w:after="0"/>
              <w:rPr>
                <w:sz w:val="13"/>
                <w:szCs w:val="13"/>
                <w:color w:val="auto"/>
              </w:rPr>
            </w:pPr>
          </w:p>
        </w:tc>
        <w:tc>
          <w:tcPr>
            <w:tcW w:w="2100" w:type="dxa"/>
            <w:vAlign w:val="bottom"/>
            <w:gridSpan w:val="2"/>
          </w:tcPr>
          <w:p>
            <w:pPr>
              <w:jc w:val="right"/>
              <w:ind w:right="80"/>
              <w:spacing w:after="0"/>
              <w:rPr>
                <w:sz w:val="20"/>
                <w:szCs w:val="20"/>
                <w:color w:val="auto"/>
              </w:rPr>
            </w:pPr>
            <w:r>
              <w:rPr>
                <w:rFonts w:ascii="Arial" w:cs="Arial" w:eastAsia="Arial" w:hAnsi="Arial"/>
                <w:sz w:val="12"/>
                <w:szCs w:val="12"/>
                <w:color w:val="auto"/>
              </w:rPr>
              <w:t>(1,062)</w:t>
            </w:r>
          </w:p>
        </w:tc>
      </w:tr>
      <w:tr>
        <w:trPr>
          <w:trHeight w:val="142"/>
        </w:trPr>
        <w:tc>
          <w:tcPr>
            <w:tcW w:w="8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Present value of future minimum lease payments</w:t>
            </w:r>
          </w:p>
        </w:tc>
        <w:tc>
          <w:tcPr>
            <w:tcW w:w="500" w:type="dxa"/>
            <w:vAlign w:val="bottom"/>
            <w:tcBorders>
              <w:top w:val="single" w:sz="8" w:color="auto"/>
            </w:tcBorders>
            <w:shd w:val="clear" w:color="auto" w:fill="CFF0FC"/>
          </w:tcPr>
          <w:p>
            <w:pPr>
              <w:spacing w:after="0"/>
              <w:rPr>
                <w:sz w:val="12"/>
                <w:szCs w:val="12"/>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7,804</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Less: current obligations under leases</w:t>
            </w:r>
          </w:p>
        </w:tc>
        <w:tc>
          <w:tcPr>
            <w:tcW w:w="500" w:type="dxa"/>
            <w:vAlign w:val="bottom"/>
          </w:tcPr>
          <w:p>
            <w:pPr>
              <w:spacing w:after="0"/>
              <w:rPr>
                <w:sz w:val="13"/>
                <w:szCs w:val="13"/>
                <w:color w:val="auto"/>
              </w:rPr>
            </w:pPr>
          </w:p>
        </w:tc>
        <w:tc>
          <w:tcPr>
            <w:tcW w:w="2100" w:type="dxa"/>
            <w:vAlign w:val="bottom"/>
            <w:gridSpan w:val="2"/>
          </w:tcPr>
          <w:p>
            <w:pPr>
              <w:jc w:val="right"/>
              <w:ind w:right="80"/>
              <w:spacing w:after="0"/>
              <w:rPr>
                <w:sz w:val="20"/>
                <w:szCs w:val="20"/>
                <w:color w:val="auto"/>
              </w:rPr>
            </w:pPr>
            <w:r>
              <w:rPr>
                <w:rFonts w:ascii="Arial" w:cs="Arial" w:eastAsia="Arial" w:hAnsi="Arial"/>
                <w:sz w:val="12"/>
                <w:szCs w:val="12"/>
                <w:color w:val="auto"/>
              </w:rPr>
              <w:t>(1,086)</w:t>
            </w:r>
          </w:p>
        </w:tc>
      </w:tr>
      <w:tr>
        <w:trPr>
          <w:trHeight w:val="149"/>
        </w:trPr>
        <w:tc>
          <w:tcPr>
            <w:tcW w:w="8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Long-term lease liabilities</w:t>
            </w:r>
          </w:p>
        </w:tc>
        <w:tc>
          <w:tcPr>
            <w:tcW w:w="500" w:type="dxa"/>
            <w:vAlign w:val="bottom"/>
            <w:tcBorders>
              <w:top w:val="single" w:sz="8" w:color="auto"/>
              <w:bottom w:val="single" w:sz="8" w:color="auto"/>
            </w:tcBorders>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6,718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Stockholders’ Equity</w:t>
      </w:r>
    </w:p>
    <w:p>
      <w:pPr>
        <w:spacing w:after="0" w:line="8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On February 22, 2021, the Company completed a follow-on public offering, in which it issued and sold 1,500,000 shares of its common stock and MegaChips sold 1,500,000 of the Company’s common stock held by them at a price of $127 per share.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Incentive Plans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restricted stock unit award (“RSU”) and cash restricted stock unit award (“CRSU”), activity for the three and six months ended June 30,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860" w:type="dxa"/>
            <w:vAlign w:val="bottom"/>
          </w:tcPr>
          <w:p>
            <w:pPr>
              <w:spacing w:after="0"/>
              <w:rPr>
                <w:sz w:val="10"/>
                <w:szCs w:val="1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5"/>
              </w:rPr>
              <w:t>RSU</w:t>
            </w:r>
          </w:p>
        </w:tc>
        <w:tc>
          <w:tcPr>
            <w:tcW w:w="200" w:type="dxa"/>
            <w:vAlign w:val="bottom"/>
          </w:tcPr>
          <w:p>
            <w:pPr>
              <w:spacing w:after="0"/>
              <w:rPr>
                <w:sz w:val="10"/>
                <w:szCs w:val="10"/>
                <w:color w:val="auto"/>
              </w:rPr>
            </w:pPr>
          </w:p>
        </w:tc>
        <w:tc>
          <w:tcPr>
            <w:tcW w:w="660" w:type="dxa"/>
            <w:vAlign w:val="bottom"/>
          </w:tcPr>
          <w:p>
            <w:pPr>
              <w:jc w:val="center"/>
              <w:ind w:left="52"/>
              <w:spacing w:after="0"/>
              <w:rPr>
                <w:sz w:val="20"/>
                <w:szCs w:val="20"/>
                <w:color w:val="auto"/>
              </w:rPr>
            </w:pPr>
            <w:r>
              <w:rPr>
                <w:rFonts w:ascii="Arial" w:cs="Arial" w:eastAsia="Arial" w:hAnsi="Arial"/>
                <w:sz w:val="10"/>
                <w:szCs w:val="10"/>
                <w:b w:val="1"/>
                <w:bCs w:val="1"/>
                <w:color w:val="auto"/>
                <w:w w:val="93"/>
              </w:rPr>
              <w:t>Grant Date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ind w:left="252"/>
              <w:spacing w:after="0"/>
              <w:rPr>
                <w:sz w:val="20"/>
                <w:szCs w:val="20"/>
                <w:color w:val="auto"/>
              </w:rPr>
            </w:pPr>
            <w:r>
              <w:rPr>
                <w:rFonts w:ascii="Arial" w:cs="Arial" w:eastAsia="Arial" w:hAnsi="Arial"/>
                <w:sz w:val="10"/>
                <w:szCs w:val="10"/>
                <w:b w:val="1"/>
                <w:bCs w:val="1"/>
                <w:color w:val="auto"/>
                <w:w w:val="91"/>
              </w:rPr>
              <w:t>CRSU</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Grant Date</w:t>
            </w:r>
          </w:p>
        </w:tc>
      </w:tr>
      <w:tr>
        <w:trPr>
          <w:trHeight w:val="120"/>
        </w:trPr>
        <w:tc>
          <w:tcPr>
            <w:tcW w:w="5860" w:type="dxa"/>
            <w:vAlign w:val="bottom"/>
          </w:tcPr>
          <w:p>
            <w:pPr>
              <w:spacing w:after="0"/>
              <w:rPr>
                <w:sz w:val="10"/>
                <w:szCs w:val="1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7"/>
              </w:rPr>
              <w:t>Number of</w:t>
            </w:r>
          </w:p>
        </w:tc>
        <w:tc>
          <w:tcPr>
            <w:tcW w:w="200" w:type="dxa"/>
            <w:vAlign w:val="bottom"/>
          </w:tcPr>
          <w:p>
            <w:pPr>
              <w:spacing w:after="0"/>
              <w:rPr>
                <w:sz w:val="10"/>
                <w:szCs w:val="10"/>
                <w:color w:val="auto"/>
              </w:rPr>
            </w:pPr>
          </w:p>
        </w:tc>
        <w:tc>
          <w:tcPr>
            <w:tcW w:w="660" w:type="dxa"/>
            <w:vAlign w:val="bottom"/>
          </w:tcPr>
          <w:p>
            <w:pPr>
              <w:jc w:val="center"/>
              <w:ind w:left="52"/>
              <w:spacing w:after="0"/>
              <w:rPr>
                <w:sz w:val="20"/>
                <w:szCs w:val="20"/>
                <w:color w:val="auto"/>
              </w:rPr>
            </w:pPr>
            <w:r>
              <w:rPr>
                <w:rFonts w:ascii="Arial" w:cs="Arial" w:eastAsia="Arial" w:hAnsi="Arial"/>
                <w:sz w:val="10"/>
                <w:szCs w:val="10"/>
                <w:b w:val="1"/>
                <w:bCs w:val="1"/>
                <w:color w:val="auto"/>
                <w:w w:val="91"/>
              </w:rPr>
              <w:t>Fair Value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ind w:left="272"/>
              <w:spacing w:after="0"/>
              <w:rPr>
                <w:sz w:val="20"/>
                <w:szCs w:val="20"/>
                <w:color w:val="auto"/>
              </w:rPr>
            </w:pPr>
            <w:r>
              <w:rPr>
                <w:rFonts w:ascii="Arial" w:cs="Arial" w:eastAsia="Arial" w:hAnsi="Arial"/>
                <w:sz w:val="10"/>
                <w:szCs w:val="10"/>
                <w:b w:val="1"/>
                <w:bCs w:val="1"/>
                <w:color w:val="auto"/>
                <w:w w:val="87"/>
              </w:rPr>
              <w:t>Number of</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7"/>
              </w:rPr>
              <w:t>Fair Value</w:t>
            </w:r>
          </w:p>
        </w:tc>
      </w:tr>
      <w:tr>
        <w:trPr>
          <w:trHeight w:val="113"/>
        </w:trPr>
        <w:tc>
          <w:tcPr>
            <w:tcW w:w="5860" w:type="dxa"/>
            <w:vAlign w:val="bottom"/>
          </w:tcPr>
          <w:p>
            <w:pPr>
              <w:spacing w:after="0"/>
              <w:rPr>
                <w:sz w:val="9"/>
                <w:szCs w:val="9"/>
                <w:color w:val="auto"/>
              </w:rPr>
            </w:pPr>
          </w:p>
        </w:tc>
        <w:tc>
          <w:tcPr>
            <w:tcW w:w="13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3"/>
              </w:rPr>
              <w:t>Shares</w:t>
            </w:r>
          </w:p>
        </w:tc>
        <w:tc>
          <w:tcPr>
            <w:tcW w:w="200" w:type="dxa"/>
            <w:vAlign w:val="bottom"/>
          </w:tcPr>
          <w:p>
            <w:pPr>
              <w:spacing w:after="0"/>
              <w:rPr>
                <w:sz w:val="9"/>
                <w:szCs w:val="9"/>
                <w:color w:val="auto"/>
              </w:rPr>
            </w:pPr>
          </w:p>
        </w:tc>
        <w:tc>
          <w:tcPr>
            <w:tcW w:w="660" w:type="dxa"/>
            <w:vAlign w:val="bottom"/>
          </w:tcPr>
          <w:p>
            <w:pPr>
              <w:jc w:val="center"/>
              <w:ind w:left="32"/>
              <w:spacing w:after="0" w:line="114" w:lineRule="exact"/>
              <w:rPr>
                <w:sz w:val="20"/>
                <w:szCs w:val="20"/>
                <w:color w:val="auto"/>
              </w:rPr>
            </w:pPr>
            <w:r>
              <w:rPr>
                <w:rFonts w:ascii="Arial" w:cs="Arial" w:eastAsia="Arial" w:hAnsi="Arial"/>
                <w:sz w:val="10"/>
                <w:szCs w:val="10"/>
                <w:b w:val="1"/>
                <w:bCs w:val="1"/>
                <w:color w:val="auto"/>
                <w:w w:val="84"/>
              </w:rPr>
              <w:t>per share</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center"/>
              <w:ind w:left="272"/>
              <w:spacing w:after="0" w:line="114" w:lineRule="exact"/>
              <w:rPr>
                <w:sz w:val="20"/>
                <w:szCs w:val="20"/>
                <w:color w:val="auto"/>
              </w:rPr>
            </w:pPr>
            <w:r>
              <w:rPr>
                <w:rFonts w:ascii="Arial" w:cs="Arial" w:eastAsia="Arial" w:hAnsi="Arial"/>
                <w:sz w:val="10"/>
                <w:szCs w:val="10"/>
                <w:b w:val="1"/>
                <w:bCs w:val="1"/>
                <w:color w:val="auto"/>
                <w:w w:val="83"/>
              </w:rPr>
              <w:t>Shares</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4"/>
              </w:rPr>
              <w:t>per share</w:t>
            </w:r>
          </w:p>
        </w:tc>
      </w:tr>
      <w:tr>
        <w:trPr>
          <w:trHeight w:val="13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Unvested at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2,735,706</w:t>
            </w: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22.4</w:t>
            </w:r>
          </w:p>
        </w:tc>
        <w:tc>
          <w:tcPr>
            <w:tcW w:w="24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624</w:t>
            </w: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35.1</w:t>
            </w:r>
          </w:p>
        </w:tc>
        <w:tc>
          <w:tcPr>
            <w:tcW w:w="120" w:type="dxa"/>
            <w:vAlign w:val="bottom"/>
            <w:tcBorders>
              <w:top w:val="single" w:sz="8" w:color="CFF0FC"/>
            </w:tcBorders>
            <w:shd w:val="clear" w:color="auto" w:fill="CFF0FC"/>
          </w:tcPr>
          <w:p>
            <w:pPr>
              <w:spacing w:after="0"/>
              <w:rPr>
                <w:sz w:val="11"/>
                <w:szCs w:val="11"/>
                <w:color w:val="auto"/>
              </w:rPr>
            </w:pPr>
          </w:p>
        </w:tc>
      </w:tr>
      <w:tr>
        <w:trPr>
          <w:trHeight w:val="142"/>
        </w:trPr>
        <w:tc>
          <w:tcPr>
            <w:tcW w:w="5860" w:type="dxa"/>
            <w:vAlign w:val="bottom"/>
          </w:tcPr>
          <w:p>
            <w:pPr>
              <w:spacing w:after="0"/>
              <w:rPr>
                <w:sz w:val="20"/>
                <w:szCs w:val="20"/>
                <w:color w:val="auto"/>
              </w:rPr>
            </w:pPr>
            <w:r>
              <w:rPr>
                <w:rFonts w:ascii="Arial" w:cs="Arial" w:eastAsia="Arial" w:hAnsi="Arial"/>
                <w:sz w:val="11"/>
                <w:szCs w:val="11"/>
                <w:color w:val="auto"/>
              </w:rPr>
              <w:t>Granted</w:t>
            </w:r>
          </w:p>
        </w:tc>
        <w:tc>
          <w:tcPr>
            <w:tcW w:w="1140" w:type="dxa"/>
            <w:vAlign w:val="bottom"/>
          </w:tcPr>
          <w:p>
            <w:pPr>
              <w:jc w:val="right"/>
              <w:spacing w:after="0"/>
              <w:rPr>
                <w:sz w:val="20"/>
                <w:szCs w:val="20"/>
                <w:color w:val="auto"/>
              </w:rPr>
            </w:pPr>
            <w:r>
              <w:rPr>
                <w:rFonts w:ascii="Arial" w:cs="Arial" w:eastAsia="Arial" w:hAnsi="Arial"/>
                <w:sz w:val="11"/>
                <w:szCs w:val="11"/>
                <w:color w:val="auto"/>
              </w:rPr>
              <w:t>190,838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w w:val="94"/>
              </w:rPr>
              <w:t>107.1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3,025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111.9</w:t>
            </w:r>
          </w:p>
        </w:tc>
        <w:tc>
          <w:tcPr>
            <w:tcW w:w="120" w:type="dxa"/>
            <w:vAlign w:val="bottom"/>
          </w:tcPr>
          <w:p>
            <w:pPr>
              <w:spacing w:after="0"/>
              <w:rPr>
                <w:sz w:val="12"/>
                <w:szCs w:val="12"/>
                <w:color w:val="auto"/>
              </w:rPr>
            </w:pPr>
          </w:p>
        </w:tc>
      </w:tr>
      <w:tr>
        <w:trPr>
          <w:trHeight w:val="146"/>
        </w:trPr>
        <w:tc>
          <w:tcPr>
            <w:tcW w:w="5860" w:type="dxa"/>
            <w:vAlign w:val="bottom"/>
            <w:shd w:val="clear" w:color="auto" w:fill="CFF0FC"/>
          </w:tcPr>
          <w:p>
            <w:pPr>
              <w:spacing w:after="0"/>
              <w:rPr>
                <w:sz w:val="20"/>
                <w:szCs w:val="20"/>
                <w:color w:val="auto"/>
              </w:rPr>
            </w:pPr>
            <w:r>
              <w:rPr>
                <w:rFonts w:ascii="Arial" w:cs="Arial" w:eastAsia="Arial" w:hAnsi="Arial"/>
                <w:sz w:val="11"/>
                <w:szCs w:val="11"/>
                <w:color w:val="auto"/>
              </w:rPr>
              <w:t>Vested</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(189,460)</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w w:val="91"/>
              </w:rPr>
              <w:t>(3,405)</w:t>
            </w: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101.7</w:t>
            </w:r>
          </w:p>
        </w:tc>
        <w:tc>
          <w:tcPr>
            <w:tcW w:w="120" w:type="dxa"/>
            <w:vAlign w:val="bottom"/>
            <w:shd w:val="clear" w:color="auto" w:fill="CFF0FC"/>
          </w:tcPr>
          <w:p>
            <w:pPr>
              <w:spacing w:after="0"/>
              <w:rPr>
                <w:sz w:val="12"/>
                <w:szCs w:val="12"/>
                <w:color w:val="auto"/>
              </w:rPr>
            </w:pPr>
          </w:p>
        </w:tc>
      </w:tr>
      <w:tr>
        <w:trPr>
          <w:trHeight w:val="142"/>
        </w:trPr>
        <w:tc>
          <w:tcPr>
            <w:tcW w:w="5860" w:type="dxa"/>
            <w:vAlign w:val="bottom"/>
          </w:tcPr>
          <w:p>
            <w:pPr>
              <w:spacing w:after="0"/>
              <w:rPr>
                <w:sz w:val="20"/>
                <w:szCs w:val="20"/>
                <w:color w:val="auto"/>
              </w:rPr>
            </w:pPr>
            <w:r>
              <w:rPr>
                <w:rFonts w:ascii="Arial" w:cs="Arial" w:eastAsia="Arial" w:hAnsi="Arial"/>
                <w:sz w:val="11"/>
                <w:szCs w:val="11"/>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1"/>
                <w:szCs w:val="11"/>
                <w:color w:val="auto"/>
              </w:rPr>
              <w:t>(13,840)</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13.0</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5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Unvested at March 31,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2,723,244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CFF0FC"/>
              <w:bottom w:val="single" w:sz="8" w:color="CFF0FC"/>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28.2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CFF0FC"/>
              <w:bottom w:val="single" w:sz="8" w:color="CFF0FC"/>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58.4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color w:val="auto"/>
              </w:rPr>
              <w:t>Granted</w:t>
            </w:r>
          </w:p>
        </w:tc>
        <w:tc>
          <w:tcPr>
            <w:tcW w:w="1140" w:type="dxa"/>
            <w:vAlign w:val="bottom"/>
          </w:tcPr>
          <w:p>
            <w:pPr>
              <w:jc w:val="right"/>
              <w:spacing w:after="0"/>
              <w:rPr>
                <w:sz w:val="20"/>
                <w:szCs w:val="20"/>
                <w:color w:val="auto"/>
              </w:rPr>
            </w:pPr>
            <w:r>
              <w:rPr>
                <w:rFonts w:ascii="Arial" w:cs="Arial" w:eastAsia="Arial" w:hAnsi="Arial"/>
                <w:sz w:val="11"/>
                <w:szCs w:val="11"/>
                <w:color w:val="auto"/>
              </w:rPr>
              <w:t>103,063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w w:val="94"/>
              </w:rPr>
              <w:t>100.5</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6"/>
        </w:trPr>
        <w:tc>
          <w:tcPr>
            <w:tcW w:w="5860" w:type="dxa"/>
            <w:vAlign w:val="bottom"/>
            <w:shd w:val="clear" w:color="auto" w:fill="CFF0FC"/>
          </w:tcPr>
          <w:p>
            <w:pPr>
              <w:spacing w:after="0"/>
              <w:rPr>
                <w:sz w:val="20"/>
                <w:szCs w:val="20"/>
                <w:color w:val="auto"/>
              </w:rPr>
            </w:pPr>
            <w:r>
              <w:rPr>
                <w:rFonts w:ascii="Arial" w:cs="Arial" w:eastAsia="Arial" w:hAnsi="Arial"/>
                <w:sz w:val="11"/>
                <w:szCs w:val="11"/>
                <w:color w:val="auto"/>
              </w:rPr>
              <w:t>Vested</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(221,049)</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2"/>
        </w:trPr>
        <w:tc>
          <w:tcPr>
            <w:tcW w:w="5860" w:type="dxa"/>
            <w:vAlign w:val="bottom"/>
          </w:tcPr>
          <w:p>
            <w:pPr>
              <w:spacing w:after="0"/>
              <w:rPr>
                <w:sz w:val="20"/>
                <w:szCs w:val="20"/>
                <w:color w:val="auto"/>
              </w:rPr>
            </w:pPr>
            <w:r>
              <w:rPr>
                <w:rFonts w:ascii="Arial" w:cs="Arial" w:eastAsia="Arial" w:hAnsi="Arial"/>
                <w:sz w:val="11"/>
                <w:szCs w:val="11"/>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1"/>
                <w:szCs w:val="11"/>
                <w:color w:val="auto"/>
              </w:rPr>
              <w:t>(49,880)</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29.6</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(244)</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58.4</w:t>
            </w:r>
          </w:p>
        </w:tc>
        <w:tc>
          <w:tcPr>
            <w:tcW w:w="120" w:type="dxa"/>
            <w:vAlign w:val="bottom"/>
          </w:tcPr>
          <w:p>
            <w:pPr>
              <w:spacing w:after="0"/>
              <w:rPr>
                <w:sz w:val="12"/>
                <w:szCs w:val="12"/>
                <w:color w:val="auto"/>
              </w:rPr>
            </w:pPr>
          </w:p>
        </w:tc>
      </w:tr>
      <w:tr>
        <w:trPr>
          <w:trHeight w:val="142"/>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Unvested at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2,555,378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31.5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62"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On August 4, 2020, the Compensation Committee of the Company adopted and approved the Executive Bonus and Retention Plan (the “Bonus and Retention Plan”) with target bonus amounts and performance goals for the second half of the fiscal year 2020 (the “2020 Goals”). In January 2021, the Compensation Committee approved target bonus amounts and performance goals for the first half of the fiscal year 2021 (the “1H2021 Goals”) and in July 2021 the Compensation Committee approved target bonus amounts and performance goals for the second half of the fiscal year 2021 (the “2H2021 Goals”). The 2020 Goals, the 1H2021 Goals and the 2H2021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Such expense is included in the non-cash adjustment within stock-based compensation expense on the condensed consolidated cash flow statements. The liability of $1.3 million for 1H2021 Goals was recorded as accrued expenses and other current liabilities in the condensed consolidated balance sheet. Actual payouts for 2020 Goals ranged from 119% to 144% of target, and for 1H2021 Goals ranged from 76% to 141% of target, based on performance.</w:t>
      </w:r>
    </w:p>
    <w:p>
      <w:pPr>
        <w:spacing w:after="0" w:line="5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In the six months ended June 30, 2021, the Company granted CRSUs as part of an employee bonus plan. The Company ended such program effective April 1, 2021. Generally, such units were granted quarterly and fully vested at the end of the quarter they were granted except units granted to new hires that had a one-year cliff vesting. Such awards have also been classified as liability-based awards.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3"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Stock-Based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detail of stock-based compensation expense amounts included in the condensed consolidated statement of operations for each of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21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0"/>
                <w:szCs w:val="10"/>
                <w:b w:val="1"/>
                <w:bCs w:val="1"/>
                <w:color w:val="auto"/>
              </w:rPr>
              <w:t>Three Months Ended June 30,</w:t>
            </w:r>
          </w:p>
        </w:tc>
        <w:tc>
          <w:tcPr>
            <w:tcW w:w="3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860" w:type="dxa"/>
            <w:vAlign w:val="bottom"/>
            <w:vMerge w:val="restart"/>
          </w:tcPr>
          <w:p>
            <w:pPr>
              <w:spacing w:after="0"/>
              <w:rPr>
                <w:sz w:val="20"/>
                <w:szCs w:val="20"/>
                <w:color w:val="auto"/>
              </w:rPr>
            </w:pPr>
            <w:r>
              <w:rPr>
                <w:rFonts w:ascii="Arial" w:cs="Arial" w:eastAsia="Arial" w:hAnsi="Arial"/>
                <w:sz w:val="11"/>
                <w:szCs w:val="11"/>
                <w:b w:val="1"/>
                <w:bCs w:val="1"/>
                <w:color w:val="auto"/>
              </w:rPr>
              <w:t>Equity awards</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2020</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w w:val="80"/>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3"/>
          </w:tcPr>
          <w:p>
            <w:pPr>
              <w:jc w:val="right"/>
              <w:ind w:right="112"/>
              <w:spacing w:after="0"/>
              <w:rPr>
                <w:sz w:val="20"/>
                <w:szCs w:val="20"/>
                <w:color w:val="auto"/>
              </w:rPr>
            </w:pPr>
            <w:r>
              <w:rPr>
                <w:rFonts w:ascii="Arial" w:cs="Arial" w:eastAsia="Arial" w:hAnsi="Arial"/>
                <w:sz w:val="10"/>
                <w:szCs w:val="10"/>
                <w:b w:val="1"/>
                <w:bCs w:val="1"/>
                <w:color w:val="auto"/>
              </w:rPr>
              <w:t>(in thousands)</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Cost of revenue</w:t>
            </w: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428</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2,531</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974</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4,987</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Selling, general and administrative</w:t>
            </w:r>
          </w:p>
        </w:tc>
        <w:tc>
          <w:tcPr>
            <w:tcW w:w="76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3,675</w:t>
            </w:r>
          </w:p>
        </w:tc>
        <w:tc>
          <w:tcPr>
            <w:tcW w:w="240" w:type="dxa"/>
            <w:vAlign w:val="bottom"/>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2,072</w:t>
            </w:r>
          </w:p>
        </w:tc>
        <w:tc>
          <w:tcPr>
            <w:tcW w:w="2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7,010</w:t>
            </w:r>
          </w:p>
        </w:tc>
        <w:tc>
          <w:tcPr>
            <w:tcW w:w="24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860" w:type="dxa"/>
            <w:vAlign w:val="bottom"/>
          </w:tcPr>
          <w:p>
            <w:pPr>
              <w:spacing w:after="0"/>
              <w:rPr>
                <w:sz w:val="14"/>
                <w:szCs w:val="14"/>
                <w:color w:val="auto"/>
              </w:rPr>
            </w:pPr>
          </w:p>
        </w:tc>
        <w:tc>
          <w:tcPr>
            <w:tcW w:w="76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6,634</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3,076</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12,809</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Liability-based awards - equity settled</w:t>
            </w:r>
          </w:p>
        </w:tc>
        <w:tc>
          <w:tcPr>
            <w:tcW w:w="7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2"/>
                <w:szCs w:val="12"/>
                <w:color w:val="auto"/>
              </w:rPr>
              <w:t>Cost of revenue</w:t>
            </w: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33</w:t>
            </w:r>
          </w:p>
        </w:tc>
        <w:tc>
          <w:tcPr>
            <w:tcW w:w="240" w:type="dxa"/>
            <w:vAlign w:val="bottom"/>
          </w:tcPr>
          <w:p>
            <w:pPr>
              <w:spacing w:after="0"/>
              <w:rPr>
                <w:sz w:val="13"/>
                <w:szCs w:val="13"/>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50</w:t>
            </w:r>
          </w:p>
        </w:tc>
        <w:tc>
          <w:tcPr>
            <w:tcW w:w="240" w:type="dxa"/>
            <w:vAlign w:val="bottom"/>
          </w:tcPr>
          <w:p>
            <w:pPr>
              <w:spacing w:after="0"/>
              <w:rPr>
                <w:sz w:val="13"/>
                <w:szCs w:val="13"/>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w:t>
            </w:r>
          </w:p>
        </w:tc>
        <w:tc>
          <w:tcPr>
            <w:tcW w:w="7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328</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532</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w:t>
            </w:r>
          </w:p>
        </w:tc>
        <w:tc>
          <w:tcPr>
            <w:tcW w:w="2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758</w:t>
            </w:r>
          </w:p>
        </w:tc>
        <w:tc>
          <w:tcPr>
            <w:tcW w:w="2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855</w:t>
            </w:r>
          </w:p>
        </w:tc>
        <w:tc>
          <w:tcPr>
            <w:tcW w:w="240" w:type="dxa"/>
            <w:vAlign w:val="bottom"/>
          </w:tcPr>
          <w:p>
            <w:pPr>
              <w:spacing w:after="0"/>
              <w:rPr>
                <w:sz w:val="13"/>
                <w:szCs w:val="13"/>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1,340</w:t>
            </w:r>
          </w:p>
        </w:tc>
        <w:tc>
          <w:tcPr>
            <w:tcW w:w="240" w:type="dxa"/>
            <w:vAlign w:val="bottom"/>
          </w:tcPr>
          <w:p>
            <w:pPr>
              <w:spacing w:after="0"/>
              <w:rPr>
                <w:sz w:val="13"/>
                <w:szCs w:val="13"/>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stock-based compensation - equity settled</w:t>
            </w:r>
          </w:p>
        </w:tc>
        <w:tc>
          <w:tcPr>
            <w:tcW w:w="76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7,489</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3,076</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14,149</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5,831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860" w:type="dxa"/>
            <w:vAlign w:val="bottom"/>
          </w:tcPr>
          <w:p>
            <w:pPr>
              <w:spacing w:after="0"/>
              <w:rPr>
                <w:sz w:val="20"/>
                <w:szCs w:val="20"/>
                <w:color w:val="auto"/>
              </w:rPr>
            </w:pPr>
            <w:r>
              <w:rPr>
                <w:rFonts w:ascii="Arial" w:cs="Arial" w:eastAsia="Arial" w:hAnsi="Arial"/>
                <w:sz w:val="11"/>
                <w:szCs w:val="11"/>
                <w:b w:val="1"/>
                <w:bCs w:val="1"/>
                <w:color w:val="auto"/>
              </w:rPr>
              <w:t>Liability-based awards - cash settled</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Cost of revenue</w:t>
            </w: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143</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Selling, general and administrative</w:t>
            </w:r>
          </w:p>
        </w:tc>
        <w:tc>
          <w:tcPr>
            <w:tcW w:w="7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6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Total stock-based compensation - cash settled</w:t>
            </w:r>
          </w:p>
        </w:tc>
        <w:tc>
          <w:tcPr>
            <w:tcW w:w="7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24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192</w:t>
            </w:r>
          </w:p>
        </w:tc>
        <w:tc>
          <w:tcPr>
            <w:tcW w:w="2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353</w:t>
            </w:r>
          </w:p>
        </w:tc>
        <w:tc>
          <w:tcPr>
            <w:tcW w:w="240" w:type="dxa"/>
            <w:vAlign w:val="bottom"/>
            <w:tcBorders>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stock-based compensation expense</w:t>
            </w:r>
          </w:p>
        </w:tc>
        <w:tc>
          <w:tcPr>
            <w:tcW w:w="760" w:type="dxa"/>
            <w:vAlign w:val="bottom"/>
            <w:tcBorders>
              <w:bottom w:val="single" w:sz="8" w:color="auto"/>
            </w:tcBorders>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7,526</w:t>
            </w:r>
          </w:p>
        </w:tc>
        <w:tc>
          <w:tcPr>
            <w:tcW w:w="2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3,268</w:t>
            </w: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14,502</w:t>
            </w:r>
          </w:p>
        </w:tc>
        <w:tc>
          <w:tcPr>
            <w:tcW w:w="24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6,023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As of June 30, 2021, there was $72.6 million and $0.5 million of unrecognized compensation costs related to RSUs granted and liability-based awards granted, respectively. The unrecognized compensation cost is expected to be recognized over a weighted average period of 3.5 years for equity awards and 0.4 years for liability-based awards.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Income Taxes</w:t>
      </w:r>
    </w:p>
    <w:p>
      <w:pPr>
        <w:spacing w:after="0" w:line="82"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color w:val="auto"/>
        </w:rPr>
        <w:t>The quarterly provision for income taxes is based on applying the estimated annual effective tax rate to the year to date pre-tax income (loss), plus any discrete items. The Company updates its estimate of its annual effective tax rate at the end of each quarterly period. The estimate takes into account annual forecasted income (loss) before income taxes, the geographic mix of income (loss) before income taxes and any significant permanent tax items.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provision for income taxes and the effective tax rates for the three and six months ended June 30, 2021 and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40" w:type="dxa"/>
            <w:vAlign w:val="bottom"/>
          </w:tcPr>
          <w:p>
            <w:pPr>
              <w:spacing w:after="0"/>
              <w:rPr>
                <w:sz w:val="10"/>
                <w:szCs w:val="10"/>
                <w:color w:val="auto"/>
              </w:rPr>
            </w:pPr>
          </w:p>
        </w:tc>
        <w:tc>
          <w:tcPr>
            <w:tcW w:w="214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0"/>
                <w:szCs w:val="10"/>
                <w:b w:val="1"/>
                <w:bCs w:val="1"/>
                <w:color w:val="auto"/>
              </w:rPr>
              <w:t>Three Months Ended June 30,</w:t>
            </w:r>
          </w:p>
        </w:tc>
        <w:tc>
          <w:tcPr>
            <w:tcW w:w="4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6"/>
              </w:rPr>
              <w:t>Six Months Ended June 30,</w:t>
            </w: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5840" w:type="dxa"/>
            <w:vAlign w:val="bottom"/>
          </w:tcPr>
          <w:p>
            <w:pPr>
              <w:spacing w:after="0"/>
              <w:rPr>
                <w:sz w:val="8"/>
                <w:szCs w:val="8"/>
                <w:color w:val="auto"/>
              </w:rPr>
            </w:pPr>
          </w:p>
        </w:tc>
        <w:tc>
          <w:tcPr>
            <w:tcW w:w="76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26"/>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423"/>
              <w:spacing w:after="0" w:line="97" w:lineRule="exact"/>
              <w:rPr>
                <w:sz w:val="20"/>
                <w:szCs w:val="20"/>
                <w:color w:val="auto"/>
              </w:rPr>
            </w:pPr>
            <w:r>
              <w:rPr>
                <w:rFonts w:ascii="Arial" w:cs="Arial" w:eastAsia="Arial" w:hAnsi="Arial"/>
                <w:sz w:val="10"/>
                <w:szCs w:val="10"/>
                <w:b w:val="1"/>
                <w:bCs w:val="1"/>
                <w:color w:val="auto"/>
                <w:w w:val="89"/>
              </w:rPr>
              <w:t>2020</w:t>
            </w:r>
          </w:p>
        </w:tc>
        <w:tc>
          <w:tcPr>
            <w:tcW w:w="120" w:type="dxa"/>
            <w:vAlign w:val="bottom"/>
          </w:tcPr>
          <w:p>
            <w:pPr>
              <w:spacing w:after="0"/>
              <w:rPr>
                <w:sz w:val="8"/>
                <w:szCs w:val="8"/>
                <w:color w:val="auto"/>
              </w:rPr>
            </w:pPr>
          </w:p>
        </w:tc>
      </w:tr>
      <w:tr>
        <w:trPr>
          <w:trHeight w:val="97"/>
        </w:trPr>
        <w:tc>
          <w:tcPr>
            <w:tcW w:w="5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gridSpan w:val="3"/>
          </w:tcPr>
          <w:p>
            <w:pPr>
              <w:jc w:val="right"/>
              <w:ind w:right="472"/>
              <w:spacing w:after="0" w:line="97" w:lineRule="exact"/>
              <w:rPr>
                <w:sz w:val="20"/>
                <w:szCs w:val="20"/>
                <w:color w:val="auto"/>
              </w:rPr>
            </w:pPr>
            <w:r>
              <w:rPr>
                <w:rFonts w:ascii="Arial" w:cs="Arial" w:eastAsia="Arial" w:hAnsi="Arial"/>
                <w:sz w:val="10"/>
                <w:szCs w:val="10"/>
                <w:b w:val="1"/>
                <w:bCs w:val="1"/>
                <w:color w:val="auto"/>
              </w:rPr>
              <w:t>(in thousands)</w:t>
            </w: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760" w:type="dxa"/>
            <w:vAlign w:val="bottom"/>
            <w:shd w:val="clear" w:color="auto" w:fill="CCEEFF"/>
          </w:tcPr>
          <w:p>
            <w:pPr>
              <w:jc w:val="right"/>
              <w:ind w:right="6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2,046</w:t>
            </w:r>
          </w:p>
        </w:tc>
        <w:tc>
          <w:tcPr>
            <w:tcW w:w="820" w:type="dxa"/>
            <w:vAlign w:val="bottom"/>
            <w:shd w:val="clear" w:color="auto" w:fill="CCEEFF"/>
          </w:tcPr>
          <w:p>
            <w:pPr>
              <w:jc w:val="right"/>
              <w:ind w:right="626"/>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(5,604)</w:t>
            </w:r>
          </w:p>
        </w:tc>
        <w:tc>
          <w:tcPr>
            <w:tcW w:w="680" w:type="dxa"/>
            <w:vAlign w:val="bottom"/>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(1,479)</w:t>
            </w:r>
          </w:p>
        </w:tc>
        <w:tc>
          <w:tcPr>
            <w:tcW w:w="52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(10,695)</w:t>
            </w: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Provision for (benefit) from income tax</w:t>
            </w:r>
          </w:p>
        </w:tc>
        <w:tc>
          <w:tcPr>
            <w:tcW w:w="760" w:type="dxa"/>
            <w:vAlign w:val="bottom"/>
          </w:tcPr>
          <w:p>
            <w:pPr>
              <w:spacing w:after="0"/>
              <w:rPr>
                <w:sz w:val="13"/>
                <w:szCs w:val="13"/>
                <w:color w:val="auto"/>
              </w:rPr>
            </w:pP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(23)</w:t>
            </w:r>
          </w:p>
        </w:tc>
        <w:tc>
          <w:tcPr>
            <w:tcW w:w="8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2"/>
                <w:szCs w:val="12"/>
                <w:color w:val="auto"/>
              </w:rPr>
              <w:t>(63)</w:t>
            </w:r>
          </w:p>
        </w:tc>
        <w:tc>
          <w:tcPr>
            <w:tcW w:w="52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Effective tax rate</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w:t>
            </w: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4.3%</w:t>
            </w:r>
          </w:p>
        </w:tc>
        <w:tc>
          <w:tcPr>
            <w:tcW w:w="5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r>
    </w:tbl>
    <w:p>
      <w:pPr>
        <w:spacing w:after="0" w:line="153" w:lineRule="exact"/>
        <w:rPr>
          <w:sz w:val="20"/>
          <w:szCs w:val="20"/>
          <w:color w:val="auto"/>
        </w:rPr>
      </w:pPr>
    </w:p>
    <w:p>
      <w:pPr>
        <w:ind w:right="340"/>
        <w:spacing w:after="0" w:line="323" w:lineRule="auto"/>
        <w:rPr>
          <w:sz w:val="20"/>
          <w:szCs w:val="20"/>
          <w:color w:val="auto"/>
        </w:rPr>
      </w:pPr>
      <w:r>
        <w:rPr>
          <w:rFonts w:ascii="Arial" w:cs="Arial" w:eastAsia="Arial" w:hAnsi="Arial"/>
          <w:sz w:val="11"/>
          <w:szCs w:val="11"/>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(loss) before income taxes and taxable income (loss).</w:t>
      </w:r>
    </w:p>
    <w:p>
      <w:pPr>
        <w:spacing w:after="0" w:line="2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3" w:right="299" w:bottom="1440" w:gutter="0" w:footer="0" w:header="0"/>
        </w:sectPr>
      </w:pPr>
    </w:p>
    <w:bookmarkStart w:id="14" w:name="page15"/>
    <w:bookmarkEnd w:id="14"/>
    <w:p>
      <w:pPr>
        <w:ind w:right="380"/>
        <w:spacing w:after="0" w:line="276" w:lineRule="auto"/>
        <w:rPr>
          <w:sz w:val="20"/>
          <w:szCs w:val="20"/>
          <w:color w:val="auto"/>
        </w:rPr>
      </w:pPr>
      <w:r>
        <w:rPr>
          <w:rFonts w:ascii="Arial" w:cs="Arial" w:eastAsia="Arial" w:hAnsi="Arial"/>
          <w:sz w:val="12"/>
          <w:szCs w:val="12"/>
          <w:color w:val="auto"/>
        </w:rPr>
        <w:t>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June 30, 2021.</w:t>
      </w:r>
    </w:p>
    <w:p>
      <w:pPr>
        <w:spacing w:after="0" w:line="43" w:lineRule="exact"/>
        <w:rPr>
          <w:sz w:val="20"/>
          <w:szCs w:val="20"/>
          <w:color w:val="auto"/>
        </w:rPr>
      </w:pPr>
    </w:p>
    <w:p>
      <w:pPr>
        <w:jc w:val="both"/>
        <w:ind w:right="200"/>
        <w:spacing w:after="0" w:line="276" w:lineRule="auto"/>
        <w:rPr>
          <w:sz w:val="20"/>
          <w:szCs w:val="20"/>
          <w:color w:val="auto"/>
        </w:rPr>
      </w:pPr>
      <w:r>
        <w:rPr>
          <w:rFonts w:ascii="Arial" w:cs="Arial" w:eastAsia="Arial" w:hAnsi="Arial"/>
          <w:sz w:val="12"/>
          <w:szCs w:val="12"/>
          <w:color w:val="auto"/>
        </w:rPr>
        <w:t>As of June 30, 2021 and December 31, 2020, the Company had $2.4 million and $2.4 million, respectively, of total unrecognized tax benefits. If the Company is able to eventually recognize these uncertain tax positions, none of the unrecognized benefit would reduce the Company’s effective tax rate due to the full valuation allowance on the Company’s deferred tax assets.</w:t>
      </w:r>
    </w:p>
    <w:p>
      <w:pPr>
        <w:spacing w:after="0" w:line="43"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 Company’s policy is to record interest and penalties related to unrecognized tax benefits as income tax expense. For the three and six months ended June 30, 2021 and 2020, the Company had immaterial amounts related to the accrual of interest and penalties.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Segment, Geographic and Customer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The Company operates in one reportable segment related to the design, development, and sale of silicon timing systems solutions.</w:t>
      </w:r>
    </w:p>
    <w:p>
      <w:pPr>
        <w:spacing w:after="0" w:line="78" w:lineRule="exact"/>
        <w:rPr>
          <w:sz w:val="20"/>
          <w:szCs w:val="20"/>
          <w:color w:val="auto"/>
        </w:rPr>
      </w:pPr>
    </w:p>
    <w:p>
      <w:pPr>
        <w:jc w:val="both"/>
        <w:ind w:right="220"/>
        <w:spacing w:after="0" w:line="263" w:lineRule="auto"/>
        <w:rPr>
          <w:sz w:val="20"/>
          <w:szCs w:val="20"/>
          <w:color w:val="auto"/>
        </w:rPr>
      </w:pPr>
      <w:r>
        <w:rPr>
          <w:rFonts w:ascii="Arial" w:cs="Arial" w:eastAsia="Arial" w:hAnsi="Arial"/>
          <w:sz w:val="12"/>
          <w:szCs w:val="12"/>
          <w:color w:val="auto"/>
        </w:rPr>
        <w:t>Revenue by geographic area are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860" w:type="dxa"/>
            <w:vAlign w:val="bottom"/>
          </w:tcPr>
          <w:p>
            <w:pPr>
              <w:spacing w:after="0"/>
              <w:rPr>
                <w:sz w:val="11"/>
                <w:szCs w:val="11"/>
                <w:color w:val="auto"/>
              </w:rPr>
            </w:pPr>
          </w:p>
        </w:tc>
        <w:tc>
          <w:tcPr>
            <w:tcW w:w="21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auto"/>
              </w:rPr>
              <w:t>Three Months Ended June 30,</w:t>
            </w: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Six Months Ended June 30,</w:t>
            </w: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5"/>
        </w:trPr>
        <w:tc>
          <w:tcPr>
            <w:tcW w:w="5860" w:type="dxa"/>
            <w:vAlign w:val="bottom"/>
          </w:tcPr>
          <w:p>
            <w:pPr>
              <w:spacing w:after="0"/>
              <w:rPr>
                <w:sz w:val="9"/>
                <w:szCs w:val="9"/>
                <w:color w:val="auto"/>
              </w:rPr>
            </w:pPr>
          </w:p>
        </w:tc>
        <w:tc>
          <w:tcPr>
            <w:tcW w:w="740" w:type="dxa"/>
            <w:vAlign w:val="bottom"/>
            <w:tcBorders>
              <w:bottom w:val="single" w:sz="8" w:color="auto"/>
            </w:tcBorders>
          </w:tcPr>
          <w:p>
            <w:pPr>
              <w:jc w:val="right"/>
              <w:ind w:right="32"/>
              <w:spacing w:after="0" w:line="106" w:lineRule="exact"/>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2"/>
              <w:spacing w:after="0" w:line="106"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422"/>
              <w:spacing w:after="0" w:line="106" w:lineRule="exact"/>
              <w:rPr>
                <w:sz w:val="20"/>
                <w:szCs w:val="20"/>
                <w:color w:val="auto"/>
              </w:rPr>
            </w:pPr>
            <w:r>
              <w:rPr>
                <w:rFonts w:ascii="Arial" w:cs="Arial" w:eastAsia="Arial" w:hAnsi="Arial"/>
                <w:sz w:val="10"/>
                <w:szCs w:val="10"/>
                <w:b w:val="1"/>
                <w:bCs w:val="1"/>
                <w:color w:val="auto"/>
                <w:w w:val="89"/>
              </w:rPr>
              <w:t>2020</w:t>
            </w:r>
          </w:p>
        </w:tc>
        <w:tc>
          <w:tcPr>
            <w:tcW w:w="120" w:type="dxa"/>
            <w:vAlign w:val="bottom"/>
          </w:tcPr>
          <w:p>
            <w:pPr>
              <w:spacing w:after="0"/>
              <w:rPr>
                <w:sz w:val="9"/>
                <w:szCs w:val="9"/>
                <w:color w:val="auto"/>
              </w:rPr>
            </w:pPr>
          </w:p>
        </w:tc>
      </w:tr>
      <w:tr>
        <w:trPr>
          <w:trHeight w:val="97"/>
        </w:trPr>
        <w:tc>
          <w:tcPr>
            <w:tcW w:w="5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gridSpan w:val="3"/>
          </w:tcPr>
          <w:p>
            <w:pPr>
              <w:jc w:val="right"/>
              <w:ind w:right="472"/>
              <w:spacing w:after="0" w:line="97" w:lineRule="exact"/>
              <w:rPr>
                <w:sz w:val="20"/>
                <w:szCs w:val="20"/>
                <w:color w:val="auto"/>
              </w:rPr>
            </w:pPr>
            <w:r>
              <w:rPr>
                <w:rFonts w:ascii="Arial" w:cs="Arial" w:eastAsia="Arial" w:hAnsi="Arial"/>
                <w:sz w:val="10"/>
                <w:szCs w:val="10"/>
                <w:b w:val="1"/>
                <w:bCs w:val="1"/>
                <w:color w:val="auto"/>
              </w:rPr>
              <w:t>(in thousands)</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Taiwan</w:t>
            </w:r>
          </w:p>
        </w:tc>
        <w:tc>
          <w:tcPr>
            <w:tcW w:w="740" w:type="dxa"/>
            <w:vAlign w:val="bottom"/>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12,009</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8,143</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28,501</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17,973</w:t>
            </w:r>
          </w:p>
        </w:tc>
        <w:tc>
          <w:tcPr>
            <w:tcW w:w="120" w:type="dxa"/>
            <w:vAlign w:val="bottom"/>
            <w:shd w:val="clear" w:color="auto" w:fill="CFF0FC"/>
          </w:tcPr>
          <w:p>
            <w:pPr>
              <w:spacing w:after="0"/>
              <w:rPr>
                <w:sz w:val="14"/>
                <w:szCs w:val="14"/>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2"/>
                <w:szCs w:val="12"/>
                <w:color w:val="auto"/>
              </w:rPr>
              <w:t>Hong Kong</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17,557</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5,878</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28,991</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10,321</w:t>
            </w:r>
          </w:p>
        </w:tc>
        <w:tc>
          <w:tcPr>
            <w:tcW w:w="120" w:type="dxa"/>
            <w:vAlign w:val="bottom"/>
          </w:tcPr>
          <w:p>
            <w:pPr>
              <w:spacing w:after="0"/>
              <w:rPr>
                <w:sz w:val="13"/>
                <w:szCs w:val="13"/>
                <w:color w:val="auto"/>
              </w:rPr>
            </w:pPr>
          </w:p>
        </w:tc>
      </w:tr>
      <w:tr>
        <w:trPr>
          <w:trHeight w:val="166"/>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United States</w:t>
            </w:r>
          </w:p>
        </w:tc>
        <w:tc>
          <w:tcPr>
            <w:tcW w:w="7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2,808</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1,873</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4,042</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3,675</w:t>
            </w:r>
          </w:p>
        </w:tc>
        <w:tc>
          <w:tcPr>
            <w:tcW w:w="120" w:type="dxa"/>
            <w:vAlign w:val="bottom"/>
            <w:shd w:val="clear" w:color="auto" w:fill="CFF0FC"/>
          </w:tcPr>
          <w:p>
            <w:pPr>
              <w:spacing w:after="0"/>
              <w:rPr>
                <w:sz w:val="14"/>
                <w:szCs w:val="14"/>
                <w:color w:val="auto"/>
              </w:rPr>
            </w:pPr>
          </w:p>
        </w:tc>
      </w:tr>
      <w:tr>
        <w:trPr>
          <w:trHeight w:val="169"/>
        </w:trPr>
        <w:tc>
          <w:tcPr>
            <w:tcW w:w="58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w:t>
            </w: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12,122</w:t>
            </w:r>
          </w:p>
        </w:tc>
        <w:tc>
          <w:tcPr>
            <w:tcW w:w="24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5,579</w:t>
            </w:r>
          </w:p>
        </w:tc>
        <w:tc>
          <w:tcPr>
            <w:tcW w:w="24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18,504</w:t>
            </w: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11,246</w:t>
            </w:r>
          </w:p>
        </w:tc>
        <w:tc>
          <w:tcPr>
            <w:tcW w:w="120" w:type="dxa"/>
            <w:vAlign w:val="bottom"/>
            <w:tcBorders>
              <w:bottom w:val="single" w:sz="8" w:color="CFF0FC"/>
            </w:tcBorders>
          </w:tcPr>
          <w:p>
            <w:pPr>
              <w:spacing w:after="0"/>
              <w:rPr>
                <w:sz w:val="14"/>
                <w:szCs w:val="14"/>
                <w:color w:val="auto"/>
              </w:rPr>
            </w:pPr>
          </w:p>
        </w:tc>
      </w:tr>
      <w:tr>
        <w:trPr>
          <w:trHeight w:val="169"/>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44,496</w:t>
            </w:r>
          </w:p>
        </w:tc>
        <w:tc>
          <w:tcPr>
            <w:tcW w:w="24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21,473</w:t>
            </w:r>
          </w:p>
        </w:tc>
        <w:tc>
          <w:tcPr>
            <w:tcW w:w="24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80,038</w:t>
            </w:r>
          </w:p>
        </w:tc>
        <w:tc>
          <w:tcPr>
            <w:tcW w:w="24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43,215</w:t>
            </w: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The Company’s long-lived assets in the U.S. attributable to operations as of June 30, 2021 and December 31, 2020 were 96% and 97%, respectively, of total property and equipment, intangible assets and right-of-use assets.</w:t>
      </w:r>
    </w:p>
    <w:p>
      <w:pPr>
        <w:spacing w:after="0" w:line="90" w:lineRule="exact"/>
        <w:rPr>
          <w:sz w:val="20"/>
          <w:szCs w:val="20"/>
          <w:color w:val="auto"/>
        </w:rPr>
      </w:pPr>
    </w:p>
    <w:p>
      <w:pPr>
        <w:jc w:val="both"/>
        <w:ind w:right="80"/>
        <w:spacing w:after="0" w:line="340" w:lineRule="auto"/>
        <w:rPr>
          <w:sz w:val="20"/>
          <w:szCs w:val="20"/>
          <w:color w:val="auto"/>
        </w:rPr>
      </w:pPr>
      <w:r>
        <w:rPr>
          <w:rFonts w:ascii="Arial" w:cs="Arial" w:eastAsia="Arial" w:hAnsi="Arial"/>
          <w:sz w:val="10"/>
          <w:szCs w:val="10"/>
          <w:color w:val="auto"/>
        </w:rPr>
        <w:t>Revenue from sales to three of the Company's distributors accounted for 16%, 16%, and 13% of its consolidated revenues for the three months ended June 30, 2021. Revenue from sales to three of the Company's distributors accounted for 24%, 15% and 14% of its consolidated revenues for the six months ended June 30, 2021. Revenue from sales to one end customer through a distributor accounted for 15% and 25% for the three and six months ended June 30, 2021. Our end customers predominantly purchase our products from distributors. No other distributors or customers accounted for 10% or more of the Company's consolidated revenues for the three and six months ended June 30, 2021.</w:t>
      </w:r>
    </w:p>
    <w:p>
      <w:pPr>
        <w:spacing w:after="0" w:line="15" w:lineRule="exact"/>
        <w:rPr>
          <w:sz w:val="20"/>
          <w:szCs w:val="20"/>
          <w:color w:val="auto"/>
        </w:rPr>
      </w:pPr>
    </w:p>
    <w:p>
      <w:pPr>
        <w:jc w:val="both"/>
        <w:ind w:right="80"/>
        <w:spacing w:after="0" w:line="340" w:lineRule="auto"/>
        <w:rPr>
          <w:sz w:val="20"/>
          <w:szCs w:val="20"/>
          <w:color w:val="auto"/>
        </w:rPr>
      </w:pPr>
      <w:r>
        <w:rPr>
          <w:rFonts w:ascii="Arial" w:cs="Arial" w:eastAsia="Arial" w:hAnsi="Arial"/>
          <w:sz w:val="10"/>
          <w:szCs w:val="10"/>
          <w:color w:val="auto"/>
        </w:rPr>
        <w:t>Revenue from sales to three of the Company's distributors accounted for 21%, 15%, and 14% of its consolidated revenues for the three months ended June 30, 2020. Revenue from sales to three of the Company's distributors accounted for 23%, 18% and 14% of its consolidated revenues for the six months ended June 30, 2020. Revenue from sales to one end customer through a distributor accounted for 26% and 30% for the three and six months ended June 30, 2020. Our end customers predominantly purchase our products from distributors. No other distributors or customers accounted for 10% or more of the Company's consolidated revenues for the three months ended June 30, 2020.</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Debt Obligations</w:t>
      </w:r>
    </w:p>
    <w:p>
      <w:pPr>
        <w:spacing w:after="0" w:line="82"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On August 31, 2015, the Company entered into a bank transaction agreement with The Bank of Tokyo-Mitsubishi (“MUFG”). The credit facility was cancelled when the Company paid down its outstanding loans. As of June 30, 2021 and December 31, 2020, the Company had no outstanding borrowings.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Commitments and Contingencies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Matters</w:t>
      </w:r>
    </w:p>
    <w:p>
      <w:pPr>
        <w:spacing w:after="0" w:line="82" w:lineRule="exact"/>
        <w:rPr>
          <w:sz w:val="20"/>
          <w:szCs w:val="20"/>
          <w:color w:val="auto"/>
        </w:rPr>
      </w:pPr>
    </w:p>
    <w:p>
      <w:pPr>
        <w:ind w:right="40"/>
        <w:spacing w:after="0" w:line="375" w:lineRule="auto"/>
        <w:rPr>
          <w:sz w:val="20"/>
          <w:szCs w:val="20"/>
          <w:color w:val="auto"/>
        </w:rPr>
      </w:pPr>
      <w:r>
        <w:rPr>
          <w:rFonts w:ascii="Arial" w:cs="Arial" w:eastAsia="Arial" w:hAnsi="Arial"/>
          <w:sz w:val="10"/>
          <w:szCs w:val="10"/>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In March 2019, VTT Technical Research Centre of Finland, Ltd. ("VTT") filed suit in the United States District Court for the Northern District of California (“the Court”) alleging infringement by the Company of a patent relating to specific combinations of features set forth in U.S. Patent No. 8,558,643. The complaint sought unspecified monetary damages and injunctive relief. On January 22, 2020, the Company participated in a mediation that had been ordered by the Court. The case was not resolved at the mediation.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15" w:name="page16"/>
    <w:bookmarkEnd w:id="15"/>
    <w:p>
      <w:pPr>
        <w:ind w:right="160"/>
        <w:spacing w:after="0" w:line="289" w:lineRule="auto"/>
        <w:rPr>
          <w:sz w:val="20"/>
          <w:szCs w:val="20"/>
          <w:color w:val="auto"/>
        </w:rPr>
      </w:pPr>
      <w:r>
        <w:rPr>
          <w:rFonts w:ascii="Arial" w:cs="Arial" w:eastAsia="Arial" w:hAnsi="Arial"/>
          <w:sz w:val="11"/>
          <w:szCs w:val="11"/>
          <w:color w:val="auto"/>
        </w:rPr>
        <w:t>Markman Hearing was held on May 15, 2020 relating to a number of different disputed claim terms, and on July 9, 2020 the Court issued a Markman Order relating to those disputed claim terms. Among its determinations, the Court found that one of the disputed claim terms was indefinite, as well as any claim that had this claim term in it. On July 17, 2020, the Court issued a judgment finding all claims of U.S. Patent No. 8,558,643 invalid, based upon its Markman Order. VTT filed a Notice of Appeal of the Court's judgment with the US Court of Appeals for the Federal Circuit (“CAFC”) and filed its opening brief on November 19, 2020 and the Company filed its response brief on January 28, 2021. VTT filed its reply on March 4, 2021. On June 9, 2021, a hearing was held at the CAFC and on June 10, 2021 the CAFC affirmed the Court’s judgment.</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w:t>
      </w:r>
    </w:p>
    <w:p>
      <w:pPr>
        <w:spacing w:after="0" w:line="82"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Related Party Transactions</w:t>
      </w:r>
    </w:p>
    <w:p>
      <w:pPr>
        <w:spacing w:after="0" w:line="82"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The Company entered into an agreement with MegaChips, whereby the Company appointed MegaChips as the exclusive sales representative of its products in Japan. The Company sells products through MegaChips to distributors, resellers, or direct customers in Japan. The Company pays MegaChips a fixed percentage of the revenue as sales commission, which is recorded as commission expense and included in sales and marketing in the consolidated statements of operations and comprehensive loss. The Company has also entered into a service and secondment agreement with MegaChips LSI USA Corporation, a wholly owned subsidiary of MegaChips.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MegaChips is the largest stockholder of the Company and held approximately 31.5% and 43.7% of the Company’s outstanding common stock as of June 30, 2021 and December 31, 2020, respectively.</w:t>
      </w:r>
    </w:p>
    <w:p>
      <w:pPr>
        <w:spacing w:after="0" w:line="78"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In May 2021, the Company signed a consulting agreement with Akira Takata, a member of the Board of Directors of the Company. As a consultant, Mr. Takata will provide sales consulting services through December 31, 2021, for which he will receive monthly cash fees of $5,000, reimbursement of expenses, and an equity award of 500 RSUs that vest on November 20, 2021.</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significant balances, transactions and payments with the related parties and affiliates.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w w:val="79"/>
              </w:rPr>
              <w:t>Balances</w:t>
            </w:r>
          </w:p>
        </w:tc>
        <w:tc>
          <w:tcPr>
            <w:tcW w:w="2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As of</w:t>
            </w:r>
          </w:p>
        </w:tc>
        <w:tc>
          <w:tcPr>
            <w:tcW w:w="9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4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right"/>
              <w:ind w:right="508"/>
              <w:spacing w:after="0"/>
              <w:rPr>
                <w:sz w:val="20"/>
                <w:szCs w:val="20"/>
                <w:color w:val="auto"/>
              </w:rPr>
            </w:pPr>
            <w:r>
              <w:rPr>
                <w:rFonts w:ascii="Arial" w:cs="Arial" w:eastAsia="Arial" w:hAnsi="Arial"/>
                <w:sz w:val="10"/>
                <w:szCs w:val="10"/>
                <w:b w:val="1"/>
                <w:bCs w:val="1"/>
                <w:color w:val="auto"/>
              </w:rPr>
              <w:t>June 30, 2021</w:t>
            </w:r>
          </w:p>
        </w:tc>
        <w:tc>
          <w:tcPr>
            <w:tcW w:w="580" w:type="dxa"/>
            <w:vAlign w:val="bottom"/>
          </w:tcPr>
          <w:p>
            <w:pPr>
              <w:spacing w:after="0"/>
              <w:rPr>
                <w:sz w:val="10"/>
                <w:szCs w:val="10"/>
                <w:color w:val="auto"/>
              </w:rPr>
            </w:pPr>
          </w:p>
        </w:tc>
        <w:tc>
          <w:tcPr>
            <w:tcW w:w="960" w:type="dxa"/>
            <w:vAlign w:val="bottom"/>
          </w:tcPr>
          <w:p>
            <w:pPr>
              <w:ind w:left="120"/>
              <w:spacing w:after="0"/>
              <w:rPr>
                <w:sz w:val="20"/>
                <w:szCs w:val="20"/>
                <w:color w:val="auto"/>
              </w:rPr>
            </w:pPr>
            <w:r>
              <w:rPr>
                <w:rFonts w:ascii="Arial" w:cs="Arial" w:eastAsia="Arial" w:hAnsi="Arial"/>
                <w:sz w:val="10"/>
                <w:szCs w:val="10"/>
                <w:b w:val="1"/>
                <w:bCs w:val="1"/>
                <w:color w:val="auto"/>
                <w:w w:val="91"/>
              </w:rPr>
              <w:t>December 31, 2020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gridSpan w:val="2"/>
          </w:tcPr>
          <w:p>
            <w:pPr>
              <w:jc w:val="right"/>
              <w:ind w:right="103"/>
              <w:spacing w:after="0" w:line="84" w:lineRule="exact"/>
              <w:rPr>
                <w:sz w:val="20"/>
                <w:szCs w:val="20"/>
                <w:color w:val="auto"/>
              </w:rPr>
            </w:pPr>
            <w:r>
              <w:rPr>
                <w:rFonts w:ascii="Arial" w:cs="Arial" w:eastAsia="Arial" w:hAnsi="Arial"/>
                <w:sz w:val="8"/>
                <w:szCs w:val="8"/>
                <w:b w:val="1"/>
                <w:bCs w:val="1"/>
                <w:color w:val="auto"/>
              </w:rPr>
              <w:t>(in thousands)</w:t>
            </w: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680" w:type="dxa"/>
            <w:vAlign w:val="bottom"/>
            <w:gridSpan w:val="3"/>
            <w:shd w:val="clear" w:color="auto" w:fill="CFF0FC"/>
          </w:tcPr>
          <w:p>
            <w:pPr>
              <w:spacing w:after="0"/>
              <w:rPr>
                <w:sz w:val="20"/>
                <w:szCs w:val="20"/>
                <w:color w:val="auto"/>
              </w:rPr>
            </w:pPr>
            <w:r>
              <w:rPr>
                <w:rFonts w:ascii="Arial" w:cs="Arial" w:eastAsia="Arial" w:hAnsi="Arial"/>
                <w:sz w:val="12"/>
                <w:szCs w:val="12"/>
                <w:b w:val="1"/>
                <w:bCs w:val="1"/>
                <w:color w:val="auto"/>
              </w:rPr>
              <w:t>MegaChips</w:t>
            </w:r>
          </w:p>
        </w:tc>
        <w:tc>
          <w:tcPr>
            <w:tcW w:w="19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gridSpan w:val="3"/>
          </w:tcPr>
          <w:p>
            <w:pPr>
              <w:spacing w:after="0"/>
              <w:rPr>
                <w:sz w:val="20"/>
                <w:szCs w:val="20"/>
                <w:color w:val="auto"/>
              </w:rPr>
            </w:pPr>
            <w:r>
              <w:rPr>
                <w:rFonts w:ascii="Arial" w:cs="Arial" w:eastAsia="Arial" w:hAnsi="Arial"/>
                <w:sz w:val="12"/>
                <w:szCs w:val="12"/>
                <w:color w:val="auto"/>
              </w:rPr>
              <w:t>Accounts receivable</w:t>
            </w: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2,411</w:t>
            </w:r>
          </w:p>
        </w:tc>
        <w:tc>
          <w:tcPr>
            <w:tcW w:w="58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360" w:type="dxa"/>
            <w:vAlign w:val="bottom"/>
          </w:tcPr>
          <w:p>
            <w:pPr>
              <w:ind w:left="180"/>
              <w:spacing w:after="0"/>
              <w:rPr>
                <w:sz w:val="20"/>
                <w:szCs w:val="20"/>
                <w:color w:val="auto"/>
              </w:rPr>
            </w:pPr>
            <w:r>
              <w:rPr>
                <w:rFonts w:ascii="Arial" w:cs="Arial" w:eastAsia="Arial" w:hAnsi="Arial"/>
                <w:sz w:val="12"/>
                <w:szCs w:val="12"/>
                <w:color w:val="auto"/>
                <w:w w:val="79"/>
              </w:rPr>
              <w:t>736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Property and equipment, net</w:t>
            </w:r>
          </w:p>
        </w:tc>
        <w:tc>
          <w:tcPr>
            <w:tcW w:w="19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2"/>
                <w:szCs w:val="12"/>
                <w:color w:val="auto"/>
                <w:w w:val="79"/>
              </w:rPr>
              <w:t>209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82"/>
              </w:rPr>
              <w:t>Transactions</w:t>
            </w:r>
          </w:p>
        </w:tc>
        <w:tc>
          <w:tcPr>
            <w:tcW w:w="3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20" w:type="dxa"/>
            <w:vAlign w:val="bottom"/>
            <w:tcBorders>
              <w:bottom w:val="single" w:sz="8" w:color="auto"/>
            </w:tcBorders>
            <w:gridSpan w:val="4"/>
          </w:tcPr>
          <w:p>
            <w:pPr>
              <w:ind w:left="680"/>
              <w:spacing w:after="0"/>
              <w:rPr>
                <w:sz w:val="20"/>
                <w:szCs w:val="20"/>
                <w:color w:val="auto"/>
              </w:rPr>
            </w:pPr>
            <w:r>
              <w:rPr>
                <w:rFonts w:ascii="Arial" w:cs="Arial" w:eastAsia="Arial" w:hAnsi="Arial"/>
                <w:sz w:val="10"/>
                <w:szCs w:val="10"/>
                <w:b w:val="1"/>
                <w:bCs w:val="1"/>
                <w:color w:val="auto"/>
              </w:rPr>
              <w:t>Three Months Ended June 30,</w:t>
            </w: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Six Months Ended June 30,</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40" w:type="dxa"/>
            <w:vAlign w:val="bottom"/>
            <w:tcBorders>
              <w:bottom w:val="single" w:sz="8" w:color="auto"/>
            </w:tcBorders>
            <w:gridSpan w:val="2"/>
            <w:vMerge w:val="continue"/>
          </w:tcPr>
          <w:p>
            <w:pPr>
              <w:spacing w:after="0"/>
              <w:rPr>
                <w:sz w:val="10"/>
                <w:szCs w:val="10"/>
                <w:color w:val="auto"/>
              </w:rPr>
            </w:pPr>
          </w:p>
        </w:tc>
        <w:tc>
          <w:tcPr>
            <w:tcW w:w="3040" w:type="dxa"/>
            <w:vAlign w:val="bottom"/>
          </w:tcPr>
          <w:p>
            <w:pPr>
              <w:spacing w:after="0"/>
              <w:rPr>
                <w:sz w:val="10"/>
                <w:szCs w:val="10"/>
                <w:color w:val="auto"/>
              </w:rPr>
            </w:pPr>
          </w:p>
        </w:tc>
        <w:tc>
          <w:tcPr>
            <w:tcW w:w="278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500" w:type="dxa"/>
            <w:vAlign w:val="bottom"/>
          </w:tcPr>
          <w:p>
            <w:pPr>
              <w:spacing w:after="0"/>
              <w:rPr>
                <w:sz w:val="10"/>
                <w:szCs w:val="1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2020</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Pr>
          <w:p>
            <w:pPr>
              <w:spacing w:after="0"/>
              <w:rPr>
                <w:sz w:val="10"/>
                <w:szCs w:val="10"/>
                <w:color w:val="auto"/>
              </w:rPr>
            </w:pPr>
          </w:p>
        </w:tc>
        <w:tc>
          <w:tcPr>
            <w:tcW w:w="960" w:type="dxa"/>
            <w:vAlign w:val="bottom"/>
          </w:tcPr>
          <w:p>
            <w:pPr>
              <w:jc w:val="right"/>
              <w:ind w:right="88"/>
              <w:spacing w:after="0"/>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3"/>
          </w:tcPr>
          <w:p>
            <w:pPr>
              <w:jc w:val="right"/>
              <w:ind w:right="528"/>
              <w:spacing w:after="0" w:line="84" w:lineRule="exact"/>
              <w:rPr>
                <w:sz w:val="20"/>
                <w:szCs w:val="20"/>
                <w:color w:val="auto"/>
              </w:rPr>
            </w:pPr>
            <w:r>
              <w:rPr>
                <w:rFonts w:ascii="Arial" w:cs="Arial" w:eastAsia="Arial" w:hAnsi="Arial"/>
                <w:sz w:val="8"/>
                <w:szCs w:val="8"/>
                <w:b w:val="1"/>
                <w:bCs w:val="1"/>
                <w:color w:val="auto"/>
              </w:rPr>
              <w:t>(in thousands)</w:t>
            </w: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680" w:type="dxa"/>
            <w:vAlign w:val="bottom"/>
            <w:gridSpan w:val="3"/>
            <w:shd w:val="clear" w:color="auto" w:fill="CFF0FC"/>
          </w:tcPr>
          <w:p>
            <w:pPr>
              <w:spacing w:after="0"/>
              <w:rPr>
                <w:sz w:val="20"/>
                <w:szCs w:val="20"/>
                <w:color w:val="auto"/>
              </w:rPr>
            </w:pPr>
            <w:r>
              <w:rPr>
                <w:rFonts w:ascii="Arial" w:cs="Arial" w:eastAsia="Arial" w:hAnsi="Arial"/>
                <w:sz w:val="12"/>
                <w:szCs w:val="12"/>
                <w:b w:val="1"/>
                <w:bCs w:val="1"/>
                <w:color w:val="auto"/>
              </w:rPr>
              <w:t>MegaChips</w:t>
            </w:r>
          </w:p>
        </w:tc>
        <w:tc>
          <w:tcPr>
            <w:tcW w:w="19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gridSpan w:val="3"/>
          </w:tcPr>
          <w:p>
            <w:pPr>
              <w:spacing w:after="0"/>
              <w:rPr>
                <w:sz w:val="20"/>
                <w:szCs w:val="20"/>
                <w:color w:val="auto"/>
              </w:rPr>
            </w:pPr>
            <w:r>
              <w:rPr>
                <w:rFonts w:ascii="Arial" w:cs="Arial" w:eastAsia="Arial" w:hAnsi="Arial"/>
                <w:sz w:val="12"/>
                <w:szCs w:val="12"/>
                <w:color w:val="auto"/>
              </w:rPr>
              <w:t>Sales through distribution agreement</w:t>
            </w:r>
          </w:p>
        </w:tc>
        <w:tc>
          <w:tcPr>
            <w:tcW w:w="278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4,415</w:t>
            </w:r>
          </w:p>
        </w:tc>
        <w:tc>
          <w:tcPr>
            <w:tcW w:w="68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1,584</w:t>
            </w:r>
          </w:p>
        </w:tc>
        <w:tc>
          <w:tcPr>
            <w:tcW w:w="280" w:type="dxa"/>
            <w:vAlign w:val="bottom"/>
          </w:tcPr>
          <w:p>
            <w:pPr>
              <w:spacing w:after="0"/>
              <w:rPr>
                <w:sz w:val="13"/>
                <w:szCs w:val="13"/>
                <w:color w:val="auto"/>
              </w:rPr>
            </w:pP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3"/>
              <w:spacing w:after="0"/>
              <w:rPr>
                <w:sz w:val="20"/>
                <w:szCs w:val="20"/>
                <w:color w:val="auto"/>
              </w:rPr>
            </w:pPr>
            <w:r>
              <w:rPr>
                <w:rFonts w:ascii="Arial" w:cs="Arial" w:eastAsia="Arial" w:hAnsi="Arial"/>
                <w:sz w:val="12"/>
                <w:szCs w:val="12"/>
                <w:color w:val="auto"/>
              </w:rPr>
              <w:t>6,270</w:t>
            </w:r>
          </w:p>
        </w:tc>
        <w:tc>
          <w:tcPr>
            <w:tcW w:w="960" w:type="dxa"/>
            <w:vAlign w:val="bottom"/>
          </w:tcPr>
          <w:p>
            <w:pPr>
              <w:ind w:left="120"/>
              <w:spacing w:after="0"/>
              <w:rPr>
                <w:sz w:val="20"/>
                <w:szCs w:val="20"/>
                <w:color w:val="auto"/>
              </w:rPr>
            </w:pPr>
            <w:r>
              <w:rPr>
                <w:rFonts w:ascii="Arial" w:cs="Arial" w:eastAsia="Arial" w:hAnsi="Arial"/>
                <w:sz w:val="12"/>
                <w:szCs w:val="12"/>
                <w:color w:val="auto"/>
              </w:rPr>
              <w:t>$</w:t>
            </w:r>
          </w:p>
        </w:tc>
        <w:tc>
          <w:tcPr>
            <w:tcW w:w="360" w:type="dxa"/>
            <w:vAlign w:val="bottom"/>
          </w:tcPr>
          <w:p>
            <w:pPr>
              <w:ind w:left="80"/>
              <w:spacing w:after="0"/>
              <w:rPr>
                <w:sz w:val="20"/>
                <w:szCs w:val="20"/>
                <w:color w:val="auto"/>
              </w:rPr>
            </w:pPr>
            <w:r>
              <w:rPr>
                <w:rFonts w:ascii="Arial" w:cs="Arial" w:eastAsia="Arial" w:hAnsi="Arial"/>
                <w:sz w:val="12"/>
                <w:szCs w:val="12"/>
                <w:color w:val="auto"/>
                <w:w w:val="86"/>
              </w:rPr>
              <w:t>2,730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License expense</w:t>
            </w:r>
          </w:p>
        </w:tc>
        <w:tc>
          <w:tcPr>
            <w:tcW w:w="19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2"/>
                <w:szCs w:val="12"/>
                <w:color w:val="auto"/>
                <w:w w:val="79"/>
              </w:rPr>
              <w:t>148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gridSpan w:val="3"/>
          </w:tcPr>
          <w:p>
            <w:pPr>
              <w:spacing w:after="0"/>
              <w:rPr>
                <w:sz w:val="20"/>
                <w:szCs w:val="20"/>
                <w:color w:val="auto"/>
              </w:rPr>
            </w:pPr>
            <w:r>
              <w:rPr>
                <w:rFonts w:ascii="Arial" w:cs="Arial" w:eastAsia="Arial" w:hAnsi="Arial"/>
                <w:sz w:val="12"/>
                <w:szCs w:val="12"/>
                <w:color w:val="auto"/>
              </w:rPr>
              <w:t>Commission expense</w:t>
            </w: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184</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65</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right"/>
              <w:ind w:right="63"/>
              <w:spacing w:after="0"/>
              <w:rPr>
                <w:sz w:val="20"/>
                <w:szCs w:val="20"/>
                <w:color w:val="auto"/>
              </w:rPr>
            </w:pPr>
            <w:r>
              <w:rPr>
                <w:rFonts w:ascii="Arial" w:cs="Arial" w:eastAsia="Arial" w:hAnsi="Arial"/>
                <w:sz w:val="12"/>
                <w:szCs w:val="12"/>
                <w:color w:val="auto"/>
              </w:rPr>
              <w:t>261</w:t>
            </w:r>
          </w:p>
        </w:tc>
        <w:tc>
          <w:tcPr>
            <w:tcW w:w="960" w:type="dxa"/>
            <w:vAlign w:val="bottom"/>
          </w:tcPr>
          <w:p>
            <w:pPr>
              <w:spacing w:after="0"/>
              <w:rPr>
                <w:sz w:val="13"/>
                <w:szCs w:val="13"/>
                <w:color w:val="auto"/>
              </w:rPr>
            </w:pPr>
          </w:p>
        </w:tc>
        <w:tc>
          <w:tcPr>
            <w:tcW w:w="360" w:type="dxa"/>
            <w:vAlign w:val="bottom"/>
          </w:tcPr>
          <w:p>
            <w:pPr>
              <w:ind w:left="180"/>
              <w:spacing w:after="0"/>
              <w:rPr>
                <w:sz w:val="20"/>
                <w:szCs w:val="20"/>
                <w:color w:val="auto"/>
              </w:rPr>
            </w:pPr>
            <w:r>
              <w:rPr>
                <w:rFonts w:ascii="Arial" w:cs="Arial" w:eastAsia="Arial" w:hAnsi="Arial"/>
                <w:sz w:val="12"/>
                <w:szCs w:val="12"/>
                <w:color w:val="auto"/>
                <w:w w:val="79"/>
              </w:rPr>
              <w:t>112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gridSpan w:val="3"/>
            <w:shd w:val="clear" w:color="auto" w:fill="CFF0FC"/>
          </w:tcPr>
          <w:p>
            <w:pPr>
              <w:spacing w:after="0"/>
              <w:rPr>
                <w:sz w:val="20"/>
                <w:szCs w:val="20"/>
                <w:color w:val="auto"/>
              </w:rPr>
            </w:pPr>
            <w:r>
              <w:rPr>
                <w:rFonts w:ascii="Arial" w:cs="Arial" w:eastAsia="Arial" w:hAnsi="Arial"/>
                <w:sz w:val="12"/>
                <w:szCs w:val="12"/>
                <w:b w:val="1"/>
                <w:bCs w:val="1"/>
                <w:color w:val="auto"/>
              </w:rPr>
              <w:t>Affiliates</w:t>
            </w:r>
          </w:p>
        </w:tc>
        <w:tc>
          <w:tcPr>
            <w:tcW w:w="19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gridSpan w:val="3"/>
          </w:tcPr>
          <w:p>
            <w:pPr>
              <w:spacing w:after="0"/>
              <w:rPr>
                <w:sz w:val="20"/>
                <w:szCs w:val="20"/>
                <w:color w:val="auto"/>
              </w:rPr>
            </w:pPr>
            <w:r>
              <w:rPr>
                <w:rFonts w:ascii="Arial" w:cs="Arial" w:eastAsia="Arial" w:hAnsi="Arial"/>
                <w:sz w:val="12"/>
                <w:szCs w:val="12"/>
                <w:color w:val="auto"/>
              </w:rPr>
              <w:t>Consulting fees</w:t>
            </w: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38</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58</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right"/>
              <w:ind w:right="63"/>
              <w:spacing w:after="0"/>
              <w:rPr>
                <w:sz w:val="20"/>
                <w:szCs w:val="20"/>
                <w:color w:val="auto"/>
              </w:rPr>
            </w:pPr>
            <w:r>
              <w:rPr>
                <w:rFonts w:ascii="Arial" w:cs="Arial" w:eastAsia="Arial" w:hAnsi="Arial"/>
                <w:sz w:val="12"/>
                <w:szCs w:val="12"/>
                <w:color w:val="auto"/>
              </w:rPr>
              <w:t>125</w:t>
            </w:r>
          </w:p>
        </w:tc>
        <w:tc>
          <w:tcPr>
            <w:tcW w:w="960" w:type="dxa"/>
            <w:vAlign w:val="bottom"/>
          </w:tcPr>
          <w:p>
            <w:pPr>
              <w:spacing w:after="0"/>
              <w:rPr>
                <w:sz w:val="13"/>
                <w:szCs w:val="13"/>
                <w:color w:val="auto"/>
              </w:rPr>
            </w:pPr>
          </w:p>
        </w:tc>
        <w:tc>
          <w:tcPr>
            <w:tcW w:w="360" w:type="dxa"/>
            <w:vAlign w:val="bottom"/>
          </w:tcPr>
          <w:p>
            <w:pPr>
              <w:ind w:left="180"/>
              <w:spacing w:after="0"/>
              <w:rPr>
                <w:sz w:val="20"/>
                <w:szCs w:val="20"/>
                <w:color w:val="auto"/>
              </w:rPr>
            </w:pPr>
            <w:r>
              <w:rPr>
                <w:rFonts w:ascii="Arial" w:cs="Arial" w:eastAsia="Arial" w:hAnsi="Arial"/>
                <w:sz w:val="12"/>
                <w:szCs w:val="12"/>
                <w:color w:val="auto"/>
                <w:w w:val="79"/>
              </w:rPr>
              <w:t>175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80" w:type="dxa"/>
            <w:vAlign w:val="bottom"/>
            <w:gridSpan w:val="2"/>
          </w:tcPr>
          <w:p>
            <w:pPr>
              <w:jc w:val="right"/>
              <w:ind w:right="712"/>
              <w:spacing w:after="0"/>
              <w:rPr>
                <w:sz w:val="20"/>
                <w:szCs w:val="20"/>
                <w:color w:val="auto"/>
              </w:rPr>
            </w:pPr>
            <w:r>
              <w:rPr>
                <w:rFonts w:ascii="Arial" w:cs="Arial" w:eastAsia="Arial" w:hAnsi="Arial"/>
                <w:sz w:val="12"/>
                <w:szCs w:val="12"/>
                <w:color w:val="auto"/>
              </w:rPr>
              <w:t>14</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04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15"/>
        </w:trPr>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w w:val="84"/>
              </w:rPr>
              <w:t>Payments</w:t>
            </w:r>
          </w:p>
        </w:tc>
        <w:tc>
          <w:tcPr>
            <w:tcW w:w="29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20" w:type="dxa"/>
            <w:vAlign w:val="bottom"/>
            <w:gridSpan w:val="4"/>
          </w:tcPr>
          <w:p>
            <w:pPr>
              <w:jc w:val="center"/>
              <w:ind w:right="580"/>
              <w:spacing w:after="0"/>
              <w:rPr>
                <w:sz w:val="20"/>
                <w:szCs w:val="20"/>
                <w:color w:val="auto"/>
              </w:rPr>
            </w:pPr>
            <w:r>
              <w:rPr>
                <w:rFonts w:ascii="Arial" w:cs="Arial" w:eastAsia="Arial" w:hAnsi="Arial"/>
                <w:sz w:val="10"/>
                <w:szCs w:val="10"/>
                <w:b w:val="1"/>
                <w:bCs w:val="1"/>
                <w:color w:val="auto"/>
                <w:w w:val="87"/>
              </w:rPr>
              <w:t>Three Months Ended June 30,</w:t>
            </w:r>
          </w:p>
        </w:tc>
        <w:tc>
          <w:tcPr>
            <w:tcW w:w="260" w:type="dxa"/>
            <w:vAlign w:val="bottom"/>
          </w:tcPr>
          <w:p>
            <w:pPr>
              <w:spacing w:after="0"/>
              <w:rPr>
                <w:sz w:val="10"/>
                <w:szCs w:val="10"/>
                <w:color w:val="auto"/>
              </w:rPr>
            </w:pPr>
          </w:p>
        </w:tc>
        <w:tc>
          <w:tcPr>
            <w:tcW w:w="1640" w:type="dxa"/>
            <w:vAlign w:val="bottom"/>
            <w:gridSpan w:val="2"/>
          </w:tcPr>
          <w:p>
            <w:pPr>
              <w:jc w:val="center"/>
              <w:ind w:left="387"/>
              <w:spacing w:after="0"/>
              <w:rPr>
                <w:sz w:val="20"/>
                <w:szCs w:val="20"/>
                <w:color w:val="auto"/>
              </w:rPr>
            </w:pPr>
            <w:r>
              <w:rPr>
                <w:rFonts w:ascii="Arial" w:cs="Arial" w:eastAsia="Arial" w:hAnsi="Arial"/>
                <w:sz w:val="10"/>
                <w:szCs w:val="10"/>
                <w:b w:val="1"/>
                <w:bCs w:val="1"/>
                <w:color w:val="auto"/>
                <w:w w:val="86"/>
              </w:rPr>
              <w:t>Six Months Ended June 30,</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vMerge w:val="continue"/>
          </w:tcPr>
          <w:p>
            <w:pPr>
              <w:spacing w:after="0"/>
              <w:rPr>
                <w:sz w:val="10"/>
                <w:szCs w:val="10"/>
                <w:color w:val="auto"/>
              </w:rPr>
            </w:pPr>
          </w:p>
        </w:tc>
        <w:tc>
          <w:tcPr>
            <w:tcW w:w="29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2020</w:t>
            </w: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top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w w:val="89"/>
              </w:rPr>
              <w:t>2020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2"/>
          </w:tcPr>
          <w:p>
            <w:pPr>
              <w:jc w:val="center"/>
              <w:ind w:left="527"/>
              <w:spacing w:after="0" w:line="84" w:lineRule="exact"/>
              <w:rPr>
                <w:sz w:val="20"/>
                <w:szCs w:val="20"/>
                <w:color w:val="auto"/>
              </w:rPr>
            </w:pPr>
            <w:r>
              <w:rPr>
                <w:rFonts w:ascii="Arial" w:cs="Arial" w:eastAsia="Arial" w:hAnsi="Arial"/>
                <w:sz w:val="8"/>
                <w:szCs w:val="8"/>
                <w:b w:val="1"/>
                <w:bCs w:val="1"/>
                <w:color w:val="auto"/>
              </w:rPr>
              <w:t>(in thousands)</w:t>
            </w: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40" w:type="dxa"/>
            <w:vAlign w:val="bottom"/>
            <w:gridSpan w:val="2"/>
          </w:tcPr>
          <w:p>
            <w:pPr>
              <w:jc w:val="center"/>
              <w:ind w:left="387"/>
              <w:spacing w:after="0" w:line="84" w:lineRule="exact"/>
              <w:rPr>
                <w:sz w:val="20"/>
                <w:szCs w:val="20"/>
                <w:color w:val="auto"/>
              </w:rPr>
            </w:pPr>
            <w:r>
              <w:rPr>
                <w:rFonts w:ascii="Arial" w:cs="Arial" w:eastAsia="Arial" w:hAnsi="Arial"/>
                <w:sz w:val="8"/>
                <w:szCs w:val="8"/>
                <w:b w:val="1"/>
                <w:bCs w:val="1"/>
                <w:color w:val="auto"/>
              </w:rPr>
              <w:t>(in thousands)</w:t>
            </w: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MegaChips</w:t>
            </w:r>
          </w:p>
        </w:tc>
        <w:tc>
          <w:tcPr>
            <w:tcW w:w="2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gridSpan w:val="2"/>
          </w:tcPr>
          <w:p>
            <w:pPr>
              <w:spacing w:after="0"/>
              <w:rPr>
                <w:sz w:val="20"/>
                <w:szCs w:val="20"/>
                <w:color w:val="auto"/>
              </w:rPr>
            </w:pPr>
            <w:r>
              <w:rPr>
                <w:rFonts w:ascii="Arial" w:cs="Arial" w:eastAsia="Arial" w:hAnsi="Arial"/>
                <w:sz w:val="12"/>
                <w:szCs w:val="12"/>
                <w:color w:val="auto"/>
              </w:rPr>
              <w:t>Cash paid for commissions</w:t>
            </w:r>
          </w:p>
        </w:tc>
        <w:tc>
          <w:tcPr>
            <w:tcW w:w="2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7"/>
              <w:spacing w:after="0"/>
              <w:rPr>
                <w:sz w:val="20"/>
                <w:szCs w:val="20"/>
                <w:color w:val="auto"/>
              </w:rPr>
            </w:pPr>
            <w:r>
              <w:rPr>
                <w:rFonts w:ascii="Arial" w:cs="Arial" w:eastAsia="Arial" w:hAnsi="Arial"/>
                <w:sz w:val="12"/>
                <w:szCs w:val="12"/>
                <w:color w:val="auto"/>
              </w:rPr>
              <w:t>184</w:t>
            </w: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65</w:t>
            </w:r>
          </w:p>
        </w:tc>
        <w:tc>
          <w:tcPr>
            <w:tcW w:w="28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67"/>
              <w:spacing w:after="0"/>
              <w:rPr>
                <w:sz w:val="20"/>
                <w:szCs w:val="20"/>
                <w:color w:val="auto"/>
              </w:rPr>
            </w:pPr>
            <w:r>
              <w:rPr>
                <w:rFonts w:ascii="Arial" w:cs="Arial" w:eastAsia="Arial" w:hAnsi="Arial"/>
                <w:sz w:val="12"/>
                <w:szCs w:val="12"/>
                <w:color w:val="auto"/>
              </w:rPr>
              <w:t>261</w:t>
            </w:r>
          </w:p>
        </w:tc>
        <w:tc>
          <w:tcPr>
            <w:tcW w:w="6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paid for licenses</w:t>
            </w:r>
          </w:p>
        </w:tc>
        <w:tc>
          <w:tcPr>
            <w:tcW w:w="2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7"/>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67"/>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rPr>
              <w:t>Affiliates</w:t>
            </w:r>
          </w:p>
        </w:tc>
        <w:tc>
          <w:tcPr>
            <w:tcW w:w="2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paid for consulting fees</w:t>
            </w:r>
          </w:p>
        </w:tc>
        <w:tc>
          <w:tcPr>
            <w:tcW w:w="2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7"/>
              <w:spacing w:after="0"/>
              <w:rPr>
                <w:sz w:val="20"/>
                <w:szCs w:val="20"/>
                <w:color w:val="auto"/>
              </w:rPr>
            </w:pPr>
            <w:r>
              <w:rPr>
                <w:rFonts w:ascii="Arial" w:cs="Arial" w:eastAsia="Arial" w:hAnsi="Arial"/>
                <w:sz w:val="12"/>
                <w:szCs w:val="12"/>
                <w:color w:val="auto"/>
              </w:rPr>
              <w:t>38</w:t>
            </w: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67"/>
              <w:spacing w:after="0"/>
              <w:rPr>
                <w:sz w:val="20"/>
                <w:szCs w:val="20"/>
                <w:color w:val="auto"/>
              </w:rPr>
            </w:pPr>
            <w:r>
              <w:rPr>
                <w:rFonts w:ascii="Arial" w:cs="Arial" w:eastAsia="Arial" w:hAnsi="Arial"/>
                <w:sz w:val="12"/>
                <w:szCs w:val="12"/>
                <w:color w:val="auto"/>
              </w:rPr>
              <w:t>125</w:t>
            </w:r>
          </w:p>
        </w:tc>
        <w:tc>
          <w:tcPr>
            <w:tcW w:w="6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657"/>
        </w:trPr>
        <w:tc>
          <w:tcPr>
            <w:tcW w:w="5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60" w:type="dxa"/>
            <w:vAlign w:val="bottom"/>
            <w:gridSpan w:val="2"/>
          </w:tcPr>
          <w:p>
            <w:pPr>
              <w:jc w:val="right"/>
              <w:ind w:right="240"/>
              <w:spacing w:after="0"/>
              <w:rPr>
                <w:sz w:val="20"/>
                <w:szCs w:val="20"/>
                <w:color w:val="auto"/>
              </w:rPr>
            </w:pPr>
            <w:r>
              <w:rPr>
                <w:rFonts w:ascii="Arial" w:cs="Arial" w:eastAsia="Arial" w:hAnsi="Arial"/>
                <w:sz w:val="12"/>
                <w:szCs w:val="12"/>
                <w:color w:val="auto"/>
              </w:rPr>
              <w:t>15</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9A9A9A"/>
            </w:tcBorders>
          </w:tcPr>
          <w:p>
            <w:pPr>
              <w:spacing w:after="0"/>
              <w:rPr>
                <w:sz w:val="6"/>
                <w:szCs w:val="6"/>
                <w:color w:val="auto"/>
              </w:rPr>
            </w:pPr>
          </w:p>
        </w:tc>
        <w:tc>
          <w:tcPr>
            <w:tcW w:w="298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92" w:right="299" w:bottom="1440" w:gutter="0" w:footer="0" w:header="0"/>
        </w:sectPr>
      </w:pPr>
    </w:p>
    <w:bookmarkStart w:id="17" w:name="page18"/>
    <w:bookmarkEnd w:id="17"/>
    <w:p>
      <w:pPr>
        <w:ind w:left="8"/>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discussion should be read in conjunction with the Condensed Consolidated Financial Statements and the related notes that appear elsewhere in this document.</w:t>
      </w:r>
    </w:p>
    <w:p>
      <w:pPr>
        <w:spacing w:after="0" w:line="150" w:lineRule="exact"/>
        <w:rPr>
          <w:sz w:val="20"/>
          <w:szCs w:val="20"/>
          <w:color w:val="auto"/>
        </w:rPr>
      </w:pPr>
    </w:p>
    <w:p>
      <w:pPr>
        <w:ind w:left="8" w:right="20"/>
        <w:spacing w:after="0" w:line="256" w:lineRule="auto"/>
        <w:rPr>
          <w:sz w:val="20"/>
          <w:szCs w:val="20"/>
          <w:color w:val="auto"/>
        </w:rPr>
      </w:pPr>
      <w:r>
        <w:rPr>
          <w:rFonts w:ascii="Arial" w:cs="Arial" w:eastAsia="Arial" w:hAnsi="Arial"/>
          <w:sz w:val="12"/>
          <w:szCs w:val="12"/>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p>
    <w:p>
      <w:pPr>
        <w:spacing w:after="0" w:line="128" w:lineRule="exact"/>
        <w:rPr>
          <w:sz w:val="20"/>
          <w:szCs w:val="20"/>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plans to focus on oscillators, clock ICs, resonators and timing synchronization solutions and to aggressively expand our presence in these markets;</w:t>
      </w:r>
    </w:p>
    <w:p>
      <w:pPr>
        <w:spacing w:after="0" w:line="14" w:lineRule="exact"/>
        <w:rPr>
          <w:rFonts w:ascii="Arial" w:cs="Arial" w:eastAsia="Arial" w:hAnsi="Arial"/>
          <w:sz w:val="12"/>
          <w:szCs w:val="12"/>
          <w:color w:val="auto"/>
        </w:rPr>
      </w:pPr>
    </w:p>
    <w:p>
      <w:pPr>
        <w:ind w:left="368" w:right="160" w:hanging="368"/>
        <w:spacing w:after="0" w:line="250" w:lineRule="auto"/>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impact of the COVID-19 pandemic on our business, employees, revenue and other operating results, liquidity, and cash flows, and its impact on the businesses of our suppliers and customers, and our anticipated responses thereto;</w:t>
      </w: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address market and customer demands and to timely develop new or enhanced solutions to meet those demands;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anticipated trends, challenges and growth in our business and the markets in which we operate, including pricing expectations;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expectations regarding our revenue, gross margin, and expenses;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expected impact of new legislation and IRS guidance issued in response to the COVID-19 pandemic;</w:t>
      </w:r>
    </w:p>
    <w:p>
      <w:pPr>
        <w:spacing w:after="0" w:line="6" w:lineRule="exact"/>
        <w:rPr>
          <w:rFonts w:ascii="Arial" w:cs="Arial" w:eastAsia="Arial" w:hAnsi="Arial"/>
          <w:sz w:val="12"/>
          <w:szCs w:val="12"/>
          <w:color w:val="auto"/>
        </w:rPr>
      </w:pPr>
    </w:p>
    <w:p>
      <w:pPr>
        <w:ind w:left="368" w:right="20" w:hanging="368"/>
        <w:spacing w:after="0" w:line="250" w:lineRule="auto"/>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belief as to the sufficiency of our existing cash and cash equivalents and funds available for borrowing under our credit facilities to meet our cash needs for at least the next 12 months and our future capital requirements over the longer term, including the potential impact of the COVID-19 pandemic thereon;</w:t>
      </w: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expectations regarding dependence on our largest customer;</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customer relationships and our ability to retain and expand our customer relationships and to achieve design wins;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success, cost, and timing of new products;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size and growth potential of the markets for our solutions, and our ability to serve and expand our presence in those markets;</w:t>
      </w:r>
    </w:p>
    <w:p>
      <w:pPr>
        <w:spacing w:after="0" w:line="6" w:lineRule="exact"/>
        <w:rPr>
          <w:rFonts w:ascii="Arial" w:cs="Arial" w:eastAsia="Arial" w:hAnsi="Arial"/>
          <w:sz w:val="12"/>
          <w:szCs w:val="12"/>
          <w:color w:val="auto"/>
        </w:rPr>
      </w:pPr>
    </w:p>
    <w:p>
      <w:pPr>
        <w:ind w:left="368" w:right="20" w:hanging="368"/>
        <w:spacing w:after="0" w:line="250" w:lineRule="auto"/>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plans to expand sales and marketing efforts through increased collaboration with our distributors, resellers, and contracted sales representatives, and our plans to introduce a self-service web portal as well as digital marketing campaigns for branding and lead generation;</w:t>
      </w: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goal to become the leading timing solution provider for advanced and challenging applications;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positioning of being designed into current systems as well as future products;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belief that our advanced packaging designs can enable the smallest footprints in the industry;</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expectations regarding competition in our existing and future markets;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regulatory developments in the United States and foreign countries;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performance of, and our relationships with, our third-party suppliers and manufacturers;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and our customers’ ability to respond successfully to technological or industry developments;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attract and retain key personnel;</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intellectual property and related litigation;</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adequacy and availability of our leased facilities;</w:t>
      </w:r>
    </w:p>
    <w:p>
      <w:pPr>
        <w:spacing w:after="0" w:line="6" w:lineRule="exact"/>
        <w:rPr>
          <w:rFonts w:ascii="Arial" w:cs="Arial" w:eastAsia="Arial" w:hAnsi="Arial"/>
          <w:sz w:val="12"/>
          <w:szCs w:val="12"/>
          <w:color w:val="auto"/>
        </w:rPr>
      </w:pPr>
    </w:p>
    <w:p>
      <w:pPr>
        <w:ind w:left="368" w:hanging="368"/>
        <w:spacing w:after="0"/>
        <w:tabs>
          <w:tab w:leader="none" w:pos="368"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accuracy of our estimates regarding capital requirements, expectations regarding renewal of loans, and needs for additional financing.</w:t>
      </w:r>
    </w:p>
    <w:p>
      <w:pPr>
        <w:spacing w:after="0" w:line="141" w:lineRule="exact"/>
        <w:rPr>
          <w:sz w:val="20"/>
          <w:szCs w:val="20"/>
          <w:color w:val="auto"/>
        </w:rPr>
      </w:pPr>
    </w:p>
    <w:p>
      <w:pPr>
        <w:ind w:left="8"/>
        <w:spacing w:after="0" w:line="146" w:lineRule="exact"/>
        <w:rPr>
          <w:sz w:val="20"/>
          <w:szCs w:val="20"/>
          <w:color w:val="auto"/>
        </w:rPr>
      </w:pPr>
      <w:r>
        <w:rPr>
          <w:rFonts w:ascii="Arial" w:cs="Arial" w:eastAsia="Arial" w:hAnsi="Arial"/>
          <w:sz w:val="11"/>
          <w:szCs w:val="11"/>
          <w:color w:val="auto"/>
        </w:rPr>
        <w:t>In addition, any statements contained herein that are not statements of historical facts may be deemed to be forward-looking statements.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are subject to a number of risks and uncertainties that could 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37" w:lineRule="exact"/>
        <w:rPr>
          <w:sz w:val="20"/>
          <w:szCs w:val="20"/>
          <w:color w:val="auto"/>
        </w:rPr>
      </w:pPr>
    </w:p>
    <w:p>
      <w:pPr>
        <w:ind w:left="8" w:right="240"/>
        <w:spacing w:after="0" w:line="276" w:lineRule="auto"/>
        <w:rPr>
          <w:sz w:val="20"/>
          <w:szCs w:val="20"/>
          <w:color w:val="auto"/>
        </w:rPr>
      </w:pPr>
      <w:r>
        <w:rPr>
          <w:rFonts w:ascii="Arial" w:cs="Arial" w:eastAsia="Arial" w:hAnsi="Arial"/>
          <w:sz w:val="12"/>
          <w:szCs w:val="12"/>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415" w:right="299" w:bottom="1440" w:gutter="0" w:footer="0" w:header="0"/>
        </w:sectPr>
      </w:pPr>
    </w:p>
    <w:bookmarkStart w:id="18" w:name="page19"/>
    <w:bookmarkEnd w:id="18"/>
    <w:p>
      <w:pPr>
        <w:ind w:right="60"/>
        <w:spacing w:after="0" w:line="276" w:lineRule="auto"/>
        <w:rPr>
          <w:sz w:val="20"/>
          <w:szCs w:val="20"/>
          <w:color w:val="auto"/>
        </w:rPr>
      </w:pPr>
      <w:r>
        <w:rPr>
          <w:rFonts w:ascii="Arial" w:cs="Arial" w:eastAsia="Arial" w:hAnsi="Arial"/>
          <w:sz w:val="12"/>
          <w:szCs w:val="12"/>
          <w:color w:val="auto"/>
        </w:rPr>
        <w:t>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We are a leading provider of silicon timing solutions. Our timing solutions are the heartbeat of our customers’ electronic systems, solve complex timing problems and enable industry-leading products. We provide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and mobile, IoT and consumer.</w:t>
      </w:r>
    </w:p>
    <w:p>
      <w:pPr>
        <w:spacing w:after="0" w:line="12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commenced commercial shipments of our first oscillator products in 2006. Substantially all of our revenue to date has been derived from sales of oscillator systems across our target end markets. We intend to focus on clock IC and timing sync solutions in the future. We seek to aggressively expand our presence in these two markets.</w:t>
      </w:r>
    </w:p>
    <w:p>
      <w:pPr>
        <w:spacing w:after="0" w:line="115"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We sell our products primarily through distributors and resellers, who in turn sell to our end customers. We also sell products directly to end customers who integrate our products into their applications. Based on sell-through information provided by these distributors, we believe the majority of our end customers are based in the U.S.</w:t>
      </w:r>
    </w:p>
    <w:p>
      <w:pPr>
        <w:spacing w:after="0" w:line="11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22" w:lineRule="exact"/>
        <w:rPr>
          <w:sz w:val="20"/>
          <w:szCs w:val="20"/>
          <w:color w:val="auto"/>
        </w:rPr>
      </w:pPr>
    </w:p>
    <w:p>
      <w:pPr>
        <w:ind w:right="140"/>
        <w:spacing w:after="0" w:line="289" w:lineRule="auto"/>
        <w:rPr>
          <w:sz w:val="20"/>
          <w:szCs w:val="20"/>
          <w:color w:val="auto"/>
        </w:rPr>
      </w:pPr>
      <w:r>
        <w:rPr>
          <w:rFonts w:ascii="Arial" w:cs="Arial" w:eastAsia="Arial" w:hAnsi="Arial"/>
          <w:sz w:val="11"/>
          <w:szCs w:val="11"/>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On June 16, 2020, we completed a follow-on public offering, in which we issued and sold 1,525,000 shares of our common stock and MegaChips sold 2,500,000 shares of our common stock held by them. On February 22, 2021, we completed an additional follow-on public offering, in which we issued and sold 1,500,000 shares of our common stock and MegaChips sold 1,500,000 shares of our common stock held by them. MegaChips continues to be our largest stockholder and held approximately 31.5% of our common stock as of June 30, 2021.</w:t>
      </w:r>
    </w:p>
    <w:p>
      <w:pPr>
        <w:spacing w:after="0" w:line="111"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We are currently experiencing a growth in demand for some of our products, however, there are a number of industry-wide supply constraints affecting the supply of analog circuits manufactured by certain foundries, including Taiwan Semiconductor Manufacturing Company, which may limit our ability to fully satisfy the increase in demand. If we cannot ship our products to our customers on time and in the quantity required as a result of this supply constraint our sales could decline and we could lose customers.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Impact of COVID-19 on our Business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future impact of the ongoing COVID-19 pandemic on our business remains unknown. In an effort to protect the health and safety of our employees, we took proactive actions and adopted social distancing policies at our locations around the world, including requiring employees to work from home (“WFH”) in certain locations, reducing the number of people in certain of our sites at any one time, and limiting employee travel. In an effort to contain the COVID-19 pandemic or slow its spread, governments around the world have also enacted various measures, including orders to close all businesses not deemed “essential,” isolate residents in their homes or places of residence, and practice social distancing. In addition, the United States and other countries in which we operate have imposed measures such as quarantines and “shelter-in-place” orders that restrict business operations and travel and require individuals to WFH, which has impacted all aspects of our business, as well as those of the third-parties we rely upon for our manufacturing, assembly, testing, shipping and other operations. The current and future spread of COVID-19 variants may cause the reinstatement of one or more of these measures.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419" w:right="359" w:bottom="1440" w:gutter="0" w:footer="0" w:header="0"/>
        </w:sectPr>
      </w:pPr>
    </w:p>
    <w:bookmarkStart w:id="19" w:name="page20"/>
    <w:bookmarkEnd w:id="19"/>
    <w:p>
      <w:pPr>
        <w:ind w:right="60"/>
        <w:spacing w:after="0" w:line="279" w:lineRule="auto"/>
        <w:rPr>
          <w:sz w:val="20"/>
          <w:szCs w:val="20"/>
          <w:color w:val="auto"/>
        </w:rPr>
      </w:pPr>
      <w:r>
        <w:rPr>
          <w:rFonts w:ascii="Arial" w:cs="Arial" w:eastAsia="Arial" w:hAnsi="Arial"/>
          <w:sz w:val="11"/>
          <w:szCs w:val="11"/>
          <w:color w:val="auto"/>
        </w:rPr>
        <w:t>We anticipate the global health crisis caused by the COVID-19 pandemic will continue to impact business activity across the globe and will continue to impact our business, employees and operations for the foreseeable future. We believe that the COVID-19 pandemic could cause delay and disruption in the manufacture, shipment, and sales of, and overall demand for, our products. In addition, we believe the production capabilities of our suppliers has been, and may continue to be, impacted as a result of quarantines, closures of production facilities, lack of supplies, or delays caused by restrictions on travel or WFH orders. For example, in March 2020, the government of Malaysia announced measures to restrict movement in that country to suppress the number of COVID-19 cases, which have been extended currently until August 2021. These restrictions could limit our suppliers’ ability to operate their manufacturing facilities in that country. Any delay or disruption in the manufacture, shipment and sales of, or overall demand for, our products in turn may negatively and materially impact our operating and financial results, including revenue, gross margins, operating margins, cash flows and other operating results. Further, the resumption of normal business operations after such disruptions may be delayed and a resurgence of COVID-19 could result in continued disruption to us, our suppliers, and/or our customers. To date, we have experienced minimal impact from any supplier disruption. The duration and full magnitude of the COVID-19 pandemic’s impact on credit and financial markets is also unknown, which creates uncertainty as to the financial condition of our distributors or customers. In addition, the deterioration in credit markets could limit our ability to obtain external financing to fund our operations and capital expenditures. We may also experience losses on our holdings of cash and investments due to failures of financial institutions and other parties.</w:t>
      </w:r>
    </w:p>
    <w:p>
      <w:pPr>
        <w:spacing w:after="0" w:line="117"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color w:val="auto"/>
        </w:rPr>
        <w:t>We currently have employees, third-party contractors, distributors, and customers in numerous countries throughout the world that have each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We cannot predict with certainty what other impacts the COVID-19 pandemic may have on our business, employees, service providers, customers and results of operations.</w:t>
      </w:r>
    </w:p>
    <w:p>
      <w:pPr>
        <w:spacing w:after="0" w:line="87"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There remains a high degree of uncertainty in the global business environment given the impact of the COVID-19 pandemic which creates challenges with visibility beyond the near term. 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remainder of fiscal 2021 or beyond. For additional discussion, please see Part II, Item 1A Risk Factors of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82"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2100" w:type="dxa"/>
            <w:vAlign w:val="bottom"/>
            <w:gridSpan w:val="3"/>
          </w:tcPr>
          <w:p>
            <w:pPr>
              <w:jc w:val="right"/>
              <w:ind w:right="186"/>
              <w:spacing w:after="0"/>
              <w:rPr>
                <w:sz w:val="20"/>
                <w:szCs w:val="20"/>
                <w:color w:val="auto"/>
              </w:rPr>
            </w:pPr>
            <w:r>
              <w:rPr>
                <w:rFonts w:ascii="Arial" w:cs="Arial" w:eastAsia="Arial" w:hAnsi="Arial"/>
                <w:sz w:val="10"/>
                <w:szCs w:val="10"/>
                <w:b w:val="1"/>
                <w:bCs w:val="1"/>
                <w:color w:val="auto"/>
              </w:rPr>
              <w:t>Three Months Ended June 30,</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ind w:left="320"/>
              <w:spacing w:after="0"/>
              <w:rPr>
                <w:sz w:val="20"/>
                <w:szCs w:val="20"/>
                <w:color w:val="auto"/>
              </w:rPr>
            </w:pPr>
            <w:r>
              <w:rPr>
                <w:rFonts w:ascii="Arial" w:cs="Arial" w:eastAsia="Arial" w:hAnsi="Arial"/>
                <w:sz w:val="10"/>
                <w:szCs w:val="10"/>
                <w:b w:val="1"/>
                <w:bCs w:val="1"/>
                <w:color w:val="auto"/>
                <w:w w:val="87"/>
              </w:rPr>
              <w:t>Change</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gridSpan w:val="2"/>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w w:val="81"/>
              </w:rPr>
              <w:t>Change</w:t>
            </w:r>
          </w:p>
        </w:tc>
      </w:tr>
      <w:tr>
        <w:trPr>
          <w:trHeight w:val="97"/>
        </w:trPr>
        <w:tc>
          <w:tcPr>
            <w:tcW w:w="2580" w:type="dxa"/>
            <w:vAlign w:val="bottom"/>
          </w:tcPr>
          <w:p>
            <w:pPr>
              <w:spacing w:after="0"/>
              <w:rPr>
                <w:sz w:val="8"/>
                <w:szCs w:val="8"/>
                <w:color w:val="auto"/>
              </w:rPr>
            </w:pPr>
          </w:p>
        </w:tc>
        <w:tc>
          <w:tcPr>
            <w:tcW w:w="72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2021</w:t>
            </w:r>
          </w:p>
        </w:tc>
        <w:tc>
          <w:tcPr>
            <w:tcW w:w="52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6"/>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ind w:left="120"/>
              <w:spacing w:after="0" w:line="97" w:lineRule="exact"/>
              <w:rPr>
                <w:sz w:val="20"/>
                <w:szCs w:val="20"/>
                <w:color w:val="auto"/>
              </w:rPr>
            </w:pPr>
            <w:r>
              <w:rPr>
                <w:rFonts w:ascii="Arial" w:cs="Arial" w:eastAsia="Arial" w:hAnsi="Arial"/>
                <w:sz w:val="10"/>
                <w:szCs w:val="10"/>
                <w:b w:val="1"/>
                <w:bCs w:val="1"/>
                <w:color w:val="auto"/>
              </w:rPr>
              <w:t>$</w:t>
            </w:r>
          </w:p>
        </w:tc>
        <w:tc>
          <w:tcPr>
            <w:tcW w:w="480" w:type="dxa"/>
            <w:vAlign w:val="bottom"/>
            <w:tcBorders>
              <w:top w:val="single" w:sz="8" w:color="auto"/>
              <w:bottom w:val="single" w:sz="8" w:color="auto"/>
            </w:tcBorders>
          </w:tcPr>
          <w:p>
            <w:pPr>
              <w:jc w:val="right"/>
              <w:ind w:right="128"/>
              <w:spacing w:after="0" w:line="97"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980" w:type="dxa"/>
            <w:vAlign w:val="bottom"/>
            <w:tcBorders>
              <w:top w:val="single" w:sz="8" w:color="auto"/>
              <w:bottom w:val="single" w:sz="8" w:color="auto"/>
            </w:tcBorders>
          </w:tcPr>
          <w:p>
            <w:pPr>
              <w:jc w:val="right"/>
              <w:ind w:right="548"/>
              <w:spacing w:after="0" w:line="97" w:lineRule="exact"/>
              <w:rPr>
                <w:sz w:val="20"/>
                <w:szCs w:val="20"/>
                <w:color w:val="auto"/>
              </w:rPr>
            </w:pPr>
            <w:r>
              <w:rPr>
                <w:rFonts w:ascii="Arial" w:cs="Arial" w:eastAsia="Arial" w:hAnsi="Arial"/>
                <w:sz w:val="10"/>
                <w:szCs w:val="10"/>
                <w:b w:val="1"/>
                <w:bCs w:val="1"/>
                <w:color w:val="auto"/>
              </w:rPr>
              <w:t>2021</w:t>
            </w:r>
          </w:p>
        </w:tc>
        <w:tc>
          <w:tcPr>
            <w:tcW w:w="58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426"/>
              <w:spacing w:after="0" w:line="97" w:lineRule="exact"/>
              <w:rPr>
                <w:sz w:val="20"/>
                <w:szCs w:val="20"/>
                <w:color w:val="auto"/>
              </w:rPr>
            </w:pPr>
            <w:r>
              <w:rPr>
                <w:rFonts w:ascii="Arial" w:cs="Arial" w:eastAsia="Arial" w:hAnsi="Arial"/>
                <w:sz w:val="10"/>
                <w:szCs w:val="10"/>
                <w:b w:val="1"/>
                <w:bCs w:val="1"/>
                <w:color w:val="auto"/>
                <w:w w:val="89"/>
              </w:rPr>
              <w:t>2020</w:t>
            </w:r>
          </w:p>
        </w:tc>
        <w:tc>
          <w:tcPr>
            <w:tcW w:w="240" w:type="dxa"/>
            <w:vAlign w:val="bottom"/>
            <w:tcBorders>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206"/>
              <w:spacing w:after="0" w:line="97" w:lineRule="exact"/>
              <w:rPr>
                <w:sz w:val="20"/>
                <w:szCs w:val="20"/>
                <w:color w:val="auto"/>
              </w:rPr>
            </w:pPr>
            <w:r>
              <w:rPr>
                <w:rFonts w:ascii="Arial" w:cs="Arial" w:eastAsia="Arial" w:hAnsi="Arial"/>
                <w:sz w:val="10"/>
                <w:szCs w:val="10"/>
                <w:b w:val="1"/>
                <w:bCs w:val="1"/>
                <w:color w:val="auto"/>
              </w:rPr>
              <w:t>$</w:t>
            </w:r>
          </w:p>
        </w:tc>
        <w:tc>
          <w:tcPr>
            <w:tcW w:w="920" w:type="dxa"/>
            <w:vAlign w:val="bottom"/>
            <w:tcBorders>
              <w:top w:val="single" w:sz="8" w:color="auto"/>
              <w:bottom w:val="single" w:sz="8" w:color="auto"/>
            </w:tcBorders>
          </w:tcPr>
          <w:p>
            <w:pPr>
              <w:jc w:val="right"/>
              <w:ind w:right="228"/>
              <w:spacing w:after="0" w:line="97"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r>
      <w:tr>
        <w:trPr>
          <w:trHeight w:val="97"/>
        </w:trPr>
        <w:tc>
          <w:tcPr>
            <w:tcW w:w="2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980" w:type="dxa"/>
            <w:vAlign w:val="bottom"/>
            <w:gridSpan w:val="4"/>
          </w:tcPr>
          <w:p>
            <w:pPr>
              <w:jc w:val="right"/>
              <w:ind w:right="548"/>
              <w:spacing w:after="0" w:line="97" w:lineRule="exact"/>
              <w:rPr>
                <w:sz w:val="20"/>
                <w:szCs w:val="20"/>
                <w:color w:val="auto"/>
              </w:rPr>
            </w:pPr>
            <w:r>
              <w:rPr>
                <w:rFonts w:ascii="Arial" w:cs="Arial" w:eastAsia="Arial" w:hAnsi="Arial"/>
                <w:sz w:val="10"/>
                <w:szCs w:val="10"/>
                <w:b w:val="1"/>
                <w:bCs w:val="1"/>
                <w:color w:val="auto"/>
                <w:w w:val="85"/>
              </w:rPr>
              <w:t>(in thousands except percentage)</w:t>
            </w: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2580" w:type="dxa"/>
            <w:vAlign w:val="bottom"/>
            <w:shd w:val="clear" w:color="auto" w:fill="CFF0FC"/>
          </w:tcPr>
          <w:p>
            <w:pPr>
              <w:spacing w:after="0"/>
              <w:rPr>
                <w:sz w:val="20"/>
                <w:szCs w:val="20"/>
                <w:color w:val="auto"/>
              </w:rPr>
            </w:pPr>
            <w:r>
              <w:rPr>
                <w:rFonts w:ascii="Arial" w:cs="Arial" w:eastAsia="Arial" w:hAnsi="Arial"/>
                <w:sz w:val="12"/>
                <w:szCs w:val="12"/>
                <w:color w:val="auto"/>
              </w:rPr>
              <w:t>Revenue</w:t>
            </w:r>
          </w:p>
        </w:tc>
        <w:tc>
          <w:tcPr>
            <w:tcW w:w="720" w:type="dxa"/>
            <w:vAlign w:val="bottom"/>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44,496</w:t>
            </w:r>
          </w:p>
        </w:tc>
        <w:tc>
          <w:tcPr>
            <w:tcW w:w="860" w:type="dxa"/>
            <w:vAlign w:val="bottom"/>
            <w:shd w:val="clear" w:color="auto" w:fill="CFF0FC"/>
          </w:tcPr>
          <w:p>
            <w:pPr>
              <w:jc w:val="right"/>
              <w:ind w:right="606"/>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21,473</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ind w:left="120"/>
              <w:spacing w:after="0"/>
              <w:rPr>
                <w:sz w:val="20"/>
                <w:szCs w:val="20"/>
                <w:color w:val="auto"/>
              </w:rPr>
            </w:pPr>
            <w:r>
              <w:rPr>
                <w:rFonts w:ascii="Arial" w:cs="Arial" w:eastAsia="Arial" w:hAnsi="Arial"/>
                <w:sz w:val="12"/>
                <w:szCs w:val="12"/>
                <w:color w:val="auto"/>
              </w:rPr>
              <w:t>23,023</w:t>
            </w:r>
          </w:p>
        </w:tc>
        <w:tc>
          <w:tcPr>
            <w:tcW w:w="10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107%   $</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2"/>
                <w:szCs w:val="12"/>
                <w:color w:val="auto"/>
              </w:rPr>
              <w:t>80,038</w:t>
            </w:r>
          </w:p>
        </w:tc>
        <w:tc>
          <w:tcPr>
            <w:tcW w:w="580" w:type="dxa"/>
            <w:vAlign w:val="bottom"/>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43,215</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36,823</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85%</w:t>
            </w:r>
          </w:p>
        </w:tc>
      </w:tr>
    </w:tbl>
    <w:p>
      <w:pPr>
        <w:spacing w:after="0" w:line="162"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Revenue increased by $23.0 million, or 107% , for the three months ended June 30, 2021 compared to the same period in the prior year. The increase was primarily related to 66% higher volume of shipments year over year and an increase of 25% in average selling price (“ASPs”) of our products. The increase in sales volume was driven by higher demand for our products from new and existing customers, including new design wins at new and existing customers. The ASP increase was related to change in mix of the products we shipped and increase in selling prices for certain customers.</w:t>
      </w:r>
    </w:p>
    <w:p>
      <w:pPr>
        <w:spacing w:after="0" w:line="167"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Revenue increased by $36.8 million, or 85%, for the six months ended June 30, 2021 compared to the same period in the prior year. The increase was primarily related to 53% higher volume of shipments year over year and an increase of 21% in ASPs. The increase in sales volume was driven by higher demand for our products from new and existing customers, including new design wins at new and existing customers. The ASP increase was related to change in mix of the products we shipped and increase in selling prices for certain customers.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color w:val="auto"/>
        </w:rPr>
        <w:t>We expect our revenue to fluctuate in the future primarily based on the volume of shipments and ASP changes. We may not be able to sustain our ASP increases in the future at this current rate.</w:t>
      </w:r>
    </w:p>
    <w:p>
      <w:pPr>
        <w:spacing w:after="0" w:line="168"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For the three and six months ended June 30, 2021 and 2020, sales attributable to our largest end customer accounted for 15%, 25%, 26%, and 30%, respectively, of our revenue. Our end customers predominantly purchase our products from distributors. For the three and six months ended June 30, 2021 and 2020, our top three distributors by revenue together accounted for approximately 46%, 53%, 51%, and 54%, respectively, of our revenue. Revenue attributable to our largest ten end customers accounted for 47%, 51%, 50% and 51%, respectively, of our revenue for the three and six months ended June 30, 2021 and 2020.</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Revenue, Gross Profit, and Gross Margin</w:t>
      </w:r>
    </w:p>
    <w:p>
      <w:pPr>
        <w:spacing w:after="0" w:line="82"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2120" w:type="dxa"/>
            <w:vAlign w:val="bottom"/>
            <w:gridSpan w:val="3"/>
          </w:tcPr>
          <w:p>
            <w:pPr>
              <w:jc w:val="right"/>
              <w:ind w:right="188"/>
              <w:spacing w:after="0"/>
              <w:rPr>
                <w:sz w:val="20"/>
                <w:szCs w:val="20"/>
                <w:color w:val="auto"/>
              </w:rPr>
            </w:pPr>
            <w:r>
              <w:rPr>
                <w:rFonts w:ascii="Arial" w:cs="Arial" w:eastAsia="Arial" w:hAnsi="Arial"/>
                <w:sz w:val="10"/>
                <w:szCs w:val="10"/>
                <w:b w:val="1"/>
                <w:bCs w:val="1"/>
                <w:color w:val="auto"/>
              </w:rPr>
              <w:t>Three Months Ended June 30,</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46"/>
              <w:spacing w:after="0"/>
              <w:rPr>
                <w:sz w:val="20"/>
                <w:szCs w:val="20"/>
                <w:color w:val="auto"/>
              </w:rPr>
            </w:pPr>
            <w:r>
              <w:rPr>
                <w:rFonts w:ascii="Arial" w:cs="Arial" w:eastAsia="Arial" w:hAnsi="Arial"/>
                <w:sz w:val="10"/>
                <w:szCs w:val="10"/>
                <w:b w:val="1"/>
                <w:bCs w:val="1"/>
                <w:color w:val="auto"/>
              </w:rPr>
              <w:t>Change</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jc w:val="right"/>
              <w:ind w:right="248"/>
              <w:spacing w:after="0"/>
              <w:rPr>
                <w:sz w:val="20"/>
                <w:szCs w:val="20"/>
                <w:color w:val="auto"/>
              </w:rPr>
            </w:pPr>
            <w:r>
              <w:rPr>
                <w:rFonts w:ascii="Arial" w:cs="Arial" w:eastAsia="Arial" w:hAnsi="Arial"/>
                <w:sz w:val="10"/>
                <w:szCs w:val="10"/>
                <w:b w:val="1"/>
                <w:bCs w:val="1"/>
                <w:color w:val="auto"/>
                <w:w w:val="86"/>
              </w:rPr>
              <w:t>Six Months Ended June 30,</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w w:val="81"/>
              </w:rPr>
              <w:t>Change</w:t>
            </w:r>
          </w:p>
        </w:tc>
      </w:tr>
      <w:tr>
        <w:trPr>
          <w:trHeight w:val="97"/>
        </w:trPr>
        <w:tc>
          <w:tcPr>
            <w:tcW w:w="2560" w:type="dxa"/>
            <w:vAlign w:val="bottom"/>
          </w:tcPr>
          <w:p>
            <w:pPr>
              <w:spacing w:after="0"/>
              <w:rPr>
                <w:sz w:val="8"/>
                <w:szCs w:val="8"/>
                <w:color w:val="auto"/>
              </w:rPr>
            </w:pPr>
          </w:p>
        </w:tc>
        <w:tc>
          <w:tcPr>
            <w:tcW w:w="72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2021</w:t>
            </w:r>
          </w:p>
        </w:tc>
        <w:tc>
          <w:tcPr>
            <w:tcW w:w="58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28"/>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526"/>
              <w:spacing w:after="0" w:line="97" w:lineRule="exact"/>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auto"/>
              <w:bottom w:val="single" w:sz="8" w:color="auto"/>
            </w:tcBorders>
          </w:tcPr>
          <w:p>
            <w:pPr>
              <w:jc w:val="right"/>
              <w:ind w:right="124"/>
              <w:spacing w:after="0" w:line="97" w:lineRule="exact"/>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64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8"/>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ind w:left="120"/>
              <w:spacing w:after="0" w:line="97" w:lineRule="exact"/>
              <w:rPr>
                <w:sz w:val="20"/>
                <w:szCs w:val="20"/>
                <w:color w:val="auto"/>
              </w:rPr>
            </w:pPr>
            <w:r>
              <w:rPr>
                <w:rFonts w:ascii="Arial" w:cs="Arial" w:eastAsia="Arial" w:hAnsi="Arial"/>
                <w:sz w:val="10"/>
                <w:szCs w:val="10"/>
                <w:b w:val="1"/>
                <w:bCs w:val="1"/>
                <w:color w:val="auto"/>
              </w:rPr>
              <w:t>$</w:t>
            </w:r>
          </w:p>
        </w:tc>
        <w:tc>
          <w:tcPr>
            <w:tcW w:w="900" w:type="dxa"/>
            <w:vAlign w:val="bottom"/>
            <w:tcBorders>
              <w:top w:val="single" w:sz="8" w:color="auto"/>
              <w:bottom w:val="single" w:sz="8" w:color="auto"/>
            </w:tcBorders>
          </w:tcPr>
          <w:p>
            <w:pPr>
              <w:jc w:val="right"/>
              <w:ind w:right="226"/>
              <w:spacing w:after="0" w:line="97"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r>
      <w:tr>
        <w:trPr>
          <w:trHeight w:val="97"/>
        </w:trPr>
        <w:tc>
          <w:tcPr>
            <w:tcW w:w="2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60" w:type="dxa"/>
            <w:vAlign w:val="bottom"/>
            <w:gridSpan w:val="3"/>
          </w:tcPr>
          <w:p>
            <w:pPr>
              <w:ind w:left="60"/>
              <w:spacing w:after="0" w:line="97" w:lineRule="exact"/>
              <w:rPr>
                <w:sz w:val="20"/>
                <w:szCs w:val="20"/>
                <w:color w:val="auto"/>
              </w:rPr>
            </w:pPr>
            <w:r>
              <w:rPr>
                <w:rFonts w:ascii="Arial" w:cs="Arial" w:eastAsia="Arial" w:hAnsi="Arial"/>
                <w:sz w:val="10"/>
                <w:szCs w:val="10"/>
                <w:b w:val="1"/>
                <w:bCs w:val="1"/>
                <w:color w:val="auto"/>
                <w:w w:val="86"/>
              </w:rPr>
              <w:t>(in thousands except percentage)</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gridSpan w:val="4"/>
          </w:tcPr>
          <w:p>
            <w:pPr>
              <w:jc w:val="right"/>
              <w:ind w:right="72"/>
              <w:spacing w:after="0" w:line="97" w:lineRule="exact"/>
              <w:rPr>
                <w:sz w:val="20"/>
                <w:szCs w:val="20"/>
                <w:color w:val="auto"/>
              </w:rPr>
            </w:pPr>
            <w:r>
              <w:rPr>
                <w:rFonts w:ascii="Arial" w:cs="Arial" w:eastAsia="Arial" w:hAnsi="Arial"/>
                <w:sz w:val="10"/>
                <w:szCs w:val="10"/>
                <w:b w:val="1"/>
                <w:bCs w:val="1"/>
                <w:color w:val="auto"/>
                <w:w w:val="92"/>
              </w:rPr>
              <w:t>(in thousands except percentage)</w:t>
            </w: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2560" w:type="dxa"/>
            <w:vAlign w:val="bottom"/>
            <w:shd w:val="clear" w:color="auto" w:fill="CFF0FC"/>
          </w:tcPr>
          <w:p>
            <w:pPr>
              <w:spacing w:after="0"/>
              <w:rPr>
                <w:sz w:val="20"/>
                <w:szCs w:val="20"/>
                <w:color w:val="auto"/>
              </w:rPr>
            </w:pPr>
            <w:r>
              <w:rPr>
                <w:rFonts w:ascii="Arial" w:cs="Arial" w:eastAsia="Arial" w:hAnsi="Arial"/>
                <w:sz w:val="12"/>
                <w:szCs w:val="12"/>
                <w:color w:val="auto"/>
              </w:rPr>
              <w:t>Cost of Revenue</w:t>
            </w:r>
          </w:p>
        </w:tc>
        <w:tc>
          <w:tcPr>
            <w:tcW w:w="720" w:type="dxa"/>
            <w:vAlign w:val="bottom"/>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120"/>
              <w:spacing w:after="0"/>
              <w:rPr>
                <w:sz w:val="20"/>
                <w:szCs w:val="20"/>
                <w:color w:val="auto"/>
              </w:rPr>
            </w:pPr>
            <w:r>
              <w:rPr>
                <w:rFonts w:ascii="Arial" w:cs="Arial" w:eastAsia="Arial" w:hAnsi="Arial"/>
                <w:sz w:val="12"/>
                <w:szCs w:val="12"/>
                <w:color w:val="auto"/>
              </w:rPr>
              <w:t>17,669</w:t>
            </w:r>
          </w:p>
        </w:tc>
        <w:tc>
          <w:tcPr>
            <w:tcW w:w="820" w:type="dxa"/>
            <w:vAlign w:val="bottom"/>
            <w:shd w:val="clear" w:color="auto" w:fill="CFF0FC"/>
          </w:tcPr>
          <w:p>
            <w:pPr>
              <w:ind w:left="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11,490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ind w:right="246"/>
              <w:spacing w:after="0"/>
              <w:rPr>
                <w:sz w:val="20"/>
                <w:szCs w:val="20"/>
                <w:color w:val="auto"/>
              </w:rPr>
            </w:pPr>
            <w:r>
              <w:rPr>
                <w:rFonts w:ascii="Arial" w:cs="Arial" w:eastAsia="Arial" w:hAnsi="Arial"/>
                <w:sz w:val="12"/>
                <w:szCs w:val="12"/>
                <w:color w:val="auto"/>
              </w:rPr>
              <w:t>6,179</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54%</w:t>
            </w:r>
          </w:p>
        </w:tc>
        <w:tc>
          <w:tcPr>
            <w:tcW w:w="680" w:type="dxa"/>
            <w:vAlign w:val="bottom"/>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ind w:right="123"/>
              <w:spacing w:after="0"/>
              <w:rPr>
                <w:sz w:val="20"/>
                <w:szCs w:val="20"/>
                <w:color w:val="auto"/>
              </w:rPr>
            </w:pPr>
            <w:r>
              <w:rPr>
                <w:rFonts w:ascii="Arial" w:cs="Arial" w:eastAsia="Arial" w:hAnsi="Arial"/>
                <w:sz w:val="12"/>
                <w:szCs w:val="12"/>
                <w:color w:val="auto"/>
              </w:rPr>
              <w:t>34,393</w:t>
            </w:r>
          </w:p>
        </w:tc>
        <w:tc>
          <w:tcPr>
            <w:tcW w:w="800" w:type="dxa"/>
            <w:vAlign w:val="bottom"/>
            <w:shd w:val="clear" w:color="auto" w:fill="CFF0FC"/>
          </w:tcPr>
          <w:p>
            <w:pPr>
              <w:jc w:val="right"/>
              <w:ind w:right="608"/>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23,256</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ind w:left="100"/>
              <w:spacing w:after="0"/>
              <w:rPr>
                <w:sz w:val="20"/>
                <w:szCs w:val="20"/>
                <w:color w:val="auto"/>
              </w:rPr>
            </w:pPr>
            <w:r>
              <w:rPr>
                <w:rFonts w:ascii="Arial" w:cs="Arial" w:eastAsia="Arial" w:hAnsi="Arial"/>
                <w:sz w:val="12"/>
                <w:szCs w:val="12"/>
                <w:color w:val="auto"/>
                <w:w w:val="87"/>
              </w:rPr>
              <w:t>11,137</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48%</w:t>
            </w:r>
          </w:p>
        </w:tc>
      </w:tr>
      <w:tr>
        <w:trPr>
          <w:trHeight w:val="153"/>
        </w:trPr>
        <w:tc>
          <w:tcPr>
            <w:tcW w:w="2560" w:type="dxa"/>
            <w:vAlign w:val="bottom"/>
          </w:tcPr>
          <w:p>
            <w:pPr>
              <w:spacing w:after="0"/>
              <w:rPr>
                <w:sz w:val="20"/>
                <w:szCs w:val="20"/>
                <w:color w:val="auto"/>
              </w:rPr>
            </w:pPr>
            <w:r>
              <w:rPr>
                <w:rFonts w:ascii="Arial" w:cs="Arial" w:eastAsia="Arial" w:hAnsi="Arial"/>
                <w:sz w:val="12"/>
                <w:szCs w:val="12"/>
                <w:color w:val="auto"/>
              </w:rPr>
              <w:t>Gross Profit</w:t>
            </w:r>
          </w:p>
        </w:tc>
        <w:tc>
          <w:tcPr>
            <w:tcW w:w="720" w:type="dxa"/>
            <w:vAlign w:val="bottom"/>
          </w:tcPr>
          <w:p>
            <w:pPr>
              <w:spacing w:after="0"/>
              <w:rPr>
                <w:sz w:val="13"/>
                <w:szCs w:val="13"/>
                <w:color w:val="auto"/>
              </w:rPr>
            </w:pP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26,827</w:t>
            </w:r>
          </w:p>
        </w:tc>
        <w:tc>
          <w:tcPr>
            <w:tcW w:w="8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9,983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46"/>
              <w:spacing w:after="0"/>
              <w:rPr>
                <w:sz w:val="20"/>
                <w:szCs w:val="20"/>
                <w:color w:val="auto"/>
              </w:rPr>
            </w:pPr>
            <w:r>
              <w:rPr>
                <w:rFonts w:ascii="Arial" w:cs="Arial" w:eastAsia="Arial" w:hAnsi="Arial"/>
                <w:sz w:val="12"/>
                <w:szCs w:val="12"/>
                <w:color w:val="auto"/>
              </w:rPr>
              <w:t>16,844</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169%</w:t>
            </w:r>
          </w:p>
        </w:tc>
        <w:tc>
          <w:tcPr>
            <w:tcW w:w="680" w:type="dxa"/>
            <w:vAlign w:val="bottom"/>
          </w:tcPr>
          <w:p>
            <w:pPr>
              <w:spacing w:after="0"/>
              <w:rPr>
                <w:sz w:val="13"/>
                <w:szCs w:val="13"/>
                <w:color w:val="auto"/>
              </w:rPr>
            </w:pPr>
          </w:p>
        </w:tc>
        <w:tc>
          <w:tcPr>
            <w:tcW w:w="640" w:type="dxa"/>
            <w:vAlign w:val="bottom"/>
          </w:tcPr>
          <w:p>
            <w:pPr>
              <w:jc w:val="right"/>
              <w:ind w:right="123"/>
              <w:spacing w:after="0"/>
              <w:rPr>
                <w:sz w:val="20"/>
                <w:szCs w:val="20"/>
                <w:color w:val="auto"/>
              </w:rPr>
            </w:pPr>
            <w:r>
              <w:rPr>
                <w:rFonts w:ascii="Arial" w:cs="Arial" w:eastAsia="Arial" w:hAnsi="Arial"/>
                <w:sz w:val="12"/>
                <w:szCs w:val="12"/>
                <w:color w:val="auto"/>
              </w:rPr>
              <w:t>45,645</w:t>
            </w:r>
          </w:p>
        </w:tc>
        <w:tc>
          <w:tcPr>
            <w:tcW w:w="8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19,959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w w:val="87"/>
              </w:rPr>
              <w:t>25,686</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129%</w:t>
            </w:r>
          </w:p>
        </w:tc>
      </w:tr>
      <w:tr>
        <w:trPr>
          <w:trHeight w:val="153"/>
        </w:trPr>
        <w:tc>
          <w:tcPr>
            <w:tcW w:w="2560" w:type="dxa"/>
            <w:vAlign w:val="bottom"/>
            <w:shd w:val="clear" w:color="auto" w:fill="CFF0FC"/>
          </w:tcPr>
          <w:p>
            <w:pPr>
              <w:spacing w:after="0"/>
              <w:rPr>
                <w:sz w:val="20"/>
                <w:szCs w:val="20"/>
                <w:color w:val="auto"/>
              </w:rPr>
            </w:pPr>
            <w:r>
              <w:rPr>
                <w:rFonts w:ascii="Arial" w:cs="Arial" w:eastAsia="Arial" w:hAnsi="Arial"/>
                <w:sz w:val="12"/>
                <w:szCs w:val="12"/>
                <w:color w:val="auto"/>
              </w:rPr>
              <w:t>Gross Margin</w:t>
            </w:r>
          </w:p>
        </w:tc>
        <w:tc>
          <w:tcPr>
            <w:tcW w:w="7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8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46%</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23"/>
              <w:spacing w:after="0"/>
              <w:rPr>
                <w:sz w:val="20"/>
                <w:szCs w:val="20"/>
                <w:color w:val="auto"/>
              </w:rPr>
            </w:pPr>
            <w:r>
              <w:rPr>
                <w:rFonts w:ascii="Arial" w:cs="Arial" w:eastAsia="Arial" w:hAnsi="Arial"/>
                <w:sz w:val="12"/>
                <w:szCs w:val="12"/>
                <w:color w:val="auto"/>
              </w:rPr>
              <w:t>57%</w:t>
            </w: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46%</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bl>
    <w:p>
      <w:pPr>
        <w:spacing w:after="0" w:line="16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Gross profit increased by $16.8 million in the three months ended June 30, 2021 compared to the same period in the prior year. Gross profit increased a net $18.4 million mainly from higher sales volume and an increase in ASPs of our products. This increase was offset by higher other manufacturing and overhead costs of $1.6 million of which $0.4 million was related to higher stock-based compensation expense.</w:t>
      </w:r>
    </w:p>
    <w:p>
      <w:pPr>
        <w:spacing w:after="0" w:line="16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Gross profit increased by $25.7 million in the six months ended June 30, 2021 compared to the same period in the prior year. Gross profit increased a net $28.2 million mainly from higher sales volume and an increase in ASPs of our products. This increase was offset by higher other manufacturing and overhead costs of $2.5 million of which $0.8 million was related to higher stock-based compensation expense.</w:t>
      </w:r>
    </w:p>
    <w:p>
      <w:pPr>
        <w:spacing w:after="0" w:line="169"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Gross margin was higher by 14% in the three months ended June 30, 2021 when compared to the same period in the prior year. The gross margin increased by 10% from higher sales volume and an increase in ASPs. There was additonal 4% improvement in our other manufacturing costs as it decreased as a percentage of revenue.</w:t>
      </w:r>
    </w:p>
    <w:p>
      <w:pPr>
        <w:spacing w:after="0" w:line="133"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Gross margin was higher by 11% in the six months ended June 30, 2021 when compared to the same period in the prior year. The gross margin increased by 8% from higher sales volume and an increase in ASPs. There was additonal 3% improvement in our other manufacturing costs as it decreased as a percentage of revenue.</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210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Three Months Ended June 30,</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ind w:left="340"/>
              <w:spacing w:after="0"/>
              <w:rPr>
                <w:sz w:val="20"/>
                <w:szCs w:val="20"/>
                <w:color w:val="auto"/>
              </w:rPr>
            </w:pPr>
            <w:r>
              <w:rPr>
                <w:rFonts w:ascii="Arial" w:cs="Arial" w:eastAsia="Arial" w:hAnsi="Arial"/>
                <w:sz w:val="10"/>
                <w:szCs w:val="10"/>
                <w:b w:val="1"/>
                <w:bCs w:val="1"/>
                <w:color w:val="auto"/>
              </w:rPr>
              <w:t>Change</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00" w:type="dxa"/>
            <w:vAlign w:val="bottom"/>
            <w:gridSpan w:val="5"/>
          </w:tcPr>
          <w:p>
            <w:pPr>
              <w:ind w:left="420"/>
              <w:spacing w:after="0"/>
              <w:rPr>
                <w:sz w:val="20"/>
                <w:szCs w:val="20"/>
                <w:color w:val="auto"/>
              </w:rPr>
            </w:pPr>
            <w:r>
              <w:rPr>
                <w:rFonts w:ascii="Arial" w:cs="Arial" w:eastAsia="Arial" w:hAnsi="Arial"/>
                <w:sz w:val="10"/>
                <w:szCs w:val="10"/>
                <w:b w:val="1"/>
                <w:bCs w:val="1"/>
                <w:color w:val="auto"/>
              </w:rPr>
              <w:t>Six Months Ended June 30,</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w w:val="81"/>
              </w:rPr>
              <w:t>Change</w:t>
            </w:r>
          </w:p>
        </w:tc>
      </w:tr>
      <w:tr>
        <w:trPr>
          <w:trHeight w:val="97"/>
        </w:trPr>
        <w:tc>
          <w:tcPr>
            <w:tcW w:w="2580" w:type="dxa"/>
            <w:vAlign w:val="bottom"/>
          </w:tcPr>
          <w:p>
            <w:pPr>
              <w:spacing w:after="0"/>
              <w:rPr>
                <w:sz w:val="8"/>
                <w:szCs w:val="8"/>
                <w:color w:val="auto"/>
              </w:rPr>
            </w:pPr>
          </w:p>
        </w:tc>
        <w:tc>
          <w:tcPr>
            <w:tcW w:w="72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2021</w:t>
            </w:r>
          </w:p>
        </w:tc>
        <w:tc>
          <w:tcPr>
            <w:tcW w:w="400" w:type="dxa"/>
            <w:vAlign w:val="bottom"/>
            <w:tcBorders>
              <w:top w:val="single" w:sz="8" w:color="auto"/>
              <w:bottom w:val="single" w:sz="8" w:color="auto"/>
            </w:tcBorders>
          </w:tcPr>
          <w:p>
            <w:pPr>
              <w:spacing w:after="0"/>
              <w:rPr>
                <w:sz w:val="8"/>
                <w:szCs w:val="8"/>
                <w:color w:val="auto"/>
              </w:rPr>
            </w:pPr>
          </w:p>
        </w:tc>
        <w:tc>
          <w:tcPr>
            <w:tcW w:w="980" w:type="dxa"/>
            <w:vAlign w:val="bottom"/>
            <w:tcBorders>
              <w:top w:val="single" w:sz="8" w:color="auto"/>
              <w:bottom w:val="single" w:sz="8" w:color="auto"/>
            </w:tcBorders>
            <w:gridSpan w:val="2"/>
          </w:tcPr>
          <w:p>
            <w:pPr>
              <w:jc w:val="right"/>
              <w:ind w:right="60"/>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224"/>
              <w:spacing w:after="0" w:line="97" w:lineRule="exact"/>
              <w:rPr>
                <w:sz w:val="20"/>
                <w:szCs w:val="20"/>
                <w:color w:val="auto"/>
              </w:rPr>
            </w:pPr>
            <w:r>
              <w:rPr>
                <w:rFonts w:ascii="Arial" w:cs="Arial" w:eastAsia="Arial" w:hAnsi="Arial"/>
                <w:sz w:val="10"/>
                <w:szCs w:val="10"/>
                <w:b w:val="1"/>
                <w:bCs w:val="1"/>
                <w:color w:val="auto"/>
              </w:rPr>
              <w:t>$</w:t>
            </w:r>
          </w:p>
        </w:tc>
        <w:tc>
          <w:tcPr>
            <w:tcW w:w="3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23"/>
              <w:spacing w:after="0" w:line="97" w:lineRule="exact"/>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425"/>
              <w:spacing w:after="0" w:line="97"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jc w:val="right"/>
              <w:ind w:right="425"/>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203"/>
              <w:spacing w:after="0" w:line="97" w:lineRule="exact"/>
              <w:rPr>
                <w:sz w:val="20"/>
                <w:szCs w:val="20"/>
                <w:color w:val="auto"/>
              </w:rPr>
            </w:pPr>
            <w:r>
              <w:rPr>
                <w:rFonts w:ascii="Arial" w:cs="Arial" w:eastAsia="Arial" w:hAnsi="Arial"/>
                <w:sz w:val="10"/>
                <w:szCs w:val="10"/>
                <w:b w:val="1"/>
                <w:bCs w:val="1"/>
                <w:color w:val="auto"/>
              </w:rPr>
              <w:t>$</w:t>
            </w:r>
          </w:p>
        </w:tc>
        <w:tc>
          <w:tcPr>
            <w:tcW w:w="920" w:type="dxa"/>
            <w:vAlign w:val="bottom"/>
            <w:tcBorders>
              <w:top w:val="single" w:sz="8" w:color="auto"/>
              <w:bottom w:val="single" w:sz="8" w:color="auto"/>
            </w:tcBorders>
          </w:tcPr>
          <w:p>
            <w:pPr>
              <w:jc w:val="right"/>
              <w:ind w:right="225"/>
              <w:spacing w:after="0" w:line="97"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r>
      <w:tr>
        <w:trPr>
          <w:trHeight w:val="97"/>
        </w:trPr>
        <w:tc>
          <w:tcPr>
            <w:tcW w:w="2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gridSpan w:val="4"/>
          </w:tcPr>
          <w:p>
            <w:pPr>
              <w:ind w:left="240"/>
              <w:spacing w:after="0" w:line="97" w:lineRule="exact"/>
              <w:rPr>
                <w:sz w:val="20"/>
                <w:szCs w:val="20"/>
                <w:color w:val="auto"/>
              </w:rPr>
            </w:pPr>
            <w:r>
              <w:rPr>
                <w:rFonts w:ascii="Arial" w:cs="Arial" w:eastAsia="Arial" w:hAnsi="Arial"/>
                <w:sz w:val="10"/>
                <w:szCs w:val="10"/>
                <w:b w:val="1"/>
                <w:bCs w:val="1"/>
                <w:color w:val="auto"/>
                <w:w w:val="85"/>
              </w:rPr>
              <w:t>(in thousands except percentage)</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80" w:type="dxa"/>
            <w:vAlign w:val="bottom"/>
            <w:gridSpan w:val="3"/>
          </w:tcPr>
          <w:p>
            <w:pPr>
              <w:jc w:val="right"/>
              <w:ind w:right="72"/>
              <w:spacing w:after="0" w:line="97" w:lineRule="exact"/>
              <w:rPr>
                <w:sz w:val="20"/>
                <w:szCs w:val="20"/>
                <w:color w:val="auto"/>
              </w:rPr>
            </w:pPr>
            <w:r>
              <w:rPr>
                <w:rFonts w:ascii="Arial" w:cs="Arial" w:eastAsia="Arial" w:hAnsi="Arial"/>
                <w:sz w:val="10"/>
                <w:szCs w:val="10"/>
                <w:b w:val="1"/>
                <w:bCs w:val="1"/>
                <w:color w:val="auto"/>
                <w:w w:val="83"/>
              </w:rPr>
              <w:t>(in thousands except percentage)</w:t>
            </w: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258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7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3"/>
        </w:trPr>
        <w:tc>
          <w:tcPr>
            <w:tcW w:w="258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12,067</w:t>
            </w:r>
          </w:p>
        </w:tc>
        <w:tc>
          <w:tcPr>
            <w:tcW w:w="98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7,398</w:t>
            </w:r>
          </w:p>
        </w:tc>
        <w:tc>
          <w:tcPr>
            <w:tcW w:w="24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4,669</w:t>
            </w:r>
          </w:p>
        </w:tc>
        <w:tc>
          <w:tcPr>
            <w:tcW w:w="3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63%</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23,247</w:t>
            </w: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14,422</w:t>
            </w:r>
          </w:p>
        </w:tc>
        <w:tc>
          <w:tcPr>
            <w:tcW w:w="24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8,825</w:t>
            </w: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61%</w:t>
            </w:r>
          </w:p>
        </w:tc>
      </w:tr>
      <w:tr>
        <w:trPr>
          <w:trHeight w:val="153"/>
        </w:trPr>
        <w:tc>
          <w:tcPr>
            <w:tcW w:w="25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Selling, general and administrative</w:t>
            </w:r>
          </w:p>
        </w:tc>
        <w:tc>
          <w:tcPr>
            <w:tcW w:w="72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12,686</w:t>
            </w:r>
          </w:p>
        </w:tc>
        <w:tc>
          <w:tcPr>
            <w:tcW w:w="26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7,856</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4,830</w:t>
            </w:r>
          </w:p>
        </w:tc>
        <w:tc>
          <w:tcPr>
            <w:tcW w:w="3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61%</w:t>
            </w:r>
          </w:p>
        </w:tc>
        <w:tc>
          <w:tcPr>
            <w:tcW w:w="2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23,809</w:t>
            </w:r>
          </w:p>
        </w:tc>
        <w:tc>
          <w:tcPr>
            <w:tcW w:w="26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15,664</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8,145</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52%</w:t>
            </w:r>
          </w:p>
        </w:tc>
      </w:tr>
      <w:tr>
        <w:trPr>
          <w:trHeight w:val="149"/>
        </w:trPr>
        <w:tc>
          <w:tcPr>
            <w:tcW w:w="258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24,753</w:t>
            </w:r>
          </w:p>
        </w:tc>
        <w:tc>
          <w:tcPr>
            <w:tcW w:w="98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15,254</w:t>
            </w:r>
          </w:p>
        </w:tc>
        <w:tc>
          <w:tcPr>
            <w:tcW w:w="24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9,499</w:t>
            </w:r>
          </w:p>
        </w:tc>
        <w:tc>
          <w:tcPr>
            <w:tcW w:w="30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62%</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47,056</w:t>
            </w: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30,086</w:t>
            </w:r>
          </w:p>
        </w:tc>
        <w:tc>
          <w:tcPr>
            <w:tcW w:w="24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16,970</w:t>
            </w: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56%</w:t>
            </w:r>
          </w:p>
        </w:tc>
      </w:tr>
      <w:tr>
        <w:trPr>
          <w:trHeight w:val="495"/>
        </w:trPr>
        <w:tc>
          <w:tcPr>
            <w:tcW w:w="25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184"/>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2"/>
        </w:trPr>
        <w:tc>
          <w:tcPr>
            <w:tcW w:w="25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446"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227"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Research and development expense increased by $4.7 million, or 63%, for the three months ended June 30, 2021 compared to the same period in the prior year, primarily due to higher personnel costs of $1.9 million due to increased headcount, an increase in stock-based compensation expense of $1.8 million, and higher project expenses.</w:t>
      </w:r>
    </w:p>
    <w:p>
      <w:pPr>
        <w:spacing w:after="0" w:line="16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Research and development expense increased by $8.8 million, or 61%, for the six months ended June 30, 2021 compared to the same period in the prior year, primarily due to an increase in stock-based compensation expense of $3.6 million, higher personnel costs of $3.1 million due to increased headcount, and higher project expenses.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Sales, General and Administrative</w:t>
      </w:r>
    </w:p>
    <w:p>
      <w:pPr>
        <w:spacing w:after="0" w:line="78" w:lineRule="exact"/>
        <w:rPr>
          <w:sz w:val="20"/>
          <w:szCs w:val="20"/>
          <w:color w:val="auto"/>
        </w:rPr>
      </w:pPr>
    </w:p>
    <w:p>
      <w:pPr>
        <w:jc w:val="both"/>
        <w:ind w:right="240"/>
        <w:spacing w:after="0" w:line="263" w:lineRule="auto"/>
        <w:rPr>
          <w:sz w:val="20"/>
          <w:szCs w:val="20"/>
          <w:color w:val="auto"/>
        </w:rPr>
      </w:pPr>
      <w:r>
        <w:rPr>
          <w:rFonts w:ascii="Arial" w:cs="Arial" w:eastAsia="Arial" w:hAnsi="Arial"/>
          <w:sz w:val="12"/>
          <w:szCs w:val="12"/>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2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Selling, general and administrative expense increased by $4.8 million, or 61%, for the three months ended June 30, 2021 compared to the same period in the prior year, primarily due to higher personnel costs of $1.9 million related to increased headcount and commissions and higher stock-based compensation expense of $1.9 million.</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Selling, general and administrative expense increased by $8.1 million, or 52%, for the six months ended June 30, 2021 compared to the same period in the prior year, primarily due to higher stock-based compensation expense of $3.9 million, higher personnel costs of $2.1 million largely related to increased headcount and higher commission expenses of $1.5 million due to increased revenue.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Expense (Income)</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Other expense (income) consists primarily of interest expense on our outstanding debt, interest income on our cash balances, foreign exchange gains and losses, and asset dispositions. See Note 9 to our condensed consolidated financial statements under Item 1 for more information about our debt.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216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rPr>
              <w:t>Three Months Ended June 30,</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Change</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80" w:type="dxa"/>
            <w:vAlign w:val="bottom"/>
            <w:gridSpan w:val="5"/>
          </w:tcPr>
          <w:p>
            <w:pPr>
              <w:ind w:left="20"/>
              <w:spacing w:after="0"/>
              <w:rPr>
                <w:sz w:val="20"/>
                <w:szCs w:val="20"/>
                <w:color w:val="auto"/>
              </w:rPr>
            </w:pPr>
            <w:r>
              <w:rPr>
                <w:rFonts w:ascii="Arial" w:cs="Arial" w:eastAsia="Arial" w:hAnsi="Arial"/>
                <w:sz w:val="10"/>
                <w:szCs w:val="10"/>
                <w:b w:val="1"/>
                <w:bCs w:val="1"/>
                <w:color w:val="auto"/>
              </w:rPr>
              <w:t>Six Months Ended June 30,</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jc w:val="right"/>
              <w:ind w:right="52"/>
              <w:spacing w:after="0"/>
              <w:rPr>
                <w:sz w:val="20"/>
                <w:szCs w:val="20"/>
                <w:color w:val="auto"/>
              </w:rPr>
            </w:pPr>
            <w:r>
              <w:rPr>
                <w:rFonts w:ascii="Arial" w:cs="Arial" w:eastAsia="Arial" w:hAnsi="Arial"/>
                <w:sz w:val="10"/>
                <w:szCs w:val="10"/>
                <w:b w:val="1"/>
                <w:bCs w:val="1"/>
                <w:color w:val="auto"/>
                <w:w w:val="81"/>
              </w:rPr>
              <w:t>Change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right"/>
              <w:ind w:right="132"/>
              <w:spacing w:after="0" w:line="97" w:lineRule="exact"/>
              <w:rPr>
                <w:sz w:val="20"/>
                <w:szCs w:val="20"/>
                <w:color w:val="auto"/>
              </w:rPr>
            </w:pPr>
            <w:r>
              <w:rPr>
                <w:rFonts w:ascii="Arial" w:cs="Arial" w:eastAsia="Arial" w:hAnsi="Arial"/>
                <w:sz w:val="10"/>
                <w:szCs w:val="10"/>
                <w:b w:val="1"/>
                <w:bCs w:val="1"/>
                <w:color w:val="auto"/>
              </w:rPr>
              <w:t>2021</w:t>
            </w:r>
          </w:p>
        </w:tc>
        <w:tc>
          <w:tcPr>
            <w:tcW w:w="30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gridSpan w:val="2"/>
          </w:tcPr>
          <w:p>
            <w:pPr>
              <w:jc w:val="right"/>
              <w:ind w:right="140"/>
              <w:spacing w:after="0" w:line="97"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225"/>
              <w:spacing w:after="0" w:line="97" w:lineRule="exact"/>
              <w:rPr>
                <w:sz w:val="20"/>
                <w:szCs w:val="20"/>
                <w:color w:val="auto"/>
              </w:rPr>
            </w:pPr>
            <w:r>
              <w:rPr>
                <w:rFonts w:ascii="Arial" w:cs="Arial" w:eastAsia="Arial" w:hAnsi="Arial"/>
                <w:sz w:val="10"/>
                <w:szCs w:val="10"/>
                <w:b w:val="1"/>
                <w:bCs w:val="1"/>
                <w:color w:val="auto"/>
              </w:rPr>
              <w:t>$</w:t>
            </w:r>
          </w:p>
        </w:tc>
        <w:tc>
          <w:tcPr>
            <w:tcW w:w="3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03"/>
              <w:spacing w:after="0" w:line="97"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4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060" w:type="dxa"/>
            <w:vAlign w:val="bottom"/>
            <w:tcBorders>
              <w:top w:val="single" w:sz="8" w:color="auto"/>
              <w:bottom w:val="single" w:sz="8" w:color="auto"/>
            </w:tcBorders>
          </w:tcPr>
          <w:p>
            <w:pPr>
              <w:jc w:val="right"/>
              <w:ind w:right="425"/>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223"/>
              <w:spacing w:after="0" w:line="97" w:lineRule="exact"/>
              <w:rPr>
                <w:sz w:val="20"/>
                <w:szCs w:val="20"/>
                <w:color w:val="auto"/>
              </w:rPr>
            </w:pPr>
            <w:r>
              <w:rPr>
                <w:rFonts w:ascii="Arial" w:cs="Arial" w:eastAsia="Arial" w:hAnsi="Arial"/>
                <w:sz w:val="10"/>
                <w:szCs w:val="10"/>
                <w:b w:val="1"/>
                <w:bCs w:val="1"/>
                <w:color w:val="auto"/>
              </w:rPr>
              <w:t>$</w:t>
            </w:r>
          </w:p>
        </w:tc>
        <w:tc>
          <w:tcPr>
            <w:tcW w:w="4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243"/>
              <w:spacing w:after="0" w:line="97"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gridSpan w:val="4"/>
          </w:tcPr>
          <w:p>
            <w:pPr>
              <w:ind w:left="220"/>
              <w:spacing w:after="0" w:line="97" w:lineRule="exact"/>
              <w:rPr>
                <w:sz w:val="20"/>
                <w:szCs w:val="20"/>
                <w:color w:val="auto"/>
              </w:rPr>
            </w:pPr>
            <w:r>
              <w:rPr>
                <w:rFonts w:ascii="Arial" w:cs="Arial" w:eastAsia="Arial" w:hAnsi="Arial"/>
                <w:sz w:val="10"/>
                <w:szCs w:val="10"/>
                <w:b w:val="1"/>
                <w:bCs w:val="1"/>
                <w:color w:val="auto"/>
                <w:w w:val="85"/>
              </w:rPr>
              <w:t>(in thousands except percentage)</w:t>
            </w: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3"/>
          </w:tcPr>
          <w:p>
            <w:pPr>
              <w:jc w:val="right"/>
              <w:ind w:right="72"/>
              <w:spacing w:after="0" w:line="97" w:lineRule="exact"/>
              <w:rPr>
                <w:sz w:val="20"/>
                <w:szCs w:val="20"/>
                <w:color w:val="auto"/>
              </w:rPr>
            </w:pPr>
            <w:r>
              <w:rPr>
                <w:rFonts w:ascii="Arial" w:cs="Arial" w:eastAsia="Arial" w:hAnsi="Arial"/>
                <w:sz w:val="10"/>
                <w:szCs w:val="10"/>
                <w:b w:val="1"/>
                <w:bCs w:val="1"/>
                <w:color w:val="auto"/>
                <w:w w:val="82"/>
              </w:rPr>
              <w:t>(in thousands except percentage)</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840" w:type="dxa"/>
            <w:vAlign w:val="bottom"/>
            <w:shd w:val="clear" w:color="auto" w:fill="CFF0FC"/>
          </w:tcPr>
          <w:p>
            <w:pPr>
              <w:jc w:val="right"/>
              <w:ind w:right="732"/>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9"/>
              </w:rPr>
              <w:t>—</w:t>
            </w:r>
          </w:p>
        </w:tc>
        <w:tc>
          <w:tcPr>
            <w:tcW w:w="1020" w:type="dxa"/>
            <w:vAlign w:val="bottom"/>
            <w:gridSpan w:val="2"/>
            <w:shd w:val="clear" w:color="auto" w:fill="CFF0FC"/>
          </w:tcPr>
          <w:p>
            <w:pPr>
              <w:jc w:val="right"/>
              <w:ind w:right="7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(313)</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(100%)</w:t>
            </w: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616</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332"/>
              <w:spacing w:after="0"/>
              <w:rPr>
                <w:sz w:val="20"/>
                <w:szCs w:val="20"/>
                <w:color w:val="auto"/>
              </w:rPr>
            </w:pPr>
            <w:r>
              <w:rPr>
                <w:rFonts w:ascii="Arial" w:cs="Arial" w:eastAsia="Arial" w:hAnsi="Arial"/>
                <w:sz w:val="12"/>
                <w:szCs w:val="12"/>
                <w:color w:val="auto"/>
              </w:rPr>
              <w:t>(616)</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20"/>
                <w:szCs w:val="20"/>
                <w:color w:val="auto"/>
              </w:rPr>
            </w:pPr>
            <w:r>
              <w:rPr>
                <w:rFonts w:ascii="Arial" w:cs="Arial" w:eastAsia="Arial" w:hAnsi="Arial"/>
                <w:sz w:val="12"/>
                <w:szCs w:val="12"/>
                <w:color w:val="auto"/>
              </w:rPr>
              <w:t>Other expense (income), net</w:t>
            </w:r>
          </w:p>
        </w:tc>
        <w:tc>
          <w:tcPr>
            <w:tcW w:w="840" w:type="dxa"/>
            <w:vAlign w:val="bottom"/>
          </w:tcPr>
          <w:p>
            <w:pPr>
              <w:spacing w:after="0"/>
              <w:rPr>
                <w:sz w:val="13"/>
                <w:szCs w:val="13"/>
                <w:color w:val="auto"/>
              </w:rPr>
            </w:pPr>
          </w:p>
        </w:tc>
        <w:tc>
          <w:tcPr>
            <w:tcW w:w="300" w:type="dxa"/>
            <w:vAlign w:val="bottom"/>
          </w:tcPr>
          <w:p>
            <w:pPr>
              <w:ind w:left="160"/>
              <w:spacing w:after="0"/>
              <w:rPr>
                <w:sz w:val="20"/>
                <w:szCs w:val="20"/>
                <w:color w:val="auto"/>
              </w:rPr>
            </w:pPr>
            <w:r>
              <w:rPr>
                <w:rFonts w:ascii="Arial" w:cs="Arial" w:eastAsia="Arial" w:hAnsi="Arial"/>
                <w:sz w:val="12"/>
                <w:szCs w:val="12"/>
                <w:color w:val="auto"/>
                <w:w w:val="89"/>
              </w:rPr>
              <w:t>28</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w:t>
            </w:r>
          </w:p>
        </w:tc>
        <w:tc>
          <w:tcPr>
            <w:tcW w:w="3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40%</w:t>
            </w:r>
          </w:p>
        </w:tc>
        <w:tc>
          <w:tcPr>
            <w:tcW w:w="660" w:type="dxa"/>
            <w:vAlign w:val="bottom"/>
          </w:tcPr>
          <w:p>
            <w:pPr>
              <w:spacing w:after="0"/>
              <w:rPr>
                <w:sz w:val="13"/>
                <w:szCs w:val="13"/>
                <w:color w:val="auto"/>
              </w:rPr>
            </w:pPr>
          </w:p>
        </w:tc>
        <w:tc>
          <w:tcPr>
            <w:tcW w:w="460" w:type="dxa"/>
            <w:vAlign w:val="bottom"/>
          </w:tcPr>
          <w:p>
            <w:pPr>
              <w:ind w:left="340"/>
              <w:spacing w:after="0"/>
              <w:rPr>
                <w:sz w:val="20"/>
                <w:szCs w:val="20"/>
                <w:color w:val="auto"/>
              </w:rPr>
            </w:pPr>
            <w:r>
              <w:rPr>
                <w:rFonts w:ascii="Arial" w:cs="Arial" w:eastAsia="Arial" w:hAnsi="Arial"/>
                <w:sz w:val="12"/>
                <w:szCs w:val="12"/>
                <w:color w:val="auto"/>
                <w:w w:val="74"/>
              </w:rPr>
              <w:t>68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(48)</w:t>
            </w: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116</w:t>
            </w:r>
          </w:p>
        </w:tc>
        <w:tc>
          <w:tcPr>
            <w:tcW w:w="4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 other expense</w:t>
            </w: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2"/>
                <w:szCs w:val="12"/>
                <w:color w:val="auto"/>
              </w:rPr>
              <w:t>(92%)</w:t>
            </w: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2"/>
                <w:szCs w:val="12"/>
                <w:color w:val="auto"/>
              </w:rPr>
              <w:t>(88%)</w:t>
            </w:r>
          </w:p>
        </w:tc>
        <w:tc>
          <w:tcPr>
            <w:tcW w:w="0" w:type="dxa"/>
            <w:vAlign w:val="bottom"/>
          </w:tcPr>
          <w:p>
            <w:pPr>
              <w:spacing w:after="0" w:line="20" w:lineRule="exact"/>
              <w:rPr>
                <w:sz w:val="1"/>
                <w:szCs w:val="1"/>
                <w:color w:val="auto"/>
              </w:rPr>
            </w:pPr>
          </w:p>
        </w:tc>
      </w:tr>
      <w:tr>
        <w:trPr>
          <w:trHeight w:val="142"/>
        </w:trPr>
        <w:tc>
          <w:tcPr>
            <w:tcW w:w="2560" w:type="dxa"/>
            <w:vAlign w:val="bottom"/>
            <w:vMerge w:val="continue"/>
            <w:shd w:val="clear" w:color="auto" w:fill="CFF0FC"/>
          </w:tcPr>
          <w:p>
            <w:pPr>
              <w:spacing w:after="0"/>
              <w:rPr>
                <w:sz w:val="12"/>
                <w:szCs w:val="12"/>
                <w:color w:val="auto"/>
              </w:rPr>
            </w:pPr>
          </w:p>
        </w:tc>
        <w:tc>
          <w:tcPr>
            <w:tcW w:w="840" w:type="dxa"/>
            <w:vAlign w:val="bottom"/>
            <w:shd w:val="clear" w:color="auto" w:fill="CFF0FC"/>
          </w:tcPr>
          <w:p>
            <w:pPr>
              <w:jc w:val="right"/>
              <w:ind w:right="732"/>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28</w:t>
            </w:r>
          </w:p>
        </w:tc>
        <w:tc>
          <w:tcPr>
            <w:tcW w:w="1020" w:type="dxa"/>
            <w:vAlign w:val="bottom"/>
            <w:gridSpan w:val="2"/>
            <w:shd w:val="clear" w:color="auto" w:fill="CFF0FC"/>
          </w:tcPr>
          <w:p>
            <w:pPr>
              <w:jc w:val="right"/>
              <w:ind w:right="7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333</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(305)</w:t>
            </w:r>
          </w:p>
        </w:tc>
        <w:tc>
          <w:tcPr>
            <w:tcW w:w="680" w:type="dxa"/>
            <w:vAlign w:val="bottom"/>
            <w:gridSpan w:val="2"/>
            <w:vMerge w:val="continue"/>
            <w:shd w:val="clear" w:color="auto" w:fill="CFF0FC"/>
          </w:tcPr>
          <w:p>
            <w:pPr>
              <w:spacing w:after="0"/>
              <w:rPr>
                <w:sz w:val="12"/>
                <w:szCs w:val="12"/>
                <w:color w:val="auto"/>
              </w:rPr>
            </w:pP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ind w:left="340"/>
              <w:spacing w:after="0"/>
              <w:rPr>
                <w:sz w:val="20"/>
                <w:szCs w:val="20"/>
                <w:color w:val="auto"/>
              </w:rPr>
            </w:pPr>
            <w:r>
              <w:rPr>
                <w:rFonts w:ascii="Arial" w:cs="Arial" w:eastAsia="Arial" w:hAnsi="Arial"/>
                <w:sz w:val="12"/>
                <w:szCs w:val="12"/>
                <w:color w:val="auto"/>
                <w:w w:val="74"/>
              </w:rPr>
              <w:t>68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332"/>
              <w:spacing w:after="0"/>
              <w:rPr>
                <w:sz w:val="20"/>
                <w:szCs w:val="20"/>
                <w:color w:val="auto"/>
              </w:rPr>
            </w:pPr>
            <w:r>
              <w:rPr>
                <w:rFonts w:ascii="Arial" w:cs="Arial" w:eastAsia="Arial" w:hAnsi="Arial"/>
                <w:sz w:val="12"/>
                <w:szCs w:val="12"/>
                <w:color w:val="auto"/>
              </w:rPr>
              <w:t>(500)</w:t>
            </w:r>
          </w:p>
        </w:tc>
        <w:tc>
          <w:tcPr>
            <w:tcW w:w="6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60" w:type="dxa"/>
            <w:vAlign w:val="bottom"/>
            <w:shd w:val="clear" w:color="auto" w:fill="CFF0F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Other expense decreased $0.3 million and $0.5 million for three and six months ended June 30, 2021 compared to the same period in the prior year, primarily as a result of interest expense savings from paying down of all our outstanding loans under our credit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w:t>
      </w:r>
    </w:p>
    <w:p>
      <w:pPr>
        <w:spacing w:after="0" w:line="8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5"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2240" w:type="dxa"/>
            <w:vAlign w:val="bottom"/>
            <w:gridSpan w:val="3"/>
          </w:tcPr>
          <w:p>
            <w:pPr>
              <w:jc w:val="right"/>
              <w:ind w:right="328"/>
              <w:spacing w:after="0"/>
              <w:rPr>
                <w:sz w:val="20"/>
                <w:szCs w:val="20"/>
                <w:color w:val="auto"/>
              </w:rPr>
            </w:pPr>
            <w:r>
              <w:rPr>
                <w:rFonts w:ascii="Arial" w:cs="Arial" w:eastAsia="Arial" w:hAnsi="Arial"/>
                <w:sz w:val="10"/>
                <w:szCs w:val="10"/>
                <w:b w:val="1"/>
                <w:bCs w:val="1"/>
                <w:color w:val="auto"/>
              </w:rPr>
              <w:t>Three Months Ended June 30,</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48"/>
              <w:spacing w:after="0"/>
              <w:rPr>
                <w:sz w:val="20"/>
                <w:szCs w:val="20"/>
                <w:color w:val="auto"/>
              </w:rPr>
            </w:pPr>
            <w:r>
              <w:rPr>
                <w:rFonts w:ascii="Arial" w:cs="Arial" w:eastAsia="Arial" w:hAnsi="Arial"/>
                <w:sz w:val="10"/>
                <w:szCs w:val="10"/>
                <w:b w:val="1"/>
                <w:bCs w:val="1"/>
                <w:color w:val="auto"/>
              </w:rPr>
              <w:t>Change</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80" w:type="dxa"/>
            <w:vAlign w:val="bottom"/>
            <w:gridSpan w:val="4"/>
          </w:tcPr>
          <w:p>
            <w:pPr>
              <w:jc w:val="right"/>
              <w:ind w:right="940"/>
              <w:spacing w:after="0"/>
              <w:rPr>
                <w:sz w:val="20"/>
                <w:szCs w:val="20"/>
                <w:color w:val="auto"/>
              </w:rPr>
            </w:pPr>
            <w:r>
              <w:rPr>
                <w:rFonts w:ascii="Arial" w:cs="Arial" w:eastAsia="Arial" w:hAnsi="Arial"/>
                <w:sz w:val="10"/>
                <w:szCs w:val="10"/>
                <w:b w:val="1"/>
                <w:bCs w:val="1"/>
                <w:color w:val="auto"/>
                <w:w w:val="86"/>
              </w:rPr>
              <w:t>Six Months Ended June 30,</w:t>
            </w:r>
          </w:p>
        </w:tc>
        <w:tc>
          <w:tcPr>
            <w:tcW w:w="1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Change</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2580" w:type="dxa"/>
            <w:vAlign w:val="bottom"/>
          </w:tcPr>
          <w:p>
            <w:pPr>
              <w:spacing w:after="0"/>
              <w:rPr>
                <w:sz w:val="8"/>
                <w:szCs w:val="8"/>
                <w:color w:val="auto"/>
              </w:rPr>
            </w:pPr>
          </w:p>
        </w:tc>
        <w:tc>
          <w:tcPr>
            <w:tcW w:w="800" w:type="dxa"/>
            <w:vAlign w:val="bottom"/>
            <w:tcBorders>
              <w:top w:val="single" w:sz="8" w:color="auto"/>
              <w:bottom w:val="single" w:sz="8" w:color="auto"/>
            </w:tcBorders>
          </w:tcPr>
          <w:p>
            <w:pPr>
              <w:jc w:val="right"/>
              <w:ind w:right="92"/>
              <w:spacing w:after="0" w:line="97" w:lineRule="exact"/>
              <w:rPr>
                <w:sz w:val="20"/>
                <w:szCs w:val="20"/>
                <w:color w:val="auto"/>
              </w:rPr>
            </w:pPr>
            <w:r>
              <w:rPr>
                <w:rFonts w:ascii="Arial" w:cs="Arial" w:eastAsia="Arial" w:hAnsi="Arial"/>
                <w:sz w:val="10"/>
                <w:szCs w:val="10"/>
                <w:b w:val="1"/>
                <w:bCs w:val="1"/>
                <w:color w:val="auto"/>
              </w:rPr>
              <w:t>2021</w:t>
            </w:r>
          </w:p>
        </w:tc>
        <w:tc>
          <w:tcPr>
            <w:tcW w:w="48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jc w:val="right"/>
              <w:ind w:right="148"/>
              <w:spacing w:after="0" w:line="97" w:lineRule="exact"/>
              <w:rPr>
                <w:sz w:val="20"/>
                <w:szCs w:val="20"/>
                <w:color w:val="auto"/>
              </w:rPr>
            </w:pPr>
            <w:r>
              <w:rPr>
                <w:rFonts w:ascii="Arial" w:cs="Arial" w:eastAsia="Arial" w:hAnsi="Arial"/>
                <w:sz w:val="10"/>
                <w:szCs w:val="10"/>
                <w:b w:val="1"/>
                <w:bCs w:val="1"/>
                <w:color w:val="auto"/>
              </w:rPr>
              <w:t>2020</w:t>
            </w:r>
          </w:p>
        </w:tc>
        <w:tc>
          <w:tcPr>
            <w:tcW w:w="26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588"/>
              <w:spacing w:after="0" w:line="97" w:lineRule="exact"/>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tcBorders>
          </w:tcPr>
          <w:p>
            <w:pPr>
              <w:jc w:val="right"/>
              <w:ind w:right="186"/>
              <w:spacing w:after="0" w:line="97"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60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jc w:val="right"/>
              <w:ind w:right="428"/>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588"/>
              <w:spacing w:after="0" w:line="97" w:lineRule="exact"/>
              <w:rPr>
                <w:sz w:val="20"/>
                <w:szCs w:val="20"/>
                <w:color w:val="auto"/>
              </w:rPr>
            </w:pPr>
            <w:r>
              <w:rPr>
                <w:rFonts w:ascii="Arial" w:cs="Arial" w:eastAsia="Arial" w:hAnsi="Arial"/>
                <w:sz w:val="10"/>
                <w:szCs w:val="10"/>
                <w:b w:val="1"/>
                <w:bCs w:val="1"/>
                <w:color w:val="auto"/>
              </w:rPr>
              <w:t>$</w:t>
            </w:r>
          </w:p>
        </w:tc>
        <w:tc>
          <w:tcPr>
            <w:tcW w:w="560" w:type="dxa"/>
            <w:vAlign w:val="bottom"/>
            <w:tcBorders>
              <w:top w:val="single" w:sz="8" w:color="auto"/>
              <w:bottom w:val="single" w:sz="8" w:color="auto"/>
            </w:tcBorders>
          </w:tcPr>
          <w:p>
            <w:pPr>
              <w:jc w:val="right"/>
              <w:ind w:right="246"/>
              <w:spacing w:after="0" w:line="97"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97"/>
        </w:trPr>
        <w:tc>
          <w:tcPr>
            <w:tcW w:w="2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gridSpan w:val="4"/>
          </w:tcPr>
          <w:p>
            <w:pPr>
              <w:jc w:val="right"/>
              <w:ind w:right="112"/>
              <w:spacing w:after="0" w:line="97" w:lineRule="exact"/>
              <w:rPr>
                <w:sz w:val="20"/>
                <w:szCs w:val="20"/>
                <w:color w:val="auto"/>
              </w:rPr>
            </w:pPr>
            <w:r>
              <w:rPr>
                <w:rFonts w:ascii="Arial" w:cs="Arial" w:eastAsia="Arial" w:hAnsi="Arial"/>
                <w:sz w:val="10"/>
                <w:szCs w:val="10"/>
                <w:b w:val="1"/>
                <w:bCs w:val="1"/>
                <w:color w:val="auto"/>
                <w:w w:val="91"/>
              </w:rPr>
              <w:t>(in thousands except percentage)</w:t>
            </w: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gridSpan w:val="3"/>
          </w:tcPr>
          <w:p>
            <w:pPr>
              <w:jc w:val="right"/>
              <w:ind w:right="72"/>
              <w:spacing w:after="0" w:line="97" w:lineRule="exact"/>
              <w:rPr>
                <w:sz w:val="20"/>
                <w:szCs w:val="20"/>
                <w:color w:val="auto"/>
              </w:rPr>
            </w:pPr>
            <w:r>
              <w:rPr>
                <w:rFonts w:ascii="Arial" w:cs="Arial" w:eastAsia="Arial" w:hAnsi="Arial"/>
                <w:sz w:val="10"/>
                <w:szCs w:val="10"/>
                <w:b w:val="1"/>
                <w:bCs w:val="1"/>
                <w:color w:val="auto"/>
                <w:w w:val="83"/>
              </w:rPr>
              <w:t>(in thousands except percentage)</w:t>
            </w: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2580" w:type="dxa"/>
            <w:vAlign w:val="bottom"/>
            <w:shd w:val="clear" w:color="auto" w:fill="CFF0FC"/>
          </w:tcPr>
          <w:p>
            <w:pPr>
              <w:spacing w:after="0"/>
              <w:rPr>
                <w:sz w:val="20"/>
                <w:szCs w:val="20"/>
                <w:color w:val="auto"/>
              </w:rPr>
            </w:pPr>
            <w:r>
              <w:rPr>
                <w:rFonts w:ascii="Arial" w:cs="Arial" w:eastAsia="Arial" w:hAnsi="Arial"/>
                <w:sz w:val="12"/>
                <w:szCs w:val="12"/>
                <w:color w:val="auto"/>
              </w:rPr>
              <w:t>Income tax (expense) benefit</w:t>
            </w:r>
          </w:p>
        </w:tc>
        <w:tc>
          <w:tcPr>
            <w:tcW w:w="800" w:type="dxa"/>
            <w:vAlign w:val="bottom"/>
            <w:shd w:val="clear" w:color="auto" w:fill="CFF0FC"/>
          </w:tcPr>
          <w:p>
            <w:pPr>
              <w:jc w:val="right"/>
              <w:ind w:right="69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(23)</w:t>
            </w:r>
          </w:p>
        </w:tc>
        <w:tc>
          <w:tcPr>
            <w:tcW w:w="960" w:type="dxa"/>
            <w:vAlign w:val="bottom"/>
            <w:shd w:val="clear" w:color="auto" w:fill="CFF0FC"/>
          </w:tcPr>
          <w:p>
            <w:pPr>
              <w:jc w:val="right"/>
              <w:ind w:right="748"/>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2"/>
                <w:szCs w:val="12"/>
                <w:color w:val="auto"/>
              </w:rPr>
              <w:t>(24)</w:t>
            </w:r>
          </w:p>
        </w:tc>
        <w:tc>
          <w:tcPr>
            <w:tcW w:w="600" w:type="dxa"/>
            <w:vAlign w:val="bottom"/>
            <w:gridSpan w:val="2"/>
            <w:shd w:val="clear" w:color="auto" w:fill="CFF0FC"/>
          </w:tcPr>
          <w:p>
            <w:pPr>
              <w:jc w:val="center"/>
              <w:ind w:right="260"/>
              <w:spacing w:after="0"/>
              <w:rPr>
                <w:sz w:val="20"/>
                <w:szCs w:val="20"/>
                <w:color w:val="auto"/>
              </w:rPr>
            </w:pPr>
            <w:r>
              <w:rPr>
                <w:rFonts w:ascii="Arial" w:cs="Arial" w:eastAsia="Arial" w:hAnsi="Arial"/>
                <w:sz w:val="12"/>
                <w:szCs w:val="12"/>
                <w:color w:val="auto"/>
                <w:w w:val="83"/>
              </w:rPr>
              <w:t>n/a</w:t>
            </w:r>
          </w:p>
        </w:tc>
        <w:tc>
          <w:tcPr>
            <w:tcW w:w="680" w:type="dxa"/>
            <w:vAlign w:val="bottom"/>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ind w:right="66"/>
              <w:spacing w:after="0"/>
              <w:rPr>
                <w:sz w:val="20"/>
                <w:szCs w:val="20"/>
                <w:color w:val="auto"/>
              </w:rPr>
            </w:pPr>
            <w:r>
              <w:rPr>
                <w:rFonts w:ascii="Arial" w:cs="Arial" w:eastAsia="Arial" w:hAnsi="Arial"/>
                <w:sz w:val="12"/>
                <w:szCs w:val="12"/>
                <w:color w:val="auto"/>
              </w:rPr>
              <w:t>(63)</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ind w:right="288"/>
              <w:spacing w:after="0"/>
              <w:rPr>
                <w:sz w:val="20"/>
                <w:szCs w:val="20"/>
                <w:color w:val="auto"/>
              </w:rPr>
            </w:pPr>
            <w:r>
              <w:rPr>
                <w:rFonts w:ascii="Arial" w:cs="Arial" w:eastAsia="Arial" w:hAnsi="Arial"/>
                <w:sz w:val="12"/>
                <w:szCs w:val="12"/>
                <w:color w:val="auto"/>
              </w:rPr>
              <w:t>(62)</w:t>
            </w:r>
          </w:p>
        </w:tc>
        <w:tc>
          <w:tcPr>
            <w:tcW w:w="560" w:type="dxa"/>
            <w:vAlign w:val="bottom"/>
            <w:shd w:val="clear" w:color="auto" w:fill="CFF0FC"/>
          </w:tcPr>
          <w:p>
            <w:pPr>
              <w:jc w:val="right"/>
              <w:ind w:right="126"/>
              <w:spacing w:after="0"/>
              <w:rPr>
                <w:sz w:val="20"/>
                <w:szCs w:val="20"/>
                <w:color w:val="auto"/>
              </w:rPr>
            </w:pPr>
            <w:r>
              <w:rPr>
                <w:rFonts w:ascii="Arial" w:cs="Arial" w:eastAsia="Arial" w:hAnsi="Arial"/>
                <w:sz w:val="12"/>
                <w:szCs w:val="12"/>
                <w:color w:val="auto"/>
                <w:w w:val="96"/>
              </w:rPr>
              <w:t>6200%</w:t>
            </w:r>
          </w:p>
        </w:tc>
        <w:tc>
          <w:tcPr>
            <w:tcW w:w="120" w:type="dxa"/>
            <w:vAlign w:val="bottom"/>
            <w:shd w:val="clear" w:color="auto" w:fill="CFF0FC"/>
          </w:tcPr>
          <w:p>
            <w:pPr>
              <w:spacing w:after="0"/>
              <w:rPr>
                <w:sz w:val="13"/>
                <w:szCs w:val="13"/>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2021 and December 31, 2020, we had cash and cash equivalents of $253.5 million and $73.5 million, respectively. Our principal use of cash is to fund our operations to support growth.</w:t>
      </w:r>
    </w:p>
    <w:p>
      <w:pPr>
        <w:spacing w:after="0" w:line="78"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In June 2020, we completed a follow-on public offering of our shares, resulting in net proceeds to us of $45.8 million after deducting underwriting discounts and commissions and deferred offering costs. We used the funds obtained to pay down all our outstanding debt. In February 2021, we completed an additional follow-on public offering of our shares, resulting in net proceeds to us of $181.6 million after deducting underwriting discounts and commissions and deferred offering costs.</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 Company canceled its $50.0 million credit facility with MUFG. We believe that our existing cash and cash equivalents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w w:val="95"/>
              </w:rPr>
              <w:t>Six Months Ended June 30,</w:t>
            </w: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7760" w:type="dxa"/>
            <w:vAlign w:val="bottom"/>
          </w:tcPr>
          <w:p>
            <w:pPr>
              <w:spacing w:after="0"/>
              <w:rPr>
                <w:sz w:val="8"/>
                <w:szCs w:val="8"/>
                <w:color w:val="auto"/>
              </w:rPr>
            </w:pPr>
          </w:p>
        </w:tc>
        <w:tc>
          <w:tcPr>
            <w:tcW w:w="1020" w:type="dxa"/>
            <w:vAlign w:val="bottom"/>
            <w:tcBorders>
              <w:bottom w:val="single" w:sz="8" w:color="auto"/>
            </w:tcBorders>
          </w:tcPr>
          <w:p>
            <w:pPr>
              <w:jc w:val="right"/>
              <w:ind w:right="92"/>
              <w:spacing w:after="0" w:line="97" w:lineRule="exact"/>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8"/>
                <w:szCs w:val="8"/>
                <w:color w:val="auto"/>
              </w:rPr>
            </w:pPr>
          </w:p>
        </w:tc>
      </w:tr>
      <w:tr>
        <w:trPr>
          <w:trHeight w:val="97"/>
        </w:trPr>
        <w:tc>
          <w:tcPr>
            <w:tcW w:w="7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80" w:type="dxa"/>
            <w:vAlign w:val="bottom"/>
            <w:gridSpan w:val="3"/>
          </w:tcPr>
          <w:p>
            <w:pPr>
              <w:jc w:val="right"/>
              <w:ind w:right="352"/>
              <w:spacing w:after="0" w:line="97" w:lineRule="exact"/>
              <w:rPr>
                <w:sz w:val="20"/>
                <w:szCs w:val="20"/>
                <w:color w:val="auto"/>
              </w:rPr>
            </w:pPr>
            <w:r>
              <w:rPr>
                <w:rFonts w:ascii="Arial" w:cs="Arial" w:eastAsia="Arial" w:hAnsi="Arial"/>
                <w:sz w:val="10"/>
                <w:szCs w:val="10"/>
                <w:b w:val="1"/>
                <w:bCs w:val="1"/>
                <w:color w:val="auto"/>
              </w:rPr>
              <w:t>(in thousands)</w:t>
            </w: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Net cash provided by operating activities</w:t>
            </w:r>
          </w:p>
        </w:tc>
        <w:tc>
          <w:tcPr>
            <w:tcW w:w="1020" w:type="dxa"/>
            <w:vAlign w:val="bottom"/>
            <w:shd w:val="clear" w:color="auto" w:fill="CFF0FC"/>
          </w:tcPr>
          <w:p>
            <w:pPr>
              <w:jc w:val="right"/>
              <w:ind w:right="91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10,390</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5,655</w:t>
            </w: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102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(11,965)</w:t>
            </w:r>
          </w:p>
        </w:tc>
        <w:tc>
          <w:tcPr>
            <w:tcW w:w="5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(2,881)</w:t>
            </w: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Net cash provided by financing activities</w:t>
            </w:r>
          </w:p>
        </w:tc>
        <w:tc>
          <w:tcPr>
            <w:tcW w:w="10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181,588</w:t>
            </w:r>
          </w:p>
        </w:tc>
        <w:tc>
          <w:tcPr>
            <w:tcW w:w="30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36,294</w:t>
            </w:r>
          </w:p>
        </w:tc>
        <w:tc>
          <w:tcPr>
            <w:tcW w:w="120" w:type="dxa"/>
            <w:vAlign w:val="bottom"/>
            <w:shd w:val="clear" w:color="auto" w:fill="CFF0FC"/>
          </w:tcPr>
          <w:p>
            <w:pPr>
              <w:spacing w:after="0"/>
              <w:rPr>
                <w:sz w:val="13"/>
                <w:szCs w:val="13"/>
                <w:color w:val="auto"/>
              </w:rPr>
            </w:pPr>
          </w:p>
        </w:tc>
      </w:tr>
      <w:tr>
        <w:trPr>
          <w:trHeight w:val="149"/>
        </w:trPr>
        <w:tc>
          <w:tcPr>
            <w:tcW w:w="7760" w:type="dxa"/>
            <w:vAlign w:val="bottom"/>
          </w:tcPr>
          <w:p>
            <w:pPr>
              <w:spacing w:after="0"/>
              <w:rPr>
                <w:sz w:val="20"/>
                <w:szCs w:val="20"/>
                <w:color w:val="auto"/>
              </w:rPr>
            </w:pPr>
            <w:r>
              <w:rPr>
                <w:rFonts w:ascii="Arial" w:cs="Arial" w:eastAsia="Arial" w:hAnsi="Arial"/>
                <w:sz w:val="12"/>
                <w:szCs w:val="12"/>
                <w:color w:val="auto"/>
              </w:rPr>
              <w:t>Net increase in cash and cash equivalents</w:t>
            </w:r>
          </w:p>
        </w:tc>
        <w:tc>
          <w:tcPr>
            <w:tcW w:w="1020" w:type="dxa"/>
            <w:vAlign w:val="bottom"/>
            <w:tcBorders>
              <w:bottom w:val="single" w:sz="8" w:color="auto"/>
            </w:tcBorders>
          </w:tcPr>
          <w:p>
            <w:pPr>
              <w:jc w:val="right"/>
              <w:ind w:right="9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180,013</w:t>
            </w:r>
          </w:p>
        </w:tc>
        <w:tc>
          <w:tcPr>
            <w:tcW w:w="300" w:type="dxa"/>
            <w:vAlign w:val="bottom"/>
          </w:tcPr>
          <w:p>
            <w:pPr>
              <w:spacing w:after="0"/>
              <w:rPr>
                <w:sz w:val="12"/>
                <w:szCs w:val="12"/>
                <w:color w:val="auto"/>
              </w:rPr>
            </w:pP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39,068</w:t>
            </w:r>
          </w:p>
        </w:tc>
        <w:tc>
          <w:tcPr>
            <w:tcW w:w="120" w:type="dxa"/>
            <w:vAlign w:val="bottom"/>
          </w:tcPr>
          <w:p>
            <w:pPr>
              <w:spacing w:after="0"/>
              <w:rPr>
                <w:sz w:val="12"/>
                <w:szCs w:val="1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78" w:lineRule="exact"/>
        <w:rPr>
          <w:sz w:val="20"/>
          <w:szCs w:val="20"/>
          <w:color w:val="auto"/>
        </w:rPr>
      </w:pPr>
    </w:p>
    <w:p>
      <w:pPr>
        <w:ind w:right="280"/>
        <w:spacing w:after="0" w:line="298" w:lineRule="auto"/>
        <w:rPr>
          <w:sz w:val="20"/>
          <w:szCs w:val="20"/>
          <w:color w:val="auto"/>
        </w:rPr>
      </w:pPr>
      <w:r>
        <w:rPr>
          <w:rFonts w:ascii="Arial" w:cs="Arial" w:eastAsia="Arial" w:hAnsi="Arial"/>
          <w:sz w:val="11"/>
          <w:szCs w:val="11"/>
          <w:color w:val="auto"/>
        </w:rPr>
        <w:t>In the six months ended June 30, 2021, net cash provided by operating activities of $10.4 million was primarily due to a net loss of $1.5 million and net increase in operating assets and liabilities of $5.8 million offset by non-cash expenses of $17.7 million. Non-cash expenses were mainly related to depreciation and amortization and stock-based compensation expense. Operating assets and liabilities increased primarily due to higher accounts payable due to timing of payments and higher accounts receivables due to timing of shipments partially offset by an increase in inventories as we managed our inventory levels for increased demand.</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In the six months ended June 30, 2020, net cash provided by operating activities of $5.7 million was primarily due to a net loss of $10.7 million offset by non-cash expenses of $9.7 million and a change in operating assets and liabilities of $6.7 million. Non-cash expenses were mainly related to depreciation and amortization, stock-based compensation expense, and non-cash operating lease costs. Operating assets and liabilities increased primarily due to lower accounts receivables and related party receivables due to timing of shipments and collections, lower prepaid expenses and other current assets related to advance payments to suppliers for inventory and higher accrued expenses and other liabilities due to timing of payments partially offset by an increase in inventories as we managed our inventory levels.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78"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9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In the six months ended June 30, 2021, net cash used in investing activities was $12.0 million. We paid $11.4 million largely to purchase test and other manufacturing equipment to support the increase in demand of our products and other property and equipment for general business purposes.</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 the six months ended June 30, 2020, net cash used in investing activities was approximately $2.9 million and consisted primarily of the purchase of production masks, internally developed software, and other property and equipment for general business purposes.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22" w:right="299" w:bottom="1440" w:gutter="0" w:footer="0" w:header="0"/>
        </w:sectPr>
      </w:pPr>
    </w:p>
    <w:bookmarkStart w:id="23" w:name="page24"/>
    <w:bookmarkEnd w:id="23"/>
    <w:p>
      <w:pPr>
        <w:ind w:left="8"/>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Cash provided by financing activities includes proceeds from borrowings under our credit facilities and proceeds from issuance of shares.</w:t>
      </w:r>
    </w:p>
    <w:p>
      <w:pPr>
        <w:spacing w:after="0" w:line="150"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In the six months ended June 30, 2021, net cash provided by financing activities was $181.6 million, consisting of proceeds from issuance of shares of $190.5 million net of underwriting commissions and discounts of $8.6 million and deferred offering costs of $0.3 million.</w:t>
      </w:r>
    </w:p>
    <w:p>
      <w:pPr>
        <w:spacing w:after="0" w:line="115" w:lineRule="exact"/>
        <w:rPr>
          <w:sz w:val="20"/>
          <w:szCs w:val="20"/>
          <w:color w:val="auto"/>
        </w:rPr>
      </w:pPr>
    </w:p>
    <w:p>
      <w:pPr>
        <w:ind w:left="8" w:right="100"/>
        <w:spacing w:after="0" w:line="263" w:lineRule="auto"/>
        <w:rPr>
          <w:sz w:val="20"/>
          <w:szCs w:val="20"/>
          <w:color w:val="auto"/>
        </w:rPr>
      </w:pPr>
      <w:r>
        <w:rPr>
          <w:rFonts w:ascii="Arial" w:cs="Arial" w:eastAsia="Arial" w:hAnsi="Arial"/>
          <w:sz w:val="12"/>
          <w:szCs w:val="12"/>
          <w:color w:val="auto"/>
        </w:rPr>
        <w:t>In the six months ended June 30, 2020 net cash provided by financing activities was $36.3 million, consisting of proceeds from issuance of shares of $45.8 million net of underwriting commissions and discounts of $2.7 million and deferred offering costs of $0.3 million and borrowings of $35.0 million offset by repayments of $41.0 million under our short-term revolving line of credit and $3.5 million payment of tax withholdings paid on behalf of employees for net share settlement at the time of vesting.</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82" w:lineRule="exact"/>
        <w:rPr>
          <w:sz w:val="20"/>
          <w:szCs w:val="20"/>
          <w:color w:val="auto"/>
        </w:rPr>
      </w:pPr>
    </w:p>
    <w:p>
      <w:pPr>
        <w:ind w:left="8"/>
        <w:spacing w:after="0" w:line="305" w:lineRule="auto"/>
        <w:rPr>
          <w:sz w:val="20"/>
          <w:szCs w:val="20"/>
          <w:color w:val="auto"/>
        </w:rPr>
      </w:pPr>
      <w:r>
        <w:rPr>
          <w:rFonts w:ascii="Arial" w:cs="Arial" w:eastAsia="Arial" w:hAnsi="Arial"/>
          <w:sz w:val="10"/>
          <w:szCs w:val="10"/>
          <w:color w:val="auto"/>
        </w:rPr>
        <w:t>Our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policies as policies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policies and estimates to be as follows: (1) revenue recognition;</w:t>
      </w:r>
    </w:p>
    <w:p>
      <w:pPr>
        <w:ind w:left="8" w:hanging="8"/>
        <w:spacing w:after="0" w:line="253" w:lineRule="auto"/>
        <w:tabs>
          <w:tab w:leader="none" w:pos="178" w:val="left"/>
        </w:tabs>
        <w:numPr>
          <w:ilvl w:val="0"/>
          <w:numId w:val="6"/>
        </w:numPr>
        <w:rPr>
          <w:rFonts w:ascii="Arial" w:cs="Arial" w:eastAsia="Arial" w:hAnsi="Arial"/>
          <w:sz w:val="12"/>
          <w:szCs w:val="12"/>
          <w:color w:val="auto"/>
        </w:rPr>
      </w:pPr>
      <w:r>
        <w:rPr>
          <w:rFonts w:ascii="Arial" w:cs="Arial" w:eastAsia="Arial" w:hAnsi="Arial"/>
          <w:sz w:val="12"/>
          <w:szCs w:val="12"/>
          <w:color w:val="auto"/>
        </w:rPr>
        <w:t>inventory; (3) stock-based compensation; (4) accounting for income taxes and (5) segment reporting.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policies and estimates in Management’s Discussion and Analysis of Financial Condition and Results of Operations, in our Annual Report on Form 10-K for the year ended December 31, 2020 filed with the SEC on February 16, 2021.</w:t>
      </w:r>
    </w:p>
    <w:p>
      <w:pPr>
        <w:spacing w:after="0" w:line="5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Foreign Currency Risk</w:t>
      </w:r>
    </w:p>
    <w:p>
      <w:pPr>
        <w:spacing w:after="0" w:line="78"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7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We had cash and cash equivalents of $253.5 million and $73.5 million as of June 30, 2021 and December 31, 2020, respectively, consisting of bank deposits. Such interest-earning instruments carry a degree of interest rate risk. To date, fluctuations in interest income have not been significant. The Company paid down all of its debt in 2020.</w:t>
      </w:r>
    </w:p>
    <w:p>
      <w:pPr>
        <w:spacing w:after="0" w:line="43"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4. Controls and Procedures.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Evaluation of Disclosure Controls and Procedures</w:t>
      </w:r>
      <w:r>
        <w:rPr>
          <w:rFonts w:ascii="Arial" w:cs="Arial" w:eastAsia="Arial" w:hAnsi="Arial"/>
          <w:sz w:val="12"/>
          <w:szCs w:val="12"/>
          <w:color w:val="auto"/>
        </w:rPr>
        <w:t>.</w:t>
      </w:r>
    </w:p>
    <w:p>
      <w:pPr>
        <w:spacing w:after="0" w:line="78" w:lineRule="exact"/>
        <w:rPr>
          <w:sz w:val="20"/>
          <w:szCs w:val="20"/>
          <w:color w:val="auto"/>
        </w:rPr>
      </w:pPr>
    </w:p>
    <w:p>
      <w:pPr>
        <w:jc w:val="both"/>
        <w:ind w:left="8" w:right="100"/>
        <w:spacing w:after="0" w:line="263" w:lineRule="auto"/>
        <w:rPr>
          <w:sz w:val="20"/>
          <w:szCs w:val="20"/>
          <w:color w:val="auto"/>
        </w:rPr>
      </w:pPr>
      <w:r>
        <w:rPr>
          <w:rFonts w:ascii="Arial" w:cs="Arial" w:eastAsia="Arial" w:hAnsi="Arial"/>
          <w:sz w:val="12"/>
          <w:szCs w:val="12"/>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w:t>
      </w:r>
    </w:p>
    <w:p>
      <w:pPr>
        <w:spacing w:after="0" w:line="1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491" w:right="319" w:bottom="1440" w:gutter="0" w:footer="0" w:header="0"/>
        </w:sectPr>
      </w:pPr>
    </w:p>
    <w:bookmarkStart w:id="24" w:name="page25"/>
    <w:bookmarkEnd w:id="24"/>
    <w:p>
      <w:pPr>
        <w:spacing w:after="0"/>
        <w:rPr>
          <w:sz w:val="20"/>
          <w:szCs w:val="20"/>
          <w:color w:val="auto"/>
        </w:rPr>
      </w:pPr>
      <w:r>
        <w:rPr>
          <w:rFonts w:ascii="Arial" w:cs="Arial" w:eastAsia="Arial" w:hAnsi="Arial"/>
          <w:sz w:val="12"/>
          <w:szCs w:val="12"/>
          <w:color w:val="auto"/>
        </w:rPr>
        <w:t>(principal executive officer) and Chief Financial Officer (principal financial officer), as appropriate, to allow for timely decisions regarding required disclosure.</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5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82"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There have been no changes in our internal control over financial reporting during the three months ended June 30, 2021 that have materially affected, or are reasonably likely to materially affect, our internal control over financial reporting.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2"/>
          <w:szCs w:val="12"/>
          <w:b w:val="1"/>
          <w:bCs w:val="1"/>
          <w:color w:val="auto"/>
        </w:rPr>
        <w:t>PART II—OTHER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required by this item is included in Note 10 of the Notes to Condensed Consolidated Financial Statements in Part I Item 1 of this Quarterly Report on Form 10-Q and is incorporated herein by reference.</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78" w:lineRule="exact"/>
        <w:rPr>
          <w:sz w:val="20"/>
          <w:szCs w:val="20"/>
          <w:color w:val="auto"/>
        </w:rPr>
      </w:pPr>
    </w:p>
    <w:p>
      <w:pPr>
        <w:ind w:right="40"/>
        <w:spacing w:after="0" w:line="266" w:lineRule="auto"/>
        <w:rPr>
          <w:sz w:val="20"/>
          <w:szCs w:val="20"/>
          <w:color w:val="auto"/>
        </w:rPr>
      </w:pPr>
      <w:r>
        <w:rPr>
          <w:rFonts w:ascii="Arial" w:cs="Arial" w:eastAsia="Arial" w:hAnsi="Arial"/>
          <w:sz w:val="12"/>
          <w:szCs w:val="12"/>
          <w:b w:val="1"/>
          <w:bCs w:val="1"/>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Our Industry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COVID-19 pandemic could adversely affect our business, results of operations, and financial condition.</w:t>
      </w:r>
    </w:p>
    <w:p>
      <w:pPr>
        <w:spacing w:after="0" w:line="87"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The effects of the ongoing COVID-19 pandemic on our business are evolving and difficult to predict. To date, the COVID-19 pandemic has significantly and negatively impacted the global economy and it is unclear how long the pandemic will continue to do so. To combat the spread of COVID-19, the United States and other foreign countries in which we operate have imposed measures such as quarantines and “shelter-in-place” orders that restrict business operations and travel and require individuals to work from home (“WFH”), which has impacted all aspects of our business as well as those of the third-parties we rely upon for our manufacturing, assembly, testing, shipping and other operations. The continuation of WFH and other restrictions for an extended period of time may negatively impact our productivity, product development, operations, sales and support, business and financial results. Among other things, the continued COVID-19 pandemic may result in:</w:t>
      </w:r>
    </w:p>
    <w:p>
      <w:pPr>
        <w:spacing w:after="0" w:line="2" w:lineRule="exact"/>
        <w:rPr>
          <w:sz w:val="20"/>
          <w:szCs w:val="20"/>
          <w:color w:val="auto"/>
        </w:rPr>
      </w:pPr>
    </w:p>
    <w:p>
      <w:pPr>
        <w:ind w:left="740" w:hanging="379"/>
        <w:spacing w:after="0"/>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a global economic recession or depression that could significantly reduce demand and/or prices for our products;</w:t>
      </w:r>
    </w:p>
    <w:p>
      <w:pPr>
        <w:spacing w:after="0" w:line="6" w:lineRule="exact"/>
        <w:rPr>
          <w:rFonts w:ascii="Arial" w:cs="Arial" w:eastAsia="Arial" w:hAnsi="Arial"/>
          <w:sz w:val="12"/>
          <w:szCs w:val="12"/>
          <w:color w:val="auto"/>
        </w:rPr>
      </w:pPr>
    </w:p>
    <w:p>
      <w:pPr>
        <w:ind w:left="740" w:hanging="379"/>
        <w:spacing w:after="0"/>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reduced productivity in our product development, operations, marketing, sales, and other activities;</w:t>
      </w:r>
    </w:p>
    <w:p>
      <w:pPr>
        <w:spacing w:after="0" w:line="6" w:lineRule="exact"/>
        <w:rPr>
          <w:rFonts w:ascii="Arial" w:cs="Arial" w:eastAsia="Arial" w:hAnsi="Arial"/>
          <w:sz w:val="12"/>
          <w:szCs w:val="12"/>
          <w:color w:val="auto"/>
        </w:rPr>
      </w:pPr>
    </w:p>
    <w:p>
      <w:pPr>
        <w:ind w:left="740" w:hanging="379"/>
        <w:spacing w:after="0"/>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disruptions to our supply chain;</w:t>
      </w:r>
    </w:p>
    <w:p>
      <w:pPr>
        <w:spacing w:after="0" w:line="6" w:lineRule="exact"/>
        <w:rPr>
          <w:rFonts w:ascii="Arial" w:cs="Arial" w:eastAsia="Arial" w:hAnsi="Arial"/>
          <w:sz w:val="12"/>
          <w:szCs w:val="12"/>
          <w:color w:val="auto"/>
        </w:rPr>
      </w:pPr>
    </w:p>
    <w:p>
      <w:pPr>
        <w:ind w:left="740" w:hanging="379"/>
        <w:spacing w:after="0"/>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increased costs resulting from WFH or from our efforts to mitigate the impact of the COVID-19 pandemic;</w:t>
      </w:r>
    </w:p>
    <w:p>
      <w:pPr>
        <w:spacing w:after="0" w:line="6" w:lineRule="exact"/>
        <w:rPr>
          <w:rFonts w:ascii="Arial" w:cs="Arial" w:eastAsia="Arial" w:hAnsi="Arial"/>
          <w:sz w:val="12"/>
          <w:szCs w:val="12"/>
          <w:color w:val="auto"/>
        </w:rPr>
      </w:pPr>
    </w:p>
    <w:p>
      <w:pPr>
        <w:ind w:left="740" w:hanging="379"/>
        <w:spacing w:after="0"/>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reduced access to financing to fund our operations due to a deterioration of credit and financial markets; or</w:t>
      </w:r>
    </w:p>
    <w:p>
      <w:pPr>
        <w:spacing w:after="0" w:line="6" w:lineRule="exact"/>
        <w:rPr>
          <w:rFonts w:ascii="Arial" w:cs="Arial" w:eastAsia="Arial" w:hAnsi="Arial"/>
          <w:sz w:val="12"/>
          <w:szCs w:val="12"/>
          <w:color w:val="auto"/>
        </w:rPr>
      </w:pPr>
    </w:p>
    <w:p>
      <w:pPr>
        <w:ind w:left="740" w:hanging="379"/>
        <w:spacing w:after="0"/>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higher rate of losses on our accounts receivables due to credit defaults.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26" w:name="page27"/>
    <w:bookmarkEnd w:id="26"/>
    <w:p>
      <w:pPr>
        <w:spacing w:after="0" w:line="263" w:lineRule="auto"/>
        <w:rPr>
          <w:sz w:val="20"/>
          <w:szCs w:val="20"/>
          <w:color w:val="auto"/>
        </w:rPr>
      </w:pPr>
      <w:r>
        <w:rPr>
          <w:rFonts w:ascii="Arial" w:cs="Arial" w:eastAsia="Arial" w:hAnsi="Arial"/>
          <w:sz w:val="12"/>
          <w:szCs w:val="12"/>
          <w:color w:val="auto"/>
        </w:rPr>
        <w:t>The COVID-19 pandemic has also caused significant uncertainty and volatility in global financial markets and the trading prices for the common stock of technology companies, including us.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spacing w:after="0" w:line="43"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As a result of the COVID pandemic, we believe we have experienced some delay and disruption in the manufacture, shipment, and sales of our products. In addition, we believe the production capabilities of our suppliers has been, and will likely continue to be, impacted as a result of quarantines, closures of production facilities, lack of supplies, or delays caused by restrictions on travel or WFH orders. Further, as WFH orders terminate and individuals return to work in offices, we may experience a reduction in demand for certain of our products that are incorporated in our customers’ products that experienced higher demand as a result of the increase in WFH during the COVID pandemic. The continued disruption in the manufacture, shipment and sales of our products may negatively and materially impact our operating results. The resumption of normal business operations after such disruptions may be delayed and a resurgence of COVID-19 could occur resulting in continued disruption to us, our suppliers, and/or our customers. As a result, the effects of the COVID-19 pandemic could have a material adverse impact on our business, results of operations and financial condition in the future.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downturn in the worldwide economy may harm our business.</w:t>
      </w:r>
    </w:p>
    <w:p>
      <w:pPr>
        <w:spacing w:after="0" w:line="7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COVID-19 pandemic could cause an extended downturn in the worldwide economy, which would likely result in reduced demand for our products and our customers’ products. Reduced demand for our products could result in significant decreases in sales and margins. In addition, the deterioration in credit markets could limit our ability to obtain external financing to fund our operations and capital expenditures. We may experience losses on our holdings of cash and investments due to failures of financial institutions and other parties. Adverse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third parties for our wafer fabrication, assembly, packaging and testing operations, which exposes us to certain risks that may harm our business.</w:t>
      </w:r>
    </w:p>
    <w:p>
      <w:pPr>
        <w:spacing w:after="0" w:line="7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materials.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56"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There are currently a number of industry-wide supply constraints affecting the supply of analog circuits manufactured by certain foundries, including TSMC, which has limited and may continue to limit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43"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27" w:name="page28"/>
    <w:bookmarkEnd w:id="27"/>
    <w:p>
      <w:pPr>
        <w:ind w:right="20"/>
        <w:spacing w:after="0" w:line="283" w:lineRule="auto"/>
        <w:rPr>
          <w:sz w:val="20"/>
          <w:szCs w:val="20"/>
          <w:color w:val="auto"/>
        </w:rPr>
      </w:pPr>
      <w:r>
        <w:rPr>
          <w:rFonts w:ascii="Arial" w:cs="Arial" w:eastAsia="Arial" w:hAnsi="Arial"/>
          <w:sz w:val="11"/>
          <w:szCs w:val="11"/>
          <w:color w:val="auto"/>
        </w:rPr>
        <w:t>We currently rely on Advanced Semiconductor Engineering, Inc. (“ASE”), Carsem (M) Sdn. Bhd. (“Carsem”), and United Test and Assembly Center Ltd. (“UTAC”) for assembly and testing, as well as Daishinku Corp. (“Daishinku”) and UTAC for ceramic packaging for some of our products. 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For example, in March 2020, the government of Malaysia announced measures to restrict movement in that country in an effort to suppress the number of COVID-19 cases. The restrictions have been extended several times. Restrictions like these could limit our suppliers’ ability to operate their manufacturing facilities.</w:t>
      </w:r>
    </w:p>
    <w:p>
      <w:pPr>
        <w:spacing w:after="0" w:line="41"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Although we maintain business disruption insurance, this insurance may not be adequate to cover any losses we may experience as a result of such difficulties. 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six-month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w:t>
      </w:r>
    </w:p>
    <w:p>
      <w:pPr>
        <w:spacing w:after="0" w:line="56"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 In addition, the inability of our customers or their contract manufacturers to obtain sufficient supplies of third-party components used with our products could result in a decline in the demand of our products and a loss of sales.</w:t>
      </w:r>
    </w:p>
    <w:p>
      <w:pPr>
        <w:spacing w:after="0" w:line="266"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43" w:lineRule="exact"/>
        <w:rPr>
          <w:sz w:val="20"/>
          <w:szCs w:val="20"/>
          <w:color w:val="auto"/>
        </w:rPr>
      </w:pPr>
    </w:p>
    <w:p>
      <w:pPr>
        <w:ind w:right="20"/>
        <w:spacing w:after="0" w:line="278" w:lineRule="auto"/>
        <w:rPr>
          <w:sz w:val="20"/>
          <w:szCs w:val="20"/>
          <w:color w:val="auto"/>
        </w:rPr>
      </w:pPr>
      <w:r>
        <w:rPr>
          <w:rFonts w:ascii="Arial" w:cs="Arial" w:eastAsia="Arial" w:hAnsi="Arial"/>
          <w:sz w:val="11"/>
          <w:szCs w:val="11"/>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15%, 25%, 26% and 30% of our revenue for the three and six months ended June 30, 2021 and 2020, respectively. Revenue attributable to this end customer decreased in absolute dollars and as a percentage of revenue from 2019 to 2020 and increased in absolute dollars but decreased as a percentage of revenue from three and six months ended June 30, 2020 to 2021.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47"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8" w:name="page29"/>
    <w:bookmarkEnd w:id="28"/>
    <w:p>
      <w:pPr>
        <w:spacing w:after="0" w:line="263" w:lineRule="auto"/>
        <w:rPr>
          <w:sz w:val="20"/>
          <w:szCs w:val="20"/>
          <w:color w:val="auto"/>
        </w:rPr>
      </w:pPr>
      <w:r>
        <w:rPr>
          <w:rFonts w:ascii="Arial" w:cs="Arial" w:eastAsia="Arial" w:hAnsi="Arial"/>
          <w:sz w:val="12"/>
          <w:szCs w:val="12"/>
          <w:color w:val="auto"/>
        </w:rPr>
        <w:t>Our end customers, or the distributors through which we sell to these customers, may choose to use products in addition to ours, use a different product altogether, or develop an in-house solution.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expand or further diversify our customer base, our business, financial condition, and results of operations could suffer.</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We sell our products primarily through distributors and resellers, who in turn sell to our end customers. For the three and six months ended June 30, 2021 and 2020, our top three distributors by revenue together accounted for approximately 46%, 53%, 51%, and 54% of our revenue, respectively. Based on our shipment information, we believe that revenue attributable to our ten largest end customers accounted for 47%, 51%, 50%, and 51% of our revenue in the three and six months ended June 30, 2021 and 2020, respectively. Sales attributable to our largest end customer accounted for approximately 15%, 25%, 26%, and 30%, respectively of our revenue for the three and six months ended June 30, 2021 and 2020,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5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43"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revenue and operating results may fluctuate from period to period, which could cause our stock price to fluctuate.</w:t>
      </w:r>
    </w:p>
    <w:p>
      <w:pPr>
        <w:spacing w:after="0" w:line="78"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ASP changes. We may not be able to sustain our ASP increases in the future. Factors relating to our business that may contribute to fluctuations in our operating results include the following factors, as well as other factors described elsewhere in this report:</w:t>
      </w:r>
    </w:p>
    <w:p>
      <w:pPr>
        <w:spacing w:after="0" w:line="50" w:lineRule="exact"/>
        <w:rPr>
          <w:sz w:val="20"/>
          <w:szCs w:val="20"/>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impact of the COVID-19 pandemic on our business, suppliers, and customers;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customer demand and product life cycles;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receipt, reduction, or cancellation of, or changes in the forecasts or timing of, orders by customers;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fluctuations in the levels of inventories held by our distributors or end customers;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gain or loss of significant customers;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supply chain disruptions, delays, shortages, and capacity limitations as a result of the COVID-19 pandemic or other reasons;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market acceptance of our products and our customers’ products;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ability to develop, introduce, and market new products and technologies on a timely basis;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timing and extent of product development costs;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new product announcements and introductions by us or our competitors;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research and development costs and related new product expenditures and our ability to achieve cost reductions in a timely or predictable manner;</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seasonality and fluctuations in sales by product manufacturers that incorporate our silicon timing systems solutions into their products;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29" w:name="page30"/>
    <w:bookmarkEnd w:id="29"/>
    <w:p>
      <w:pPr>
        <w:ind w:left="1100" w:hanging="739"/>
        <w:spacing w:after="0"/>
        <w:tabs>
          <w:tab w:leader="none" w:pos="1100" w:val="left"/>
        </w:tabs>
        <w:numPr>
          <w:ilvl w:val="0"/>
          <w:numId w:val="9"/>
        </w:numPr>
        <w:rPr>
          <w:rFonts w:ascii="Arial" w:cs="Arial" w:eastAsia="Arial" w:hAnsi="Arial"/>
          <w:sz w:val="12"/>
          <w:szCs w:val="12"/>
          <w:color w:val="auto"/>
        </w:rPr>
      </w:pPr>
      <w:r>
        <w:rPr>
          <w:rFonts w:ascii="Arial" w:cs="Arial" w:eastAsia="Arial" w:hAnsi="Arial"/>
          <w:sz w:val="12"/>
          <w:szCs w:val="12"/>
          <w:color w:val="auto"/>
        </w:rPr>
        <w:t>end-market demand into which we have limited insight, including cyclicality, seasonality, and the competitive landscape;</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9"/>
        </w:numPr>
        <w:rPr>
          <w:rFonts w:ascii="Arial" w:cs="Arial" w:eastAsia="Arial" w:hAnsi="Arial"/>
          <w:sz w:val="12"/>
          <w:szCs w:val="12"/>
          <w:color w:val="auto"/>
        </w:rPr>
      </w:pPr>
      <w:r>
        <w:rPr>
          <w:rFonts w:ascii="Arial" w:cs="Arial" w:eastAsia="Arial" w:hAnsi="Arial"/>
          <w:sz w:val="12"/>
          <w:szCs w:val="12"/>
          <w:color w:val="auto"/>
        </w:rPr>
        <w:t>cyclical fluctuations in the semiconductor market;</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9"/>
        </w:numPr>
        <w:rPr>
          <w:rFonts w:ascii="Arial" w:cs="Arial" w:eastAsia="Arial" w:hAnsi="Arial"/>
          <w:sz w:val="12"/>
          <w:szCs w:val="12"/>
          <w:color w:val="auto"/>
        </w:rPr>
      </w:pPr>
      <w:r>
        <w:rPr>
          <w:rFonts w:ascii="Arial" w:cs="Arial" w:eastAsia="Arial" w:hAnsi="Arial"/>
          <w:sz w:val="12"/>
          <w:szCs w:val="12"/>
          <w:color w:val="auto"/>
        </w:rPr>
        <w:t>fluctuations in our manufacturing yields;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9"/>
        </w:numPr>
        <w:rPr>
          <w:rFonts w:ascii="Arial" w:cs="Arial" w:eastAsia="Arial" w:hAnsi="Arial"/>
          <w:sz w:val="12"/>
          <w:szCs w:val="12"/>
          <w:color w:val="auto"/>
        </w:rPr>
      </w:pPr>
      <w:r>
        <w:rPr>
          <w:rFonts w:ascii="Arial" w:cs="Arial" w:eastAsia="Arial" w:hAnsi="Arial"/>
          <w:sz w:val="12"/>
          <w:szCs w:val="12"/>
          <w:color w:val="auto"/>
        </w:rPr>
        <w:t>significant warranty claims, including those not covered by our suppliers; and</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our pricing, product cost, and product mix.</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As a result of these and other factors, you should not rely on the results of any prior quarterly or annual periods, or any historical trends reflected in such results, as indications of our future revenue or operating performance.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Fluctuations in our revenue and operating results could cause our stock price to decline and, as a result, you may lose some or all of your investment.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an accumulated deficit and have incurred net losses in the past, and we may continue to incur net losses in the future.</w:t>
      </w:r>
    </w:p>
    <w:p>
      <w:pPr>
        <w:spacing w:after="0" w:line="7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As of June 30, 2021, and December 31, 2020, we had an accumulated deficit of $64.9 million and $63.4 million, respectively. We generated net losses of $1.5 million and $5.1 million in the six months ended June 30, 2021 and 2020, respectively. We may continue to incur net losses in the future.</w:t>
      </w:r>
    </w:p>
    <w:p>
      <w:pPr>
        <w:spacing w:after="0" w:line="43"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We expect to continue to make significant investments to support our research and development, sales and marketing and general and administrative functions. As a public company, we also continue to incur significant additional legal, accounting, and other expenses. If our revenue growth does not exceed the growth of these anticipated expenses, we may not be able to achieve or sustain profitability, and our stock price could decline.</w:t>
      </w:r>
    </w:p>
    <w:p>
      <w:pPr>
        <w:spacing w:after="0" w:line="2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43"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4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Arial" w:cs="Arial" w:eastAsia="Arial" w:hAnsi="Arial"/>
          <w:sz w:val="12"/>
          <w:szCs w:val="12"/>
          <w:b w:val="1"/>
          <w:bCs w:val="1"/>
          <w:i w:val="1"/>
          <w:iCs w:val="1"/>
          <w:color w:val="auto"/>
        </w:rPr>
        <w:t>.</w:t>
      </w:r>
    </w:p>
    <w:p>
      <w:pPr>
        <w:spacing w:after="0" w:line="4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43"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0" w:name="page31"/>
    <w:bookmarkEnd w:id="30"/>
    <w:p>
      <w:pPr>
        <w:ind w:right="60"/>
        <w:spacing w:after="0" w:line="276" w:lineRule="auto"/>
        <w:rPr>
          <w:sz w:val="20"/>
          <w:szCs w:val="20"/>
          <w:color w:val="auto"/>
        </w:rPr>
      </w:pPr>
      <w:r>
        <w:rPr>
          <w:rFonts w:ascii="Arial" w:cs="Arial" w:eastAsia="Arial" w:hAnsi="Arial"/>
          <w:sz w:val="12"/>
          <w:szCs w:val="12"/>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78" w:lineRule="exact"/>
        <w:rPr>
          <w:sz w:val="20"/>
          <w:szCs w:val="20"/>
          <w:color w:val="auto"/>
        </w:rPr>
      </w:pPr>
    </w:p>
    <w:p>
      <w:pPr>
        <w:ind w:right="140"/>
        <w:spacing w:after="0" w:line="254" w:lineRule="auto"/>
        <w:rPr>
          <w:sz w:val="20"/>
          <w:szCs w:val="20"/>
          <w:color w:val="auto"/>
        </w:rPr>
      </w:pPr>
      <w:r>
        <w:rPr>
          <w:rFonts w:ascii="Arial" w:cs="Arial" w:eastAsia="Arial" w:hAnsi="Arial"/>
          <w:sz w:val="12"/>
          <w:szCs w:val="12"/>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58"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43" w:lineRule="exact"/>
        <w:rPr>
          <w:sz w:val="20"/>
          <w:szCs w:val="20"/>
          <w:color w:val="auto"/>
        </w:rPr>
      </w:pPr>
    </w:p>
    <w:p>
      <w:pPr>
        <w:ind w:right="100"/>
        <w:spacing w:after="0" w:line="320" w:lineRule="auto"/>
        <w:rPr>
          <w:sz w:val="20"/>
          <w:szCs w:val="20"/>
          <w:color w:val="auto"/>
        </w:rPr>
      </w:pPr>
      <w:r>
        <w:rPr>
          <w:rFonts w:ascii="Arial" w:cs="Arial" w:eastAsia="Arial" w:hAnsi="Arial"/>
          <w:sz w:val="10"/>
          <w:szCs w:val="10"/>
          <w:color w:val="auto"/>
        </w:rPr>
        <w:t>Our target markets include the enterprise and telecommunications infrastructure, automotive, industrial, IoT and mobile, and aerospace and defense markets. Substantially all of our revenue for the three and six months ended June 30, 2021 and 2020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2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average selling prices of our individual products have fluctuated historically over time and may do so in the future, which could harm our revenue and gross margins.</w:t>
      </w:r>
    </w:p>
    <w:p>
      <w:pPr>
        <w:spacing w:after="0" w:line="78"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fluctuating over the shorter term, we expect average selling prices generally to decline over the longer term as our products and our end customers’ products mature.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1" w:name="page32"/>
    <w:bookmarkEnd w:id="31"/>
    <w:p>
      <w:pPr>
        <w:ind w:right="100"/>
        <w:spacing w:after="0" w:line="263" w:lineRule="auto"/>
        <w:rPr>
          <w:sz w:val="20"/>
          <w:szCs w:val="20"/>
          <w:color w:val="auto"/>
        </w:rPr>
      </w:pPr>
      <w:r>
        <w:rPr>
          <w:rFonts w:ascii="Arial" w:cs="Arial" w:eastAsia="Arial" w:hAnsi="Arial"/>
          <w:sz w:val="12"/>
          <w:szCs w:val="12"/>
          <w:color w:val="auto"/>
        </w:rPr>
        <w:t>We seek to offset the anticipated reductions in our average selling prices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not able to successfully introduce and ship in volume new products in a timely manner, our business and revenue will suffer.</w:t>
      </w:r>
    </w:p>
    <w:p>
      <w:pPr>
        <w:spacing w:after="0" w:line="78" w:lineRule="exact"/>
        <w:rPr>
          <w:sz w:val="20"/>
          <w:szCs w:val="20"/>
          <w:color w:val="auto"/>
        </w:rPr>
      </w:pPr>
    </w:p>
    <w:p>
      <w:pPr>
        <w:ind w:right="80"/>
        <w:spacing w:after="0" w:line="340" w:lineRule="auto"/>
        <w:rPr>
          <w:sz w:val="20"/>
          <w:szCs w:val="20"/>
          <w:color w:val="auto"/>
        </w:rPr>
      </w:pPr>
      <w:r>
        <w:rPr>
          <w:rFonts w:ascii="Arial" w:cs="Arial" w:eastAsia="Arial" w:hAnsi="Arial"/>
          <w:sz w:val="10"/>
          <w:szCs w:val="10"/>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gross margins may fluctuate due to a variety of factors, which could negatively impact our results of operations and our financial condition.</w:t>
      </w:r>
    </w:p>
    <w:p>
      <w:pPr>
        <w:spacing w:after="0" w:line="7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4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50"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Because we do not operate our own manufacturing, assembly, or testing facilities, we may not be able to reduce our costs as rapidly as companies that operate their own facilities, and our costs may even increase, which could further reduce our gross margins.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52"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revenue in recent periods may not be indicative of future performance and our revenue may fluctuate over time.</w:t>
      </w:r>
    </w:p>
    <w:p>
      <w:pPr>
        <w:spacing w:after="0" w:line="78" w:lineRule="exact"/>
        <w:rPr>
          <w:sz w:val="20"/>
          <w:szCs w:val="20"/>
          <w:color w:val="auto"/>
        </w:rPr>
      </w:pPr>
    </w:p>
    <w:p>
      <w:pPr>
        <w:ind w:right="280"/>
        <w:spacing w:after="0" w:line="259" w:lineRule="auto"/>
        <w:rPr>
          <w:sz w:val="20"/>
          <w:szCs w:val="20"/>
          <w:color w:val="auto"/>
        </w:rPr>
      </w:pPr>
      <w:r>
        <w:rPr>
          <w:rFonts w:ascii="Arial" w:cs="Arial" w:eastAsia="Arial" w:hAnsi="Arial"/>
          <w:sz w:val="12"/>
          <w:szCs w:val="12"/>
          <w:color w:val="auto"/>
        </w:rPr>
        <w:t>Our recent revenue should not be considered indicative of our future performance. For the three and six months ended June 30, 2021 and 2020, our revenue was $44.5 million, $80.0 million, $21.5 million, and $43.2 million,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a decrease in the growth of our overall market or market saturation, and challenges and our failure to capitalize on growth opportunities.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manage our growth effectively, we may not be able to execute our business plan and our operating results could suffer.</w:t>
      </w:r>
    </w:p>
    <w:p>
      <w:pPr>
        <w:spacing w:after="0" w:line="7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2" w:name="page33"/>
    <w:bookmarkEnd w:id="32"/>
    <w:p>
      <w:pPr>
        <w:spacing w:after="0" w:line="256" w:lineRule="auto"/>
        <w:rPr>
          <w:sz w:val="20"/>
          <w:szCs w:val="20"/>
          <w:color w:val="auto"/>
        </w:rPr>
      </w:pPr>
      <w:r>
        <w:rPr>
          <w:rFonts w:ascii="Arial" w:cs="Arial" w:eastAsia="Arial" w:hAnsi="Arial"/>
          <w:sz w:val="12"/>
          <w:szCs w:val="12"/>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56"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43" w:lineRule="exact"/>
        <w:rPr>
          <w:sz w:val="20"/>
          <w:szCs w:val="20"/>
          <w:color w:val="auto"/>
        </w:rPr>
      </w:pPr>
    </w:p>
    <w:p>
      <w:pPr>
        <w:ind w:right="100"/>
        <w:spacing w:after="0" w:line="316" w:lineRule="auto"/>
        <w:rPr>
          <w:sz w:val="20"/>
          <w:szCs w:val="20"/>
          <w:color w:val="auto"/>
        </w:rPr>
      </w:pPr>
      <w:r>
        <w:rPr>
          <w:rFonts w:ascii="Arial" w:cs="Arial" w:eastAsia="Arial" w:hAnsi="Arial"/>
          <w:sz w:val="10"/>
          <w:szCs w:val="10"/>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provide a lifetime warranty on our products and may be subject to warranty or product liability claims, which could result in unexpected expenses and loss of market share.</w:t>
      </w:r>
    </w:p>
    <w:p>
      <w:pPr>
        <w:spacing w:after="0" w:line="7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We provide a lifetime warranty on our products and generally agree to indemnify our customers for defects in our products or failure of our products to meet our product specifications.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5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Our silicon timing systems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Defects in our products or failures to meet product specifications could harm our relationships with our customers and damage our reputation.</w:t>
      </w:r>
    </w:p>
    <w:p>
      <w:pPr>
        <w:spacing w:after="0" w:line="78"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101"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3" w:name="page34"/>
    <w:bookmarkEnd w:id="33"/>
    <w:p>
      <w:pPr>
        <w:spacing w:after="0"/>
        <w:rPr>
          <w:sz w:val="20"/>
          <w:szCs w:val="20"/>
          <w:color w:val="auto"/>
        </w:rPr>
      </w:pPr>
      <w:r>
        <w:rPr>
          <w:rFonts w:ascii="Arial" w:cs="Arial" w:eastAsia="Arial" w:hAnsi="Arial"/>
          <w:sz w:val="12"/>
          <w:szCs w:val="12"/>
          <w:color w:val="auto"/>
        </w:rPr>
        <w:t>technological shifts or otherwise, could result in the loss of customers and decreased revenue and have an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9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43" w:lineRule="exact"/>
        <w:rPr>
          <w:sz w:val="20"/>
          <w:szCs w:val="20"/>
          <w:color w:val="auto"/>
        </w:rPr>
      </w:pPr>
    </w:p>
    <w:p>
      <w:pPr>
        <w:ind w:right="180"/>
        <w:spacing w:after="0" w:line="255" w:lineRule="auto"/>
        <w:rPr>
          <w:sz w:val="20"/>
          <w:szCs w:val="20"/>
          <w:color w:val="auto"/>
        </w:rPr>
      </w:pPr>
      <w:r>
        <w:rPr>
          <w:rFonts w:ascii="Arial" w:cs="Arial" w:eastAsia="Arial" w:hAnsi="Arial"/>
          <w:sz w:val="12"/>
          <w:szCs w:val="12"/>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unable to make the substantial investments that are required to remain competitive in our business.</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compete effectively, we may lose or fail to gain market share, which could negatively impact our operating results and our business.</w:t>
      </w:r>
    </w:p>
    <w:p>
      <w:pPr>
        <w:spacing w:after="0" w:line="78" w:lineRule="exact"/>
        <w:rPr>
          <w:sz w:val="20"/>
          <w:szCs w:val="20"/>
          <w:color w:val="auto"/>
        </w:rPr>
      </w:pPr>
    </w:p>
    <w:p>
      <w:pPr>
        <w:ind w:right="20"/>
        <w:spacing w:after="0" w:line="309" w:lineRule="auto"/>
        <w:rPr>
          <w:sz w:val="20"/>
          <w:szCs w:val="20"/>
          <w:color w:val="auto"/>
        </w:rPr>
      </w:pPr>
      <w:r>
        <w:rPr>
          <w:rFonts w:ascii="Arial" w:cs="Arial" w:eastAsia="Arial" w:hAnsi="Arial"/>
          <w:sz w:val="10"/>
          <w:szCs w:val="10"/>
          <w:color w:val="auto"/>
        </w:rPr>
        <w:t>The global semiconductor market in general, and the timing IC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and quartz products to smaller companies, including start-ups,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Skyworks Solutions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as well as semiconductor suppliers such as Skyworks Solutions Inc. In the Aerospace-defense market for oscillators, we also typically complete against, small, specialized companies that offer quartz-based solutions for various applications.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31"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 caused by the current COVID-19 pandemic, in the future and significantly reduce their pricing so as to compete against us. Our ability to compete successfully will depend on a number of factors, including:</w:t>
      </w:r>
    </w:p>
    <w:p>
      <w:pPr>
        <w:spacing w:after="0" w:line="52" w:lineRule="exact"/>
        <w:rPr>
          <w:sz w:val="20"/>
          <w:szCs w:val="20"/>
          <w:color w:val="auto"/>
        </w:rPr>
      </w:pPr>
    </w:p>
    <w:p>
      <w:pPr>
        <w:ind w:left="1100" w:hanging="739"/>
        <w:spacing w:after="0"/>
        <w:tabs>
          <w:tab w:leader="none" w:pos="11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define, design, and regularly introduce new products that anticipate the functionality and integration needs of our customers’ next-generation products and applications;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build strong and long-lasting relationships with our customers and other industry participants;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capitalize on, and prevent losses due to, vertical integration by significant customers;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4" w:name="page35"/>
    <w:bookmarkEnd w:id="34"/>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solutions’ performance and cost-effectiveness relative to those of competing products;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achieve design wins;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effectiveness and success of our customers’ products utilizing our solutions within their competitive end markets;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research and development capabilities to provide innovative solutions and maintain our product roadmap;</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strength of our sales and marketing efforts, including those of our distributors, and our brand awareness and reputation;</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secure capacity with our foundry and assembly partners to manufacture and assemble our products;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deliver products in volume on a timely basis at competitive prices;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withstand or respond to significant price competition;</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build and expand international operations in a cost-effective manner;</w:t>
      </w:r>
    </w:p>
    <w:p>
      <w:pPr>
        <w:spacing w:after="0" w:line="78" w:lineRule="exact"/>
        <w:rPr>
          <w:rFonts w:ascii="Arial" w:cs="Arial" w:eastAsia="Arial" w:hAnsi="Arial"/>
          <w:sz w:val="12"/>
          <w:szCs w:val="12"/>
          <w:color w:val="auto"/>
        </w:rPr>
      </w:pPr>
    </w:p>
    <w:p>
      <w:pPr>
        <w:ind w:left="1100" w:right="180" w:hanging="739"/>
        <w:spacing w:after="0" w:line="276" w:lineRule="auto"/>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obtain, maintain, protect, and enforce our intellectual property rights, including obtaining intellectual property rights from third-parties that may be necessary to meet the evolving demands of the market;</w:t>
      </w:r>
    </w:p>
    <w:p>
      <w:pPr>
        <w:spacing w:after="0" w:line="42"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defend potential patent infringement claims arising from third-parties;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promote and support our customers’ incorporation of our solutions into their products; and</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retain high-level talent, including our management team and engineers.</w:t>
      </w:r>
    </w:p>
    <w:p>
      <w:pPr>
        <w:spacing w:after="0" w:line="78" w:lineRule="exact"/>
        <w:rPr>
          <w:sz w:val="20"/>
          <w:szCs w:val="20"/>
          <w:color w:val="auto"/>
        </w:rPr>
      </w:pPr>
    </w:p>
    <w:p>
      <w:pPr>
        <w:ind w:right="80"/>
        <w:spacing w:after="0" w:line="340" w:lineRule="auto"/>
        <w:rPr>
          <w:sz w:val="20"/>
          <w:szCs w:val="20"/>
          <w:color w:val="auto"/>
        </w:rPr>
      </w:pPr>
      <w:r>
        <w:rPr>
          <w:rFonts w:ascii="Arial" w:cs="Arial" w:eastAsia="Arial" w:hAnsi="Arial"/>
          <w:sz w:val="10"/>
          <w:szCs w:val="10"/>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90" w:lineRule="exact"/>
        <w:rPr>
          <w:sz w:val="20"/>
          <w:szCs w:val="20"/>
          <w:color w:val="auto"/>
        </w:rPr>
      </w:pPr>
    </w:p>
    <w:p>
      <w:pPr>
        <w:jc w:val="both"/>
        <w:ind w:right="260"/>
        <w:spacing w:after="0" w:line="298" w:lineRule="auto"/>
        <w:rPr>
          <w:sz w:val="20"/>
          <w:szCs w:val="20"/>
          <w:color w:val="auto"/>
        </w:rPr>
      </w:pPr>
      <w:r>
        <w:rPr>
          <w:rFonts w:ascii="Arial" w:cs="Arial" w:eastAsia="Arial" w:hAnsi="Arial"/>
          <w:sz w:val="11"/>
          <w:szCs w:val="11"/>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company culture has contributed to our success and if we cannot maintain this culture as we grow, our business could be harmed.</w:t>
      </w:r>
    </w:p>
    <w:p>
      <w:pPr>
        <w:spacing w:after="0" w:line="78"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43" w:lineRule="exact"/>
        <w:rPr>
          <w:sz w:val="20"/>
          <w:szCs w:val="20"/>
          <w:color w:val="auto"/>
        </w:rPr>
      </w:pPr>
    </w:p>
    <w:p>
      <w:pPr>
        <w:ind w:left="1100" w:hanging="739"/>
        <w:spacing w:after="0"/>
        <w:tabs>
          <w:tab w:leader="none" w:pos="11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failure to identify, attract, reward, and retain people in leadership positions in our organization who share and further our culture, values, and mission;</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increasing size and geographic diversity of our workforce;</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competitive pressures to move in directions that may divert us from our mission, vision, and values;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491" w:right="339" w:bottom="1440" w:gutter="0" w:footer="0" w:header="0"/>
        </w:sectPr>
      </w:pPr>
    </w:p>
    <w:bookmarkStart w:id="35" w:name="page36"/>
    <w:bookmarkEnd w:id="35"/>
    <w:p>
      <w:pPr>
        <w:ind w:left="1100" w:hanging="739"/>
        <w:spacing w:after="0"/>
        <w:tabs>
          <w:tab w:leader="none" w:pos="11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continued challenges of a rapidly-evolving industry; and</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increasing need to develop expertise in new areas of business that affect us.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we are not able to maintain our culture, our business, financial condition, and results of operations could be adversely affected.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foundries with which we contract do not achieve satisfactory yields or quality, our reputation and customer relationships could be harmed.</w:t>
      </w:r>
    </w:p>
    <w:p>
      <w:pPr>
        <w:spacing w:after="0" w:line="7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43"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Raw material price fluctuations have in the past and may in the future increase the cost of our products, impact our ability to meet customer commitments, and may adversely affect our results of operations.</w:t>
      </w:r>
    </w:p>
    <w:p>
      <w:pPr>
        <w:spacing w:after="0" w:line="90" w:lineRule="exact"/>
        <w:rPr>
          <w:sz w:val="20"/>
          <w:szCs w:val="20"/>
          <w:color w:val="auto"/>
        </w:rPr>
      </w:pPr>
    </w:p>
    <w:p>
      <w:pPr>
        <w:ind w:right="60"/>
        <w:spacing w:after="0" w:line="326" w:lineRule="auto"/>
        <w:rPr>
          <w:sz w:val="20"/>
          <w:szCs w:val="20"/>
          <w:color w:val="auto"/>
        </w:rPr>
      </w:pPr>
      <w:r>
        <w:rPr>
          <w:rFonts w:ascii="Arial" w:cs="Arial" w:eastAsia="Arial" w:hAnsi="Arial"/>
          <w:sz w:val="10"/>
          <w:szCs w:val="10"/>
          <w:color w:val="auto"/>
        </w:rPr>
        <w:t>The cost of raw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95"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50"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43"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the cyclical nature of the semiconductor industry.</w:t>
      </w:r>
    </w:p>
    <w:p>
      <w:pPr>
        <w:spacing w:after="0" w:line="78"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global recessions. These downturns have been characterized by diminished product demand, production overcapacity, high inventory levels, and accelerated erosion of average selling prices. Any downturns in the semiconductor industry could harm our business, financial condition, and results of operations. Furthermore, any significant upturn in the semiconductor industry could result in increased competition for access to third-party foundry and assembly capacity. We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491" w:right="339" w:bottom="1440" w:gutter="0" w:footer="0" w:header="0"/>
        </w:sectPr>
      </w:pPr>
    </w:p>
    <w:bookmarkStart w:id="36" w:name="page37"/>
    <w:bookmarkEnd w:id="36"/>
    <w:p>
      <w:pPr>
        <w:spacing w:after="0"/>
        <w:rPr>
          <w:sz w:val="20"/>
          <w:szCs w:val="20"/>
          <w:color w:val="auto"/>
        </w:rPr>
      </w:pPr>
      <w:r>
        <w:rPr>
          <w:rFonts w:ascii="Arial" w:cs="Arial" w:eastAsia="Arial" w:hAnsi="Arial"/>
          <w:sz w:val="12"/>
          <w:szCs w:val="12"/>
          <w:color w:val="auto"/>
        </w:rPr>
        <w:t>dependent on the availability of this capacity to manufacture and assemble our products and we can provide no assurance that adequate capacity will be available to us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doubtful accounts. However, the extent of the COVID-19 pandemic’s impact on credit and financial markets is unknown, which creates uncertainty as to the financial condition of our distributors and customers. Based on our review of our customers annually and as of June 30, 2021, substantially all of which are large distributors, resellers, OEMs, and system manufacturers, we had a $0.1 million and $0.1 million for doubtful accounts as of June 30, 2021 and December 31, 2020, respectively. If our doubtful accounts, however, were to exceed our current or future allowance for doubtful accounts, our business, financial condition, and results of operations would be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accurately predict our future capital needs, and we may not be able to obtain additional financing to fund our operations.</w:t>
      </w:r>
    </w:p>
    <w:p>
      <w:pPr>
        <w:spacing w:after="0" w:line="78" w:lineRule="exact"/>
        <w:rPr>
          <w:sz w:val="20"/>
          <w:szCs w:val="20"/>
          <w:color w:val="auto"/>
        </w:rPr>
      </w:pPr>
    </w:p>
    <w:p>
      <w:pPr>
        <w:ind w:right="120"/>
        <w:spacing w:after="0" w:line="285" w:lineRule="auto"/>
        <w:rPr>
          <w:sz w:val="20"/>
          <w:szCs w:val="20"/>
          <w:color w:val="auto"/>
        </w:rPr>
      </w:pPr>
      <w:r>
        <w:rPr>
          <w:rFonts w:ascii="Arial" w:cs="Arial" w:eastAsia="Arial" w:hAnsi="Arial"/>
          <w:sz w:val="11"/>
          <w:szCs w:val="11"/>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or be required to seek, debt financing in the immediate or near term.</w:t>
      </w:r>
    </w:p>
    <w:p>
      <w:pPr>
        <w:spacing w:after="0" w:line="78"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We outsource the fabrication and assembly of all of our products to third parties that are primarily located in Germany and Asia. In addition, we conduct research and development activities in the United States, Japan, the Netherlands, Taiwan, and Ukraine and work with third-party contractors in Russia. We also conduct marketing and administrative functions in the United States, Japan, China, Taiwan, and Ukraine. In addition, members of our sales force are located in various locations outside of the United States. In addition, approximately 94%, 95%, 91% and 91% of our revenue for the three and six months ended June 30, 2021 and 2020,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56" w:lineRule="exact"/>
        <w:rPr>
          <w:sz w:val="20"/>
          <w:szCs w:val="20"/>
          <w:color w:val="auto"/>
        </w:rPr>
      </w:pPr>
    </w:p>
    <w:p>
      <w:pPr>
        <w:ind w:left="1100" w:hanging="739"/>
        <w:spacing w:after="0"/>
        <w:tabs>
          <w:tab w:leader="none" w:pos="11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complexity and costs of managing international operations, including manufacturing, assembly, and testing of our products and associated costs;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geopolitical and economic instability and military conflicts;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limited protection for, and vulnerability to theft of, our intellectual property rights, including our trade secrets;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compliance with local laws and regulations and unanticipated changes in local laws and regulations, including tax laws and regulations;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trade and foreign exchange restrictions and higher tariffs, including the ongoing trade tensions between the U.S. and China that has resulted in higher tariffs on certain semiconductor products;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timing and availability of import and export licenses and other governmental approvals, permits, and licenses, including export classification requirements;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foreign currency fluctuations and exchange losses relating to our international operating activities;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7" w:name="page38"/>
    <w:bookmarkEnd w:id="37"/>
    <w:p>
      <w:pPr>
        <w:ind w:left="1100" w:right="260" w:hanging="739"/>
        <w:spacing w:after="0" w:line="276" w:lineRule="auto"/>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42" w:lineRule="exact"/>
        <w:rPr>
          <w:rFonts w:ascii="Arial" w:cs="Arial" w:eastAsia="Arial" w:hAnsi="Arial"/>
          <w:sz w:val="12"/>
          <w:szCs w:val="12"/>
          <w:color w:val="auto"/>
        </w:rPr>
      </w:pPr>
    </w:p>
    <w:p>
      <w:pPr>
        <w:ind w:left="1100" w:hanging="739"/>
        <w:spacing w:after="0"/>
        <w:tabs>
          <w:tab w:leader="none" w:pos="11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transportation delays and other consequences of limited local infrastructure, and disruptions, such as large scale outages or interruptions of service from utilities or telecommunications providers;</w:t>
      </w:r>
    </w:p>
    <w:p>
      <w:pPr>
        <w:spacing w:after="0" w:line="89" w:lineRule="exact"/>
        <w:rPr>
          <w:rFonts w:ascii="Arial" w:cs="Arial" w:eastAsia="Arial" w:hAnsi="Arial"/>
          <w:sz w:val="11"/>
          <w:szCs w:val="11"/>
          <w:color w:val="auto"/>
        </w:rPr>
      </w:pPr>
    </w:p>
    <w:p>
      <w:pPr>
        <w:ind w:left="1100" w:hanging="739"/>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difficulties in staffing international operations;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immigration policies which may impact our ability to hire personnel;</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local business and cultural factors that differ from our normal standards and practices;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differing employment practices and labor relations;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requirements in foreign countries which may impact availability of personnel, such as mandatory military service in countries such as Ukraine;</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heightened risk of terrorist acts;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regional health issues and the impact of public health epidemics on employees and the global economy, such as the worldwide COVID-19 pandemic;</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power outages and natural disasters; and</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travel, work-from-home or other restrictions or stoppages, like those currently imposed by governments around the world as a result of the COVID-19 pandemic.</w: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If political tensions between China and Taiwan were to increase, it could disrupt our business. In addition, if the political and military situation in Russia and Ukraine, or the relationship between Russia and the United States, significantly worsens, or if either Russia or the United States imposes significant new economic sanctions or restrictions on doing business, and we are restricted or precluded from continuing our operations in Russia or Ukraine,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impact our business remains uncertain but it may materially adversely affect our business, financial condition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significant tariffs or other restrictions are placed on Chinese imports or any related counter-measures are taken by China, our revenue and results of operations may be materially harmed.</w:t>
      </w:r>
    </w:p>
    <w:p>
      <w:pPr>
        <w:spacing w:after="0" w:line="78"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If significant tariffs or other restrictions are placed on Chinese imports or any related counter-measures are taken by China, our revenue and results of operations may be materially and adversely affected. Beginning in July 2018, the U.S. Trade Representative imposed tariffs on products from China. If the existing tariffs are increased, new tariffs are imposed, or there is a court or governmental agency determination that exposes additional products to the tariffs, we may be required to raise our prices on those products, which may further result in a loss of customers and harm our operating performance. The prior U.S. administration imposed new or additional tariffs on Chinese products with short notice and China then imposed certain retaliatory tariffs. It is uncertain if the current U.S. administration may further alter trade agreements and terms between China and the United States, including limiting trade with China and imposing additional tariffs on imports from China. If our products become subject to tariffs or other retaliatory trade measures, it could materially and adversely affect our business and operating results. In the event that these or future tariffs are imposed on imports of our products,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Fluctuations in exchange rates between and among the currencies of the countries in which we do business could adversely affect our results of operations.</w:t>
      </w:r>
    </w:p>
    <w:p>
      <w:pPr>
        <w:spacing w:after="0" w:line="78"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France and Ukraine, and we have engineering consultants in Russia.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91" w:right="29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been especially volatile in the recent past, and these currency fluctuations may make it difficult for us to predict our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the laws associated with our activities outside of the United States could subject us to penalties and other adverse consequences.</w:t>
      </w:r>
    </w:p>
    <w:p>
      <w:pPr>
        <w:spacing w:after="0" w:line="78"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government regulation, including import, export and economic sanctions laws and regulations that may expose us to liability and increase our costs.</w:t>
      </w:r>
    </w:p>
    <w:p>
      <w:pPr>
        <w:spacing w:after="0" w:line="78" w:lineRule="exact"/>
        <w:rPr>
          <w:sz w:val="20"/>
          <w:szCs w:val="20"/>
          <w:color w:val="auto"/>
        </w:rPr>
      </w:pPr>
    </w:p>
    <w:p>
      <w:pPr>
        <w:ind w:right="40"/>
        <w:spacing w:after="0" w:line="278" w:lineRule="auto"/>
        <w:rPr>
          <w:sz w:val="20"/>
          <w:szCs w:val="20"/>
          <w:color w:val="auto"/>
        </w:rPr>
      </w:pPr>
      <w:r>
        <w:rPr>
          <w:rFonts w:ascii="Arial" w:cs="Arial" w:eastAsia="Arial" w:hAnsi="Arial"/>
          <w:sz w:val="11"/>
          <w:szCs w:val="11"/>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in the last 18 months,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environmental laws or regulations, including conflict minerals rules, could impair our ability to compete in international markets.</w:t>
      </w:r>
    </w:p>
    <w:p>
      <w:pPr>
        <w:spacing w:after="0" w:line="78"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New or future changes to U.S. and non-U.S. tax laws could materially adversely affect us.</w:t>
      </w:r>
    </w:p>
    <w:p>
      <w:pPr>
        <w:spacing w:after="0" w:line="7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New or future changes in tax laws, regulations, and treaties, or the interpretation thereof, in addition to tax regulations enacted but not in effect, tax policy initiatives and reforms under consideration in the United States or related to the Organisation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Catastrophic events may disrupt our business.</w:t>
      </w:r>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State, federal, and foreign laws and regulations related to privacy, data use, and security could adversely affect us.</w:t>
      </w:r>
    </w:p>
    <w:p>
      <w:pPr>
        <w:spacing w:after="0" w:line="78"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w:t>
      </w:r>
    </w:p>
    <w:p>
      <w:pPr>
        <w:spacing w:after="0" w:line="58"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Breaches or other disruptions of our security systems may damage our reputation and adversely affect our business.</w:t>
      </w:r>
    </w:p>
    <w:p>
      <w:pPr>
        <w:spacing w:after="0" w:line="78"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 that have impacted our business. We may not have current capability to detect new or unknown security vulnerabilities. Cybersecurity threats, which include computer viruses, spyware, malware, ransomware, attempts to access information, denial of service attacks, and other electronic security breaches, are persistent and evolve quickly. Such threats have recently increased in frequency, scope, magnitude, and cost. Since the techniques used to obtain unauthorized access or to sabotage systems change frequently and are often not recognized until after they are launched against a target, we may be unable to anticipate these techniques 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w:t>
      </w:r>
    </w:p>
    <w:p>
      <w:pPr>
        <w:spacing w:after="0" w:line="5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We also rely on third-party cloud-based service providers of corporate infrastructure services relating to, among other things, human resources, electronic communication services, and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43"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0" w:name="page41"/>
    <w:bookmarkEnd w:id="40"/>
    <w:p>
      <w:pPr>
        <w:spacing w:after="0"/>
        <w:rPr>
          <w:sz w:val="20"/>
          <w:szCs w:val="20"/>
          <w:color w:val="auto"/>
        </w:rPr>
      </w:pPr>
      <w:r>
        <w:rPr>
          <w:rFonts w:ascii="Arial" w:cs="Arial" w:eastAsia="Arial" w:hAnsi="Arial"/>
          <w:sz w:val="12"/>
          <w:szCs w:val="12"/>
          <w:color w:val="auto"/>
        </w:rPr>
        <w:t>misuse of this information, any of which could have an adverse effect on our business, financial condition, results of operations, reputation, and relationships with our customers and suppliers.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might not be able to utilize a significant portion of our net operating loss carryforwards and research and development tax credit carryforwards.</w:t>
      </w:r>
    </w:p>
    <w:p>
      <w:pPr>
        <w:spacing w:after="0" w:line="78"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As of December 31, 2020, we had U.S. federal and state net operating loss (“NOL”), carryforwards of approximately $201.5 million and $64.0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47" w:right="3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01" w:lineRule="exact"/>
        <w:rPr>
          <w:sz w:val="20"/>
          <w:szCs w:val="20"/>
          <w:color w:val="auto"/>
        </w:rPr>
      </w:pPr>
    </w:p>
    <w:p>
      <w:pPr>
        <w:ind w:right="100"/>
        <w:spacing w:after="0" w:line="277" w:lineRule="auto"/>
        <w:rPr>
          <w:sz w:val="20"/>
          <w:szCs w:val="20"/>
          <w:color w:val="auto"/>
        </w:rPr>
      </w:pPr>
      <w:r>
        <w:rPr>
          <w:rFonts w:ascii="Arial" w:cs="Arial" w:eastAsia="Arial" w:hAnsi="Arial"/>
          <w:sz w:val="11"/>
          <w:szCs w:val="11"/>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June 30, 2021, we had 82 issued U.S. patents, expiring generally between 2026 and 2039 and 28 pending U.S. patent applications (including two provisional applications). We also had one foreign issued patent expiring in 2035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46"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43" w:lineRule="exact"/>
        <w:rPr>
          <w:sz w:val="20"/>
          <w:szCs w:val="20"/>
          <w:color w:val="auto"/>
        </w:rPr>
      </w:pPr>
    </w:p>
    <w:p>
      <w:pPr>
        <w:ind w:right="120"/>
        <w:spacing w:after="0" w:line="375" w:lineRule="auto"/>
        <w:rPr>
          <w:sz w:val="20"/>
          <w:szCs w:val="20"/>
          <w:color w:val="auto"/>
        </w:rPr>
      </w:pPr>
      <w:r>
        <w:rPr>
          <w:rFonts w:ascii="Arial" w:cs="Arial" w:eastAsia="Arial" w:hAnsi="Arial"/>
          <w:sz w:val="10"/>
          <w:szCs w:val="10"/>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1"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5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50"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3" w:right="299" w:bottom="1440" w:gutter="0" w:footer="0" w:header="0"/>
        </w:sectPr>
      </w:pPr>
    </w:p>
    <w:bookmarkStart w:id="42" w:name="page43"/>
    <w:bookmarkEnd w:id="42"/>
    <w:p>
      <w:pPr>
        <w:ind w:right="80"/>
        <w:spacing w:after="0" w:line="276" w:lineRule="auto"/>
        <w:rPr>
          <w:sz w:val="20"/>
          <w:szCs w:val="20"/>
          <w:color w:val="auto"/>
        </w:rPr>
      </w:pPr>
      <w:r>
        <w:rPr>
          <w:rFonts w:ascii="Arial" w:cs="Arial" w:eastAsia="Arial" w:hAnsi="Arial"/>
          <w:sz w:val="12"/>
          <w:szCs w:val="12"/>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43" w:lineRule="exact"/>
        <w:rPr>
          <w:sz w:val="20"/>
          <w:szCs w:val="20"/>
          <w:color w:val="auto"/>
        </w:rPr>
      </w:pPr>
    </w:p>
    <w:p>
      <w:pPr>
        <w:ind w:right="120"/>
        <w:spacing w:after="0" w:line="281" w:lineRule="auto"/>
        <w:rPr>
          <w:sz w:val="20"/>
          <w:szCs w:val="20"/>
          <w:color w:val="auto"/>
        </w:rPr>
      </w:pPr>
      <w:r>
        <w:rPr>
          <w:rFonts w:ascii="Arial" w:cs="Arial" w:eastAsia="Arial" w:hAnsi="Arial"/>
          <w:sz w:val="11"/>
          <w:szCs w:val="11"/>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While the District Court ruled in our favor, VTT has filed an appeal with the U.S. Court of Appeals for the Federal Circuit (“CAFC”). On June 9, 2021, a hearing was held at the CAFC and on June 10, 2021 the CAFC affirmed the District Court’s judgment. We have not accrued for a loss contingency relating to this matter.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For more information regarding this matter, see Note 10 in Notes to Unaudited Condensed Consolidated Financial Statements in Item 1 of Part I of this Report.</w:t>
      </w:r>
    </w:p>
    <w:p>
      <w:pPr>
        <w:spacing w:after="0" w:line="43" w:lineRule="exact"/>
        <w:rPr>
          <w:sz w:val="20"/>
          <w:szCs w:val="20"/>
          <w:color w:val="auto"/>
        </w:rPr>
      </w:pPr>
    </w:p>
    <w:p>
      <w:pPr>
        <w:ind w:right="140"/>
        <w:spacing w:after="0" w:line="283" w:lineRule="auto"/>
        <w:rPr>
          <w:sz w:val="20"/>
          <w:szCs w:val="20"/>
          <w:color w:val="auto"/>
        </w:rPr>
      </w:pPr>
      <w:r>
        <w:rPr>
          <w:rFonts w:ascii="Arial" w:cs="Arial" w:eastAsia="Arial" w:hAnsi="Arial"/>
          <w:sz w:val="11"/>
          <w:szCs w:val="11"/>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43" w:lineRule="exact"/>
        <w:rPr>
          <w:sz w:val="20"/>
          <w:szCs w:val="20"/>
          <w:color w:val="auto"/>
        </w:rPr>
      </w:pPr>
    </w:p>
    <w:p>
      <w:pPr>
        <w:ind w:left="1100" w:hanging="739"/>
        <w:spacing w:after="0"/>
        <w:tabs>
          <w:tab w:leader="none" w:pos="11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cease the manufacture, use or sale of the applicable products, processes, or technology;</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pay substantial damages for infringement by us or our customers;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expend significant resources to develop non-infringing products, processes, or technology, which may not be successful;</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license technology from the third-party claiming infringement, which license may not be available on commercially reasonable terms, or at all;</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cross-license our technology to a competitor to resolve an infringement claim, which could weaken our ability to compete with that competitor;</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lose the opportunity to license our technology to others or to collect royalty payments based upon successful protection and assertion of our intellectual property rights against others; or</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pay substantial damages to our customers or end users to discontinue their use of or to replace infringing technology sold to them with non-infringing technology, if available.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Any of the foregoing results could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78" w:lineRule="exact"/>
        <w:rPr>
          <w:sz w:val="20"/>
          <w:szCs w:val="20"/>
          <w:color w:val="auto"/>
        </w:rPr>
      </w:pPr>
    </w:p>
    <w:p>
      <w:pPr>
        <w:ind w:right="220"/>
        <w:spacing w:after="0" w:line="285" w:lineRule="auto"/>
        <w:rPr>
          <w:sz w:val="20"/>
          <w:szCs w:val="20"/>
          <w:color w:val="auto"/>
        </w:rPr>
      </w:pPr>
      <w:r>
        <w:rPr>
          <w:rFonts w:ascii="Arial" w:cs="Arial" w:eastAsia="Arial" w:hAnsi="Arial"/>
          <w:sz w:val="11"/>
          <w:szCs w:val="11"/>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43" w:name="page44"/>
    <w:bookmarkEnd w:id="43"/>
    <w:p>
      <w:pPr>
        <w:spacing w:after="0"/>
        <w:rPr>
          <w:sz w:val="20"/>
          <w:szCs w:val="20"/>
          <w:color w:val="auto"/>
        </w:rPr>
      </w:pPr>
      <w:r>
        <w:rPr>
          <w:rFonts w:ascii="Arial" w:cs="Arial" w:eastAsia="Arial" w:hAnsi="Arial"/>
          <w:sz w:val="12"/>
          <w:szCs w:val="12"/>
          <w:color w:val="auto"/>
        </w:rPr>
        <w:t>against our customers could trigger technical support and indemnification obligations under some of our agreements, which could result in substantial expense to us.</w:t>
      </w:r>
    </w:p>
    <w:p>
      <w:pPr>
        <w:spacing w:after="0" w:line="78"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MegaChips Corporation’s Ownership Position in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 long as MegaChips holds a significant amount of our stock, our other shareholders’ ability to influence matters requiring stockholder approval will be limited.</w:t>
      </w:r>
    </w:p>
    <w:p>
      <w:pPr>
        <w:spacing w:after="0" w:line="7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MegaChips owns 6,000,000 shares of our common stock, representing approximately 31.5% of our outstanding common stock as of June 30, 2021. For so long as MegaChips or its successors in interest continue to hold the largest ownership position in our outstanding common stock, we expect MegaChips to continue to hold at least one out of eight seats on our board of directors, to be able to elect members of our board of directors, and could replace our entire board of directors. As long as MegaChips continues to be our largest stockholder, it will continue to have significant influence over us.</w:t>
      </w:r>
    </w:p>
    <w:p>
      <w:pPr>
        <w:spacing w:after="0" w:line="50"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For example, as long as MegaChips continues to hold a significant or the largest ownership position in our outstanding common stock, MegaChips may have the ability to control or otherwise affect the outcome of any stockholder vote during this period. As a result, MegaChips will have the ability to exert significant influence over many matters affecting us, either through its board representative or as a stockholder, including:</w:t>
      </w:r>
    </w:p>
    <w:p>
      <w:pPr>
        <w:spacing w:after="0" w:line="20" w:lineRule="exact"/>
        <w:rPr>
          <w:sz w:val="20"/>
          <w:szCs w:val="20"/>
          <w:color w:val="auto"/>
        </w:rPr>
      </w:pPr>
    </w:p>
    <w:p>
      <w:pPr>
        <w:ind w:left="1100" w:hanging="739"/>
        <w:spacing w:after="0"/>
        <w:tabs>
          <w:tab w:leader="none" w:pos="11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determinations with respect to our business plans and policies, including the appointment and removal of our officers;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determinations with respect to mergers and other business combinations;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acquisition or disposition of assets;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financing activities;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allocation of business opportunities that may be suitable for us and MegaChips;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payment of dividends on our common stock; and</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number of shares available for issuance under our stock plans.</w:t>
      </w:r>
    </w:p>
    <w:p>
      <w:pPr>
        <w:spacing w:after="0" w:line="78"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inability to resolve any disputes that arise between us and MegaChips with respect to our past and ongoing relationships may adversely affect our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Disputes may arise between MegaChips and us in a number of areas relating to our past and ongoing relationships, including:</w:t>
      </w:r>
    </w:p>
    <w:p>
      <w:pPr>
        <w:spacing w:after="0" w:line="78" w:lineRule="exact"/>
        <w:rPr>
          <w:sz w:val="20"/>
          <w:szCs w:val="20"/>
          <w:color w:val="auto"/>
        </w:rPr>
      </w:pPr>
    </w:p>
    <w:p>
      <w:pPr>
        <w:ind w:left="1100" w:hanging="739"/>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labor, tax, employee benefit, indemnification, and other matters arising from our separation from MegaChips;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employee retention and recruiting;</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sales or distributions by MegaChips of our products under our distribution agreement with MegaChips;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sales or distributions by MegaChips of all or any portion of its ownership interest in us;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nature, quality, and pricing of services MegaChips has agreed to provide us; and</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business opportunities that may be attractive to both MegaChips and us.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We may not be able to resolve any potential conflicts, and even if we do, the resolution may be less favorable than if we were dealing with an unaffiliated party.</w:t>
      </w:r>
    </w:p>
    <w:p>
      <w:pPr>
        <w:spacing w:after="0" w:line="78"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We have entered into a distribution agreement with MegaChips under which MegaChips has the non-exclusive right to promote, market, and sell our products in Japan. We also have an integration and purchase agreement with MegaChips for the sale of resonators by us to MegaChips. The agreements we entered into with MegaChips may be amended upon agreement between the parties. Because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4" w:name="page45"/>
    <w:bookmarkEnd w:id="44"/>
    <w:p>
      <w:pPr>
        <w:ind w:right="140"/>
        <w:spacing w:after="0" w:line="276" w:lineRule="auto"/>
        <w:rPr>
          <w:sz w:val="20"/>
          <w:szCs w:val="20"/>
          <w:color w:val="auto"/>
        </w:rPr>
      </w:pPr>
      <w:r>
        <w:rPr>
          <w:rFonts w:ascii="Arial" w:cs="Arial" w:eastAsia="Arial" w:hAnsi="Arial"/>
          <w:sz w:val="12"/>
          <w:szCs w:val="12"/>
          <w:color w:val="auto"/>
        </w:rPr>
        <w:t>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could be potential conflicts of interest between us and affiliates of MegaChips, which could impact our business and operating results.</w:t>
      </w:r>
    </w:p>
    <w:p>
      <w:pPr>
        <w:spacing w:after="0" w:line="78"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Substantial future sales of our common stock could cause the market price of our common stock to decline.</w:t>
      </w:r>
    </w:p>
    <w:p>
      <w:pPr>
        <w:spacing w:after="0" w:line="7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43"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43"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Provisions in our certificate of incorporation and bylaws may have the effect of delaying or preventing a change of control or changes in our management. Our amended and restated certificate of incorporation and bylaws include provisions that:</w:t>
      </w:r>
    </w:p>
    <w:p>
      <w:pPr>
        <w:spacing w:after="0" w:line="43" w:lineRule="exact"/>
        <w:rPr>
          <w:sz w:val="20"/>
          <w:szCs w:val="20"/>
          <w:color w:val="auto"/>
        </w:rPr>
      </w:pPr>
    </w:p>
    <w:p>
      <w:pPr>
        <w:ind w:left="1100" w:right="220" w:hanging="739"/>
        <w:spacing w:after="0" w:line="276" w:lineRule="auto"/>
        <w:tabs>
          <w:tab w:leader="none" w:pos="11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42" w:lineRule="exact"/>
        <w:rPr>
          <w:rFonts w:ascii="Arial" w:cs="Arial" w:eastAsia="Arial" w:hAnsi="Arial"/>
          <w:sz w:val="12"/>
          <w:szCs w:val="12"/>
          <w:color w:val="auto"/>
        </w:rPr>
      </w:pPr>
    </w:p>
    <w:p>
      <w:pPr>
        <w:ind w:left="1100" w:hanging="739"/>
        <w:spacing w:after="0"/>
        <w:tabs>
          <w:tab w:leader="none" w:pos="11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require that any action to be taken by our stockholders be effected at a duly called annual or special meeting and not by written consent;</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our board of directors, or our Chief Executive Officer;</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establish an advance notice procedure for stockholder proposals to be brought before an annual meeting, including proposed nominations of persons for election to our board of directors;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establish that our board of directors is divided into three classes, with each class serving three-year staggered terms;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prohibit cumulative voting in the election of directors;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provide that our directors may be removed only for cause;</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provide that vacancies on our board of directors may be filled by a majority of directors then in office, even if less than a quorum; and</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require the approval of our board of directors or the holders of at least 66 2/3% of our outstanding shares of capital stock to amend our bylaws and certain provisions of our certificate of incorporation.</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52" w:lineRule="exact"/>
        <w:rPr>
          <w:sz w:val="20"/>
          <w:szCs w:val="20"/>
          <w:color w:val="auto"/>
        </w:rPr>
      </w:pPr>
    </w:p>
    <w:p>
      <w:pPr>
        <w:ind w:right="200"/>
        <w:spacing w:after="0" w:line="375" w:lineRule="auto"/>
        <w:rPr>
          <w:sz w:val="20"/>
          <w:szCs w:val="20"/>
          <w:color w:val="auto"/>
        </w:rPr>
      </w:pPr>
      <w:r>
        <w:rPr>
          <w:rFonts w:ascii="Arial" w:cs="Arial" w:eastAsia="Arial" w:hAnsi="Arial"/>
          <w:sz w:val="10"/>
          <w:szCs w:val="10"/>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5" w:name="page46"/>
    <w:bookmarkEnd w:id="45"/>
    <w:p>
      <w:pPr>
        <w:spacing w:after="0" w:line="289" w:lineRule="auto"/>
        <w:rPr>
          <w:sz w:val="20"/>
          <w:szCs w:val="20"/>
          <w:color w:val="auto"/>
        </w:rPr>
      </w:pPr>
      <w:r>
        <w:rPr>
          <w:rFonts w:ascii="Arial" w:cs="Arial" w:eastAsia="Arial" w:hAnsi="Arial"/>
          <w:sz w:val="11"/>
          <w:szCs w:val="11"/>
          <w:color w:val="auto"/>
        </w:rPr>
        <w:t>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39" w:lineRule="exact"/>
        <w:rPr>
          <w:sz w:val="20"/>
          <w:szCs w:val="20"/>
          <w:color w:val="auto"/>
        </w:rPr>
      </w:pPr>
    </w:p>
    <w:p>
      <w:pPr>
        <w:ind w:right="60"/>
        <w:spacing w:after="0" w:line="326" w:lineRule="auto"/>
        <w:rPr>
          <w:sz w:val="20"/>
          <w:szCs w:val="20"/>
          <w:color w:val="auto"/>
        </w:rPr>
      </w:pPr>
      <w:r>
        <w:rPr>
          <w:rFonts w:ascii="Arial" w:cs="Arial" w:eastAsia="Arial" w:hAnsi="Arial"/>
          <w:sz w:val="10"/>
          <w:szCs w:val="10"/>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w:t>
      </w:r>
    </w:p>
    <w:p>
      <w:pPr>
        <w:spacing w:after="0" w:line="8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auto"/>
        </w:rPr>
        <w:t>In preparing our consolidated financial statements, we make good faith estimates and judgments that may change or turn out to be erroneous, which could adversely affect our operating results for the periods in which we revise our estimates or judgments.</w:t>
      </w:r>
    </w:p>
    <w:p>
      <w:pPr>
        <w:spacing w:after="0" w:line="43" w:lineRule="exact"/>
        <w:rPr>
          <w:sz w:val="20"/>
          <w:szCs w:val="20"/>
          <w:color w:val="auto"/>
        </w:rPr>
      </w:pPr>
    </w:p>
    <w:p>
      <w:pPr>
        <w:ind w:right="60"/>
        <w:spacing w:after="0" w:line="316" w:lineRule="auto"/>
        <w:rPr>
          <w:sz w:val="20"/>
          <w:szCs w:val="20"/>
          <w:color w:val="auto"/>
        </w:rPr>
      </w:pPr>
      <w:r>
        <w:rPr>
          <w:rFonts w:ascii="Arial" w:cs="Arial" w:eastAsia="Arial" w:hAnsi="Arial"/>
          <w:sz w:val="10"/>
          <w:szCs w:val="10"/>
          <w:color w:val="auto"/>
        </w:rPr>
        <w:t>In preparing our consolidated financial statements in conformity with generally accepted accounting principles in the United States (“GAAP”), we must make estimates and judgments in applying our most critical accounting policies. Those estimates and judgments have a significant impact on the results we report in our consolidated financial statements. The most difficult estimates and subjective judgments that we make relate to revenue recognition, inventories, internally developed software capitalization, and income taxes. We base our estimates on historical experience, input from outside experts and on various other assumptions that we believe to be reasonable under the circumstances, the results of which form the basis for making judgments about the carrying values of assets and liabilities that are not readily apparent from other sources. We also have other key accounting policies that are not as subjective, and therefore, their application would not require us to make estimates or judgments that are as difficult, but which nevertheless could significantly affect our financial reporting. Actual results may differ materially from these estimates. If these estimates, judgments, or their related assumptions change, our operating results for the periods in which we revise our estimates, judgments, or assumptions could be adversely and perhaps materially affected.</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to financial accounting standards may affect our results of operations and could cause us to change our business practices.</w:t>
      </w:r>
    </w:p>
    <w:p>
      <w:pPr>
        <w:spacing w:after="0" w:line="78"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We prepare our consolidated financial statements in accordance with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adversely affect our financial results or the way we conduct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46" w:name="page47"/>
    <w:bookmarkEnd w:id="46"/>
    <w:p>
      <w:pPr>
        <w:spacing w:after="0"/>
        <w:rPr>
          <w:sz w:val="20"/>
          <w:szCs w:val="20"/>
          <w:color w:val="auto"/>
        </w:rPr>
      </w:pPr>
      <w:r>
        <w:rPr>
          <w:rFonts w:ascii="Arial" w:cs="Arial" w:eastAsia="Arial" w:hAnsi="Arial"/>
          <w:sz w:val="12"/>
          <w:szCs w:val="12"/>
          <w:b w:val="1"/>
          <w:bCs w:val="1"/>
          <w:i w:val="1"/>
          <w:iCs w:val="1"/>
          <w:color w:val="auto"/>
        </w:rPr>
        <w:t>We may make acquisitions in the future that could disrupt our business, cause dilution to our stockholders, reduce our financial resources, and harm our business.</w:t>
      </w:r>
    </w:p>
    <w:p>
      <w:pPr>
        <w:spacing w:after="0" w:line="78"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stock price may be volatile and may decline, resulting in a loss of some or all of our stockholder investment.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trading price and volume of our common stock is likely to be volatile and could fluctuate significantly in response to numerous factors, many of which are beyond our control, including:</w:t>
      </w:r>
    </w:p>
    <w:p>
      <w:pPr>
        <w:spacing w:after="0" w:line="78" w:lineRule="exact"/>
        <w:rPr>
          <w:sz w:val="20"/>
          <w:szCs w:val="20"/>
          <w:color w:val="auto"/>
        </w:rPr>
      </w:pPr>
    </w:p>
    <w:p>
      <w:pPr>
        <w:ind w:left="1100" w:hanging="739"/>
        <w:spacing w:after="0"/>
        <w:tabs>
          <w:tab w:leader="none" w:pos="11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actual or anticipated fluctuations in our results of operations due to, among other things, changes in customer demand, product life cycles, pricing, ordering patterns, and unforeseen operating costs;</w:t>
      </w:r>
    </w:p>
    <w:p>
      <w:pPr>
        <w:spacing w:after="0" w:line="89" w:lineRule="exact"/>
        <w:rPr>
          <w:rFonts w:ascii="Arial" w:cs="Arial" w:eastAsia="Arial" w:hAnsi="Arial"/>
          <w:sz w:val="11"/>
          <w:szCs w:val="11"/>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financial projections we may provide to the public, any changes in these projections or our failure to meet these projections;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announcements with respect to developments, status, and impact on us, our competition, our constituents, and our suppliers of the COVID 19 global pandemic;</w:t>
      </w:r>
    </w:p>
    <w:p>
      <w:pPr>
        <w:spacing w:after="0" w:line="78" w:lineRule="exact"/>
        <w:rPr>
          <w:rFonts w:ascii="Arial" w:cs="Arial" w:eastAsia="Arial" w:hAnsi="Arial"/>
          <w:sz w:val="12"/>
          <w:szCs w:val="12"/>
          <w:color w:val="auto"/>
        </w:rPr>
      </w:pPr>
    </w:p>
    <w:p>
      <w:pPr>
        <w:ind w:left="1100" w:right="180" w:hanging="739"/>
        <w:spacing w:after="0" w:line="276" w:lineRule="auto"/>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42"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announcements by our significant customers of changes to their product offerings, business plans, or strategies;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technical innovations, acquisitions, strategic partnerships, joint ventures, or capital commitments;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operating performance and stock market valuations of other technology companies generally, or those in the semiconductor industry;</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timing and seasonality of the end-market demand;</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cyclical fluctuations in the semiconductor market;</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price and volume fluctuations in the overall stock market from time to time, including as a result of trends in the economy as a whole;</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actual or anticipated developments in our business or our competitors’ businesses or the competitive landscape generally;</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new laws or regulations or new interpretations of existing laws, or regulations applicable to our business;</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any major change in our management;</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lawsuits threatened or filed against us; and</w:t>
      </w:r>
    </w:p>
    <w:p>
      <w:pPr>
        <w:spacing w:after="0" w:line="78" w:lineRule="exact"/>
        <w:rPr>
          <w:rFonts w:ascii="Arial" w:cs="Arial" w:eastAsia="Arial" w:hAnsi="Arial"/>
          <w:sz w:val="12"/>
          <w:szCs w:val="12"/>
          <w:color w:val="auto"/>
        </w:rPr>
      </w:pPr>
    </w:p>
    <w:p>
      <w:pPr>
        <w:ind w:left="1100" w:hanging="739"/>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other events or factors, including those resulting from war, incidents of terrorism, the COVID-19 pandemic, or responses to these events.</w:t>
      </w:r>
    </w:p>
    <w:p>
      <w:pPr>
        <w:spacing w:after="0" w:line="78"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market price and trading market for our common stock will be influenced by the research and reports that industry or securities analysts publish about us, our business, and our market. If one or more analysts adversely change their recommendation regarding our stock or change their recommendation about our competitors’ stock, our stock price would likely decline. If one or more analysts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7" w:name="page48"/>
    <w:bookmarkEnd w:id="47"/>
    <w:p>
      <w:pPr>
        <w:ind w:right="160"/>
        <w:spacing w:after="0" w:line="276" w:lineRule="auto"/>
        <w:rPr>
          <w:sz w:val="20"/>
          <w:szCs w:val="20"/>
          <w:color w:val="auto"/>
        </w:rPr>
      </w:pPr>
      <w:r>
        <w:rPr>
          <w:rFonts w:ascii="Arial" w:cs="Arial" w:eastAsia="Arial" w:hAnsi="Arial"/>
          <w:sz w:val="12"/>
          <w:szCs w:val="12"/>
          <w:color w:val="auto"/>
        </w:rPr>
        <w:t>cease coverage of us or fail to regularly publish reports on us, we could lose visibility in the financial markets which in turn could cause our stock price or trading volume to decline. In addition, if our operating results fail to meet the expectations created by securities analysts’ reports, our stock price could decline.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on our common stock so any returns will be limited to changes in the value of our common stock.</w:t>
      </w:r>
    </w:p>
    <w:p>
      <w:pPr>
        <w:spacing w:after="0" w:line="78"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Although our existing loan agreements do not contain restrictions on our ability to pay dividends or make distributions, we may in the future amend our existing loan agreements or enter into agreements that contain such restrictions. Any return to stockholders will therefore be limited to the increase, if any, in our stock price, which may never occur.</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actual operating results may not meet our guidance and expectations, which would likely cause our stock price to decline.</w:t>
      </w:r>
    </w:p>
    <w:p>
      <w:pPr>
        <w:spacing w:after="0" w:line="78"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such as the uncertainty around the impact of the COVID-19 pandemic. The principal reason that we expect to release guidance is to provide a basis for our management to discuss our business outlook with analysts and stockholders. With or without our guidance, analysts, and other third parties may publish expectations regarding our business, financial condition, and results of operations. We do not accept any responsibility for any projections or reports published by any such third parties. Guidance is necessarily speculative in nature, and it can be expected that some or all of the assumptions of the guidance furnished by us will not materialize or will vary significantly from actual results. If our actual performance does not meet or exceed our guidance or expectations, the trading price of our common stock is likely to decline.</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increased costs and demands on management as a result of compliance with laws and regulations applicable to public companies, which could harm our operating results.</w:t>
      </w:r>
    </w:p>
    <w:p>
      <w:pPr>
        <w:spacing w:after="0" w:line="78"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As a public company we incur significant legal, accounting, and other expenses, including costs associated with public company reporting requirements. Our management team and other personnel have and will continue to devote a substantial amount of time complying with these public company reporting requirements.</w:t>
      </w:r>
    </w:p>
    <w:p>
      <w:pPr>
        <w:spacing w:after="0" w:line="43"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56"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If we fail to strengthen our financial reporting systems, infrastructure, and internal control over financial reporting to meet the demands required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50"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b w:val="1"/>
          <w:bCs w:val="1"/>
          <w:i w:val="1"/>
          <w:iCs w:val="1"/>
          <w:color w:val="auto"/>
        </w:rPr>
        <w:t>As a public company, we are subject to additional regulatory compliance requirements, including Section 404, and if we fail to maintain an effective system of internal controls, we may not be able to accurately report our financial results or prevent fraud.</w:t>
      </w:r>
    </w:p>
    <w:p>
      <w:pPr>
        <w:spacing w:after="0" w:line="43"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Rules and regulations such as the Sarbanes-Oxley Act have increased our legal and finance compliance costs and made some activities more time-consuming and costly. For example, Section 404 requires that our management report on, and our independent auditors attest to, the effectiveness of our internal control structure and procedures for financial reporting. However, our auditors have not previously attested to the effectiveness of our internal control structure and procedures for financial reporting as we have been an “emerging growth company,” as defined in the JOBS Act; however, we will cease to be an emerging growth company at the end of 2021, and so our auditors will be required to attest to the effectiveness of our internal control over financial reporting pursuant to Section 404 for the first time in connection with the filing of our Annual Report on Form 10-K to be filed in the first quarter of 2022.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Implementing these changes may take a significant amount of time and may require specific compliance training of our personnel. In the future, we may discover areas of our internal controls that need improvement. If our auditors or we discover a material weakness or significant deficiency, the disclosure of that fact, even if quickly remedied, could reduce the market’s confidence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2"/>
          <w:szCs w:val="12"/>
          <w:color w:val="auto"/>
        </w:rPr>
        <w:t>in our consolidated financial statements and harm our stock price. Any inability to provide reliable financial reports or prevent fraud would harm our business. We may not be able to effectively and timely implement necessary control changes and employee training to ensure continued compliance with the Sarbanes-Oxley Act and other regulatory and reporting requirements.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perceptions of the company may suffer, and this could cause a decline in the market price of our shares of common stock. We cannot assure you that we will be able to fully comply with the requirements of the Sarbanes-Oxley Act or that management or, when applicable,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56"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are an “emerging growth company,” as defined in the JOBS Act, and will remain one until the end of 2021. We are also a smaller reporting company, and will cease to report as a smaller reporting company commencing with our Quarterly Report on Form 10-Q for the quarter ended March 31, 2022. As a result, we will be able to take advantage of the reduced disclosure obligations regarding executive compensation in our periodic reports (until the filing of our Quarterly Report on Form 10-Q for the quarter ended March 31, 2022) and in our 2022 proxy statement. If some investors find our common stock less attractive because we rely on any of these exemptions, there may be a less active trading market for our common stock and the market price of our common stock may be more volatile.</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49" w:name="page50"/>
    <w:bookmarkEnd w:id="49"/>
    <w:p>
      <w:pPr>
        <w:ind w:left="8"/>
        <w:spacing w:after="0"/>
        <w:rPr>
          <w:sz w:val="20"/>
          <w:szCs w:val="20"/>
          <w:color w:val="auto"/>
        </w:rPr>
      </w:pPr>
      <w:r>
        <w:rPr>
          <w:rFonts w:ascii="Arial" w:cs="Arial" w:eastAsia="Arial" w:hAnsi="Arial"/>
          <w:sz w:val="12"/>
          <w:szCs w:val="12"/>
          <w:b w:val="1"/>
          <w:bCs w:val="1"/>
          <w:color w:val="auto"/>
        </w:rPr>
        <w:t>Item 6. Exhibits.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documents listed below are filed (or furnished, as noted) as exhibits to this Quarterly Report on Form 10-Q:</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020" w:type="dxa"/>
            <w:vAlign w:val="bottom"/>
            <w:gridSpan w:val="2"/>
          </w:tcPr>
          <w:p>
            <w:pPr>
              <w:ind w:left="240"/>
              <w:spacing w:after="0"/>
              <w:rPr>
                <w:sz w:val="20"/>
                <w:szCs w:val="20"/>
                <w:color w:val="auto"/>
              </w:rPr>
            </w:pPr>
            <w:r>
              <w:rPr>
                <w:rFonts w:ascii="Arial" w:cs="Arial" w:eastAsia="Arial" w:hAnsi="Arial"/>
                <w:sz w:val="10"/>
                <w:szCs w:val="10"/>
                <w:b w:val="1"/>
                <w:bCs w:val="1"/>
                <w:color w:val="auto"/>
              </w:rPr>
              <w:t>Exhibit</w:t>
            </w:r>
          </w:p>
        </w:tc>
        <w:tc>
          <w:tcPr>
            <w:tcW w:w="3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20" w:type="dxa"/>
            <w:vAlign w:val="bottom"/>
            <w:gridSpan w:val="2"/>
          </w:tcPr>
          <w:p>
            <w:pPr>
              <w:ind w:left="220"/>
              <w:spacing w:after="0" w:line="114" w:lineRule="exact"/>
              <w:rPr>
                <w:sz w:val="20"/>
                <w:szCs w:val="20"/>
                <w:color w:val="auto"/>
              </w:rPr>
            </w:pPr>
            <w:r>
              <w:rPr>
                <w:rFonts w:ascii="Arial" w:cs="Arial" w:eastAsia="Arial" w:hAnsi="Arial"/>
                <w:sz w:val="10"/>
                <w:szCs w:val="10"/>
                <w:b w:val="1"/>
                <w:bCs w:val="1"/>
                <w:color w:val="auto"/>
              </w:rPr>
              <w:t>Number</w:t>
            </w:r>
          </w:p>
        </w:tc>
        <w:tc>
          <w:tcPr>
            <w:tcW w:w="3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900" w:type="dxa"/>
            <w:vAlign w:val="bottom"/>
            <w:gridSpan w:val="10"/>
          </w:tcPr>
          <w:p>
            <w:pPr>
              <w:ind w:left="520"/>
              <w:spacing w:after="0" w:line="114" w:lineRule="exact"/>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5"/>
        </w:trPr>
        <w:tc>
          <w:tcPr>
            <w:tcW w:w="800" w:type="dxa"/>
            <w:vAlign w:val="bottom"/>
            <w:tcBorders>
              <w:top w:val="single" w:sz="8" w:color="auto"/>
            </w:tcBorders>
          </w:tcPr>
          <w:p>
            <w:pPr>
              <w:jc w:val="right"/>
              <w:ind w:right="481"/>
              <w:spacing w:after="0"/>
              <w:rPr>
                <w:sz w:val="20"/>
                <w:szCs w:val="20"/>
                <w:color w:val="auto"/>
              </w:rPr>
            </w:pPr>
            <w:r>
              <w:rPr>
                <w:rFonts w:ascii="Arial" w:cs="Arial" w:eastAsia="Arial" w:hAnsi="Arial"/>
                <w:sz w:val="12"/>
                <w:szCs w:val="12"/>
                <w:color w:val="auto"/>
              </w:rPr>
              <w:t>3.1</w:t>
            </w:r>
          </w:p>
        </w:tc>
        <w:tc>
          <w:tcPr>
            <w:tcW w:w="220" w:type="dxa"/>
            <w:vAlign w:val="bottom"/>
          </w:tcPr>
          <w:p>
            <w:pPr>
              <w:spacing w:after="0"/>
              <w:rPr>
                <w:sz w:val="17"/>
                <w:szCs w:val="17"/>
                <w:color w:val="auto"/>
              </w:rPr>
            </w:pPr>
          </w:p>
        </w:tc>
        <w:tc>
          <w:tcPr>
            <w:tcW w:w="10280" w:type="dxa"/>
            <w:vAlign w:val="bottom"/>
            <w:tcBorders>
              <w:top w:val="single" w:sz="8" w:color="auto"/>
            </w:tcBorders>
            <w:gridSpan w:val="12"/>
          </w:tcPr>
          <w:p>
            <w:pPr>
              <w:spacing w:after="0"/>
              <w:rPr>
                <w:rFonts w:ascii="Arial" w:cs="Arial" w:eastAsia="Arial" w:hAnsi="Arial"/>
                <w:sz w:val="12"/>
                <w:szCs w:val="12"/>
                <w:color w:val="0000EE"/>
              </w:rPr>
            </w:pPr>
            <w:hyperlink r:id="rId77">
              <w:r>
                <w:rPr>
                  <w:rFonts w:ascii="Arial" w:cs="Arial" w:eastAsia="Arial" w:hAnsi="Arial"/>
                  <w:sz w:val="12"/>
                  <w:szCs w:val="12"/>
                  <w:color w:val="0000EE"/>
                </w:rPr>
                <w:t xml:space="preserve">Restated Certificate of Incorporation of SiTime Corporation (the “Company”) </w:t>
              </w:r>
            </w:hyperlink>
            <w:r>
              <w:rPr>
                <w:rFonts w:ascii="Arial" w:cs="Arial" w:eastAsia="Arial" w:hAnsi="Arial"/>
                <w:sz w:val="12"/>
                <w:szCs w:val="12"/>
                <w:color w:val="000000"/>
              </w:rPr>
              <w:t>(incorporated</w:t>
            </w:r>
            <w:r>
              <w:rPr>
                <w:rFonts w:ascii="Arial" w:cs="Arial" w:eastAsia="Arial" w:hAnsi="Arial"/>
                <w:sz w:val="12"/>
                <w:szCs w:val="12"/>
                <w:color w:val="0000EE"/>
              </w:rPr>
              <w:t xml:space="preserve"> </w:t>
            </w:r>
            <w:r>
              <w:rPr>
                <w:rFonts w:ascii="Arial" w:cs="Arial" w:eastAsia="Arial" w:hAnsi="Arial"/>
                <w:sz w:val="12"/>
                <w:szCs w:val="12"/>
                <w:color w:val="000000"/>
              </w:rPr>
              <w:t>by reference to Exhibit 3.1 to the Company’s Current Report on Form 8-K filed November 26, 2019).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jc w:val="right"/>
              <w:ind w:right="481"/>
              <w:spacing w:after="0"/>
              <w:rPr>
                <w:sz w:val="20"/>
                <w:szCs w:val="20"/>
                <w:color w:val="auto"/>
              </w:rPr>
            </w:pPr>
            <w:r>
              <w:rPr>
                <w:rFonts w:ascii="Arial" w:cs="Arial" w:eastAsia="Arial" w:hAnsi="Arial"/>
                <w:sz w:val="12"/>
                <w:szCs w:val="12"/>
                <w:color w:val="auto"/>
              </w:rPr>
              <w:t>3.2</w:t>
            </w:r>
          </w:p>
        </w:tc>
        <w:tc>
          <w:tcPr>
            <w:tcW w:w="220" w:type="dxa"/>
            <w:vAlign w:val="bottom"/>
          </w:tcPr>
          <w:p>
            <w:pPr>
              <w:spacing w:after="0"/>
              <w:rPr>
                <w:sz w:val="19"/>
                <w:szCs w:val="19"/>
                <w:color w:val="auto"/>
              </w:rPr>
            </w:pPr>
          </w:p>
        </w:tc>
        <w:tc>
          <w:tcPr>
            <w:tcW w:w="10280" w:type="dxa"/>
            <w:vAlign w:val="bottom"/>
            <w:gridSpan w:val="12"/>
          </w:tcPr>
          <w:p>
            <w:pPr>
              <w:spacing w:after="0"/>
              <w:rPr>
                <w:rFonts w:ascii="Arial" w:cs="Arial" w:eastAsia="Arial" w:hAnsi="Arial"/>
                <w:sz w:val="12"/>
                <w:szCs w:val="12"/>
                <w:color w:val="0000EE"/>
              </w:rPr>
            </w:pPr>
            <w:hyperlink r:id="rId78">
              <w:r>
                <w:rPr>
                  <w:rFonts w:ascii="Arial" w:cs="Arial" w:eastAsia="Arial" w:hAnsi="Arial"/>
                  <w:sz w:val="12"/>
                  <w:szCs w:val="12"/>
                  <w:color w:val="0000EE"/>
                </w:rPr>
                <w:t>Amended and Restated Bylaws of the Company (incorporated by reference to Exhibit 3.2 to the Company’s Current Report on Form 8-K filed June 29,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jc w:val="right"/>
              <w:ind w:right="481"/>
              <w:spacing w:after="0"/>
              <w:rPr>
                <w:sz w:val="20"/>
                <w:szCs w:val="20"/>
                <w:color w:val="auto"/>
              </w:rPr>
            </w:pPr>
            <w:r>
              <w:rPr>
                <w:rFonts w:ascii="Arial" w:cs="Arial" w:eastAsia="Arial" w:hAnsi="Arial"/>
                <w:sz w:val="12"/>
                <w:szCs w:val="12"/>
                <w:color w:val="auto"/>
              </w:rPr>
              <w:t>4.1</w:t>
            </w:r>
          </w:p>
        </w:tc>
        <w:tc>
          <w:tcPr>
            <w:tcW w:w="220" w:type="dxa"/>
            <w:vAlign w:val="bottom"/>
          </w:tcPr>
          <w:p>
            <w:pPr>
              <w:spacing w:after="0"/>
              <w:rPr>
                <w:sz w:val="19"/>
                <w:szCs w:val="19"/>
                <w:color w:val="auto"/>
              </w:rPr>
            </w:pPr>
          </w:p>
        </w:tc>
        <w:tc>
          <w:tcPr>
            <w:tcW w:w="10280" w:type="dxa"/>
            <w:vAlign w:val="bottom"/>
            <w:gridSpan w:val="12"/>
          </w:tcPr>
          <w:p>
            <w:pPr>
              <w:spacing w:after="0"/>
              <w:rPr>
                <w:rFonts w:ascii="Arial" w:cs="Arial" w:eastAsia="Arial" w:hAnsi="Arial"/>
                <w:sz w:val="12"/>
                <w:szCs w:val="12"/>
                <w:color w:val="0000EE"/>
              </w:rPr>
            </w:pPr>
            <w:hyperlink r:id="rId79">
              <w:r>
                <w:rPr>
                  <w:rFonts w:ascii="Arial" w:cs="Arial" w:eastAsia="Arial" w:hAnsi="Arial"/>
                  <w:sz w:val="12"/>
                  <w:szCs w:val="12"/>
                  <w:color w:val="0000EE"/>
                </w:rPr>
                <w:t>Form of Common Stock Certificate of the Company ((incorporated by reference to Exhibit 4.1 to the Company’s Registration Statement on Form S-1 (File No. 333-234305) (the “S-1”)).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jc w:val="right"/>
              <w:ind w:right="481"/>
              <w:spacing w:after="0"/>
              <w:rPr>
                <w:sz w:val="20"/>
                <w:szCs w:val="20"/>
                <w:color w:val="auto"/>
              </w:rPr>
            </w:pPr>
            <w:r>
              <w:rPr>
                <w:rFonts w:ascii="Arial" w:cs="Arial" w:eastAsia="Arial" w:hAnsi="Arial"/>
                <w:sz w:val="12"/>
                <w:szCs w:val="12"/>
                <w:color w:val="auto"/>
              </w:rPr>
              <w:t>4.2</w:t>
            </w:r>
          </w:p>
        </w:tc>
        <w:tc>
          <w:tcPr>
            <w:tcW w:w="220" w:type="dxa"/>
            <w:vAlign w:val="bottom"/>
          </w:tcPr>
          <w:p>
            <w:pPr>
              <w:spacing w:after="0"/>
              <w:rPr>
                <w:sz w:val="19"/>
                <w:szCs w:val="19"/>
                <w:color w:val="auto"/>
              </w:rPr>
            </w:pPr>
          </w:p>
        </w:tc>
        <w:tc>
          <w:tcPr>
            <w:tcW w:w="9640" w:type="dxa"/>
            <w:vAlign w:val="bottom"/>
            <w:tcBorders>
              <w:bottom w:val="single" w:sz="8" w:color="0000EE"/>
            </w:tcBorders>
            <w:gridSpan w:val="9"/>
          </w:tcPr>
          <w:p>
            <w:pPr>
              <w:spacing w:after="0"/>
              <w:rPr>
                <w:rFonts w:ascii="Arial" w:cs="Arial" w:eastAsia="Arial" w:hAnsi="Arial"/>
                <w:sz w:val="12"/>
                <w:szCs w:val="12"/>
                <w:color w:val="0000EE"/>
                <w:w w:val="90"/>
              </w:rPr>
            </w:pPr>
            <w:hyperlink r:id="rId80">
              <w:r>
                <w:rPr>
                  <w:rFonts w:ascii="Arial" w:cs="Arial" w:eastAsia="Arial" w:hAnsi="Arial"/>
                  <w:sz w:val="12"/>
                  <w:szCs w:val="12"/>
                  <w:color w:val="0000EE"/>
                  <w:w w:val="90"/>
                </w:rPr>
                <w:t>Description of Securities Registered Pursuant to Section 12 of the Securities Exchange Act of 1934 (incorporated by reference to the Company’s Annual Report on Form 10-K filed February 16, 2021).</w:t>
              </w:r>
            </w:hyperlink>
          </w:p>
        </w:tc>
        <w:tc>
          <w:tcPr>
            <w:tcW w:w="6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jc w:val="right"/>
              <w:ind w:right="421"/>
              <w:spacing w:after="0"/>
              <w:rPr>
                <w:sz w:val="20"/>
                <w:szCs w:val="20"/>
                <w:color w:val="auto"/>
              </w:rPr>
            </w:pPr>
            <w:r>
              <w:rPr>
                <w:rFonts w:ascii="Arial" w:cs="Arial" w:eastAsia="Arial" w:hAnsi="Arial"/>
                <w:sz w:val="12"/>
                <w:szCs w:val="12"/>
                <w:color w:val="auto"/>
              </w:rPr>
              <w:t>10.1*</w:t>
            </w:r>
          </w:p>
        </w:tc>
        <w:tc>
          <w:tcPr>
            <w:tcW w:w="220" w:type="dxa"/>
            <w:vAlign w:val="bottom"/>
          </w:tcPr>
          <w:p>
            <w:pPr>
              <w:spacing w:after="0"/>
              <w:rPr>
                <w:sz w:val="19"/>
                <w:szCs w:val="19"/>
                <w:color w:val="auto"/>
              </w:rPr>
            </w:pPr>
          </w:p>
        </w:tc>
        <w:tc>
          <w:tcPr>
            <w:tcW w:w="10280" w:type="dxa"/>
            <w:vAlign w:val="bottom"/>
            <w:gridSpan w:val="12"/>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Amendment No. 2 to Distribution Agreement between SiTime Corporation and MegaChips Corporation dated May 21, 2021.</w:t>
              </w:r>
            </w:hyperlink>
          </w:p>
        </w:tc>
        <w:tc>
          <w:tcPr>
            <w:tcW w:w="0" w:type="dxa"/>
            <w:vAlign w:val="bottom"/>
          </w:tcPr>
          <w:p>
            <w:pPr>
              <w:spacing w:after="0"/>
              <w:rPr>
                <w:sz w:val="1"/>
                <w:szCs w:val="1"/>
                <w:color w:val="auto"/>
              </w:rPr>
            </w:pPr>
          </w:p>
        </w:tc>
      </w:tr>
      <w:tr>
        <w:trPr>
          <w:trHeight w:val="268"/>
        </w:trPr>
        <w:tc>
          <w:tcPr>
            <w:tcW w:w="800" w:type="dxa"/>
            <w:vAlign w:val="bottom"/>
            <w:vMerge w:val="restart"/>
          </w:tcPr>
          <w:p>
            <w:pPr>
              <w:jc w:val="right"/>
              <w:ind w:right="421"/>
              <w:spacing w:after="0"/>
              <w:rPr>
                <w:sz w:val="20"/>
                <w:szCs w:val="20"/>
                <w:color w:val="auto"/>
              </w:rPr>
            </w:pPr>
            <w:r>
              <w:rPr>
                <w:rFonts w:ascii="Arial" w:cs="Arial" w:eastAsia="Arial" w:hAnsi="Arial"/>
                <w:sz w:val="12"/>
                <w:szCs w:val="12"/>
                <w:color w:val="auto"/>
              </w:rPr>
              <w:t>10.2*</w:t>
            </w:r>
          </w:p>
        </w:tc>
        <w:tc>
          <w:tcPr>
            <w:tcW w:w="220" w:type="dxa"/>
            <w:vAlign w:val="bottom"/>
          </w:tcPr>
          <w:p>
            <w:pPr>
              <w:spacing w:after="0"/>
              <w:rPr>
                <w:sz w:val="23"/>
                <w:szCs w:val="23"/>
                <w:color w:val="auto"/>
              </w:rPr>
            </w:pPr>
          </w:p>
        </w:tc>
        <w:tc>
          <w:tcPr>
            <w:tcW w:w="6020" w:type="dxa"/>
            <w:vAlign w:val="bottom"/>
            <w:tcBorders>
              <w:top w:val="single" w:sz="8" w:color="0000EE"/>
            </w:tcBorders>
            <w:gridSpan w:val="3"/>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Consulting Agreement dated May 15, 2021 between SiTime Corporation and Akira Takata.</w:t>
              </w:r>
            </w:hyperlink>
          </w:p>
        </w:tc>
        <w:tc>
          <w:tcPr>
            <w:tcW w:w="426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1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00" w:type="dxa"/>
            <w:vAlign w:val="bottom"/>
          </w:tcPr>
          <w:p>
            <w:pPr>
              <w:jc w:val="right"/>
              <w:ind w:right="421"/>
              <w:spacing w:after="0" w:line="126" w:lineRule="exact"/>
              <w:rPr>
                <w:sz w:val="20"/>
                <w:szCs w:val="20"/>
                <w:color w:val="auto"/>
              </w:rPr>
            </w:pPr>
            <w:r>
              <w:rPr>
                <w:rFonts w:ascii="Arial" w:cs="Arial" w:eastAsia="Arial" w:hAnsi="Arial"/>
                <w:sz w:val="12"/>
                <w:szCs w:val="12"/>
                <w:color w:val="auto"/>
              </w:rPr>
              <w:t>31.1*</w:t>
            </w:r>
          </w:p>
        </w:tc>
        <w:tc>
          <w:tcPr>
            <w:tcW w:w="220" w:type="dxa"/>
            <w:vAlign w:val="bottom"/>
          </w:tcPr>
          <w:p>
            <w:pPr>
              <w:spacing w:after="0"/>
              <w:rPr>
                <w:sz w:val="10"/>
                <w:szCs w:val="10"/>
                <w:color w:val="auto"/>
              </w:rPr>
            </w:pPr>
          </w:p>
        </w:tc>
        <w:tc>
          <w:tcPr>
            <w:tcW w:w="10280" w:type="dxa"/>
            <w:vAlign w:val="bottom"/>
            <w:gridSpan w:val="12"/>
          </w:tcPr>
          <w:p>
            <w:pPr>
              <w:spacing w:after="0" w:line="126" w:lineRule="exact"/>
              <w:rPr>
                <w:rFonts w:ascii="Arial" w:cs="Arial" w:eastAsia="Arial" w:hAnsi="Arial"/>
                <w:sz w:val="12"/>
                <w:szCs w:val="12"/>
                <w:color w:val="0000EE"/>
                <w:w w:val="95"/>
              </w:rPr>
            </w:pPr>
            <w:hyperlink w:anchor="page62">
              <w:r>
                <w:rPr>
                  <w:rFonts w:ascii="Arial" w:cs="Arial" w:eastAsia="Arial" w:hAnsi="Arial"/>
                  <w:sz w:val="12"/>
                  <w:szCs w:val="12"/>
                  <w:color w:val="0000EE"/>
                  <w:w w:val="95"/>
                </w:rPr>
                <w:t>Certification of Principal Executive Officer Pursuant to Rules 13a-14(a) and 15d-14(a) under the Securities Exchange Act of 1934, as Adopted Pursuant to Section 302 of the Sarbanes-Oxley Act of 2002.</w:t>
              </w:r>
            </w:hyperlink>
          </w:p>
        </w:tc>
        <w:tc>
          <w:tcPr>
            <w:tcW w:w="0" w:type="dxa"/>
            <w:vAlign w:val="bottom"/>
          </w:tcPr>
          <w:p>
            <w:pPr>
              <w:spacing w:after="0"/>
              <w:rPr>
                <w:sz w:val="1"/>
                <w:szCs w:val="1"/>
                <w:color w:val="auto"/>
              </w:rPr>
            </w:pPr>
          </w:p>
        </w:tc>
      </w:tr>
      <w:tr>
        <w:trPr>
          <w:trHeight w:val="223"/>
        </w:trPr>
        <w:tc>
          <w:tcPr>
            <w:tcW w:w="800" w:type="dxa"/>
            <w:vAlign w:val="bottom"/>
          </w:tcPr>
          <w:p>
            <w:pPr>
              <w:jc w:val="right"/>
              <w:ind w:right="421"/>
              <w:spacing w:after="0"/>
              <w:rPr>
                <w:sz w:val="20"/>
                <w:szCs w:val="20"/>
                <w:color w:val="auto"/>
              </w:rPr>
            </w:pPr>
            <w:r>
              <w:rPr>
                <w:rFonts w:ascii="Arial" w:cs="Arial" w:eastAsia="Arial" w:hAnsi="Arial"/>
                <w:sz w:val="12"/>
                <w:szCs w:val="12"/>
                <w:color w:val="auto"/>
              </w:rPr>
              <w:t>31.2*</w:t>
            </w:r>
          </w:p>
        </w:tc>
        <w:tc>
          <w:tcPr>
            <w:tcW w:w="220" w:type="dxa"/>
            <w:vAlign w:val="bottom"/>
          </w:tcPr>
          <w:p>
            <w:pPr>
              <w:spacing w:after="0"/>
              <w:rPr>
                <w:sz w:val="19"/>
                <w:szCs w:val="19"/>
                <w:color w:val="auto"/>
              </w:rPr>
            </w:pPr>
          </w:p>
        </w:tc>
        <w:tc>
          <w:tcPr>
            <w:tcW w:w="9740" w:type="dxa"/>
            <w:vAlign w:val="bottom"/>
            <w:tcBorders>
              <w:top w:val="single" w:sz="8" w:color="0000EE"/>
              <w:bottom w:val="single" w:sz="8" w:color="0000EE"/>
            </w:tcBorders>
            <w:gridSpan w:val="10"/>
          </w:tcPr>
          <w:p>
            <w:pPr>
              <w:spacing w:after="0"/>
              <w:rPr>
                <w:rFonts w:ascii="Arial" w:cs="Arial" w:eastAsia="Arial" w:hAnsi="Arial"/>
                <w:sz w:val="12"/>
                <w:szCs w:val="12"/>
                <w:color w:val="0000EE"/>
                <w:w w:val="90"/>
              </w:rPr>
            </w:pPr>
            <w:hyperlink w:anchor="page63">
              <w:r>
                <w:rPr>
                  <w:rFonts w:ascii="Arial" w:cs="Arial" w:eastAsia="Arial" w:hAnsi="Arial"/>
                  <w:sz w:val="12"/>
                  <w:szCs w:val="12"/>
                  <w:color w:val="0000EE"/>
                  <w:w w:val="90"/>
                </w:rPr>
                <w:t>Certification of Principal Financial Officer Pursuant to Rules 13a-14(a) and 15d-14(a) under the Securities Exchange Act of 1934, as Adopted Pursuant to Section 302 of the Sarbanes-Oxley Act of 2002.</w:t>
              </w:r>
            </w:hyperlink>
          </w:p>
        </w:tc>
        <w:tc>
          <w:tcPr>
            <w:tcW w:w="2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jc w:val="right"/>
              <w:ind w:right="361"/>
              <w:spacing w:after="0"/>
              <w:rPr>
                <w:sz w:val="20"/>
                <w:szCs w:val="20"/>
                <w:color w:val="auto"/>
              </w:rPr>
            </w:pPr>
            <w:r>
              <w:rPr>
                <w:rFonts w:ascii="Arial" w:cs="Arial" w:eastAsia="Arial" w:hAnsi="Arial"/>
                <w:sz w:val="12"/>
                <w:szCs w:val="12"/>
                <w:color w:val="auto"/>
              </w:rPr>
              <w:t>32.1*#</w:t>
            </w:r>
          </w:p>
        </w:tc>
        <w:tc>
          <w:tcPr>
            <w:tcW w:w="220" w:type="dxa"/>
            <w:vAlign w:val="bottom"/>
          </w:tcPr>
          <w:p>
            <w:pPr>
              <w:spacing w:after="0"/>
              <w:rPr>
                <w:sz w:val="19"/>
                <w:szCs w:val="19"/>
                <w:color w:val="auto"/>
              </w:rPr>
            </w:pPr>
          </w:p>
        </w:tc>
        <w:tc>
          <w:tcPr>
            <w:tcW w:w="7340" w:type="dxa"/>
            <w:vAlign w:val="bottom"/>
            <w:tcBorders>
              <w:bottom w:val="single" w:sz="8" w:color="0000EE"/>
            </w:tcBorders>
            <w:gridSpan w:val="5"/>
          </w:tcPr>
          <w:p>
            <w:pPr>
              <w:spacing w:after="0"/>
              <w:rPr>
                <w:rFonts w:ascii="Arial" w:cs="Arial" w:eastAsia="Arial" w:hAnsi="Arial"/>
                <w:sz w:val="12"/>
                <w:szCs w:val="12"/>
                <w:color w:val="0000EE"/>
                <w:w w:val="91"/>
              </w:rPr>
            </w:pPr>
            <w:hyperlink w:anchor="page64">
              <w:r>
                <w:rPr>
                  <w:rFonts w:ascii="Arial" w:cs="Arial" w:eastAsia="Arial" w:hAnsi="Arial"/>
                  <w:sz w:val="12"/>
                  <w:szCs w:val="12"/>
                  <w:color w:val="0000EE"/>
                  <w:w w:val="91"/>
                </w:rPr>
                <w:t>Certification of Principal Executive Officer Pursuant to 18 U.S.C. Section 1350, as Adopted Pursuant to Section 906 of the Sarbanes-Oxley Act of 2002.</w:t>
              </w:r>
            </w:hyperlink>
          </w:p>
        </w:tc>
        <w:tc>
          <w:tcPr>
            <w:tcW w:w="29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jc w:val="right"/>
              <w:ind w:right="361"/>
              <w:spacing w:after="0"/>
              <w:rPr>
                <w:sz w:val="20"/>
                <w:szCs w:val="20"/>
                <w:color w:val="auto"/>
              </w:rPr>
            </w:pPr>
            <w:r>
              <w:rPr>
                <w:rFonts w:ascii="Arial" w:cs="Arial" w:eastAsia="Arial" w:hAnsi="Arial"/>
                <w:sz w:val="12"/>
                <w:szCs w:val="12"/>
                <w:color w:val="auto"/>
              </w:rPr>
              <w:t>32.2*#</w:t>
            </w:r>
          </w:p>
        </w:tc>
        <w:tc>
          <w:tcPr>
            <w:tcW w:w="220" w:type="dxa"/>
            <w:vAlign w:val="bottom"/>
          </w:tcPr>
          <w:p>
            <w:pPr>
              <w:spacing w:after="0"/>
              <w:rPr>
                <w:sz w:val="19"/>
                <w:szCs w:val="19"/>
                <w:color w:val="auto"/>
              </w:rPr>
            </w:pPr>
          </w:p>
        </w:tc>
        <w:tc>
          <w:tcPr>
            <w:tcW w:w="10280" w:type="dxa"/>
            <w:vAlign w:val="bottom"/>
            <w:gridSpan w:val="12"/>
          </w:tcPr>
          <w:p>
            <w:pPr>
              <w:spacing w:after="0"/>
              <w:rPr>
                <w:rFonts w:ascii="Arial" w:cs="Arial" w:eastAsia="Arial" w:hAnsi="Arial"/>
                <w:sz w:val="12"/>
                <w:szCs w:val="12"/>
                <w:color w:val="0000EE"/>
              </w:rPr>
            </w:pPr>
            <w:hyperlink w:anchor="page65">
              <w:r>
                <w:rPr>
                  <w:rFonts w:ascii="Arial" w:cs="Arial" w:eastAsia="Arial" w:hAnsi="Arial"/>
                  <w:sz w:val="12"/>
                  <w:szCs w:val="12"/>
                  <w:color w:val="0000EE"/>
                </w:rPr>
                <w:t>Certification of Principal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7300" w:type="dxa"/>
            <w:vAlign w:val="bottom"/>
            <w:gridSpan w:val="4"/>
            <w:shd w:val="clear" w:color="auto" w:fill="0000EE"/>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2"/>
          </w:tcPr>
          <w:p>
            <w:pPr>
              <w:spacing w:after="0"/>
              <w:rPr>
                <w:sz w:val="20"/>
                <w:szCs w:val="20"/>
                <w:color w:val="auto"/>
              </w:rPr>
            </w:pPr>
            <w:r>
              <w:rPr>
                <w:rFonts w:ascii="Arial" w:cs="Arial" w:eastAsia="Arial" w:hAnsi="Arial"/>
                <w:sz w:val="12"/>
                <w:szCs w:val="12"/>
                <w:color w:val="auto"/>
              </w:rPr>
              <w:t>101.INS*</w:t>
            </w:r>
          </w:p>
        </w:tc>
        <w:tc>
          <w:tcPr>
            <w:tcW w:w="10280" w:type="dxa"/>
            <w:vAlign w:val="bottom"/>
            <w:gridSpan w:val="12"/>
          </w:tcPr>
          <w:p>
            <w:pPr>
              <w:spacing w:after="0"/>
              <w:rPr>
                <w:sz w:val="20"/>
                <w:szCs w:val="20"/>
                <w:color w:val="auto"/>
              </w:rPr>
            </w:pPr>
            <w:r>
              <w:rPr>
                <w:rFonts w:ascii="Arial" w:cs="Arial" w:eastAsia="Arial" w:hAnsi="Arial"/>
                <w:sz w:val="12"/>
                <w:szCs w:val="12"/>
                <w:color w:val="auto"/>
              </w:rPr>
              <w:t>Inline XBRL Instance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53"/>
        </w:trPr>
        <w:tc>
          <w:tcPr>
            <w:tcW w:w="1020" w:type="dxa"/>
            <w:vAlign w:val="bottom"/>
            <w:gridSpan w:val="2"/>
          </w:tcPr>
          <w:p>
            <w:pPr>
              <w:spacing w:after="0"/>
              <w:rPr>
                <w:sz w:val="20"/>
                <w:szCs w:val="20"/>
                <w:color w:val="auto"/>
              </w:rPr>
            </w:pPr>
            <w:r>
              <w:rPr>
                <w:rFonts w:ascii="Arial" w:cs="Arial" w:eastAsia="Arial" w:hAnsi="Arial"/>
                <w:sz w:val="12"/>
                <w:szCs w:val="12"/>
                <w:color w:val="auto"/>
              </w:rPr>
              <w:t>101.SCH*</w:t>
            </w:r>
          </w:p>
        </w:tc>
        <w:tc>
          <w:tcPr>
            <w:tcW w:w="10280" w:type="dxa"/>
            <w:vAlign w:val="bottom"/>
            <w:gridSpan w:val="12"/>
          </w:tcPr>
          <w:p>
            <w:pPr>
              <w:spacing w:after="0"/>
              <w:rPr>
                <w:sz w:val="20"/>
                <w:szCs w:val="20"/>
                <w:color w:val="auto"/>
              </w:rPr>
            </w:pPr>
            <w:r>
              <w:rPr>
                <w:rFonts w:ascii="Arial" w:cs="Arial" w:eastAsia="Arial" w:hAnsi="Arial"/>
                <w:sz w:val="12"/>
                <w:szCs w:val="12"/>
                <w:color w:val="auto"/>
              </w:rPr>
              <w:t>Inline XBRL Taxonomy Extension Schema Document</w:t>
            </w:r>
          </w:p>
        </w:tc>
        <w:tc>
          <w:tcPr>
            <w:tcW w:w="0" w:type="dxa"/>
            <w:vAlign w:val="bottom"/>
          </w:tcPr>
          <w:p>
            <w:pPr>
              <w:spacing w:after="0"/>
              <w:rPr>
                <w:sz w:val="1"/>
                <w:szCs w:val="1"/>
                <w:color w:val="auto"/>
              </w:rPr>
            </w:pPr>
          </w:p>
        </w:tc>
      </w:tr>
      <w:tr>
        <w:trPr>
          <w:trHeight w:val="153"/>
        </w:trPr>
        <w:tc>
          <w:tcPr>
            <w:tcW w:w="1020" w:type="dxa"/>
            <w:vAlign w:val="bottom"/>
            <w:gridSpan w:val="2"/>
          </w:tcPr>
          <w:p>
            <w:pPr>
              <w:spacing w:after="0"/>
              <w:rPr>
                <w:sz w:val="20"/>
                <w:szCs w:val="20"/>
                <w:color w:val="auto"/>
              </w:rPr>
            </w:pPr>
            <w:r>
              <w:rPr>
                <w:rFonts w:ascii="Arial" w:cs="Arial" w:eastAsia="Arial" w:hAnsi="Arial"/>
                <w:sz w:val="12"/>
                <w:szCs w:val="12"/>
                <w:color w:val="auto"/>
              </w:rPr>
              <w:t>101.CAL*</w:t>
            </w:r>
          </w:p>
        </w:tc>
        <w:tc>
          <w:tcPr>
            <w:tcW w:w="10280" w:type="dxa"/>
            <w:vAlign w:val="bottom"/>
            <w:gridSpan w:val="12"/>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153"/>
        </w:trPr>
        <w:tc>
          <w:tcPr>
            <w:tcW w:w="1020" w:type="dxa"/>
            <w:vAlign w:val="bottom"/>
            <w:gridSpan w:val="2"/>
          </w:tcPr>
          <w:p>
            <w:pPr>
              <w:spacing w:after="0"/>
              <w:rPr>
                <w:sz w:val="20"/>
                <w:szCs w:val="20"/>
                <w:color w:val="auto"/>
              </w:rPr>
            </w:pPr>
            <w:r>
              <w:rPr>
                <w:rFonts w:ascii="Arial" w:cs="Arial" w:eastAsia="Arial" w:hAnsi="Arial"/>
                <w:sz w:val="12"/>
                <w:szCs w:val="12"/>
                <w:color w:val="auto"/>
              </w:rPr>
              <w:t>101.DEF*</w:t>
            </w:r>
          </w:p>
        </w:tc>
        <w:tc>
          <w:tcPr>
            <w:tcW w:w="10280" w:type="dxa"/>
            <w:vAlign w:val="bottom"/>
            <w:gridSpan w:val="12"/>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0" w:type="dxa"/>
            <w:vAlign w:val="bottom"/>
          </w:tcPr>
          <w:p>
            <w:pPr>
              <w:spacing w:after="0"/>
              <w:rPr>
                <w:sz w:val="1"/>
                <w:szCs w:val="1"/>
                <w:color w:val="auto"/>
              </w:rPr>
            </w:pPr>
          </w:p>
        </w:tc>
      </w:tr>
      <w:tr>
        <w:trPr>
          <w:trHeight w:val="153"/>
        </w:trPr>
        <w:tc>
          <w:tcPr>
            <w:tcW w:w="1020" w:type="dxa"/>
            <w:vAlign w:val="bottom"/>
            <w:gridSpan w:val="2"/>
          </w:tcPr>
          <w:p>
            <w:pPr>
              <w:spacing w:after="0"/>
              <w:rPr>
                <w:sz w:val="20"/>
                <w:szCs w:val="20"/>
                <w:color w:val="auto"/>
              </w:rPr>
            </w:pPr>
            <w:r>
              <w:rPr>
                <w:rFonts w:ascii="Arial" w:cs="Arial" w:eastAsia="Arial" w:hAnsi="Arial"/>
                <w:sz w:val="12"/>
                <w:szCs w:val="12"/>
                <w:color w:val="auto"/>
              </w:rPr>
              <w:t>101.LAB*</w:t>
            </w:r>
          </w:p>
        </w:tc>
        <w:tc>
          <w:tcPr>
            <w:tcW w:w="10280" w:type="dxa"/>
            <w:vAlign w:val="bottom"/>
            <w:gridSpan w:val="12"/>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rPr>
                <w:sz w:val="20"/>
                <w:szCs w:val="20"/>
                <w:color w:val="auto"/>
              </w:rPr>
            </w:pPr>
            <w:r>
              <w:rPr>
                <w:rFonts w:ascii="Arial" w:cs="Arial" w:eastAsia="Arial" w:hAnsi="Arial"/>
                <w:sz w:val="12"/>
                <w:szCs w:val="12"/>
                <w:color w:val="auto"/>
              </w:rPr>
              <w:t>101.PRE*</w:t>
            </w:r>
          </w:p>
        </w:tc>
        <w:tc>
          <w:tcPr>
            <w:tcW w:w="10280" w:type="dxa"/>
            <w:vAlign w:val="bottom"/>
            <w:gridSpan w:val="12"/>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0" w:type="dxa"/>
            <w:vAlign w:val="bottom"/>
          </w:tcPr>
          <w:p>
            <w:pPr>
              <w:spacing w:after="0"/>
              <w:rPr>
                <w:sz w:val="1"/>
                <w:szCs w:val="1"/>
                <w:color w:val="auto"/>
              </w:rPr>
            </w:pPr>
          </w:p>
        </w:tc>
      </w:tr>
      <w:tr>
        <w:trPr>
          <w:trHeight w:val="153"/>
        </w:trPr>
        <w:tc>
          <w:tcPr>
            <w:tcW w:w="800" w:type="dxa"/>
            <w:vAlign w:val="bottom"/>
          </w:tcPr>
          <w:p>
            <w:pPr>
              <w:spacing w:after="0"/>
              <w:rPr>
                <w:sz w:val="20"/>
                <w:szCs w:val="20"/>
                <w:color w:val="auto"/>
              </w:rPr>
            </w:pPr>
            <w:r>
              <w:rPr>
                <w:rFonts w:ascii="Arial" w:cs="Arial" w:eastAsia="Arial" w:hAnsi="Arial"/>
                <w:sz w:val="12"/>
                <w:szCs w:val="12"/>
                <w:color w:val="auto"/>
              </w:rPr>
              <w:t>104</w:t>
            </w:r>
          </w:p>
        </w:tc>
        <w:tc>
          <w:tcPr>
            <w:tcW w:w="220" w:type="dxa"/>
            <w:vAlign w:val="bottom"/>
          </w:tcPr>
          <w:p>
            <w:pPr>
              <w:spacing w:after="0"/>
              <w:rPr>
                <w:sz w:val="13"/>
                <w:szCs w:val="13"/>
                <w:color w:val="auto"/>
              </w:rPr>
            </w:pPr>
          </w:p>
        </w:tc>
        <w:tc>
          <w:tcPr>
            <w:tcW w:w="10280" w:type="dxa"/>
            <w:vAlign w:val="bottom"/>
            <w:gridSpan w:val="12"/>
          </w:tcPr>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9544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954405" cy="5715"/>
                    </a:xfrm>
                    <a:prstGeom prst="rect">
                      <a:avLst/>
                    </a:prstGeom>
                    <a:noFill/>
                  </pic:spPr>
                </pic:pic>
              </a:graphicData>
            </a:graphic>
          </wp:anchor>
        </w:drawing>
      </w:r>
    </w:p>
    <w:p>
      <w:pPr>
        <w:spacing w:after="0" w:line="142" w:lineRule="exact"/>
        <w:rPr>
          <w:sz w:val="20"/>
          <w:szCs w:val="20"/>
          <w:color w:val="auto"/>
        </w:rPr>
      </w:pPr>
    </w:p>
    <w:p>
      <w:pPr>
        <w:ind w:left="508" w:hanging="508"/>
        <w:spacing w:after="0"/>
        <w:tabs>
          <w:tab w:leader="none" w:pos="5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78" w:lineRule="exact"/>
        <w:rPr>
          <w:sz w:val="20"/>
          <w:szCs w:val="20"/>
          <w:color w:val="auto"/>
        </w:rPr>
      </w:pPr>
    </w:p>
    <w:p>
      <w:pPr>
        <w:ind w:left="508" w:hanging="508"/>
        <w:spacing w:after="0" w:line="147" w:lineRule="exact"/>
        <w:tabs>
          <w:tab w:leader="none" w:pos="5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accordance with Item 601(b)(32)(ii) of Regulation S</w:t>
      </w:r>
      <w:r>
        <w:rPr>
          <w:rFonts w:ascii="MS PGothic" w:cs="MS PGothic" w:eastAsia="MS PGothic" w:hAnsi="MS PGothic"/>
          <w:sz w:val="12"/>
          <w:szCs w:val="12"/>
          <w:color w:val="auto"/>
        </w:rPr>
        <w:t>‑</w:t>
      </w:r>
      <w:r>
        <w:rPr>
          <w:rFonts w:ascii="Arial" w:cs="Arial" w:eastAsia="Arial" w:hAnsi="Arial"/>
          <w:sz w:val="12"/>
          <w:szCs w:val="12"/>
          <w:color w:val="auto"/>
        </w:rPr>
        <w:t>K and SEC Release No. 34</w:t>
      </w:r>
      <w:r>
        <w:rPr>
          <w:rFonts w:ascii="MS PGothic" w:cs="MS PGothic" w:eastAsia="MS PGothic" w:hAnsi="MS PGothic"/>
          <w:sz w:val="12"/>
          <w:szCs w:val="12"/>
          <w:color w:val="auto"/>
        </w:rPr>
        <w:t>‑</w:t>
      </w:r>
      <w:r>
        <w:rPr>
          <w:rFonts w:ascii="Arial" w:cs="Arial" w:eastAsia="Arial" w:hAnsi="Arial"/>
          <w:sz w:val="12"/>
          <w:szCs w:val="12"/>
          <w:color w:val="auto"/>
        </w:rPr>
        <w:t>47986, the certifications furnished in Exhibits 32.1 and 32.2 hereto are deemed to accompany this Form 10</w:t>
      </w:r>
      <w:r>
        <w:rPr>
          <w:rFonts w:ascii="MS PGothic" w:cs="MS PGothic" w:eastAsia="MS PGothic" w:hAnsi="MS PGothic"/>
          <w:sz w:val="12"/>
          <w:szCs w:val="12"/>
          <w:color w:val="auto"/>
        </w:rPr>
        <w:t>‑</w:t>
      </w:r>
      <w:r>
        <w:rPr>
          <w:rFonts w:ascii="Arial" w:cs="Arial" w:eastAsia="Arial" w:hAnsi="Arial"/>
          <w:sz w:val="12"/>
          <w:szCs w:val="12"/>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19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1" w:right="299" w:bottom="1440" w:gutter="0" w:footer="0" w:header="0"/>
        </w:sectPr>
      </w:pPr>
    </w:p>
    <w:bookmarkStart w:id="50" w:name="page51"/>
    <w:bookmarkEnd w:id="50"/>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00" w:type="dxa"/>
            <w:vAlign w:val="bottom"/>
          </w:tcPr>
          <w:p>
            <w:pPr>
              <w:spacing w:after="0"/>
              <w:rPr>
                <w:sz w:val="13"/>
                <w:szCs w:val="13"/>
                <w:color w:val="auto"/>
              </w:rPr>
            </w:pPr>
          </w:p>
        </w:tc>
        <w:tc>
          <w:tcPr>
            <w:tcW w:w="3740" w:type="dxa"/>
            <w:vAlign w:val="bottom"/>
            <w:gridSpan w:val="2"/>
          </w:tcPr>
          <w:p>
            <w:pPr>
              <w:ind w:left="2400"/>
              <w:spacing w:after="0"/>
              <w:rPr>
                <w:sz w:val="20"/>
                <w:szCs w:val="20"/>
                <w:color w:val="auto"/>
              </w:rPr>
            </w:pPr>
            <w:r>
              <w:rPr>
                <w:rFonts w:ascii="Arial" w:cs="Arial" w:eastAsia="Arial" w:hAnsi="Arial"/>
                <w:sz w:val="12"/>
                <w:szCs w:val="12"/>
                <w:color w:val="auto"/>
              </w:rPr>
              <w:t>SiTime Corporation</w:t>
            </w:r>
          </w:p>
        </w:tc>
        <w:tc>
          <w:tcPr>
            <w:tcW w:w="4260" w:type="dxa"/>
            <w:vAlign w:val="bottom"/>
          </w:tcPr>
          <w:p>
            <w:pPr>
              <w:spacing w:after="0"/>
              <w:rPr>
                <w:sz w:val="13"/>
                <w:szCs w:val="13"/>
                <w:color w:val="auto"/>
              </w:rPr>
            </w:pPr>
          </w:p>
        </w:tc>
      </w:tr>
      <w:tr>
        <w:trPr>
          <w:trHeight w:val="306"/>
        </w:trPr>
        <w:tc>
          <w:tcPr>
            <w:tcW w:w="3300" w:type="dxa"/>
            <w:vAlign w:val="bottom"/>
          </w:tcPr>
          <w:p>
            <w:pPr>
              <w:spacing w:after="0"/>
              <w:rPr>
                <w:sz w:val="20"/>
                <w:szCs w:val="20"/>
                <w:color w:val="auto"/>
              </w:rPr>
            </w:pPr>
            <w:r>
              <w:rPr>
                <w:rFonts w:ascii="Arial" w:cs="Arial" w:eastAsia="Arial" w:hAnsi="Arial"/>
                <w:sz w:val="12"/>
                <w:szCs w:val="12"/>
                <w:color w:val="auto"/>
              </w:rPr>
              <w:t>Date: August 5, 2021</w:t>
            </w:r>
          </w:p>
        </w:tc>
        <w:tc>
          <w:tcPr>
            <w:tcW w:w="3740" w:type="dxa"/>
            <w:vAlign w:val="bottom"/>
            <w:gridSpan w:val="2"/>
          </w:tcPr>
          <w:p>
            <w:pPr>
              <w:ind w:left="2400"/>
              <w:spacing w:after="0"/>
              <w:rPr>
                <w:sz w:val="20"/>
                <w:szCs w:val="20"/>
                <w:color w:val="auto"/>
              </w:rPr>
            </w:pPr>
            <w:r>
              <w:rPr>
                <w:rFonts w:ascii="Arial" w:cs="Arial" w:eastAsia="Arial" w:hAnsi="Arial"/>
                <w:sz w:val="12"/>
                <w:szCs w:val="12"/>
                <w:color w:val="auto"/>
              </w:rPr>
              <w:t>By:</w:t>
            </w:r>
          </w:p>
        </w:tc>
        <w:tc>
          <w:tcPr>
            <w:tcW w:w="4260" w:type="dxa"/>
            <w:vAlign w:val="bottom"/>
          </w:tcPr>
          <w:p>
            <w:pPr>
              <w:jc w:val="center"/>
              <w:ind w:right="960"/>
              <w:spacing w:after="0"/>
              <w:rPr>
                <w:sz w:val="20"/>
                <w:szCs w:val="20"/>
                <w:color w:val="auto"/>
              </w:rPr>
            </w:pPr>
            <w:r>
              <w:rPr>
                <w:rFonts w:ascii="Arial" w:cs="Arial" w:eastAsia="Arial" w:hAnsi="Arial"/>
                <w:sz w:val="12"/>
                <w:szCs w:val="12"/>
                <w:color w:val="auto"/>
                <w:w w:val="93"/>
              </w:rPr>
              <w:t>/s/ Arthur D. Chadwick</w:t>
            </w:r>
          </w:p>
        </w:tc>
      </w:tr>
      <w:tr>
        <w:trPr>
          <w:trHeight w:val="138"/>
        </w:trPr>
        <w:tc>
          <w:tcPr>
            <w:tcW w:w="3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260" w:type="dxa"/>
            <w:vAlign w:val="bottom"/>
            <w:tcBorders>
              <w:top w:val="single" w:sz="8" w:color="auto"/>
            </w:tcBorders>
          </w:tcPr>
          <w:p>
            <w:pPr>
              <w:jc w:val="center"/>
              <w:ind w:right="940"/>
              <w:spacing w:after="0"/>
              <w:rPr>
                <w:sz w:val="20"/>
                <w:szCs w:val="20"/>
                <w:color w:val="auto"/>
              </w:rPr>
            </w:pPr>
            <w:r>
              <w:rPr>
                <w:rFonts w:ascii="Arial" w:cs="Arial" w:eastAsia="Arial" w:hAnsi="Arial"/>
                <w:sz w:val="12"/>
                <w:szCs w:val="12"/>
                <w:b w:val="1"/>
                <w:bCs w:val="1"/>
                <w:color w:val="auto"/>
                <w:w w:val="95"/>
              </w:rPr>
              <w:t>Arthur D. Chadwick</w:t>
            </w:r>
          </w:p>
        </w:tc>
      </w:tr>
      <w:tr>
        <w:trPr>
          <w:trHeight w:val="157"/>
        </w:trPr>
        <w:tc>
          <w:tcPr>
            <w:tcW w:w="33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60" w:type="dxa"/>
            <w:vAlign w:val="bottom"/>
          </w:tcPr>
          <w:p>
            <w:pPr>
              <w:jc w:val="center"/>
              <w:ind w:right="940"/>
              <w:spacing w:after="0"/>
              <w:rPr>
                <w:sz w:val="20"/>
                <w:szCs w:val="20"/>
                <w:color w:val="auto"/>
              </w:rPr>
            </w:pPr>
            <w:r>
              <w:rPr>
                <w:rFonts w:ascii="Arial" w:cs="Arial" w:eastAsia="Arial" w:hAnsi="Arial"/>
                <w:sz w:val="12"/>
                <w:szCs w:val="12"/>
                <w:b w:val="1"/>
                <w:bCs w:val="1"/>
                <w:color w:val="auto"/>
                <w:w w:val="90"/>
              </w:rPr>
              <w:t>Executive Vice President, Chief Financial Officer</w:t>
            </w:r>
          </w:p>
        </w:tc>
      </w:tr>
      <w:tr>
        <w:trPr>
          <w:trHeight w:val="648"/>
        </w:trPr>
        <w:tc>
          <w:tcPr>
            <w:tcW w:w="3300" w:type="dxa"/>
            <w:vAlign w:val="bottom"/>
          </w:tcPr>
          <w:p>
            <w:pPr>
              <w:spacing w:after="0"/>
              <w:rPr>
                <w:sz w:val="24"/>
                <w:szCs w:val="24"/>
                <w:color w:val="auto"/>
              </w:rPr>
            </w:pPr>
          </w:p>
        </w:tc>
        <w:tc>
          <w:tcPr>
            <w:tcW w:w="2740" w:type="dxa"/>
            <w:vAlign w:val="bottom"/>
          </w:tcPr>
          <w:p>
            <w:pPr>
              <w:jc w:val="right"/>
              <w:ind w:right="280"/>
              <w:spacing w:after="0"/>
              <w:rPr>
                <w:sz w:val="20"/>
                <w:szCs w:val="20"/>
                <w:color w:val="auto"/>
              </w:rPr>
            </w:pPr>
            <w:r>
              <w:rPr>
                <w:rFonts w:ascii="Arial" w:cs="Arial" w:eastAsia="Arial" w:hAnsi="Arial"/>
                <w:sz w:val="12"/>
                <w:szCs w:val="12"/>
                <w:color w:val="auto"/>
              </w:rPr>
              <w:t>49</w:t>
            </w:r>
          </w:p>
        </w:tc>
        <w:tc>
          <w:tcPr>
            <w:tcW w:w="100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51" w:name="page52"/>
    <w:bookmarkEnd w:id="51"/>
    <w:p>
      <w:pPr>
        <w:ind w:left="10740"/>
        <w:spacing w:after="0"/>
        <w:rPr>
          <w:sz w:val="20"/>
          <w:szCs w:val="20"/>
          <w:color w:val="auto"/>
        </w:rPr>
      </w:pPr>
      <w:r>
        <w:rPr>
          <w:rFonts w:ascii="Arial" w:cs="Arial" w:eastAsia="Arial" w:hAnsi="Arial"/>
          <w:sz w:val="10"/>
          <w:szCs w:val="10"/>
          <w:b w:val="1"/>
          <w:bCs w:val="1"/>
          <w:color w:val="auto"/>
        </w:rPr>
        <w:t>Exhibit 10.1</w:t>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AMENDMENT NO.2 TO DISTRIBUTION AGREEMENT</w:t>
      </w:r>
    </w:p>
    <w:p>
      <w:pPr>
        <w:spacing w:after="0" w:line="262" w:lineRule="exact"/>
        <w:rPr>
          <w:sz w:val="20"/>
          <w:szCs w:val="20"/>
          <w:color w:val="auto"/>
        </w:rPr>
      </w:pPr>
    </w:p>
    <w:p>
      <w:pPr>
        <w:jc w:val="both"/>
        <w:ind w:left="180" w:right="20" w:hanging="2"/>
        <w:spacing w:after="0" w:line="259" w:lineRule="auto"/>
        <w:rPr>
          <w:sz w:val="20"/>
          <w:szCs w:val="20"/>
          <w:color w:val="auto"/>
        </w:rPr>
      </w:pPr>
      <w:r>
        <w:rPr>
          <w:rFonts w:ascii="Arial" w:cs="Arial" w:eastAsia="Arial" w:hAnsi="Arial"/>
          <w:sz w:val="12"/>
          <w:szCs w:val="12"/>
          <w:color w:val="auto"/>
        </w:rPr>
        <w:t>THIS AMENDMENT NO.2 TO DISTRIBUTION AGREEMENT (the "Amendment No.2"), effective as of the Effective Date as defined below, is made and entered into by and between SiTime Corporation (hereinafter referred to as "Manufacturer"), a Delaware corporation, organized and existing under the laws of Delaware, USA, with its principal office at 5451 Patrick Henry Drive Santa Clara, CA 95054 U.S.A. and MegaChips Corporation (hereinafter referred to as "Distributor"), a Japanese corporation, organized and existing under the laws of Japan, with its principal office at 1-1-1 Miyahara, Yodogawa-ku, Osaka, 532-0003 Japan. (hereinafter referred to individually as "Party" and collectively "Parties")</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Recitals</w:t>
      </w:r>
    </w:p>
    <w:p>
      <w:pPr>
        <w:spacing w:after="0" w:line="154" w:lineRule="exact"/>
        <w:rPr>
          <w:sz w:val="20"/>
          <w:szCs w:val="20"/>
          <w:color w:val="auto"/>
        </w:rPr>
      </w:pPr>
    </w:p>
    <w:p>
      <w:pPr>
        <w:jc w:val="both"/>
        <w:ind w:left="180" w:right="20" w:firstLine="1077"/>
        <w:spacing w:after="0" w:line="263" w:lineRule="auto"/>
        <w:rPr>
          <w:sz w:val="20"/>
          <w:szCs w:val="20"/>
          <w:color w:val="auto"/>
        </w:rPr>
      </w:pPr>
      <w:r>
        <w:rPr>
          <w:rFonts w:ascii="Arial" w:cs="Arial" w:eastAsia="Arial" w:hAnsi="Arial"/>
          <w:sz w:val="12"/>
          <w:szCs w:val="12"/>
          <w:color w:val="auto"/>
        </w:rPr>
        <w:t>WHEREAS, under the terms and conditions of Distribution Agreement dated April l, 2015 between the Parties (as amended by Amendment to Distribution Agreement dated January l, 2016 between the Parties) ("Agreement"), Manufacturer appointed Distributor as an authorized distributor for the Products (as defined in Exhibit A of the Agreement) within the Territory (as defined in Exhibit B of the Agreement), and Distributor accepted such appointment.</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WHEREAS, the Parties wish to amend the definition of the Territory.</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foregoing and the mutual covenants and conditions contained herein, and intending to be legally bound hereby, the Parties agree as follows:</w:t>
      </w:r>
    </w:p>
    <w:p>
      <w:pPr>
        <w:spacing w:after="0" w:line="150" w:lineRule="exact"/>
        <w:rPr>
          <w:sz w:val="20"/>
          <w:szCs w:val="20"/>
          <w:color w:val="auto"/>
        </w:rPr>
      </w:pPr>
    </w:p>
    <w:p>
      <w:pPr>
        <w:ind w:left="640" w:hanging="450"/>
        <w:spacing w:after="0"/>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Exhibit B ("</w:t>
      </w:r>
      <w:r>
        <w:rPr>
          <w:rFonts w:ascii="Arial" w:cs="Arial" w:eastAsia="Arial" w:hAnsi="Arial"/>
          <w:sz w:val="12"/>
          <w:szCs w:val="12"/>
          <w:b w:val="1"/>
          <w:bCs w:val="1"/>
          <w:color w:val="auto"/>
        </w:rPr>
        <w:t>Territory</w:t>
      </w:r>
      <w:r>
        <w:rPr>
          <w:rFonts w:ascii="Arial" w:cs="Arial" w:eastAsia="Arial" w:hAnsi="Arial"/>
          <w:sz w:val="12"/>
          <w:szCs w:val="12"/>
          <w:color w:val="auto"/>
        </w:rPr>
        <w:t>") of the Agreement shall be wholly replaced by the Attachment to this Amendment No.2.</w:t>
      </w:r>
    </w:p>
    <w:p>
      <w:pPr>
        <w:spacing w:after="0" w:line="163" w:lineRule="exact"/>
        <w:rPr>
          <w:rFonts w:ascii="Arial" w:cs="Arial" w:eastAsia="Arial" w:hAnsi="Arial"/>
          <w:sz w:val="12"/>
          <w:szCs w:val="12"/>
          <w:color w:val="auto"/>
        </w:rPr>
      </w:pPr>
    </w:p>
    <w:p>
      <w:pPr>
        <w:ind w:left="640" w:hanging="450"/>
        <w:spacing w:after="0"/>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Unless otherwise amended in this Amendment No.2, the original terms and conditions of the Agreement shall remain in full force and effect.</w:t>
      </w:r>
    </w:p>
    <w:p>
      <w:pPr>
        <w:spacing w:after="0" w:line="155" w:lineRule="exact"/>
        <w:rPr>
          <w:rFonts w:ascii="Arial" w:cs="Arial" w:eastAsia="Arial" w:hAnsi="Arial"/>
          <w:sz w:val="12"/>
          <w:szCs w:val="12"/>
          <w:color w:val="auto"/>
        </w:rPr>
      </w:pPr>
    </w:p>
    <w:p>
      <w:pPr>
        <w:ind w:left="640" w:hanging="450"/>
        <w:spacing w:after="0"/>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amendment herein shall become effective as of the date on which the last signing Party will affix its signature ("</w:t>
      </w:r>
      <w:r>
        <w:rPr>
          <w:rFonts w:ascii="Arial" w:cs="Arial" w:eastAsia="Arial" w:hAnsi="Arial"/>
          <w:sz w:val="12"/>
          <w:szCs w:val="12"/>
          <w:b w:val="1"/>
          <w:bCs w:val="1"/>
          <w:color w:val="auto"/>
        </w:rPr>
        <w:t>Effective Date</w:t>
      </w:r>
      <w:r>
        <w:rPr>
          <w:rFonts w:ascii="Arial" w:cs="Arial" w:eastAsia="Arial" w:hAnsi="Arial"/>
          <w:sz w:val="12"/>
          <w:szCs w:val="12"/>
          <w:color w:val="auto"/>
        </w:rPr>
        <w:t>").</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have caused this Amendment No.2 to be signed and accepted by their duly authorized representatives as of the day and year written below.</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00" w:type="dxa"/>
            <w:vAlign w:val="bottom"/>
            <w:gridSpan w:val="3"/>
          </w:tcPr>
          <w:p>
            <w:pPr>
              <w:ind w:left="200"/>
              <w:spacing w:after="0"/>
              <w:rPr>
                <w:sz w:val="20"/>
                <w:szCs w:val="20"/>
                <w:color w:val="auto"/>
              </w:rPr>
            </w:pPr>
            <w:r>
              <w:rPr>
                <w:rFonts w:ascii="Arial" w:cs="Arial" w:eastAsia="Arial" w:hAnsi="Arial"/>
                <w:sz w:val="12"/>
                <w:szCs w:val="12"/>
                <w:b w:val="1"/>
                <w:bCs w:val="1"/>
                <w:color w:val="auto"/>
              </w:rPr>
              <w:t>DISTRIBUTOR</w:t>
            </w:r>
          </w:p>
        </w:tc>
        <w:tc>
          <w:tcPr>
            <w:tcW w:w="8620" w:type="dxa"/>
            <w:vAlign w:val="bottom"/>
            <w:gridSpan w:val="3"/>
          </w:tcPr>
          <w:p>
            <w:pPr>
              <w:ind w:left="1000"/>
              <w:spacing w:after="0"/>
              <w:rPr>
                <w:sz w:val="20"/>
                <w:szCs w:val="20"/>
                <w:color w:val="auto"/>
              </w:rPr>
            </w:pPr>
            <w:r>
              <w:rPr>
                <w:rFonts w:ascii="Arial" w:cs="Arial" w:eastAsia="Arial" w:hAnsi="Arial"/>
                <w:sz w:val="12"/>
                <w:szCs w:val="12"/>
                <w:b w:val="1"/>
                <w:bCs w:val="1"/>
                <w:color w:val="auto"/>
              </w:rPr>
              <w:t>MANUFACTURER</w:t>
            </w:r>
          </w:p>
        </w:tc>
      </w:tr>
      <w:tr>
        <w:trPr>
          <w:trHeight w:val="432"/>
        </w:trPr>
        <w:tc>
          <w:tcPr>
            <w:tcW w:w="2700" w:type="dxa"/>
            <w:vAlign w:val="bottom"/>
            <w:gridSpan w:val="3"/>
          </w:tcPr>
          <w:p>
            <w:pPr>
              <w:ind w:left="220"/>
              <w:spacing w:after="0"/>
              <w:rPr>
                <w:sz w:val="20"/>
                <w:szCs w:val="20"/>
                <w:color w:val="auto"/>
              </w:rPr>
            </w:pPr>
            <w:r>
              <w:rPr>
                <w:rFonts w:ascii="Arial" w:cs="Arial" w:eastAsia="Arial" w:hAnsi="Arial"/>
                <w:sz w:val="12"/>
                <w:szCs w:val="12"/>
                <w:b w:val="1"/>
                <w:bCs w:val="1"/>
                <w:color w:val="auto"/>
              </w:rPr>
              <w:t>MegaChips Corporation</w:t>
            </w:r>
          </w:p>
        </w:tc>
        <w:tc>
          <w:tcPr>
            <w:tcW w:w="8620" w:type="dxa"/>
            <w:vAlign w:val="bottom"/>
            <w:gridSpan w:val="3"/>
          </w:tcPr>
          <w:p>
            <w:pPr>
              <w:ind w:left="1420"/>
              <w:spacing w:after="0"/>
              <w:rPr>
                <w:sz w:val="20"/>
                <w:szCs w:val="20"/>
                <w:color w:val="auto"/>
              </w:rPr>
            </w:pPr>
            <w:r>
              <w:rPr>
                <w:rFonts w:ascii="Arial" w:cs="Arial" w:eastAsia="Arial" w:hAnsi="Arial"/>
                <w:sz w:val="12"/>
                <w:szCs w:val="12"/>
                <w:b w:val="1"/>
                <w:bCs w:val="1"/>
                <w:color w:val="auto"/>
              </w:rPr>
              <w:t>SiTime Corporation</w:t>
            </w:r>
          </w:p>
        </w:tc>
      </w:tr>
      <w:tr>
        <w:trPr>
          <w:trHeight w:val="549"/>
        </w:trPr>
        <w:tc>
          <w:tcPr>
            <w:tcW w:w="2700" w:type="dxa"/>
            <w:vAlign w:val="bottom"/>
            <w:gridSpan w:val="3"/>
          </w:tcPr>
          <w:p>
            <w:pPr>
              <w:ind w:left="220"/>
              <w:spacing w:after="0"/>
              <w:rPr>
                <w:sz w:val="20"/>
                <w:szCs w:val="20"/>
                <w:color w:val="auto"/>
              </w:rPr>
            </w:pPr>
            <w:r>
              <w:rPr>
                <w:rFonts w:ascii="Arial" w:cs="Arial" w:eastAsia="Arial" w:hAnsi="Arial"/>
                <w:sz w:val="12"/>
                <w:szCs w:val="12"/>
                <w:color w:val="auto"/>
              </w:rPr>
              <w:t>By: /s/ Yoshimasa Hayashi</w:t>
            </w:r>
          </w:p>
        </w:tc>
        <w:tc>
          <w:tcPr>
            <w:tcW w:w="8620" w:type="dxa"/>
            <w:vAlign w:val="bottom"/>
            <w:gridSpan w:val="3"/>
          </w:tcPr>
          <w:p>
            <w:pPr>
              <w:ind w:left="1460"/>
              <w:spacing w:after="0"/>
              <w:rPr>
                <w:sz w:val="20"/>
                <w:szCs w:val="20"/>
                <w:color w:val="auto"/>
              </w:rPr>
            </w:pPr>
            <w:r>
              <w:rPr>
                <w:rFonts w:ascii="Arial" w:cs="Arial" w:eastAsia="Arial" w:hAnsi="Arial"/>
                <w:sz w:val="12"/>
                <w:szCs w:val="12"/>
                <w:color w:val="auto"/>
              </w:rPr>
              <w:t>By: /s/ Lionel Bonnot</w:t>
            </w:r>
          </w:p>
        </w:tc>
      </w:tr>
      <w:tr>
        <w:trPr>
          <w:trHeight w:val="20"/>
        </w:trPr>
        <w:tc>
          <w:tcPr>
            <w:tcW w:w="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142"/>
        </w:trPr>
        <w:tc>
          <w:tcPr>
            <w:tcW w:w="2700" w:type="dxa"/>
            <w:vAlign w:val="bottom"/>
            <w:gridSpan w:val="3"/>
          </w:tcPr>
          <w:p>
            <w:pPr>
              <w:ind w:left="220"/>
              <w:spacing w:after="0"/>
              <w:rPr>
                <w:sz w:val="20"/>
                <w:szCs w:val="20"/>
                <w:color w:val="auto"/>
              </w:rPr>
            </w:pPr>
            <w:r>
              <w:rPr>
                <w:rFonts w:ascii="Arial" w:cs="Arial" w:eastAsia="Arial" w:hAnsi="Arial"/>
                <w:sz w:val="12"/>
                <w:szCs w:val="12"/>
                <w:color w:val="auto"/>
              </w:rPr>
              <w:t>Name: Yoshimasa Hayashi</w:t>
            </w:r>
          </w:p>
        </w:tc>
        <w:tc>
          <w:tcPr>
            <w:tcW w:w="8620" w:type="dxa"/>
            <w:vAlign w:val="bottom"/>
            <w:gridSpan w:val="3"/>
          </w:tcPr>
          <w:p>
            <w:pPr>
              <w:ind w:left="1480"/>
              <w:spacing w:after="0"/>
              <w:rPr>
                <w:sz w:val="20"/>
                <w:szCs w:val="20"/>
                <w:color w:val="auto"/>
              </w:rPr>
            </w:pPr>
            <w:r>
              <w:rPr>
                <w:rFonts w:ascii="Arial" w:cs="Arial" w:eastAsia="Arial" w:hAnsi="Arial"/>
                <w:sz w:val="12"/>
                <w:szCs w:val="12"/>
                <w:color w:val="auto"/>
              </w:rPr>
              <w:t>Name: Lionel Bonnot</w:t>
            </w:r>
          </w:p>
        </w:tc>
      </w:tr>
      <w:tr>
        <w:trPr>
          <w:trHeight w:val="144"/>
        </w:trPr>
        <w:tc>
          <w:tcPr>
            <w:tcW w:w="2700" w:type="dxa"/>
            <w:vAlign w:val="bottom"/>
            <w:gridSpan w:val="3"/>
          </w:tcPr>
          <w:p>
            <w:pPr>
              <w:ind w:left="220"/>
              <w:spacing w:after="0"/>
              <w:rPr>
                <w:sz w:val="20"/>
                <w:szCs w:val="20"/>
                <w:color w:val="auto"/>
              </w:rPr>
            </w:pPr>
            <w:r>
              <w:rPr>
                <w:rFonts w:ascii="Arial" w:cs="Arial" w:eastAsia="Arial" w:hAnsi="Arial"/>
                <w:sz w:val="12"/>
                <w:szCs w:val="12"/>
                <w:color w:val="auto"/>
              </w:rPr>
              <w:t>Title: Senior Managing Director</w:t>
            </w:r>
          </w:p>
        </w:tc>
        <w:tc>
          <w:tcPr>
            <w:tcW w:w="1660" w:type="dxa"/>
            <w:vAlign w:val="bottom"/>
          </w:tcPr>
          <w:p>
            <w:pPr>
              <w:spacing w:after="0"/>
              <w:rPr>
                <w:sz w:val="12"/>
                <w:szCs w:val="12"/>
                <w:color w:val="auto"/>
              </w:rPr>
            </w:pPr>
          </w:p>
        </w:tc>
        <w:tc>
          <w:tcPr>
            <w:tcW w:w="6960" w:type="dxa"/>
            <w:vAlign w:val="bottom"/>
            <w:gridSpan w:val="2"/>
          </w:tcPr>
          <w:p>
            <w:pPr>
              <w:ind w:left="40"/>
              <w:spacing w:after="0"/>
              <w:rPr>
                <w:sz w:val="20"/>
                <w:szCs w:val="20"/>
                <w:color w:val="auto"/>
              </w:rPr>
            </w:pPr>
            <w:r>
              <w:rPr>
                <w:rFonts w:ascii="Arial" w:cs="Arial" w:eastAsia="Arial" w:hAnsi="Arial"/>
                <w:sz w:val="12"/>
                <w:szCs w:val="12"/>
                <w:color w:val="auto"/>
              </w:rPr>
              <w:t>Title: EVP Sales and BD</w:t>
            </w:r>
          </w:p>
        </w:tc>
      </w:tr>
      <w:tr>
        <w:trPr>
          <w:trHeight w:val="153"/>
        </w:trPr>
        <w:tc>
          <w:tcPr>
            <w:tcW w:w="2700" w:type="dxa"/>
            <w:vAlign w:val="bottom"/>
            <w:gridSpan w:val="3"/>
          </w:tcPr>
          <w:p>
            <w:pPr>
              <w:ind w:left="220"/>
              <w:spacing w:after="0"/>
              <w:rPr>
                <w:sz w:val="20"/>
                <w:szCs w:val="20"/>
                <w:color w:val="auto"/>
              </w:rPr>
            </w:pPr>
            <w:r>
              <w:rPr>
                <w:rFonts w:ascii="Arial" w:cs="Arial" w:eastAsia="Arial" w:hAnsi="Arial"/>
                <w:sz w:val="12"/>
                <w:szCs w:val="12"/>
                <w:color w:val="auto"/>
              </w:rPr>
              <w:t>Date: 5/21/2021</w:t>
            </w:r>
          </w:p>
        </w:tc>
        <w:tc>
          <w:tcPr>
            <w:tcW w:w="8620" w:type="dxa"/>
            <w:vAlign w:val="bottom"/>
            <w:gridSpan w:val="3"/>
          </w:tcPr>
          <w:p>
            <w:pPr>
              <w:ind w:left="940"/>
              <w:spacing w:after="0"/>
              <w:rPr>
                <w:sz w:val="20"/>
                <w:szCs w:val="20"/>
                <w:color w:val="auto"/>
              </w:rPr>
            </w:pPr>
            <w:r>
              <w:rPr>
                <w:rFonts w:ascii="Arial" w:cs="Arial" w:eastAsia="Arial" w:hAnsi="Arial"/>
                <w:sz w:val="12"/>
                <w:szCs w:val="12"/>
                <w:color w:val="auto"/>
              </w:rPr>
              <w:t>Date: 5/19/2021</w:t>
            </w:r>
          </w:p>
        </w:tc>
      </w:tr>
      <w:tr>
        <w:trPr>
          <w:trHeight w:val="513"/>
        </w:trPr>
        <w:tc>
          <w:tcPr>
            <w:tcW w:w="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0"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11"/>
          <w:szCs w:val="11"/>
          <w:b w:val="1"/>
          <w:bCs w:val="1"/>
          <w:color w:val="auto"/>
        </w:rPr>
        <w:t>Exhibit 10.1</w:t>
      </w:r>
    </w:p>
    <w:p>
      <w:pPr>
        <w:spacing w:after="0" w:line="302" w:lineRule="exact"/>
        <w:rPr>
          <w:sz w:val="20"/>
          <w:szCs w:val="20"/>
          <w:color w:val="auto"/>
        </w:rPr>
      </w:pPr>
    </w:p>
    <w:p>
      <w:pPr>
        <w:ind w:left="5340"/>
        <w:spacing w:after="0"/>
        <w:rPr>
          <w:sz w:val="20"/>
          <w:szCs w:val="20"/>
          <w:color w:val="auto"/>
        </w:rPr>
      </w:pPr>
      <w:r>
        <w:rPr>
          <w:rFonts w:ascii="Arial" w:cs="Arial" w:eastAsia="Arial" w:hAnsi="Arial"/>
          <w:sz w:val="12"/>
          <w:szCs w:val="12"/>
          <w:b w:val="1"/>
          <w:bCs w:val="1"/>
          <w:u w:val="single" w:color="auto"/>
          <w:color w:val="auto"/>
        </w:rPr>
        <w:t>Attachment</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EXHIBIT B</w:t>
      </w:r>
    </w:p>
    <w:p>
      <w:pPr>
        <w:spacing w:after="0" w:line="6" w:lineRule="exact"/>
        <w:rPr>
          <w:sz w:val="20"/>
          <w:szCs w:val="20"/>
          <w:color w:val="auto"/>
        </w:rPr>
      </w:pPr>
    </w:p>
    <w:p>
      <w:pPr>
        <w:ind w:left="5320"/>
        <w:spacing w:after="0"/>
        <w:rPr>
          <w:sz w:val="20"/>
          <w:szCs w:val="20"/>
          <w:color w:val="auto"/>
        </w:rPr>
      </w:pPr>
      <w:r>
        <w:rPr>
          <w:rFonts w:ascii="Arial" w:cs="Arial" w:eastAsia="Arial" w:hAnsi="Arial"/>
          <w:sz w:val="12"/>
          <w:szCs w:val="12"/>
          <w:color w:val="auto"/>
        </w:rPr>
        <w:t>TERRITORY</w:t>
      </w:r>
    </w:p>
    <w:p>
      <w:pPr>
        <w:spacing w:after="0" w:line="6" w:lineRule="exact"/>
        <w:rPr>
          <w:sz w:val="20"/>
          <w:szCs w:val="20"/>
          <w:color w:val="auto"/>
        </w:rPr>
      </w:pPr>
    </w:p>
    <w:p>
      <w:pPr>
        <w:ind w:right="260"/>
        <w:spacing w:after="0" w:line="260" w:lineRule="auto"/>
        <w:rPr>
          <w:sz w:val="20"/>
          <w:szCs w:val="20"/>
          <w:color w:val="auto"/>
        </w:rPr>
      </w:pPr>
      <w:r>
        <w:rPr>
          <w:rFonts w:ascii="Arial" w:cs="Arial" w:eastAsia="Arial" w:hAnsi="Arial"/>
          <w:sz w:val="12"/>
          <w:szCs w:val="12"/>
          <w:color w:val="auto"/>
        </w:rPr>
        <w:t>Distributor shall have non-exclusive distribution rights in the Territory listed below for all of Manufacture's products, including, but not limited to, the Products listed in Exhibit A, the details of which Territory and products may be agreed upon by the Parties from time to time on an account-by account basis.</w:t>
      </w:r>
    </w:p>
    <w:p>
      <w:pPr>
        <w:spacing w:after="0" w:line="223"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The Territory shall be: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World-Wide</w:t>
      </w:r>
    </w:p>
    <w:p>
      <w:pPr>
        <w:sectPr>
          <w:pgSz w:w="11900" w:h="16838" w:orient="portrait"/>
          <w:cols w:equalWidth="0" w:num="1">
            <w:col w:w="11300"/>
          </w:cols>
          <w:pgMar w:left="300" w:top="130"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1"/>
          <w:szCs w:val="11"/>
          <w:b w:val="1"/>
          <w:bCs w:val="1"/>
          <w:color w:val="auto"/>
        </w:rPr>
        <w:t>Exhibit 10.2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I</w:t>
      </w:r>
      <w:r>
        <w:rPr>
          <w:rFonts w:ascii="Arial" w:cs="Arial" w:eastAsia="Arial" w:hAnsi="Arial"/>
          <w:sz w:val="17"/>
          <w:szCs w:val="17"/>
          <w:b w:val="1"/>
          <w:bCs w:val="1"/>
          <w:color w:val="auto"/>
        </w:rPr>
        <w:t>T</w:t>
      </w:r>
      <w:r>
        <w:rPr>
          <w:rFonts w:ascii="Arial" w:cs="Arial" w:eastAsia="Arial" w:hAnsi="Arial"/>
          <w:sz w:val="11"/>
          <w:szCs w:val="11"/>
          <w:b w:val="1"/>
          <w:bCs w:val="1"/>
          <w:color w:val="auto"/>
        </w:rPr>
        <w:t>IME</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ORPORATION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ONSULTING</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Effective Date: May 15, 2021</w:t>
      </w:r>
    </w:p>
    <w:p>
      <w:pPr>
        <w:spacing w:after="0" w:line="148" w:lineRule="exact"/>
        <w:rPr>
          <w:sz w:val="20"/>
          <w:szCs w:val="20"/>
          <w:color w:val="auto"/>
        </w:rPr>
      </w:pPr>
    </w:p>
    <w:p>
      <w:pPr>
        <w:ind w:firstLine="869"/>
        <w:spacing w:after="0" w:line="277" w:lineRule="auto"/>
        <w:rPr>
          <w:sz w:val="20"/>
          <w:szCs w:val="20"/>
          <w:color w:val="auto"/>
        </w:rPr>
      </w:pPr>
      <w:r>
        <w:rPr>
          <w:rFonts w:ascii="Arial" w:cs="Arial" w:eastAsia="Arial" w:hAnsi="Arial"/>
          <w:sz w:val="13"/>
          <w:szCs w:val="13"/>
          <w:b w:val="1"/>
          <w:bCs w:val="1"/>
          <w:color w:val="auto"/>
        </w:rPr>
        <w:t xml:space="preserve">This Consulting Agreement </w:t>
      </w:r>
      <w:r>
        <w:rPr>
          <w:rFonts w:ascii="Arial" w:cs="Arial" w:eastAsia="Arial" w:hAnsi="Arial"/>
          <w:sz w:val="13"/>
          <w:szCs w:val="13"/>
          <w:color w:val="auto"/>
        </w:rPr>
        <w:t>(the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is made as of the Effective Date set forth above by and between SiTime Corporation, a Delaware corporation (“</w:t>
      </w:r>
      <w:r>
        <w:rPr>
          <w:rFonts w:ascii="Arial" w:cs="Arial" w:eastAsia="Arial" w:hAnsi="Arial"/>
          <w:sz w:val="13"/>
          <w:szCs w:val="13"/>
          <w:b w:val="1"/>
          <w:bCs w:val="1"/>
          <w:i w:val="1"/>
          <w:iCs w:val="1"/>
          <w:color w:val="auto"/>
        </w:rPr>
        <w:t>Client</w:t>
      </w:r>
      <w:r>
        <w:rPr>
          <w:rFonts w:ascii="Arial" w:cs="Arial" w:eastAsia="Arial" w:hAnsi="Arial"/>
          <w:sz w:val="13"/>
          <w:szCs w:val="13"/>
          <w:color w:val="auto"/>
        </w:rPr>
        <w:t>”) and the consultant named</w:t>
      </w:r>
      <w:r>
        <w:rPr>
          <w:rFonts w:ascii="Arial" w:cs="Arial" w:eastAsia="Arial" w:hAnsi="Arial"/>
          <w:sz w:val="13"/>
          <w:szCs w:val="13"/>
          <w:b w:val="1"/>
          <w:bCs w:val="1"/>
          <w:color w:val="auto"/>
        </w:rPr>
        <w:t xml:space="preserve"> </w:t>
      </w:r>
      <w:r>
        <w:rPr>
          <w:rFonts w:ascii="Arial" w:cs="Arial" w:eastAsia="Arial" w:hAnsi="Arial"/>
          <w:sz w:val="13"/>
          <w:szCs w:val="13"/>
          <w:color w:val="auto"/>
        </w:rPr>
        <w:t>on the signature page hereto (“</w:t>
      </w:r>
      <w:r>
        <w:rPr>
          <w:rFonts w:ascii="Arial" w:cs="Arial" w:eastAsia="Arial" w:hAnsi="Arial"/>
          <w:sz w:val="13"/>
          <w:szCs w:val="13"/>
          <w:b w:val="1"/>
          <w:bCs w:val="1"/>
          <w:i w:val="1"/>
          <w:iCs w:val="1"/>
          <w:color w:val="auto"/>
        </w:rPr>
        <w:t>Consultant</w:t>
      </w:r>
      <w:r>
        <w:rPr>
          <w:rFonts w:ascii="Arial" w:cs="Arial" w:eastAsia="Arial" w:hAnsi="Arial"/>
          <w:sz w:val="13"/>
          <w:szCs w:val="13"/>
          <w:color w:val="auto"/>
        </w:rPr>
        <w:t>”).</w:t>
      </w:r>
    </w:p>
    <w:p>
      <w:pPr>
        <w:spacing w:after="0" w:line="105" w:lineRule="exact"/>
        <w:rPr>
          <w:sz w:val="20"/>
          <w:szCs w:val="20"/>
          <w:color w:val="auto"/>
        </w:rPr>
      </w:pPr>
    </w:p>
    <w:p>
      <w:pPr>
        <w:jc w:val="both"/>
        <w:ind w:firstLine="861"/>
        <w:spacing w:after="0" w:line="249" w:lineRule="auto"/>
        <w:tabs>
          <w:tab w:leader="none" w:pos="14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Engagement of Services. </w:t>
      </w:r>
      <w:r>
        <w:rPr>
          <w:rFonts w:ascii="Arial" w:cs="Arial" w:eastAsia="Arial" w:hAnsi="Arial"/>
          <w:sz w:val="13"/>
          <w:szCs w:val="13"/>
          <w:color w:val="auto"/>
        </w:rPr>
        <w:t>Client may issue Project Assignments to Consultant in the form attached to this Agreement as</w:t>
      </w:r>
      <w:r>
        <w:rPr>
          <w:rFonts w:ascii="Arial" w:cs="Arial" w:eastAsia="Arial" w:hAnsi="Arial"/>
          <w:sz w:val="13"/>
          <w:szCs w:val="13"/>
          <w:b w:val="1"/>
          <w:bCs w:val="1"/>
          <w:color w:val="auto"/>
        </w:rPr>
        <w:t xml:space="preserve"> Exhibit A </w:t>
      </w:r>
      <w:r>
        <w:rPr>
          <w:rFonts w:ascii="Arial" w:cs="Arial" w:eastAsia="Arial" w:hAnsi="Arial"/>
          <w:sz w:val="13"/>
          <w:szCs w:val="13"/>
          <w:color w:val="auto"/>
        </w:rPr>
        <w:t>(each, a “</w:t>
      </w:r>
      <w:r>
        <w:rPr>
          <w:rFonts w:ascii="Arial" w:cs="Arial" w:eastAsia="Arial" w:hAnsi="Arial"/>
          <w:sz w:val="13"/>
          <w:szCs w:val="13"/>
          <w:b w:val="1"/>
          <w:bCs w:val="1"/>
          <w:i w:val="1"/>
          <w:iCs w:val="1"/>
          <w:color w:val="auto"/>
        </w:rPr>
        <w:t>Project Assignment</w:t>
      </w:r>
      <w:r>
        <w:rPr>
          <w:rFonts w:ascii="Arial" w:cs="Arial" w:eastAsia="Arial" w:hAnsi="Arial"/>
          <w:sz w:val="13"/>
          <w:szCs w:val="13"/>
          <w:color w:val="auto"/>
        </w:rPr>
        <w:t>”). Subject to the terms</w:t>
      </w:r>
      <w:r>
        <w:rPr>
          <w:rFonts w:ascii="Arial" w:cs="Arial" w:eastAsia="Arial" w:hAnsi="Arial"/>
          <w:sz w:val="13"/>
          <w:szCs w:val="13"/>
          <w:b w:val="1"/>
          <w:bCs w:val="1"/>
          <w:color w:val="auto"/>
        </w:rPr>
        <w:t xml:space="preserve"> </w:t>
      </w:r>
      <w:r>
        <w:rPr>
          <w:rFonts w:ascii="Arial" w:cs="Arial" w:eastAsia="Arial" w:hAnsi="Arial"/>
          <w:sz w:val="13"/>
          <w:szCs w:val="13"/>
          <w:color w:val="auto"/>
        </w:rPr>
        <w:t>of this Agreement, Consultant will render the services set forth in Project Assignment(s) accepted by Consultant (the “</w:t>
      </w:r>
      <w:r>
        <w:rPr>
          <w:rFonts w:ascii="Arial" w:cs="Arial" w:eastAsia="Arial" w:hAnsi="Arial"/>
          <w:sz w:val="13"/>
          <w:szCs w:val="13"/>
          <w:b w:val="1"/>
          <w:bCs w:val="1"/>
          <w:i w:val="1"/>
          <w:iCs w:val="1"/>
          <w:color w:val="auto"/>
        </w:rPr>
        <w:t>Services</w:t>
      </w:r>
      <w:r>
        <w:rPr>
          <w:rFonts w:ascii="Arial" w:cs="Arial" w:eastAsia="Arial" w:hAnsi="Arial"/>
          <w:sz w:val="13"/>
          <w:szCs w:val="13"/>
          <w:color w:val="auto"/>
        </w:rPr>
        <w:t>”) by the completion dates set forth therein. Except as otherwise provided in the applicable Project Assignment, Consultant will be free of control and direction from the Client (other than general oversight and control over the results of the Services), and will have exclusive control over the manner and means of performing the Services, including the choice of place and time. Consultant will provide, at Consultant’s own expense, a place of work and all equipment, tools and other materials necessary to complete the Services; however, to the extent necessary to facilitate performance of the Services, Client may, in its discretion, make certain of its equipment or facilities available to Consultant at Consultant’s request. While on the Client’s premises, Consultant agrees to comply with Client’s then-current access rules and procedures, including those related to safety, security and confidentiality. Consultant agrees and acknowledges that Consultant has no expectation of privacy with respect to Client’s telecommunications, networking or information processing systems (including stored computer files, email messages and voice messages) and that Consultant’s activities, including the sending or receiving of any files or messages, on or using those systems may be monitored, and the contents of such files and messages may be reviewed and disclosed, at any time, without notice.</w:t>
      </w:r>
    </w:p>
    <w:p>
      <w:pPr>
        <w:spacing w:after="0" w:line="125" w:lineRule="exact"/>
        <w:rPr>
          <w:rFonts w:ascii="Arial" w:cs="Arial" w:eastAsia="Arial" w:hAnsi="Arial"/>
          <w:sz w:val="13"/>
          <w:szCs w:val="13"/>
          <w:b w:val="1"/>
          <w:bCs w:val="1"/>
          <w:color w:val="auto"/>
        </w:rPr>
      </w:pPr>
    </w:p>
    <w:p>
      <w:pPr>
        <w:jc w:val="both"/>
        <w:ind w:firstLine="861"/>
        <w:spacing w:after="0" w:line="279" w:lineRule="auto"/>
        <w:tabs>
          <w:tab w:leader="none" w:pos="1400"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Compensation. </w:t>
      </w:r>
      <w:r>
        <w:rPr>
          <w:rFonts w:ascii="Arial" w:cs="Arial" w:eastAsia="Arial" w:hAnsi="Arial"/>
          <w:sz w:val="12"/>
          <w:szCs w:val="12"/>
          <w:color w:val="auto"/>
        </w:rPr>
        <w:t>Client will pay Consultant the fee set forth in each Project Assignment for Services rendered pursuant to this Agreement as Consultant’s sole compensation for such</w:t>
      </w:r>
      <w:r>
        <w:rPr>
          <w:rFonts w:ascii="Arial" w:cs="Arial" w:eastAsia="Arial" w:hAnsi="Arial"/>
          <w:sz w:val="12"/>
          <w:szCs w:val="12"/>
          <w:b w:val="1"/>
          <w:bCs w:val="1"/>
          <w:color w:val="auto"/>
        </w:rPr>
        <w:t xml:space="preserve"> </w:t>
      </w:r>
      <w:r>
        <w:rPr>
          <w:rFonts w:ascii="Arial" w:cs="Arial" w:eastAsia="Arial" w:hAnsi="Arial"/>
          <w:sz w:val="12"/>
          <w:szCs w:val="12"/>
          <w:color w:val="auto"/>
        </w:rPr>
        <w:t>Services. Consultant will be reimbursed only for expenses that are expressly provided for in a Project Assignment or that have been approved in advance in writing by Client, provided Consultant has furnished such documentation for authorized expenses as Client may reasonably request. Payment of Consultant’s fees and expenses will be in accordance with the applicable Project Assignment. Upon termination of this Agreement for any reason, Consultant will be paid fees on the basis stated in the Project Assignment(s) for work that has been completed. Unless otherwise provided in a Project Assignment, payment to Consultant of undisputed fees will be due 30 days following Client’s receipt of an invoice that contains accurate records of the work performed that are sufficient to substantiate the invoiced fees.</w:t>
      </w:r>
    </w:p>
    <w:p>
      <w:pPr>
        <w:spacing w:after="0" w:line="103" w:lineRule="exact"/>
        <w:rPr>
          <w:rFonts w:ascii="Arial" w:cs="Arial" w:eastAsia="Arial" w:hAnsi="Arial"/>
          <w:sz w:val="12"/>
          <w:szCs w:val="12"/>
          <w:b w:val="1"/>
          <w:bCs w:val="1"/>
          <w:color w:val="auto"/>
        </w:rPr>
      </w:pPr>
    </w:p>
    <w:p>
      <w:pPr>
        <w:jc w:val="both"/>
        <w:ind w:firstLine="861"/>
        <w:spacing w:after="0" w:line="272" w:lineRule="auto"/>
        <w:tabs>
          <w:tab w:leader="none" w:pos="1400" w:val="left"/>
        </w:tabs>
        <w:numPr>
          <w:ilvl w:val="0"/>
          <w:numId w:val="24"/>
        </w:numPr>
        <w:rPr>
          <w:rFonts w:ascii="Arial" w:cs="Arial" w:eastAsia="Arial" w:hAnsi="Arial"/>
          <w:sz w:val="12"/>
          <w:szCs w:val="12"/>
          <w:b w:val="1"/>
          <w:bCs w:val="1"/>
          <w:color w:val="auto"/>
        </w:rPr>
      </w:pPr>
      <w:r>
        <w:rPr>
          <w:rFonts w:ascii="Arial" w:cs="Arial" w:eastAsia="Arial" w:hAnsi="Arial"/>
          <w:sz w:val="13"/>
          <w:szCs w:val="13"/>
          <w:b w:val="1"/>
          <w:bCs w:val="1"/>
          <w:color w:val="auto"/>
        </w:rPr>
        <w:t xml:space="preserve">Ownership of Work Product. </w:t>
      </w:r>
      <w:r>
        <w:rPr>
          <w:rFonts w:ascii="Arial" w:cs="Arial" w:eastAsia="Arial" w:hAnsi="Arial"/>
          <w:sz w:val="12"/>
          <w:szCs w:val="12"/>
          <w:color w:val="auto"/>
        </w:rPr>
        <w:t>Consultant hereby irrevocably assigns to Client all right, title and interest worldwide in and to any deliverables specified in a Project Assignment and to</w:t>
      </w:r>
      <w:r>
        <w:rPr>
          <w:rFonts w:ascii="Arial" w:cs="Arial" w:eastAsia="Arial" w:hAnsi="Arial"/>
          <w:sz w:val="13"/>
          <w:szCs w:val="13"/>
          <w:b w:val="1"/>
          <w:bCs w:val="1"/>
          <w:color w:val="auto"/>
        </w:rPr>
        <w:t xml:space="preserve"> </w:t>
      </w:r>
      <w:r>
        <w:rPr>
          <w:rFonts w:ascii="Arial" w:cs="Arial" w:eastAsia="Arial" w:hAnsi="Arial"/>
          <w:sz w:val="12"/>
          <w:szCs w:val="12"/>
          <w:color w:val="auto"/>
        </w:rPr>
        <w:t>any ideas, concepts, processes, discoveries, developments, formulae, information, materials, improvements, designs, artwork, content, software programs, other copyrightable works, and any other work product created, conceived or developed by Consultant (whether alone or jointly with others) for Client during or before the term of this Agreement, including all copyrights, patents, trademarks, trade secrets, and other intellectual property rights therein (collectively, the “</w:t>
      </w:r>
      <w:r>
        <w:rPr>
          <w:rFonts w:ascii="Arial" w:cs="Arial" w:eastAsia="Arial" w:hAnsi="Arial"/>
          <w:sz w:val="12"/>
          <w:szCs w:val="12"/>
          <w:b w:val="1"/>
          <w:bCs w:val="1"/>
          <w:i w:val="1"/>
          <w:iCs w:val="1"/>
          <w:color w:val="auto"/>
        </w:rPr>
        <w:t>Work Product</w:t>
      </w:r>
      <w:r>
        <w:rPr>
          <w:rFonts w:ascii="Arial" w:cs="Arial" w:eastAsia="Arial" w:hAnsi="Arial"/>
          <w:sz w:val="12"/>
          <w:szCs w:val="12"/>
          <w:color w:val="auto"/>
        </w:rPr>
        <w:t>”). Consultant retains no rights to use the Work Product and agrees not to challenge the validity of Client’s ownership of the Work Product. Consultant agrees to execute, at Client’s request and expense, all documents and other instruments necessary or desirable to confirm such assignment, including without limitation, any copyright assignment or patent assignment provided by the Client. Consultant hereby irrevocably appoints Client as Consultant’s attorney-in-fact for the purpose of executing such documents on Consultant’s behalf, which appointment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186690</wp:posOffset>
            </wp:positionV>
            <wp:extent cx="72148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54" w:name="page55"/>
    <w:bookmarkEnd w:id="54"/>
    <w:p>
      <w:pPr>
        <w:ind w:left="10740"/>
        <w:spacing w:after="0"/>
        <w:rPr>
          <w:sz w:val="20"/>
          <w:szCs w:val="20"/>
          <w:color w:val="auto"/>
        </w:rPr>
      </w:pPr>
      <w:r>
        <w:rPr>
          <w:rFonts w:ascii="Arial" w:cs="Arial" w:eastAsia="Arial" w:hAnsi="Arial"/>
          <w:sz w:val="10"/>
          <w:szCs w:val="10"/>
          <w:b w:val="1"/>
          <w:bCs w:val="1"/>
          <w:color w:val="auto"/>
        </w:rPr>
        <w:t>Exhibit 10.2</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coupled with an interest. At Client’s request, Consultant will promptly record any such patent assignment with the United States Patent and Trademark Office. Client will reimburse Consultant for any reasonable out-of-pocket expenses actually incurred by Consultant in fulfilling its obligations under this section. Consultant will deliver each item of Work Product specified in each Project Assignment and disclose promptly in writing to Client all other Work Product.</w:t>
      </w:r>
    </w:p>
    <w:p>
      <w:pPr>
        <w:spacing w:after="0" w:line="120" w:lineRule="exact"/>
        <w:rPr>
          <w:sz w:val="20"/>
          <w:szCs w:val="20"/>
          <w:color w:val="auto"/>
        </w:rPr>
      </w:pPr>
    </w:p>
    <w:p>
      <w:pPr>
        <w:jc w:val="both"/>
        <w:ind w:firstLine="861"/>
        <w:spacing w:after="0" w:line="253" w:lineRule="auto"/>
        <w:tabs>
          <w:tab w:leader="none" w:pos="14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Other Rights. </w:t>
      </w:r>
      <w:r>
        <w:rPr>
          <w:rFonts w:ascii="Arial" w:cs="Arial" w:eastAsia="Arial" w:hAnsi="Arial"/>
          <w:sz w:val="13"/>
          <w:szCs w:val="13"/>
          <w:color w:val="auto"/>
        </w:rPr>
        <w:t>If Consultant has any rights, including without limitation “artist’s rights” or “moral rights,” in the Work Product that cannot be assigned, Consultant hereby unconditionally</w:t>
      </w:r>
      <w:r>
        <w:rPr>
          <w:rFonts w:ascii="Arial" w:cs="Arial" w:eastAsia="Arial" w:hAnsi="Arial"/>
          <w:sz w:val="13"/>
          <w:szCs w:val="13"/>
          <w:b w:val="1"/>
          <w:bCs w:val="1"/>
          <w:color w:val="auto"/>
        </w:rPr>
        <w:t xml:space="preserve"> </w:t>
      </w:r>
      <w:r>
        <w:rPr>
          <w:rFonts w:ascii="Arial" w:cs="Arial" w:eastAsia="Arial" w:hAnsi="Arial"/>
          <w:sz w:val="13"/>
          <w:szCs w:val="13"/>
          <w:color w:val="auto"/>
        </w:rPr>
        <w:t>and irrevocably grants to Client an exclusive (even as to Consultant), worldwide, fully paid and royalty-free, irrevocable, perpetual license, with rights to sublicense through multiple tiers of sublicensees, to use, reproduce, distribute, create derivative works of, publicly perform and publicly display the Work Product in any medium or format, whether now known or later developed. In the event that Consultant has any rights in the Work Product that cannot be assigned or licensed, Consultant unconditionally and irrevocably waives the enforcement of such rights, and all claims and causes of action of any kind against Client or Client’s customers.</w:t>
      </w:r>
    </w:p>
    <w:p>
      <w:pPr>
        <w:spacing w:after="0" w:line="121" w:lineRule="exact"/>
        <w:rPr>
          <w:rFonts w:ascii="Arial" w:cs="Arial" w:eastAsia="Arial" w:hAnsi="Arial"/>
          <w:sz w:val="13"/>
          <w:szCs w:val="13"/>
          <w:b w:val="1"/>
          <w:bCs w:val="1"/>
          <w:color w:val="auto"/>
        </w:rPr>
      </w:pPr>
    </w:p>
    <w:p>
      <w:pPr>
        <w:jc w:val="both"/>
        <w:ind w:firstLine="861"/>
        <w:spacing w:after="0" w:line="253" w:lineRule="auto"/>
        <w:tabs>
          <w:tab w:leader="none" w:pos="14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License to Preexisting IP. </w:t>
      </w:r>
      <w:r>
        <w:rPr>
          <w:rFonts w:ascii="Arial" w:cs="Arial" w:eastAsia="Arial" w:hAnsi="Arial"/>
          <w:sz w:val="13"/>
          <w:szCs w:val="13"/>
          <w:color w:val="auto"/>
        </w:rPr>
        <w:t>Consultant agrees not to use or incorporate into Work Product any intellectual property developed by any third party or by Consultant other than in the course</w:t>
      </w:r>
      <w:r>
        <w:rPr>
          <w:rFonts w:ascii="Arial" w:cs="Arial" w:eastAsia="Arial" w:hAnsi="Arial"/>
          <w:sz w:val="13"/>
          <w:szCs w:val="13"/>
          <w:b w:val="1"/>
          <w:bCs w:val="1"/>
          <w:color w:val="auto"/>
        </w:rPr>
        <w:t xml:space="preserve"> </w:t>
      </w:r>
      <w:r>
        <w:rPr>
          <w:rFonts w:ascii="Arial" w:cs="Arial" w:eastAsia="Arial" w:hAnsi="Arial"/>
          <w:sz w:val="13"/>
          <w:szCs w:val="13"/>
          <w:color w:val="auto"/>
        </w:rPr>
        <w:t>of performing services for Client (“</w:t>
      </w:r>
      <w:r>
        <w:rPr>
          <w:rFonts w:ascii="Arial" w:cs="Arial" w:eastAsia="Arial" w:hAnsi="Arial"/>
          <w:sz w:val="13"/>
          <w:szCs w:val="13"/>
          <w:b w:val="1"/>
          <w:bCs w:val="1"/>
          <w:i w:val="1"/>
          <w:iCs w:val="1"/>
          <w:color w:val="auto"/>
        </w:rPr>
        <w:t>Preexisting IP</w:t>
      </w:r>
      <w:r>
        <w:rPr>
          <w:rFonts w:ascii="Arial" w:cs="Arial" w:eastAsia="Arial" w:hAnsi="Arial"/>
          <w:sz w:val="13"/>
          <w:szCs w:val="13"/>
          <w:color w:val="auto"/>
        </w:rPr>
        <w:t>”) unless the Preexisting IP has been specifically identified and described in the applicable Project Assignment. In the event Consultant uses or incorporates Preexisting IP into Work Product, Consultant hereby grants to Client a non-exclusive, worldwide, fully-paid and royalty-free, irrevocable, perpetual license, with the right to sublicense through multiple tiers of sublicensees, to use, reproduce, distribute, create derivative works of, publicly perform and publicly display in any medium or format, whether now known or later developed, such Preexisting IP incorporated or used in Work Product.</w:t>
      </w:r>
    </w:p>
    <w:p>
      <w:pPr>
        <w:spacing w:after="0" w:line="121" w:lineRule="exact"/>
        <w:rPr>
          <w:rFonts w:ascii="Arial" w:cs="Arial" w:eastAsia="Arial" w:hAnsi="Arial"/>
          <w:sz w:val="13"/>
          <w:szCs w:val="13"/>
          <w:b w:val="1"/>
          <w:bCs w:val="1"/>
          <w:color w:val="auto"/>
        </w:rPr>
      </w:pPr>
    </w:p>
    <w:p>
      <w:pPr>
        <w:jc w:val="both"/>
        <w:ind w:firstLine="861"/>
        <w:spacing w:after="0" w:line="271" w:lineRule="auto"/>
        <w:tabs>
          <w:tab w:leader="none" w:pos="1400"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Representations and Warranties. </w:t>
      </w:r>
      <w:r>
        <w:rPr>
          <w:rFonts w:ascii="Arial" w:cs="Arial" w:eastAsia="Arial" w:hAnsi="Arial"/>
          <w:sz w:val="12"/>
          <w:szCs w:val="12"/>
          <w:color w:val="auto"/>
        </w:rPr>
        <w:t>Consultant represents and warrants that: (a) the Services will be performed in a professional manner and in accordance with the industry standards and</w:t>
      </w:r>
      <w:r>
        <w:rPr>
          <w:rFonts w:ascii="Arial" w:cs="Arial" w:eastAsia="Arial" w:hAnsi="Arial"/>
          <w:sz w:val="12"/>
          <w:szCs w:val="12"/>
          <w:b w:val="1"/>
          <w:bCs w:val="1"/>
          <w:color w:val="auto"/>
        </w:rPr>
        <w:t xml:space="preserve"> </w:t>
      </w:r>
      <w:r>
        <w:rPr>
          <w:rFonts w:ascii="Arial" w:cs="Arial" w:eastAsia="Arial" w:hAnsi="Arial"/>
          <w:sz w:val="12"/>
          <w:szCs w:val="12"/>
          <w:color w:val="auto"/>
        </w:rPr>
        <w:t>the Work Product will comply with the requirements set forth in the applicable Project Assignment, (b) the Work Product will be an original work of Consultant, (c) Consultant has the right and unrestricted ability to assign the ownership of Work Product to Client as set forth in Section 3 (including without limitation the right to assign the ownership of any Work Product created by Consultant’s employees or contractors), (d) neither the Work Product nor any element thereof will infringe upon or misappropriate any copyright, patent, trademark, trade secret, right of publicity or privacy, or any other proprietary right of any person, whether contractual, statutory or common law, (e) Consultant has an unqualified right to grant to Client the license to Preexisting IP set forth in Section 5, (f) none of the Work Product incorporates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Client, except as expressly agreed by the Client in writing, and (g) Consultant will comply with all applicable federal, state, local and foreign laws governing self-employed individuals, including laws requiring the payment of taxes, such as income and employment taxes, and social security, disability, and other contributions. Consultant further represents and warrants that Consultant is self-employed in an independently established trade, occupation, or business; maintains and operates a business that is separate and independent from Client’s business; holds himself or herself out to the public as independently competent and available to provide applicable services similar to the Services; has obtained and/or expects to obtain clients or customers other than Client for whom Consultant performs services; and will perform work for Client that Consultant understands is outside the usual course of Client’s business. Consultant agrees to indemnify and hold Client harmless from any and all damages, costs, claims, expenses or other liability (including reasonable attorneys’ fees) arising from or relating to the breach or alleged breach by Consultant of the representations and warranties set forth in this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186690</wp:posOffset>
            </wp:positionV>
            <wp:extent cx="72148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11"/>
          <w:szCs w:val="11"/>
          <w:b w:val="1"/>
          <w:bCs w:val="1"/>
          <w:color w:val="auto"/>
        </w:rPr>
        <w:t>Exhibit 10.2</w:t>
      </w:r>
    </w:p>
    <w:p>
      <w:pPr>
        <w:spacing w:after="0" w:line="147" w:lineRule="exact"/>
        <w:rPr>
          <w:sz w:val="20"/>
          <w:szCs w:val="20"/>
          <w:color w:val="auto"/>
        </w:rPr>
      </w:pPr>
    </w:p>
    <w:p>
      <w:pPr>
        <w:jc w:val="both"/>
        <w:ind w:firstLine="861"/>
        <w:spacing w:after="0" w:line="271" w:lineRule="auto"/>
        <w:tabs>
          <w:tab w:leader="none" w:pos="1400"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Independent Contractor Relationship. </w:t>
      </w:r>
      <w:r>
        <w:rPr>
          <w:rFonts w:ascii="Arial" w:cs="Arial" w:eastAsia="Arial" w:hAnsi="Arial"/>
          <w:sz w:val="12"/>
          <w:szCs w:val="12"/>
          <w:color w:val="auto"/>
        </w:rPr>
        <w:t>Consultant’s relationship with Client is that of an independent contractor, and nothing in this Agreement is intended to, or should be construed to,</w:t>
      </w:r>
      <w:r>
        <w:rPr>
          <w:rFonts w:ascii="Arial" w:cs="Arial" w:eastAsia="Arial" w:hAnsi="Arial"/>
          <w:sz w:val="12"/>
          <w:szCs w:val="12"/>
          <w:b w:val="1"/>
          <w:bCs w:val="1"/>
          <w:color w:val="auto"/>
        </w:rPr>
        <w:t xml:space="preserve"> </w:t>
      </w:r>
      <w:r>
        <w:rPr>
          <w:rFonts w:ascii="Arial" w:cs="Arial" w:eastAsia="Arial" w:hAnsi="Arial"/>
          <w:sz w:val="12"/>
          <w:szCs w:val="12"/>
          <w:color w:val="auto"/>
        </w:rPr>
        <w:t>create a partnership, agency, joint venture or employment relationship between Client and any of Consultant’s employees or agents. Consultant is not authorized to make any representation, contract or commitment on behalf of Client. Consultant (if Consultant is an individual) and Consultant’s employees will not be entitled to any of the benefits that Client may make available to its employees, including, but not limited to, group health or life insurance, profit-sharing or retirement benefits. Because Consultant is an independent contractor, Client will not withhold or make payments for social security, make unemployment insurance or disability insurance contributions, or obtain workers’ compensation insurance on behalf of Consultant. Consultant is solely responsible for, and will file, on a timely basis, all tax returns and payments required to be filed with, or made to, any federal, state or local tax authority with respect to the performance of Services and receipt of fees under this Agreement. Consultant is solely responsible for, and must maintain adequate records of, expenses incurred in the course of performing Services under this Agreement. No part of Consultant’s compensation will be subject to withholding by Client for the payment of any social security, federal, state or any other employee payroll taxes. Client will regularly report amounts paid to Consultant by filing Form 1099-MISC with the Internal Revenue Service as required by law. If, notwithstanding the foregoing, Consultant is reclassified as an employee of Client, or any affiliate of Client, by the U.S. Internal Revenue Service, the U.S. Department of Labor, or any other federal or state or foreign agency as the result of any administrative or judicial proceeding, Consultant agrees that Consultant will not, as the result of such reclassification, be entitled to or eligible for, on either a prospective or retrospective basis, any employee benefits under any plans or programs established or maintained by Client.</w:t>
      </w:r>
    </w:p>
    <w:p>
      <w:pPr>
        <w:spacing w:after="0" w:line="113" w:lineRule="exact"/>
        <w:rPr>
          <w:rFonts w:ascii="Arial" w:cs="Arial" w:eastAsia="Arial" w:hAnsi="Arial"/>
          <w:sz w:val="12"/>
          <w:szCs w:val="12"/>
          <w:b w:val="1"/>
          <w:bCs w:val="1"/>
          <w:color w:val="auto"/>
        </w:rPr>
      </w:pPr>
    </w:p>
    <w:p>
      <w:pPr>
        <w:jc w:val="both"/>
        <w:ind w:firstLine="861"/>
        <w:spacing w:after="0" w:line="270" w:lineRule="auto"/>
        <w:tabs>
          <w:tab w:leader="none" w:pos="1400"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Confidential Information. </w:t>
      </w:r>
      <w:r>
        <w:rPr>
          <w:rFonts w:ascii="Arial" w:cs="Arial" w:eastAsia="Arial" w:hAnsi="Arial"/>
          <w:sz w:val="12"/>
          <w:szCs w:val="12"/>
          <w:color w:val="auto"/>
        </w:rPr>
        <w:t>During the term of this Agreement and thereafter Consultant (i) will not use or permit the use of Client’s Confidential Information in any manner or for any</w:t>
      </w:r>
      <w:r>
        <w:rPr>
          <w:rFonts w:ascii="Arial" w:cs="Arial" w:eastAsia="Arial" w:hAnsi="Arial"/>
          <w:sz w:val="12"/>
          <w:szCs w:val="12"/>
          <w:b w:val="1"/>
          <w:bCs w:val="1"/>
          <w:color w:val="auto"/>
        </w:rPr>
        <w:t xml:space="preserve"> </w:t>
      </w:r>
      <w:r>
        <w:rPr>
          <w:rFonts w:ascii="Arial" w:cs="Arial" w:eastAsia="Arial" w:hAnsi="Arial"/>
          <w:sz w:val="12"/>
          <w:szCs w:val="12"/>
          <w:color w:val="auto"/>
        </w:rPr>
        <w:t>purpose not expressly set forth in this Agreement, (ii) will hold such Confidential Information in confidence and protect it from unauthorized use and disclosure, and (iii) will not disclose such Confidential Information to any third parties except as set forth in this section and in Section 9 below. Consultant will protect Client’s Confidential Information from unauthorized use, access or disclosure in the same manner as Consultant protects its own confidential information of a similar nature, but in no event will it exercise less than reasonable care. Notwithstanding the foregoing or anything to the contrary in this Agreement or any other agreement between Client and Consultant, nothing in this Agreement shall limit Consultant’s right to report possible violations of law or regulation with any federal, state, or local government agency. “</w:t>
      </w:r>
      <w:r>
        <w:rPr>
          <w:rFonts w:ascii="Arial" w:cs="Arial" w:eastAsia="Arial" w:hAnsi="Arial"/>
          <w:sz w:val="12"/>
          <w:szCs w:val="12"/>
          <w:b w:val="1"/>
          <w:bCs w:val="1"/>
          <w:i w:val="1"/>
          <w:iCs w:val="1"/>
          <w:color w:val="auto"/>
        </w:rPr>
        <w:t>Confidential Information</w:t>
      </w:r>
      <w:r>
        <w:rPr>
          <w:rFonts w:ascii="Arial" w:cs="Arial" w:eastAsia="Arial" w:hAnsi="Arial"/>
          <w:sz w:val="12"/>
          <w:szCs w:val="12"/>
          <w:color w:val="auto"/>
        </w:rPr>
        <w:t xml:space="preserve">” as used in this Agreement means all information disclosed by Client to Consultant, whether during or before the term of this Agreement, that is not generally known in the Client’s trade or industry and will include, 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(d) existence of any business discussions, negotiations or agreements between the parties; and (e) any information regarding the skills and compensation of employees, contractors or other agents of Client or its subsidiaries or affiliates. Confidential Information also includes proprietary or confidential information of any third party who may disclose such information to Client or Consultant in the course of Client’s business. Confidential Information does not include information that (x) is or becomes a part of the public domain through no act or omission of Consultant, (y) is disclosed to Consultant by a third party without restrictions on disclosure, or (z) was in Consultant’s lawful possession without obligation of confidentiality prior to the disclosure and was not obtained by Consultant either directly or indirectly from Client. In addition, this section will not be construed to prohibit disclosure of Confidential Information to the extent that such disclosure is required by law or valid order of a court or other governmental authority;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Consultant will first have given notice to Client and will have made a reasonable effort to obtain a protective order requiring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186690</wp:posOffset>
            </wp:positionV>
            <wp:extent cx="72148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56" w:name="page57"/>
    <w:bookmarkEnd w:id="56"/>
    <w:p>
      <w:pPr>
        <w:ind w:left="10740"/>
        <w:spacing w:after="0"/>
        <w:rPr>
          <w:sz w:val="20"/>
          <w:szCs w:val="20"/>
          <w:color w:val="auto"/>
        </w:rPr>
      </w:pPr>
      <w:r>
        <w:rPr>
          <w:rFonts w:ascii="Arial" w:cs="Arial" w:eastAsia="Arial" w:hAnsi="Arial"/>
          <w:sz w:val="10"/>
          <w:szCs w:val="10"/>
          <w:b w:val="1"/>
          <w:bCs w:val="1"/>
          <w:color w:val="auto"/>
        </w:rPr>
        <w:t>Exhibit 10.2</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that the Confidential Information so disclosed be used only for the purposes for which the order was issued. All Confidential Information furnished to Consultant by Client is the sole and exclusive property of Client or its suppliers or customers. Upon request by Client, Consultant agrees to promptly deliver to Client the original and any copies of the Confidential Information. Notwithstanding the foregoing nondisclosure obligations, pursuant to 18 U.S.C. Section 1833(b), Consultant will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spacing w:after="0" w:line="123" w:lineRule="exact"/>
        <w:rPr>
          <w:sz w:val="20"/>
          <w:szCs w:val="20"/>
          <w:color w:val="auto"/>
        </w:rPr>
      </w:pPr>
    </w:p>
    <w:p>
      <w:pPr>
        <w:jc w:val="both"/>
        <w:ind w:firstLine="1739"/>
        <w:spacing w:after="0" w:line="253" w:lineRule="auto"/>
        <w:rPr>
          <w:sz w:val="20"/>
          <w:szCs w:val="20"/>
          <w:color w:val="auto"/>
        </w:rPr>
      </w:pPr>
      <w:r>
        <w:rPr>
          <w:rFonts w:ascii="Arial" w:cs="Arial" w:eastAsia="Arial" w:hAnsi="Arial"/>
          <w:sz w:val="13"/>
          <w:szCs w:val="13"/>
          <w:b w:val="1"/>
          <w:bCs w:val="1"/>
          <w:color w:val="auto"/>
        </w:rPr>
        <w:t>8.1 Personal Information</w:t>
      </w:r>
      <w:r>
        <w:rPr>
          <w:rFonts w:ascii="Arial" w:cs="Arial" w:eastAsia="Arial" w:hAnsi="Arial"/>
          <w:sz w:val="13"/>
          <w:szCs w:val="13"/>
          <w:color w:val="auto"/>
        </w:rPr>
        <w:t>. With respect to any Confidential Information that constitutes personal data, personal information, personally identifiable information or similar</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under applicable privacy or data security laws (collectively, “</w:t>
      </w:r>
      <w:r>
        <w:rPr>
          <w:rFonts w:ascii="Arial" w:cs="Arial" w:eastAsia="Arial" w:hAnsi="Arial"/>
          <w:sz w:val="13"/>
          <w:szCs w:val="13"/>
          <w:b w:val="1"/>
          <w:bCs w:val="1"/>
          <w:i w:val="1"/>
          <w:iCs w:val="1"/>
          <w:color w:val="auto"/>
        </w:rPr>
        <w:t>Personal Information</w:t>
      </w:r>
      <w:r>
        <w:rPr>
          <w:rFonts w:ascii="Arial" w:cs="Arial" w:eastAsia="Arial" w:hAnsi="Arial"/>
          <w:sz w:val="13"/>
          <w:szCs w:val="13"/>
          <w:color w:val="auto"/>
        </w:rPr>
        <w:t>”), Consultant shall not (i) sell Personal Information or (ii) retain, use or disclose Personal Information for any purpose other than the specific purpose of providing the Services. For the avoidance of doubt, the foregoing prohibits Consultant from “selling” Personal Information, as defined in the California Consumer Privacy Act of 2018 (as amended, the “</w:t>
      </w:r>
      <w:r>
        <w:rPr>
          <w:rFonts w:ascii="Arial" w:cs="Arial" w:eastAsia="Arial" w:hAnsi="Arial"/>
          <w:sz w:val="13"/>
          <w:szCs w:val="13"/>
          <w:b w:val="1"/>
          <w:bCs w:val="1"/>
          <w:i w:val="1"/>
          <w:iCs w:val="1"/>
          <w:color w:val="auto"/>
        </w:rPr>
        <w:t>CCPA</w:t>
      </w:r>
      <w:r>
        <w:rPr>
          <w:rFonts w:ascii="Arial" w:cs="Arial" w:eastAsia="Arial" w:hAnsi="Arial"/>
          <w:sz w:val="13"/>
          <w:szCs w:val="13"/>
          <w:color w:val="auto"/>
        </w:rPr>
        <w:t>”), and from retaining, using, or disclosing Personal Information outside of the direct business relationship between Consultant and Client or for a “commercial purpose” (as defined in the CCPA). Consultant hereby certifies that it understands the obligations under this Section 8.1 and will comply with them.</w:t>
      </w:r>
    </w:p>
    <w:p>
      <w:pPr>
        <w:spacing w:after="0" w:line="125" w:lineRule="exact"/>
        <w:rPr>
          <w:sz w:val="20"/>
          <w:szCs w:val="20"/>
          <w:color w:val="auto"/>
        </w:rPr>
      </w:pPr>
    </w:p>
    <w:p>
      <w:pPr>
        <w:ind w:firstLine="2601"/>
        <w:spacing w:after="0" w:line="271" w:lineRule="auto"/>
        <w:tabs>
          <w:tab w:leader="none" w:pos="3195" w:val="left"/>
        </w:tabs>
        <w:numPr>
          <w:ilvl w:val="1"/>
          <w:numId w:val="27"/>
        </w:numPr>
        <w:rPr>
          <w:rFonts w:ascii="Arial" w:cs="Arial" w:eastAsia="Arial" w:hAnsi="Arial"/>
          <w:sz w:val="13"/>
          <w:szCs w:val="13"/>
          <w:b w:val="1"/>
          <w:bCs w:val="1"/>
          <w:color w:val="auto"/>
        </w:rPr>
      </w:pPr>
      <w:r>
        <w:rPr>
          <w:rFonts w:ascii="Arial" w:cs="Arial" w:eastAsia="Arial" w:hAnsi="Arial"/>
          <w:sz w:val="13"/>
          <w:szCs w:val="13"/>
          <w:color w:val="auto"/>
        </w:rPr>
        <w:t>Consultant shall use reasonable security measures appropriate to the nature of any Personal Information in its possession or control to protect the Personal Information from unauthorized access, destruction, use, modification, or disclosure.</w:t>
      </w:r>
    </w:p>
    <w:p>
      <w:pPr>
        <w:spacing w:after="0" w:line="112" w:lineRule="exact"/>
        <w:rPr>
          <w:rFonts w:ascii="Arial" w:cs="Arial" w:eastAsia="Arial" w:hAnsi="Arial"/>
          <w:sz w:val="13"/>
          <w:szCs w:val="13"/>
          <w:b w:val="1"/>
          <w:bCs w:val="1"/>
          <w:color w:val="auto"/>
        </w:rPr>
      </w:pPr>
    </w:p>
    <w:p>
      <w:pPr>
        <w:ind w:left="3200" w:hanging="599"/>
        <w:spacing w:after="0"/>
        <w:tabs>
          <w:tab w:leader="none" w:pos="3200" w:val="left"/>
        </w:tabs>
        <w:numPr>
          <w:ilvl w:val="1"/>
          <w:numId w:val="27"/>
        </w:numPr>
        <w:rPr>
          <w:rFonts w:ascii="Arial" w:cs="Arial" w:eastAsia="Arial" w:hAnsi="Arial"/>
          <w:sz w:val="12"/>
          <w:szCs w:val="12"/>
          <w:b w:val="1"/>
          <w:bCs w:val="1"/>
          <w:color w:val="auto"/>
        </w:rPr>
      </w:pPr>
      <w:r>
        <w:rPr>
          <w:rFonts w:ascii="Arial" w:cs="Arial" w:eastAsia="Arial" w:hAnsi="Arial"/>
          <w:sz w:val="12"/>
          <w:szCs w:val="12"/>
          <w:color w:val="auto"/>
        </w:rPr>
        <w:t>The parties acknowledge and agree that Consultant’s access to Personal Information is not part of the consideration exchanged by the parties in respect</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of the Agreement.</w:t>
      </w:r>
    </w:p>
    <w:p>
      <w:pPr>
        <w:spacing w:after="0" w:line="137" w:lineRule="exact"/>
        <w:rPr>
          <w:rFonts w:ascii="Arial" w:cs="Arial" w:eastAsia="Arial" w:hAnsi="Arial"/>
          <w:sz w:val="12"/>
          <w:szCs w:val="12"/>
          <w:b w:val="1"/>
          <w:bCs w:val="1"/>
          <w:color w:val="auto"/>
        </w:rPr>
      </w:pPr>
    </w:p>
    <w:p>
      <w:pPr>
        <w:jc w:val="both"/>
        <w:ind w:firstLine="2601"/>
        <w:spacing w:after="0" w:line="282" w:lineRule="auto"/>
        <w:tabs>
          <w:tab w:leader="none" w:pos="3187" w:val="left"/>
        </w:tabs>
        <w:numPr>
          <w:ilvl w:val="1"/>
          <w:numId w:val="27"/>
        </w:numPr>
        <w:rPr>
          <w:rFonts w:ascii="Arial" w:cs="Arial" w:eastAsia="Arial" w:hAnsi="Arial"/>
          <w:sz w:val="12"/>
          <w:szCs w:val="12"/>
          <w:b w:val="1"/>
          <w:bCs w:val="1"/>
          <w:color w:val="auto"/>
        </w:rPr>
      </w:pPr>
      <w:r>
        <w:rPr>
          <w:rFonts w:ascii="Arial" w:cs="Arial" w:eastAsia="Arial" w:hAnsi="Arial"/>
          <w:sz w:val="12"/>
          <w:szCs w:val="12"/>
          <w:color w:val="auto"/>
        </w:rPr>
        <w:t>If any individual contacts Consultant to make a request pertaining to their Personal Information, Consultant shall promptly forward the request to Client and shall not respond to the individual except as instructed by Client. Consultant shall promptly take such actions and provide such information as Client may request to help Client fulfill requests of individuals to exercise their rights under the applicable privacy or data security laws, including, without limitation, requests to access, delete, opt-out of the sale of, or receive information about the processing of, Personal Information pertaining to them. Consultant agrees to cooperate with Client to further amend the Agreement as may be necessary to address compliance with applicable privacy or data security laws.</w:t>
      </w:r>
    </w:p>
    <w:p>
      <w:pPr>
        <w:spacing w:after="0" w:line="103" w:lineRule="exact"/>
        <w:rPr>
          <w:rFonts w:ascii="Arial" w:cs="Arial" w:eastAsia="Arial" w:hAnsi="Arial"/>
          <w:sz w:val="12"/>
          <w:szCs w:val="12"/>
          <w:b w:val="1"/>
          <w:bCs w:val="1"/>
          <w:color w:val="auto"/>
        </w:rPr>
      </w:pPr>
    </w:p>
    <w:p>
      <w:pPr>
        <w:jc w:val="both"/>
        <w:ind w:firstLine="861"/>
        <w:spacing w:after="0" w:line="284" w:lineRule="auto"/>
        <w:tabs>
          <w:tab w:leader="none" w:pos="1400"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Consultant’s Employees, Consultants and Agents. </w:t>
      </w:r>
      <w:r>
        <w:rPr>
          <w:rFonts w:ascii="Arial" w:cs="Arial" w:eastAsia="Arial" w:hAnsi="Arial"/>
          <w:sz w:val="12"/>
          <w:szCs w:val="12"/>
          <w:color w:val="auto"/>
        </w:rPr>
        <w:t>Consultant shall have the right to disclose Confidential Information only to those of its employees, consultants, and agents who have</w:t>
      </w:r>
      <w:r>
        <w:rPr>
          <w:rFonts w:ascii="Arial" w:cs="Arial" w:eastAsia="Arial" w:hAnsi="Arial"/>
          <w:sz w:val="12"/>
          <w:szCs w:val="12"/>
          <w:b w:val="1"/>
          <w:bCs w:val="1"/>
          <w:color w:val="auto"/>
        </w:rPr>
        <w:t xml:space="preserve"> </w:t>
      </w:r>
      <w:r>
        <w:rPr>
          <w:rFonts w:ascii="Arial" w:cs="Arial" w:eastAsia="Arial" w:hAnsi="Arial"/>
          <w:sz w:val="12"/>
          <w:szCs w:val="12"/>
          <w:color w:val="auto"/>
        </w:rPr>
        <w:t>a need to know such information for the purpose of performing Services and who have entered into a binding written agreement that is expressly for the benefit of Client and protects Client’s rights and interests in and to the Confidential Information to at least the same degree as this Agreement. Client reserves the right to refuse or limit Consultant’s use of any employee, consultant or agent or to require Consultant to remove any employee, consultant or agent already engaged in the performance of the Services. Client’s exercise of such right will in no way limit Consultant’s obligations under this Agreement.</w:t>
      </w:r>
    </w:p>
    <w:p>
      <w:pPr>
        <w:spacing w:after="0" w:line="102" w:lineRule="exact"/>
        <w:rPr>
          <w:rFonts w:ascii="Arial" w:cs="Arial" w:eastAsia="Arial" w:hAnsi="Arial"/>
          <w:sz w:val="12"/>
          <w:szCs w:val="12"/>
          <w:b w:val="1"/>
          <w:bCs w:val="1"/>
          <w:color w:val="auto"/>
        </w:rPr>
      </w:pPr>
    </w:p>
    <w:p>
      <w:pPr>
        <w:ind w:left="1460" w:hanging="599"/>
        <w:spacing w:after="0"/>
        <w:tabs>
          <w:tab w:leader="none" w:pos="146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Term and Termination.</w:t>
      </w:r>
    </w:p>
    <w:p>
      <w:pPr>
        <w:spacing w:after="0" w:line="148" w:lineRule="exact"/>
        <w:rPr>
          <w:sz w:val="20"/>
          <w:szCs w:val="20"/>
          <w:color w:val="auto"/>
        </w:rPr>
      </w:pPr>
    </w:p>
    <w:p>
      <w:pPr>
        <w:ind w:left="1740"/>
        <w:spacing w:after="0"/>
        <w:tabs>
          <w:tab w:leader="none" w:pos="2380" w:val="left"/>
        </w:tabs>
        <w:rPr>
          <w:sz w:val="20"/>
          <w:szCs w:val="20"/>
          <w:color w:val="auto"/>
        </w:rPr>
      </w:pPr>
      <w:r>
        <w:rPr>
          <w:rFonts w:ascii="Arial" w:cs="Arial" w:eastAsia="Arial" w:hAnsi="Arial"/>
          <w:sz w:val="13"/>
          <w:szCs w:val="13"/>
          <w:b w:val="1"/>
          <w:bCs w:val="1"/>
          <w:color w:val="auto"/>
        </w:rPr>
        <w:t>10.1</w:t>
      </w:r>
      <w:r>
        <w:rPr>
          <w:sz w:val="20"/>
          <w:szCs w:val="20"/>
          <w:color w:val="auto"/>
        </w:rPr>
        <w:tab/>
      </w:r>
      <w:r>
        <w:rPr>
          <w:rFonts w:ascii="Arial" w:cs="Arial" w:eastAsia="Arial" w:hAnsi="Arial"/>
          <w:sz w:val="12"/>
          <w:szCs w:val="12"/>
          <w:b w:val="1"/>
          <w:bCs w:val="1"/>
          <w:color w:val="auto"/>
        </w:rPr>
        <w:t xml:space="preserve">Term. </w:t>
      </w:r>
      <w:r>
        <w:rPr>
          <w:rFonts w:ascii="Arial" w:cs="Arial" w:eastAsia="Arial" w:hAnsi="Arial"/>
          <w:sz w:val="12"/>
          <w:szCs w:val="12"/>
          <w:color w:val="auto"/>
        </w:rPr>
        <w:t>The initial term of this Agreement is until December 31, 2021, unless earlier terminated as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210185</wp:posOffset>
            </wp:positionV>
            <wp:extent cx="72148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30"/>
        </w:trPr>
        <w:tc>
          <w:tcPr>
            <w:tcW w:w="2180" w:type="dxa"/>
            <w:vAlign w:val="bottom"/>
          </w:tcPr>
          <w:p>
            <w:pPr>
              <w:spacing w:after="0"/>
              <w:rPr>
                <w:sz w:val="11"/>
                <w:szCs w:val="11"/>
                <w:color w:val="auto"/>
              </w:rPr>
            </w:pPr>
          </w:p>
        </w:tc>
        <w:tc>
          <w:tcPr>
            <w:tcW w:w="9120" w:type="dxa"/>
            <w:vAlign w:val="bottom"/>
          </w:tcPr>
          <w:p>
            <w:pPr>
              <w:jc w:val="right"/>
              <w:spacing w:after="0"/>
              <w:rPr>
                <w:sz w:val="20"/>
                <w:szCs w:val="20"/>
                <w:color w:val="auto"/>
              </w:rPr>
            </w:pPr>
            <w:r>
              <w:rPr>
                <w:rFonts w:ascii="Arial" w:cs="Arial" w:eastAsia="Arial" w:hAnsi="Arial"/>
                <w:sz w:val="11"/>
                <w:szCs w:val="11"/>
                <w:b w:val="1"/>
                <w:bCs w:val="1"/>
                <w:color w:val="auto"/>
              </w:rPr>
              <w:t>Exhibit 10.2</w:t>
            </w:r>
          </w:p>
        </w:tc>
      </w:tr>
      <w:tr>
        <w:trPr>
          <w:trHeight w:val="157"/>
        </w:trPr>
        <w:tc>
          <w:tcPr>
            <w:tcW w:w="2180" w:type="dxa"/>
            <w:vAlign w:val="bottom"/>
          </w:tcPr>
          <w:p>
            <w:pPr>
              <w:jc w:val="right"/>
              <w:ind w:right="154"/>
              <w:spacing w:after="0"/>
              <w:rPr>
                <w:sz w:val="20"/>
                <w:szCs w:val="20"/>
                <w:color w:val="auto"/>
              </w:rPr>
            </w:pPr>
            <w:r>
              <w:rPr>
                <w:rFonts w:ascii="Arial" w:cs="Arial" w:eastAsia="Arial" w:hAnsi="Arial"/>
                <w:sz w:val="13"/>
                <w:szCs w:val="13"/>
                <w:b w:val="1"/>
                <w:bCs w:val="1"/>
                <w:color w:val="auto"/>
              </w:rPr>
              <w:t>10.2</w:t>
            </w:r>
          </w:p>
        </w:tc>
        <w:tc>
          <w:tcPr>
            <w:tcW w:w="9120" w:type="dxa"/>
            <w:vAlign w:val="bottom"/>
          </w:tcPr>
          <w:p>
            <w:pPr>
              <w:jc w:val="right"/>
              <w:spacing w:after="0"/>
              <w:rPr>
                <w:sz w:val="20"/>
                <w:szCs w:val="20"/>
                <w:color w:val="auto"/>
              </w:rPr>
            </w:pPr>
            <w:r>
              <w:rPr>
                <w:rFonts w:ascii="Arial" w:cs="Arial" w:eastAsia="Arial" w:hAnsi="Arial"/>
                <w:sz w:val="13"/>
                <w:szCs w:val="13"/>
                <w:b w:val="1"/>
                <w:bCs w:val="1"/>
                <w:color w:val="auto"/>
                <w:w w:val="95"/>
              </w:rPr>
              <w:t xml:space="preserve">Termination Without Cause. </w:t>
            </w:r>
            <w:r>
              <w:rPr>
                <w:rFonts w:ascii="Arial" w:cs="Arial" w:eastAsia="Arial" w:hAnsi="Arial"/>
                <w:sz w:val="13"/>
                <w:szCs w:val="13"/>
                <w:color w:val="auto"/>
                <w:w w:val="95"/>
              </w:rPr>
              <w:t>Client may terminate this Agreement with or without cause, at any time upon 5 days’ prior written notice to Consultant. Consultant may</w:t>
            </w:r>
          </w:p>
        </w:tc>
      </w:tr>
      <w:tr>
        <w:trPr>
          <w:trHeight w:val="166"/>
        </w:trPr>
        <w:tc>
          <w:tcPr>
            <w:tcW w:w="11300" w:type="dxa"/>
            <w:vAlign w:val="bottom"/>
            <w:gridSpan w:val="2"/>
          </w:tcPr>
          <w:p>
            <w:pPr>
              <w:jc w:val="right"/>
              <w:ind w:right="3998"/>
              <w:spacing w:after="0"/>
              <w:rPr>
                <w:sz w:val="20"/>
                <w:szCs w:val="20"/>
                <w:color w:val="auto"/>
              </w:rPr>
            </w:pPr>
            <w:r>
              <w:rPr>
                <w:rFonts w:ascii="Arial" w:cs="Arial" w:eastAsia="Arial" w:hAnsi="Arial"/>
                <w:sz w:val="13"/>
                <w:szCs w:val="13"/>
                <w:color w:val="auto"/>
                <w:w w:val="92"/>
              </w:rPr>
              <w:t>terminate this Agreement without cause, at any time when no Project Assignment is in effect upon 15 days’ prior written notice to Client.</w:t>
            </w:r>
          </w:p>
        </w:tc>
      </w:tr>
      <w:tr>
        <w:trPr>
          <w:trHeight w:val="294"/>
        </w:trPr>
        <w:tc>
          <w:tcPr>
            <w:tcW w:w="2180" w:type="dxa"/>
            <w:vAlign w:val="bottom"/>
          </w:tcPr>
          <w:p>
            <w:pPr>
              <w:jc w:val="right"/>
              <w:ind w:right="154"/>
              <w:spacing w:after="0"/>
              <w:rPr>
                <w:sz w:val="20"/>
                <w:szCs w:val="20"/>
                <w:color w:val="auto"/>
              </w:rPr>
            </w:pPr>
            <w:r>
              <w:rPr>
                <w:rFonts w:ascii="Arial" w:cs="Arial" w:eastAsia="Arial" w:hAnsi="Arial"/>
                <w:sz w:val="13"/>
                <w:szCs w:val="13"/>
                <w:b w:val="1"/>
                <w:bCs w:val="1"/>
                <w:color w:val="auto"/>
              </w:rPr>
              <w:t>10.3</w:t>
            </w:r>
          </w:p>
        </w:tc>
        <w:tc>
          <w:tcPr>
            <w:tcW w:w="9120" w:type="dxa"/>
            <w:vAlign w:val="bottom"/>
          </w:tcPr>
          <w:p>
            <w:pPr>
              <w:jc w:val="right"/>
              <w:spacing w:after="0"/>
              <w:rPr>
                <w:sz w:val="20"/>
                <w:szCs w:val="20"/>
                <w:color w:val="auto"/>
              </w:rPr>
            </w:pPr>
            <w:r>
              <w:rPr>
                <w:rFonts w:ascii="Arial" w:cs="Arial" w:eastAsia="Arial" w:hAnsi="Arial"/>
                <w:sz w:val="13"/>
                <w:szCs w:val="13"/>
                <w:b w:val="1"/>
                <w:bCs w:val="1"/>
                <w:color w:val="auto"/>
                <w:w w:val="95"/>
              </w:rPr>
              <w:t xml:space="preserve">Termination for Cause. </w:t>
            </w:r>
            <w:r>
              <w:rPr>
                <w:rFonts w:ascii="Arial" w:cs="Arial" w:eastAsia="Arial" w:hAnsi="Arial"/>
                <w:sz w:val="13"/>
                <w:szCs w:val="13"/>
                <w:color w:val="auto"/>
                <w:w w:val="95"/>
              </w:rPr>
              <w:t>Either party may terminate this Agreement immediately in the event the other party has materially breached the Agreement and failed to cure</w:t>
            </w:r>
          </w:p>
        </w:tc>
      </w:tr>
    </w:tbl>
    <w:p>
      <w:pPr>
        <w:spacing w:after="0"/>
        <w:rPr>
          <w:sz w:val="20"/>
          <w:szCs w:val="20"/>
          <w:color w:val="auto"/>
        </w:rPr>
      </w:pPr>
      <w:r>
        <w:rPr>
          <w:rFonts w:ascii="Arial" w:cs="Arial" w:eastAsia="Arial" w:hAnsi="Arial"/>
          <w:sz w:val="13"/>
          <w:szCs w:val="13"/>
          <w:color w:val="auto"/>
        </w:rPr>
        <w:t>such breach within 3 days after notice by the non-breaching party is given.</w:t>
      </w:r>
    </w:p>
    <w:p>
      <w:pPr>
        <w:spacing w:after="0" w:line="134" w:lineRule="exact"/>
        <w:rPr>
          <w:sz w:val="20"/>
          <w:szCs w:val="20"/>
          <w:color w:val="auto"/>
        </w:rPr>
      </w:pPr>
    </w:p>
    <w:p>
      <w:pPr>
        <w:jc w:val="both"/>
        <w:ind w:firstLine="1739"/>
        <w:spacing w:after="0" w:line="277" w:lineRule="auto"/>
        <w:rPr>
          <w:sz w:val="20"/>
          <w:szCs w:val="20"/>
          <w:color w:val="auto"/>
        </w:rPr>
      </w:pPr>
      <w:r>
        <w:rPr>
          <w:rFonts w:ascii="Arial" w:cs="Arial" w:eastAsia="Arial" w:hAnsi="Arial"/>
          <w:sz w:val="13"/>
          <w:szCs w:val="13"/>
          <w:b w:val="1"/>
          <w:bCs w:val="1"/>
          <w:color w:val="auto"/>
        </w:rPr>
        <w:t xml:space="preserve">10.4 Survival. </w:t>
      </w:r>
      <w:r>
        <w:rPr>
          <w:rFonts w:ascii="Arial" w:cs="Arial" w:eastAsia="Arial" w:hAnsi="Arial"/>
          <w:sz w:val="13"/>
          <w:szCs w:val="13"/>
          <w:color w:val="auto"/>
        </w:rPr>
        <w:t>The rights and obligations contained in Sections 3 (“</w:t>
      </w:r>
      <w:r>
        <w:rPr>
          <w:rFonts w:ascii="Arial" w:cs="Arial" w:eastAsia="Arial" w:hAnsi="Arial"/>
          <w:sz w:val="13"/>
          <w:szCs w:val="13"/>
          <w:b w:val="1"/>
          <w:bCs w:val="1"/>
          <w:i w:val="1"/>
          <w:iCs w:val="1"/>
          <w:color w:val="auto"/>
        </w:rPr>
        <w:t>Ownership of Work Product</w:t>
      </w:r>
      <w:r>
        <w:rPr>
          <w:rFonts w:ascii="Arial" w:cs="Arial" w:eastAsia="Arial" w:hAnsi="Arial"/>
          <w:sz w:val="13"/>
          <w:szCs w:val="13"/>
          <w:color w:val="auto"/>
        </w:rPr>
        <w:t>”), 4 (“</w:t>
      </w:r>
      <w:r>
        <w:rPr>
          <w:rFonts w:ascii="Arial" w:cs="Arial" w:eastAsia="Arial" w:hAnsi="Arial"/>
          <w:sz w:val="13"/>
          <w:szCs w:val="13"/>
          <w:b w:val="1"/>
          <w:bCs w:val="1"/>
          <w:i w:val="1"/>
          <w:iCs w:val="1"/>
          <w:color w:val="auto"/>
        </w:rPr>
        <w:t>Other Rights</w:t>
      </w:r>
      <w:r>
        <w:rPr>
          <w:rFonts w:ascii="Arial" w:cs="Arial" w:eastAsia="Arial" w:hAnsi="Arial"/>
          <w:sz w:val="13"/>
          <w:szCs w:val="13"/>
          <w:color w:val="auto"/>
        </w:rPr>
        <w:t>”), 5 (“</w:t>
      </w:r>
      <w:r>
        <w:rPr>
          <w:rFonts w:ascii="Arial" w:cs="Arial" w:eastAsia="Arial" w:hAnsi="Arial"/>
          <w:sz w:val="13"/>
          <w:szCs w:val="13"/>
          <w:b w:val="1"/>
          <w:bCs w:val="1"/>
          <w:i w:val="1"/>
          <w:iCs w:val="1"/>
          <w:color w:val="auto"/>
        </w:rPr>
        <w:t>License to Preexisting IP</w:t>
      </w:r>
      <w:r>
        <w:rPr>
          <w:rFonts w:ascii="Arial" w:cs="Arial" w:eastAsia="Arial" w:hAnsi="Arial"/>
          <w:sz w:val="13"/>
          <w:szCs w:val="13"/>
          <w:color w:val="auto"/>
        </w:rPr>
        <w:t>”), 6</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i w:val="1"/>
          <w:iCs w:val="1"/>
          <w:color w:val="auto"/>
        </w:rPr>
        <w:t>Representations and Warranties</w:t>
      </w:r>
      <w:r>
        <w:rPr>
          <w:rFonts w:ascii="Arial" w:cs="Arial" w:eastAsia="Arial" w:hAnsi="Arial"/>
          <w:sz w:val="13"/>
          <w:szCs w:val="13"/>
          <w:color w:val="auto"/>
        </w:rPr>
        <w:t>”), and 8 (“</w:t>
      </w:r>
      <w:r>
        <w:rPr>
          <w:rFonts w:ascii="Arial" w:cs="Arial" w:eastAsia="Arial" w:hAnsi="Arial"/>
          <w:sz w:val="13"/>
          <w:szCs w:val="13"/>
          <w:b w:val="1"/>
          <w:bCs w:val="1"/>
          <w:i w:val="1"/>
          <w:iCs w:val="1"/>
          <w:color w:val="auto"/>
        </w:rPr>
        <w:t>Confidential Information</w:t>
      </w:r>
      <w:r>
        <w:rPr>
          <w:rFonts w:ascii="Arial" w:cs="Arial" w:eastAsia="Arial" w:hAnsi="Arial"/>
          <w:sz w:val="13"/>
          <w:szCs w:val="13"/>
          <w:color w:val="auto"/>
        </w:rPr>
        <w:t>”) will survive any termination or expiration of this Agreement.</w:t>
      </w:r>
    </w:p>
    <w:p>
      <w:pPr>
        <w:spacing w:after="0" w:line="105" w:lineRule="exact"/>
        <w:rPr>
          <w:sz w:val="20"/>
          <w:szCs w:val="20"/>
          <w:color w:val="auto"/>
        </w:rPr>
      </w:pPr>
    </w:p>
    <w:p>
      <w:pPr>
        <w:jc w:val="both"/>
        <w:ind w:firstLine="861"/>
        <w:spacing w:after="0" w:line="261" w:lineRule="auto"/>
        <w:tabs>
          <w:tab w:leader="none" w:pos="1459"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Conflicts. </w:t>
      </w:r>
      <w:r>
        <w:rPr>
          <w:rFonts w:ascii="Arial" w:cs="Arial" w:eastAsia="Arial" w:hAnsi="Arial"/>
          <w:sz w:val="13"/>
          <w:szCs w:val="13"/>
          <w:color w:val="auto"/>
        </w:rPr>
        <w:t>Consultant will refrain from any activity, and will not enter into any agreement or make any commitment, that is inconsistent or incompatible with Consultant’s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this Agreement, including Consultant’s ability to perform the Services. Consultant represents and warrants that Consultant is not subject to any contract or duty that would be breached by Consultant’s entering into or performing Consultant’s obligations under this Agreement or that is otherwise inconsistent with this Agreement.</w:t>
      </w:r>
    </w:p>
    <w:p>
      <w:pPr>
        <w:spacing w:after="0" w:line="115" w:lineRule="exact"/>
        <w:rPr>
          <w:rFonts w:ascii="Arial" w:cs="Arial" w:eastAsia="Arial" w:hAnsi="Arial"/>
          <w:sz w:val="13"/>
          <w:szCs w:val="13"/>
          <w:b w:val="1"/>
          <w:bCs w:val="1"/>
          <w:color w:val="auto"/>
        </w:rPr>
      </w:pPr>
    </w:p>
    <w:p>
      <w:pPr>
        <w:jc w:val="both"/>
        <w:ind w:firstLine="861"/>
        <w:spacing w:after="0" w:line="261" w:lineRule="auto"/>
        <w:tabs>
          <w:tab w:leader="none" w:pos="1466"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Successors and Assigns. </w:t>
      </w:r>
      <w:r>
        <w:rPr>
          <w:rFonts w:ascii="Arial" w:cs="Arial" w:eastAsia="Arial" w:hAnsi="Arial"/>
          <w:sz w:val="13"/>
          <w:szCs w:val="13"/>
          <w:color w:val="auto"/>
        </w:rPr>
        <w:t>Consultant may not subcontract or otherwise delegate or assign this Agreement or any of its obligations under this Agreement without Client’s prior written</w:t>
      </w:r>
      <w:r>
        <w:rPr>
          <w:rFonts w:ascii="Arial" w:cs="Arial" w:eastAsia="Arial" w:hAnsi="Arial"/>
          <w:sz w:val="13"/>
          <w:szCs w:val="13"/>
          <w:b w:val="1"/>
          <w:bCs w:val="1"/>
          <w:color w:val="auto"/>
        </w:rPr>
        <w:t xml:space="preserve"> </w:t>
      </w:r>
      <w:r>
        <w:rPr>
          <w:rFonts w:ascii="Arial" w:cs="Arial" w:eastAsia="Arial" w:hAnsi="Arial"/>
          <w:sz w:val="13"/>
          <w:szCs w:val="13"/>
          <w:color w:val="auto"/>
        </w:rPr>
        <w:t>consent. Any attempted assignment in violation of the foregoing will be null and void. Subject to the foregoing, this Agreement will be for the benefit of Client’s successors and assigns, and will be binding on Consultant’s assignees.</w:t>
      </w:r>
    </w:p>
    <w:p>
      <w:pPr>
        <w:spacing w:after="0" w:line="115" w:lineRule="exact"/>
        <w:rPr>
          <w:rFonts w:ascii="Arial" w:cs="Arial" w:eastAsia="Arial" w:hAnsi="Arial"/>
          <w:sz w:val="13"/>
          <w:szCs w:val="13"/>
          <w:b w:val="1"/>
          <w:bCs w:val="1"/>
          <w:color w:val="auto"/>
        </w:rPr>
      </w:pPr>
    </w:p>
    <w:p>
      <w:pPr>
        <w:jc w:val="both"/>
        <w:ind w:firstLine="861"/>
        <w:spacing w:after="0" w:line="293" w:lineRule="auto"/>
        <w:tabs>
          <w:tab w:leader="none" w:pos="1466"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Notices. </w:t>
      </w:r>
      <w:r>
        <w:rPr>
          <w:rFonts w:ascii="Arial" w:cs="Arial" w:eastAsia="Arial" w:hAnsi="Arial"/>
          <w:sz w:val="12"/>
          <w:szCs w:val="12"/>
          <w:color w:val="auto"/>
        </w:rPr>
        <w:t>Any notice required or permitted by this Agreement will be in writing and will be delivered as follows with notice deemed given as indicated: (i) by personal delivery when</w:t>
      </w:r>
      <w:r>
        <w:rPr>
          <w:rFonts w:ascii="Arial" w:cs="Arial" w:eastAsia="Arial" w:hAnsi="Arial"/>
          <w:sz w:val="12"/>
          <w:szCs w:val="12"/>
          <w:b w:val="1"/>
          <w:bCs w:val="1"/>
          <w:color w:val="auto"/>
        </w:rPr>
        <w:t xml:space="preserve"> </w:t>
      </w:r>
      <w:r>
        <w:rPr>
          <w:rFonts w:ascii="Arial" w:cs="Arial" w:eastAsia="Arial" w:hAnsi="Arial"/>
          <w:sz w:val="12"/>
          <w:szCs w:val="12"/>
          <w:color w:val="auto"/>
        </w:rPr>
        <w:t>delivered personally; (ii) by overnight courier upon written verification of receipt; (iii) by telecopy or facsimile transmission upon acknowledgment of receipt of electronic transmission; or (iv) by certified or registered mail, return receipt requested, upon verification of receipt. Notice will be sent to the addresses set forth below or such other address as either party may specify in writing.</w:t>
      </w:r>
    </w:p>
    <w:p>
      <w:pPr>
        <w:spacing w:after="0" w:line="97" w:lineRule="exact"/>
        <w:rPr>
          <w:rFonts w:ascii="Arial" w:cs="Arial" w:eastAsia="Arial" w:hAnsi="Arial"/>
          <w:sz w:val="12"/>
          <w:szCs w:val="12"/>
          <w:b w:val="1"/>
          <w:bCs w:val="1"/>
          <w:color w:val="auto"/>
        </w:rPr>
      </w:pPr>
    </w:p>
    <w:p>
      <w:pPr>
        <w:ind w:firstLine="861"/>
        <w:spacing w:after="0" w:line="277" w:lineRule="auto"/>
        <w:tabs>
          <w:tab w:leader="none" w:pos="1466"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This Agreement will be governed in all respects by the laws of the United States of America and by the laws of the State of California, without giving effect to any</w:t>
      </w:r>
      <w:r>
        <w:rPr>
          <w:rFonts w:ascii="Arial" w:cs="Arial" w:eastAsia="Arial" w:hAnsi="Arial"/>
          <w:sz w:val="13"/>
          <w:szCs w:val="13"/>
          <w:b w:val="1"/>
          <w:bCs w:val="1"/>
          <w:color w:val="auto"/>
        </w:rPr>
        <w:t xml:space="preserve"> </w:t>
      </w:r>
      <w:r>
        <w:rPr>
          <w:rFonts w:ascii="Arial" w:cs="Arial" w:eastAsia="Arial" w:hAnsi="Arial"/>
          <w:sz w:val="13"/>
          <w:szCs w:val="13"/>
          <w:color w:val="auto"/>
        </w:rPr>
        <w:t>conflicts of laws principles that require the application of the law of a different jurisdiction.</w:t>
      </w:r>
    </w:p>
    <w:p>
      <w:pPr>
        <w:spacing w:after="0" w:line="104" w:lineRule="exact"/>
        <w:rPr>
          <w:rFonts w:ascii="Arial" w:cs="Arial" w:eastAsia="Arial" w:hAnsi="Arial"/>
          <w:sz w:val="13"/>
          <w:szCs w:val="13"/>
          <w:b w:val="1"/>
          <w:bCs w:val="1"/>
          <w:color w:val="auto"/>
        </w:rPr>
      </w:pPr>
    </w:p>
    <w:p>
      <w:pPr>
        <w:ind w:firstLine="861"/>
        <w:spacing w:after="0" w:line="277" w:lineRule="auto"/>
        <w:tabs>
          <w:tab w:leader="none" w:pos="1466"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Should any provisions of this Agreement be held by a court of law to be illegal, invalid or unenforceable, the legality, validity and enforceability of the remaining</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provisions of this Agreement will not be affected or impaired thereby.</w:t>
      </w:r>
    </w:p>
    <w:p>
      <w:pPr>
        <w:spacing w:after="0" w:line="104" w:lineRule="exact"/>
        <w:rPr>
          <w:rFonts w:ascii="Arial" w:cs="Arial" w:eastAsia="Arial" w:hAnsi="Arial"/>
          <w:sz w:val="13"/>
          <w:szCs w:val="13"/>
          <w:b w:val="1"/>
          <w:bCs w:val="1"/>
          <w:color w:val="auto"/>
        </w:rPr>
      </w:pPr>
    </w:p>
    <w:p>
      <w:pPr>
        <w:ind w:left="1460" w:hanging="599"/>
        <w:spacing w:after="0"/>
        <w:tabs>
          <w:tab w:leader="none" w:pos="1460"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Waiver. </w:t>
      </w:r>
      <w:r>
        <w:rPr>
          <w:rFonts w:ascii="Arial" w:cs="Arial" w:eastAsia="Arial" w:hAnsi="Arial"/>
          <w:sz w:val="12"/>
          <w:szCs w:val="12"/>
          <w:color w:val="auto"/>
        </w:rPr>
        <w:t>The waiver by Client of a breach of any provision of this Agreement by Consultant will not operate or be construed as a waiver of any other or subsequent breach by Consultant.</w:t>
      </w:r>
    </w:p>
    <w:p>
      <w:pPr>
        <w:spacing w:after="0" w:line="159" w:lineRule="exact"/>
        <w:rPr>
          <w:rFonts w:ascii="Arial" w:cs="Arial" w:eastAsia="Arial" w:hAnsi="Arial"/>
          <w:sz w:val="12"/>
          <w:szCs w:val="12"/>
          <w:b w:val="1"/>
          <w:bCs w:val="1"/>
          <w:color w:val="auto"/>
        </w:rPr>
      </w:pPr>
    </w:p>
    <w:p>
      <w:pPr>
        <w:jc w:val="both"/>
        <w:ind w:right="20" w:firstLine="861"/>
        <w:spacing w:after="0" w:line="261" w:lineRule="auto"/>
        <w:tabs>
          <w:tab w:leader="none" w:pos="1466"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Injunctive Relief for Breach. </w:t>
      </w:r>
      <w:r>
        <w:rPr>
          <w:rFonts w:ascii="Arial" w:cs="Arial" w:eastAsia="Arial" w:hAnsi="Arial"/>
          <w:sz w:val="13"/>
          <w:szCs w:val="13"/>
          <w:color w:val="auto"/>
        </w:rPr>
        <w:t>Consultant’s obligations under this Agreement are of a unique character that gives them particular value; breach of any of such obligations will result in</w:t>
      </w:r>
      <w:r>
        <w:rPr>
          <w:rFonts w:ascii="Arial" w:cs="Arial" w:eastAsia="Arial" w:hAnsi="Arial"/>
          <w:sz w:val="13"/>
          <w:szCs w:val="13"/>
          <w:b w:val="1"/>
          <w:bCs w:val="1"/>
          <w:color w:val="auto"/>
        </w:rPr>
        <w:t xml:space="preserve"> </w:t>
      </w:r>
      <w:r>
        <w:rPr>
          <w:rFonts w:ascii="Arial" w:cs="Arial" w:eastAsia="Arial" w:hAnsi="Arial"/>
          <w:sz w:val="13"/>
          <w:szCs w:val="13"/>
          <w:color w:val="auto"/>
        </w:rPr>
        <w:t>irreparable and continuing damage to Client for which there will be no adequate remedy at law; and, in the event of such breach, Client will be entitled to injunctive relief and/or a decree for specific performance, and such other and further relief as may be proper (including monetary damages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189865</wp:posOffset>
            </wp:positionV>
            <wp:extent cx="72148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1"/>
          <w:szCs w:val="11"/>
          <w:b w:val="1"/>
          <w:bCs w:val="1"/>
          <w:color w:val="auto"/>
        </w:rPr>
        <w:t>Exhibit 10.2</w:t>
      </w:r>
    </w:p>
    <w:p>
      <w:pPr>
        <w:spacing w:after="0" w:line="14" w:lineRule="exact"/>
        <w:rPr>
          <w:sz w:val="20"/>
          <w:szCs w:val="20"/>
          <w:color w:val="auto"/>
        </w:rPr>
      </w:pPr>
    </w:p>
    <w:p>
      <w:pPr>
        <w:jc w:val="both"/>
        <w:ind w:firstLine="861"/>
        <w:spacing w:after="0" w:line="272" w:lineRule="auto"/>
        <w:tabs>
          <w:tab w:leader="none" w:pos="1466"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Entire Agreement. </w:t>
      </w:r>
      <w:r>
        <w:rPr>
          <w:rFonts w:ascii="Arial" w:cs="Arial" w:eastAsia="Arial" w:hAnsi="Arial"/>
          <w:sz w:val="12"/>
          <w:szCs w:val="12"/>
          <w:color w:val="auto"/>
        </w:rPr>
        <w:t>This Agreement constitutes the entire agreement between the parties relating to this subject matter and supersedes all prior or contemporaneous oral or written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agreements concerning such subject matter. The terms of this Agreement will govern all services undertaken by Consultant for Client; </w:t>
      </w:r>
      <w:r>
        <w:rPr>
          <w:rFonts w:ascii="Arial" w:cs="Arial" w:eastAsia="Arial" w:hAnsi="Arial"/>
          <w:sz w:val="12"/>
          <w:szCs w:val="12"/>
          <w:i w:val="1"/>
          <w:iCs w:val="1"/>
          <w:color w:val="auto"/>
        </w:rPr>
        <w:t>provided, however</w:t>
      </w:r>
      <w:r>
        <w:rPr>
          <w:rFonts w:ascii="Arial" w:cs="Arial" w:eastAsia="Arial" w:hAnsi="Arial"/>
          <w:sz w:val="12"/>
          <w:szCs w:val="12"/>
          <w:color w:val="auto"/>
        </w:rPr>
        <w:t>, that in the event of any conflict between the terms of this Agreement and any Project Assignment, the terms of the applicable Project Assignment will control, provided that the Project Assignment specifically calls out the applicable Section number of this Agreement to be superseded and has been signed by an authorized officer of Client. This Agreement may only be changed or amended by mutual agreement of authorized representatives of the parties in writing. This Agreement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304800</wp:posOffset>
            </wp:positionV>
            <wp:extent cx="72148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59" w:name="page60"/>
    <w:bookmarkEnd w:id="59"/>
    <w:p>
      <w:pPr>
        <w:jc w:val="right"/>
        <w:ind w:right="60"/>
        <w:spacing w:after="0"/>
        <w:rPr>
          <w:sz w:val="20"/>
          <w:szCs w:val="20"/>
          <w:color w:val="auto"/>
        </w:rPr>
      </w:pPr>
      <w:r>
        <w:rPr>
          <w:rFonts w:ascii="Arial" w:cs="Arial" w:eastAsia="Arial" w:hAnsi="Arial"/>
          <w:sz w:val="11"/>
          <w:szCs w:val="11"/>
          <w:b w:val="1"/>
          <w:bCs w:val="1"/>
          <w:color w:val="auto"/>
        </w:rPr>
        <w:t>Exhibit 10.2</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The parties have executed this Agreement as of the Effective Date.</w:t>
      </w:r>
    </w:p>
    <w:p>
      <w:pPr>
        <w:spacing w:after="0" w:line="144" w:lineRule="exact"/>
        <w:rPr>
          <w:sz w:val="20"/>
          <w:szCs w:val="20"/>
          <w:color w:val="auto"/>
        </w:rPr>
      </w:pPr>
    </w:p>
    <w:tbl>
      <w:tblPr>
        <w:tblLayout w:type="fixed"/>
        <w:tblInd w:w="562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CLIENT:</w:t>
            </w:r>
          </w:p>
        </w:tc>
        <w:tc>
          <w:tcPr>
            <w:tcW w:w="112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306"/>
        </w:trPr>
        <w:tc>
          <w:tcPr>
            <w:tcW w:w="2140" w:type="dxa"/>
            <w:vAlign w:val="bottom"/>
            <w:gridSpan w:val="3"/>
          </w:tcPr>
          <w:p>
            <w:pPr>
              <w:spacing w:after="0"/>
              <w:rPr>
                <w:sz w:val="20"/>
                <w:szCs w:val="20"/>
                <w:color w:val="auto"/>
              </w:rPr>
            </w:pPr>
            <w:r>
              <w:rPr>
                <w:rFonts w:ascii="Arial" w:cs="Arial" w:eastAsia="Arial" w:hAnsi="Arial"/>
                <w:sz w:val="13"/>
                <w:szCs w:val="13"/>
                <w:b w:val="1"/>
                <w:bCs w:val="1"/>
                <w:color w:val="auto"/>
              </w:rPr>
              <w:t>SiTime Corporation</w:t>
            </w:r>
          </w:p>
        </w:tc>
        <w:tc>
          <w:tcPr>
            <w:tcW w:w="2740" w:type="dxa"/>
            <w:vAlign w:val="bottom"/>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3"/>
                <w:szCs w:val="13"/>
                <w:color w:val="auto"/>
              </w:rPr>
              <w:t>By:</w:t>
            </w: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Lionel Bonnot</w:t>
            </w:r>
          </w:p>
        </w:tc>
        <w:tc>
          <w:tcPr>
            <w:tcW w:w="2740" w:type="dxa"/>
            <w:vAlign w:val="bottom"/>
            <w:tcBorders>
              <w:bottom w:val="single" w:sz="8" w:color="auto"/>
            </w:tcBorders>
          </w:tcPr>
          <w:p>
            <w:pPr>
              <w:spacing w:after="0"/>
              <w:rPr>
                <w:sz w:val="24"/>
                <w:szCs w:val="24"/>
                <w:color w:val="auto"/>
              </w:rPr>
            </w:pPr>
          </w:p>
        </w:tc>
      </w:tr>
      <w:tr>
        <w:trPr>
          <w:trHeight w:val="295"/>
        </w:trPr>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Name:</w:t>
            </w:r>
          </w:p>
        </w:tc>
        <w:tc>
          <w:tcPr>
            <w:tcW w:w="2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Lionel Bonnot</w:t>
            </w:r>
          </w:p>
        </w:tc>
      </w:tr>
      <w:tr>
        <w:trPr>
          <w:trHeight w:val="142"/>
        </w:trPr>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line="142" w:lineRule="exact"/>
              <w:rPr>
                <w:sz w:val="20"/>
                <w:szCs w:val="20"/>
                <w:color w:val="auto"/>
              </w:rPr>
            </w:pPr>
            <w:r>
              <w:rPr>
                <w:rFonts w:ascii="Arial" w:cs="Arial" w:eastAsia="Arial" w:hAnsi="Arial"/>
                <w:sz w:val="13"/>
                <w:szCs w:val="13"/>
                <w:color w:val="auto"/>
              </w:rPr>
              <w:t>Title:</w:t>
            </w:r>
          </w:p>
        </w:tc>
        <w:tc>
          <w:tcPr>
            <w:tcW w:w="27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EVP Sales &amp; BD</w:t>
            </w:r>
          </w:p>
        </w:tc>
      </w:tr>
      <w:tr>
        <w:trPr>
          <w:trHeight w:val="295"/>
        </w:trPr>
        <w:tc>
          <w:tcPr>
            <w:tcW w:w="1020" w:type="dxa"/>
            <w:vAlign w:val="bottom"/>
            <w:gridSpan w:val="2"/>
          </w:tcPr>
          <w:p>
            <w:pPr>
              <w:spacing w:after="0"/>
              <w:rPr>
                <w:sz w:val="20"/>
                <w:szCs w:val="20"/>
                <w:color w:val="auto"/>
              </w:rPr>
            </w:pPr>
            <w:r>
              <w:rPr>
                <w:rFonts w:ascii="Arial" w:cs="Arial" w:eastAsia="Arial" w:hAnsi="Arial"/>
                <w:sz w:val="13"/>
                <w:szCs w:val="13"/>
                <w:color w:val="auto"/>
              </w:rPr>
              <w:t>Email:</w:t>
            </w:r>
          </w:p>
        </w:tc>
        <w:tc>
          <w:tcPr>
            <w:tcW w:w="1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268"/>
        </w:trPr>
        <w:tc>
          <w:tcPr>
            <w:tcW w:w="1020" w:type="dxa"/>
            <w:vAlign w:val="bottom"/>
            <w:gridSpan w:val="2"/>
          </w:tcPr>
          <w:p>
            <w:pPr>
              <w:spacing w:after="0"/>
              <w:rPr>
                <w:sz w:val="20"/>
                <w:szCs w:val="20"/>
                <w:color w:val="auto"/>
              </w:rPr>
            </w:pPr>
            <w:r>
              <w:rPr>
                <w:rFonts w:ascii="Arial" w:cs="Arial" w:eastAsia="Arial" w:hAnsi="Arial"/>
                <w:sz w:val="13"/>
                <w:szCs w:val="13"/>
                <w:color w:val="auto"/>
              </w:rPr>
              <w:t>Address:</w:t>
            </w:r>
          </w:p>
        </w:tc>
        <w:tc>
          <w:tcPr>
            <w:tcW w:w="1120" w:type="dxa"/>
            <w:vAlign w:val="bottom"/>
          </w:tcPr>
          <w:p>
            <w:pPr>
              <w:spacing w:after="0"/>
              <w:rPr>
                <w:sz w:val="23"/>
                <w:szCs w:val="2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5451 Patrick Henry Drive</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r>
        <w:trPr>
          <w:trHeight w:val="129"/>
        </w:trPr>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7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Santa Clara, CA 95054</w:t>
            </w:r>
          </w:p>
        </w:tc>
      </w:tr>
      <w:tr>
        <w:trPr>
          <w:trHeight w:val="142"/>
        </w:trPr>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CONSULTANT:</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Akira Takata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8890</wp:posOffset>
            </wp:positionV>
            <wp:extent cx="31038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103880" cy="5715"/>
                    </a:xfrm>
                    <a:prstGeom prst="rect">
                      <a:avLst/>
                    </a:prstGeom>
                    <a:noFill/>
                  </pic:spPr>
                </pic:pic>
              </a:graphicData>
            </a:graphic>
          </wp:anchor>
        </w:drawing>
      </w:r>
    </w:p>
    <w:p>
      <w:pPr>
        <w:jc w:val="center"/>
        <w:ind w:left="8120"/>
        <w:spacing w:after="0"/>
        <w:rPr>
          <w:sz w:val="20"/>
          <w:szCs w:val="20"/>
          <w:color w:val="auto"/>
        </w:rPr>
      </w:pPr>
      <w:r>
        <w:rPr>
          <w:rFonts w:ascii="Arial" w:cs="Arial" w:eastAsia="Arial" w:hAnsi="Arial"/>
          <w:sz w:val="13"/>
          <w:szCs w:val="13"/>
          <w:color w:val="auto"/>
        </w:rPr>
        <w:t>Name of Consultant (Please Print)</w:t>
      </w:r>
    </w:p>
    <w:p>
      <w:pPr>
        <w:spacing w:after="0" w:line="153" w:lineRule="exact"/>
        <w:rPr>
          <w:sz w:val="20"/>
          <w:szCs w:val="20"/>
          <w:color w:val="auto"/>
        </w:rPr>
      </w:pPr>
    </w:p>
    <w:p>
      <w:pPr>
        <w:jc w:val="center"/>
        <w:ind w:left="8120"/>
        <w:spacing w:after="0"/>
        <w:rPr>
          <w:sz w:val="20"/>
          <w:szCs w:val="20"/>
          <w:color w:val="auto"/>
        </w:rPr>
      </w:pPr>
      <w:r>
        <w:rPr>
          <w:rFonts w:ascii="Arial" w:cs="Arial" w:eastAsia="Arial" w:hAnsi="Arial"/>
          <w:sz w:val="13"/>
          <w:szCs w:val="13"/>
          <w:color w:val="auto"/>
        </w:rPr>
        <w:t>/s/ Akira Takata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8890</wp:posOffset>
            </wp:positionV>
            <wp:extent cx="31038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103880" cy="5715"/>
                    </a:xfrm>
                    <a:prstGeom prst="rect">
                      <a:avLst/>
                    </a:prstGeom>
                    <a:noFill/>
                  </pic:spPr>
                </pic:pic>
              </a:graphicData>
            </a:graphic>
          </wp:anchor>
        </w:drawing>
      </w:r>
    </w:p>
    <w:p>
      <w:pPr>
        <w:jc w:val="center"/>
        <w:ind w:left="8120"/>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1600200</wp:posOffset>
            </wp:positionV>
            <wp:extent cx="72148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500"/>
          </w:cols>
          <w:pgMar w:left="1160" w:top="130" w:right="239" w:bottom="1440" w:gutter="0" w:footer="0" w:header="0"/>
        </w:sectPr>
      </w:pPr>
    </w:p>
    <w:bookmarkStart w:id="60" w:name="page61"/>
    <w:bookmarkEnd w:id="60"/>
    <w:p>
      <w:pPr>
        <w:jc w:val="right"/>
        <w:ind w:right="60"/>
        <w:spacing w:after="0"/>
        <w:rPr>
          <w:sz w:val="20"/>
          <w:szCs w:val="20"/>
          <w:color w:val="auto"/>
        </w:rPr>
      </w:pPr>
      <w:r>
        <w:rPr>
          <w:rFonts w:ascii="Arial" w:cs="Arial" w:eastAsia="Arial" w:hAnsi="Arial"/>
          <w:sz w:val="11"/>
          <w:szCs w:val="11"/>
          <w:b w:val="1"/>
          <w:bCs w:val="1"/>
          <w:color w:val="auto"/>
        </w:rPr>
        <w:t>Exhibit 10.2</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EXHIBIT A</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Project Assignment #1 Under Consulting Agreement</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Dated: May 15, 2021</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Project: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Consultant will render the following services to Client as Client may from time to time request:</w:t>
      </w:r>
    </w:p>
    <w:p>
      <w:pPr>
        <w:spacing w:after="0" w:line="144" w:lineRule="exact"/>
        <w:rPr>
          <w:sz w:val="20"/>
          <w:szCs w:val="20"/>
          <w:color w:val="auto"/>
        </w:rPr>
      </w:pPr>
    </w:p>
    <w:p>
      <w:pPr>
        <w:ind w:left="1280" w:hanging="424"/>
        <w:spacing w:after="0"/>
        <w:tabs>
          <w:tab w:leader="none" w:pos="1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Assistance with sales organization and recruiting in Japan;</w:t>
      </w:r>
    </w:p>
    <w:p>
      <w:pPr>
        <w:spacing w:after="0" w:line="13" w:lineRule="exact"/>
        <w:rPr>
          <w:rFonts w:ascii="Arial" w:cs="Arial" w:eastAsia="Arial" w:hAnsi="Arial"/>
          <w:sz w:val="14"/>
          <w:szCs w:val="14"/>
          <w:color w:val="auto"/>
        </w:rPr>
      </w:pPr>
    </w:p>
    <w:p>
      <w:pPr>
        <w:ind w:left="1280" w:hanging="424"/>
        <w:spacing w:after="0"/>
        <w:tabs>
          <w:tab w:leader="none" w:pos="1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Assistance with introductions to key distributor management teams; and</w:t>
      </w:r>
    </w:p>
    <w:p>
      <w:pPr>
        <w:spacing w:after="0" w:line="1" w:lineRule="exact"/>
        <w:rPr>
          <w:rFonts w:ascii="Arial" w:cs="Arial" w:eastAsia="Arial" w:hAnsi="Arial"/>
          <w:sz w:val="14"/>
          <w:szCs w:val="14"/>
          <w:color w:val="auto"/>
        </w:rPr>
      </w:pPr>
    </w:p>
    <w:p>
      <w:pPr>
        <w:ind w:left="1280" w:hanging="424"/>
        <w:spacing w:after="0"/>
        <w:tabs>
          <w:tab w:leader="none" w:pos="1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Make introductions to Tier 1 Japanese customers.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Fees And Reimbursement: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Cash Fee: $5,000 per month (pro rata for any partial month).</w:t>
      </w:r>
    </w:p>
    <w:p>
      <w:pPr>
        <w:spacing w:after="0" w:line="148" w:lineRule="exact"/>
        <w:rPr>
          <w:sz w:val="20"/>
          <w:szCs w:val="20"/>
          <w:color w:val="auto"/>
        </w:rPr>
      </w:pPr>
    </w:p>
    <w:p>
      <w:pPr>
        <w:jc w:val="both"/>
        <w:ind w:right="60"/>
        <w:spacing w:after="0" w:line="258" w:lineRule="auto"/>
        <w:rPr>
          <w:sz w:val="20"/>
          <w:szCs w:val="20"/>
          <w:color w:val="auto"/>
        </w:rPr>
      </w:pPr>
      <w:r>
        <w:rPr>
          <w:rFonts w:ascii="Arial" w:cs="Arial" w:eastAsia="Arial" w:hAnsi="Arial"/>
          <w:sz w:val="13"/>
          <w:szCs w:val="13"/>
          <w:color w:val="auto"/>
        </w:rPr>
        <w:t>Equity Fee: Subject to approval by Client’s Board of Directors or a Committee thereof, the Client anticipates granting Consultant a restricted stock unit (“RSU”) award for 500 shares of the Client’s common stock (the “Award”). The anticipated Award will be governed by the terms and conditions of the Client’s 2019 Stock Incentive Plan (the “Plan”) and Consultant’s grant agreement, and vest on the November 20, 2021, subject to Consultant’s Continuous Service (as defined in the Plan) as of such date.</w:t>
      </w:r>
    </w:p>
    <w:p>
      <w:pPr>
        <w:spacing w:after="0" w:line="121" w:lineRule="exact"/>
        <w:rPr>
          <w:sz w:val="20"/>
          <w:szCs w:val="20"/>
          <w:color w:val="auto"/>
        </w:rPr>
      </w:pPr>
    </w:p>
    <w:p>
      <w:pPr>
        <w:jc w:val="both"/>
        <w:ind w:right="60"/>
        <w:spacing w:after="0" w:line="258" w:lineRule="auto"/>
        <w:rPr>
          <w:sz w:val="20"/>
          <w:szCs w:val="20"/>
          <w:color w:val="auto"/>
        </w:rPr>
      </w:pPr>
      <w:r>
        <w:rPr>
          <w:rFonts w:ascii="Arial" w:cs="Arial" w:eastAsia="Arial" w:hAnsi="Arial"/>
          <w:sz w:val="13"/>
          <w:szCs w:val="13"/>
          <w:color w:val="auto"/>
        </w:rPr>
        <w:t>Consultant will be reimbursed for third party expenses (at cost) if approved in writing in advance by Client. Consultant will invoice Client monthly for services and expenses and will provide such reasonable receipts or other documentation of expenses as Client might request, including copies of time records. Payment terms: Client will be invoiced on the first day of each month for services rendered and expenses incurred during the previous month.</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parties have executed this Project Assignment as of the date first written above.</w:t>
      </w:r>
    </w:p>
    <w:p>
      <w:pPr>
        <w:spacing w:after="0" w:line="153" w:lineRule="exact"/>
        <w:rPr>
          <w:sz w:val="20"/>
          <w:szCs w:val="20"/>
          <w:color w:val="auto"/>
        </w:rPr>
      </w:pPr>
    </w:p>
    <w:p>
      <w:pPr>
        <w:ind w:left="6480"/>
        <w:spacing w:after="0"/>
        <w:rPr>
          <w:sz w:val="20"/>
          <w:szCs w:val="20"/>
          <w:color w:val="auto"/>
        </w:rPr>
      </w:pPr>
      <w:r>
        <w:rPr>
          <w:rFonts w:ascii="Arial" w:cs="Arial" w:eastAsia="Arial" w:hAnsi="Arial"/>
          <w:sz w:val="13"/>
          <w:szCs w:val="13"/>
          <w:b w:val="1"/>
          <w:bCs w:val="1"/>
          <w:color w:val="auto"/>
        </w:rPr>
        <w:t>CLIENT:</w:t>
      </w:r>
    </w:p>
    <w:p>
      <w:pPr>
        <w:spacing w:after="0" w:line="157" w:lineRule="exact"/>
        <w:rPr>
          <w:sz w:val="20"/>
          <w:szCs w:val="20"/>
          <w:color w:val="auto"/>
        </w:rPr>
      </w:pPr>
    </w:p>
    <w:p>
      <w:pPr>
        <w:ind w:left="6480"/>
        <w:spacing w:after="0"/>
        <w:rPr>
          <w:sz w:val="20"/>
          <w:szCs w:val="20"/>
          <w:color w:val="auto"/>
        </w:rPr>
      </w:pPr>
      <w:r>
        <w:rPr>
          <w:rFonts w:ascii="Arial" w:cs="Arial" w:eastAsia="Arial" w:hAnsi="Arial"/>
          <w:sz w:val="13"/>
          <w:szCs w:val="13"/>
          <w:b w:val="1"/>
          <w:bCs w:val="1"/>
          <w:color w:val="auto"/>
        </w:rPr>
        <w:t>SiTime Corporation</w:t>
      </w:r>
    </w:p>
    <w:p>
      <w:pPr>
        <w:spacing w:after="0" w:line="305" w:lineRule="exact"/>
        <w:rPr>
          <w:sz w:val="20"/>
          <w:szCs w:val="20"/>
          <w:color w:val="auto"/>
        </w:rPr>
      </w:pPr>
    </w:p>
    <w:tbl>
      <w:tblPr>
        <w:tblLayout w:type="fixed"/>
        <w:tblInd w:w="6480" w:type="dxa"/>
        <w:tblCellMar>
          <w:top w:w="0" w:type="dxa"/>
          <w:left w:w="0" w:type="dxa"/>
          <w:bottom w:w="0" w:type="dxa"/>
          <w:right w:w="0" w:type="dxa"/>
        </w:tblCellMar>
      </w:tblPr>
      <w:tr>
        <w:trPr>
          <w:trHeight w:val="164"/>
        </w:trPr>
        <w:tc>
          <w:tcPr>
            <w:tcW w:w="760" w:type="dxa"/>
            <w:vAlign w:val="bottom"/>
          </w:tcPr>
          <w:p>
            <w:pPr>
              <w:spacing w:after="0"/>
              <w:rPr>
                <w:sz w:val="20"/>
                <w:szCs w:val="20"/>
                <w:color w:val="auto"/>
              </w:rPr>
            </w:pPr>
            <w:r>
              <w:rPr>
                <w:rFonts w:ascii="Arial" w:cs="Arial" w:eastAsia="Arial" w:hAnsi="Arial"/>
                <w:sz w:val="13"/>
                <w:szCs w:val="13"/>
                <w:color w:val="auto"/>
              </w:rPr>
              <w:t>By:</w:t>
            </w:r>
          </w:p>
        </w:tc>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Lionel Bonnot</w:t>
            </w:r>
          </w:p>
        </w:tc>
        <w:tc>
          <w:tcPr>
            <w:tcW w:w="2980" w:type="dxa"/>
            <w:vAlign w:val="bottom"/>
            <w:tcBorders>
              <w:bottom w:val="single" w:sz="8" w:color="auto"/>
            </w:tcBorders>
          </w:tcPr>
          <w:p>
            <w:pPr>
              <w:spacing w:after="0"/>
              <w:rPr>
                <w:sz w:val="14"/>
                <w:szCs w:val="14"/>
                <w:color w:val="auto"/>
              </w:rPr>
            </w:pPr>
          </w:p>
        </w:tc>
      </w:tr>
      <w:tr>
        <w:trPr>
          <w:trHeight w:val="295"/>
        </w:trPr>
        <w:tc>
          <w:tcPr>
            <w:tcW w:w="7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Name:</w:t>
            </w:r>
          </w:p>
        </w:tc>
        <w:tc>
          <w:tcPr>
            <w:tcW w:w="2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Lionel Bonnot</w:t>
            </w:r>
          </w:p>
        </w:tc>
      </w:tr>
      <w:tr>
        <w:trPr>
          <w:trHeight w:val="155"/>
        </w:trPr>
        <w:tc>
          <w:tcPr>
            <w:tcW w:w="760" w:type="dxa"/>
            <w:vAlign w:val="bottom"/>
          </w:tcPr>
          <w:p>
            <w:pPr>
              <w:spacing w:after="0"/>
              <w:rPr>
                <w:sz w:val="13"/>
                <w:szCs w:val="13"/>
                <w:color w:val="auto"/>
              </w:rPr>
            </w:pPr>
          </w:p>
        </w:tc>
        <w:tc>
          <w:tcPr>
            <w:tcW w:w="1140" w:type="dxa"/>
            <w:vAlign w:val="bottom"/>
          </w:tcPr>
          <w:p>
            <w:pPr>
              <w:spacing w:after="0" w:line="146" w:lineRule="exact"/>
              <w:rPr>
                <w:sz w:val="20"/>
                <w:szCs w:val="20"/>
                <w:color w:val="auto"/>
              </w:rPr>
            </w:pPr>
            <w:r>
              <w:rPr>
                <w:rFonts w:ascii="Arial" w:cs="Arial" w:eastAsia="Arial" w:hAnsi="Arial"/>
                <w:sz w:val="13"/>
                <w:szCs w:val="13"/>
                <w:color w:val="auto"/>
              </w:rPr>
              <w:t>Title:</w:t>
            </w:r>
          </w:p>
        </w:tc>
        <w:tc>
          <w:tcPr>
            <w:tcW w:w="2980" w:type="dxa"/>
            <w:vAlign w:val="bottom"/>
          </w:tcPr>
          <w:p>
            <w:pPr>
              <w:spacing w:after="0"/>
              <w:rPr>
                <w:sz w:val="20"/>
                <w:szCs w:val="20"/>
                <w:color w:val="auto"/>
              </w:rPr>
            </w:pPr>
            <w:r>
              <w:rPr>
                <w:rFonts w:ascii="Arial" w:cs="Arial" w:eastAsia="Arial" w:hAnsi="Arial"/>
                <w:sz w:val="13"/>
                <w:szCs w:val="13"/>
                <w:color w:val="auto"/>
              </w:rPr>
              <w:t>EVP Sales &amp; BD</w:t>
            </w:r>
          </w:p>
        </w:tc>
      </w:tr>
    </w:tbl>
    <w:p>
      <w:pPr>
        <w:spacing w:after="0" w:line="279" w:lineRule="exact"/>
        <w:rPr>
          <w:sz w:val="20"/>
          <w:szCs w:val="20"/>
          <w:color w:val="auto"/>
        </w:rPr>
      </w:pPr>
    </w:p>
    <w:p>
      <w:pPr>
        <w:ind w:left="6480"/>
        <w:spacing w:after="0"/>
        <w:rPr>
          <w:sz w:val="20"/>
          <w:szCs w:val="20"/>
          <w:color w:val="auto"/>
        </w:rPr>
      </w:pPr>
      <w:r>
        <w:rPr>
          <w:rFonts w:ascii="Arial" w:cs="Arial" w:eastAsia="Arial" w:hAnsi="Arial"/>
          <w:sz w:val="13"/>
          <w:szCs w:val="13"/>
          <w:b w:val="1"/>
          <w:bCs w:val="1"/>
          <w:color w:val="auto"/>
        </w:rPr>
        <w:t>CONSULTANT:</w:t>
      </w:r>
    </w:p>
    <w:p>
      <w:pPr>
        <w:spacing w:after="0" w:line="161" w:lineRule="exact"/>
        <w:rPr>
          <w:sz w:val="20"/>
          <w:szCs w:val="20"/>
          <w:color w:val="auto"/>
        </w:rPr>
      </w:pPr>
    </w:p>
    <w:p>
      <w:pPr>
        <w:ind w:left="6480"/>
        <w:spacing w:after="0"/>
        <w:rPr>
          <w:sz w:val="20"/>
          <w:szCs w:val="20"/>
          <w:color w:val="auto"/>
        </w:rPr>
      </w:pPr>
      <w:r>
        <w:rPr>
          <w:rFonts w:ascii="Arial" w:cs="Arial" w:eastAsia="Arial" w:hAnsi="Arial"/>
          <w:sz w:val="13"/>
          <w:szCs w:val="13"/>
          <w:color w:val="auto"/>
        </w:rPr>
        <w:t>Akira Takata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8890</wp:posOffset>
            </wp:positionV>
            <wp:extent cx="31038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103880" cy="5715"/>
                    </a:xfrm>
                    <a:prstGeom prst="rect">
                      <a:avLst/>
                    </a:prstGeom>
                    <a:noFill/>
                  </pic:spPr>
                </pic:pic>
              </a:graphicData>
            </a:graphic>
          </wp:anchor>
        </w:drawing>
      </w:r>
    </w:p>
    <w:p>
      <w:pPr>
        <w:jc w:val="center"/>
        <w:ind w:left="8120"/>
        <w:spacing w:after="0"/>
        <w:rPr>
          <w:sz w:val="20"/>
          <w:szCs w:val="20"/>
          <w:color w:val="auto"/>
        </w:rPr>
      </w:pPr>
      <w:r>
        <w:rPr>
          <w:rFonts w:ascii="Arial" w:cs="Arial" w:eastAsia="Arial" w:hAnsi="Arial"/>
          <w:sz w:val="13"/>
          <w:szCs w:val="13"/>
          <w:color w:val="auto"/>
        </w:rPr>
        <w:t>Name of Consultant (Please Print)</w:t>
      </w:r>
    </w:p>
    <w:p>
      <w:pPr>
        <w:spacing w:after="0" w:line="153" w:lineRule="exact"/>
        <w:rPr>
          <w:sz w:val="20"/>
          <w:szCs w:val="20"/>
          <w:color w:val="auto"/>
        </w:rPr>
      </w:pPr>
    </w:p>
    <w:p>
      <w:pPr>
        <w:jc w:val="center"/>
        <w:ind w:left="8120"/>
        <w:spacing w:after="0"/>
        <w:rPr>
          <w:sz w:val="20"/>
          <w:szCs w:val="20"/>
          <w:color w:val="auto"/>
        </w:rPr>
      </w:pPr>
      <w:r>
        <w:rPr>
          <w:rFonts w:ascii="Arial" w:cs="Arial" w:eastAsia="Arial" w:hAnsi="Arial"/>
          <w:sz w:val="13"/>
          <w:szCs w:val="13"/>
          <w:color w:val="auto"/>
        </w:rPr>
        <w:t>/s/ Akira Takata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8890</wp:posOffset>
            </wp:positionV>
            <wp:extent cx="31038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103880" cy="5715"/>
                    </a:xfrm>
                    <a:prstGeom prst="rect">
                      <a:avLst/>
                    </a:prstGeom>
                    <a:noFill/>
                  </pic:spPr>
                </pic:pic>
              </a:graphicData>
            </a:graphic>
          </wp:anchor>
        </w:drawing>
      </w:r>
    </w:p>
    <w:p>
      <w:pPr>
        <w:jc w:val="center"/>
        <w:ind w:left="8120"/>
        <w:spacing w:after="0"/>
        <w:rPr>
          <w:sz w:val="20"/>
          <w:szCs w:val="20"/>
          <w:color w:val="auto"/>
        </w:rPr>
      </w:pPr>
      <w:r>
        <w:rPr>
          <w:rFonts w:ascii="Arial" w:cs="Arial" w:eastAsia="Arial" w:hAnsi="Arial"/>
          <w:sz w:val="13"/>
          <w:szCs w:val="13"/>
          <w:color w:val="auto"/>
        </w:rPr>
        <w:t>Signature</w:t>
      </w:r>
    </w:p>
    <w:p>
      <w:pPr>
        <w:sectPr>
          <w:pgSz w:w="11900" w:h="16838" w:orient="portrait"/>
          <w:cols w:equalWidth="0" w:num="1">
            <w:col w:w="11360"/>
          </w:cols>
          <w:pgMar w:left="300" w:top="13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Rule 13a-14(a) and Rule 15d-14(a)</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Rajesh Vashist, certify that:</w:t>
      </w:r>
    </w:p>
    <w:p>
      <w:pPr>
        <w:spacing w:after="0" w:line="150" w:lineRule="exact"/>
        <w:rPr>
          <w:sz w:val="20"/>
          <w:szCs w:val="20"/>
          <w:color w:val="auto"/>
        </w:rPr>
      </w:pPr>
    </w:p>
    <w:p>
      <w:pPr>
        <w:ind w:left="228" w:hanging="228"/>
        <w:spacing w:after="0"/>
        <w:tabs>
          <w:tab w:leader="none" w:pos="2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SiTime Corporation.;</w:t>
      </w:r>
    </w:p>
    <w:p>
      <w:pPr>
        <w:spacing w:after="0" w:line="159" w:lineRule="exact"/>
        <w:rPr>
          <w:rFonts w:ascii="Arial" w:cs="Arial" w:eastAsia="Arial" w:hAnsi="Arial"/>
          <w:sz w:val="12"/>
          <w:szCs w:val="12"/>
          <w:color w:val="auto"/>
        </w:rPr>
      </w:pPr>
    </w:p>
    <w:p>
      <w:pPr>
        <w:ind w:left="228" w:right="180" w:hanging="228"/>
        <w:spacing w:after="0" w:line="276" w:lineRule="auto"/>
        <w:tabs>
          <w:tab w:leader="none" w:pos="2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2"/>
          <w:szCs w:val="12"/>
          <w:color w:val="auto"/>
        </w:rPr>
      </w:pPr>
    </w:p>
    <w:p>
      <w:pPr>
        <w:ind w:left="228" w:right="80" w:hanging="228"/>
        <w:spacing w:after="0" w:line="276" w:lineRule="auto"/>
        <w:tabs>
          <w:tab w:leader="none" w:pos="2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2"/>
          <w:szCs w:val="12"/>
          <w:color w:val="auto"/>
        </w:rPr>
      </w:pPr>
    </w:p>
    <w:p>
      <w:pPr>
        <w:ind w:left="228" w:right="320" w:hanging="228"/>
        <w:spacing w:after="0" w:line="276" w:lineRule="auto"/>
        <w:tabs>
          <w:tab w:leader="none" w:pos="2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2"/>
          <w:szCs w:val="12"/>
          <w:color w:val="auto"/>
        </w:rPr>
      </w:pPr>
    </w:p>
    <w:p>
      <w:pPr>
        <w:ind w:left="588" w:right="540" w:hanging="354"/>
        <w:spacing w:after="0" w:line="276" w:lineRule="auto"/>
        <w:tabs>
          <w:tab w:leader="none" w:pos="588"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2"/>
          <w:szCs w:val="12"/>
          <w:color w:val="auto"/>
        </w:rPr>
      </w:pPr>
    </w:p>
    <w:p>
      <w:pPr>
        <w:ind w:left="588" w:right="300" w:hanging="354"/>
        <w:spacing w:after="0" w:line="276" w:lineRule="auto"/>
        <w:tabs>
          <w:tab w:leader="none" w:pos="588"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2"/>
          <w:szCs w:val="12"/>
          <w:color w:val="auto"/>
        </w:rPr>
      </w:pPr>
    </w:p>
    <w:p>
      <w:pPr>
        <w:ind w:left="588" w:right="300" w:hanging="354"/>
        <w:spacing w:after="0" w:line="276" w:lineRule="auto"/>
        <w:tabs>
          <w:tab w:leader="none" w:pos="588" w:val="left"/>
        </w:tabs>
        <w:numPr>
          <w:ilvl w:val="1"/>
          <w:numId w:val="3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2"/>
          <w:szCs w:val="12"/>
          <w:color w:val="auto"/>
        </w:rPr>
      </w:pPr>
    </w:p>
    <w:p>
      <w:pPr>
        <w:ind w:left="588" w:right="360" w:hanging="354"/>
        <w:spacing w:after="0" w:line="276" w:lineRule="auto"/>
        <w:tabs>
          <w:tab w:leader="none" w:pos="588" w:val="left"/>
        </w:tabs>
        <w:numPr>
          <w:ilvl w:val="1"/>
          <w:numId w:val="3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2"/>
          <w:szCs w:val="12"/>
          <w:color w:val="auto"/>
        </w:rPr>
      </w:pPr>
    </w:p>
    <w:p>
      <w:pPr>
        <w:ind w:left="228" w:right="100" w:hanging="228"/>
        <w:spacing w:after="0" w:line="276" w:lineRule="auto"/>
        <w:tabs>
          <w:tab w:leader="none" w:pos="2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2"/>
          <w:szCs w:val="12"/>
          <w:color w:val="auto"/>
        </w:rPr>
      </w:pPr>
    </w:p>
    <w:p>
      <w:pPr>
        <w:ind w:left="588" w:right="120" w:hanging="354"/>
        <w:spacing w:after="0" w:line="276" w:lineRule="auto"/>
        <w:tabs>
          <w:tab w:leader="none" w:pos="588" w:val="left"/>
        </w:tabs>
        <w:numPr>
          <w:ilvl w:val="1"/>
          <w:numId w:val="3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2"/>
          <w:szCs w:val="12"/>
          <w:color w:val="auto"/>
        </w:rPr>
      </w:pPr>
    </w:p>
    <w:p>
      <w:pPr>
        <w:ind w:left="588" w:hanging="354"/>
        <w:spacing w:after="0"/>
        <w:tabs>
          <w:tab w:leader="none" w:pos="588" w:val="left"/>
        </w:tabs>
        <w:numPr>
          <w:ilvl w:val="1"/>
          <w:numId w:val="3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5, 2021</w:t>
      </w:r>
    </w:p>
    <w:p>
      <w:pPr>
        <w:spacing w:after="0" w:line="168" w:lineRule="exact"/>
        <w:rPr>
          <w:sz w:val="20"/>
          <w:szCs w:val="20"/>
          <w:color w:val="auto"/>
        </w:rPr>
      </w:pPr>
    </w:p>
    <w:p>
      <w:pPr>
        <w:ind w:left="9488"/>
        <w:spacing w:after="0"/>
        <w:rPr>
          <w:sz w:val="20"/>
          <w:szCs w:val="20"/>
          <w:color w:val="auto"/>
        </w:rPr>
      </w:pPr>
      <w:r>
        <w:rPr>
          <w:rFonts w:ascii="Arial" w:cs="Arial" w:eastAsia="Arial" w:hAnsi="Arial"/>
          <w:sz w:val="12"/>
          <w:szCs w:val="12"/>
          <w:color w:val="auto"/>
        </w:rPr>
        <w:t>/s/ Rajesh Vashist</w:t>
      </w:r>
    </w:p>
    <w:p>
      <w:pPr>
        <w:spacing w:after="0" w:line="15" w:lineRule="exact"/>
        <w:rPr>
          <w:sz w:val="20"/>
          <w:szCs w:val="20"/>
          <w:color w:val="auto"/>
        </w:rPr>
      </w:pPr>
    </w:p>
    <w:p>
      <w:pPr>
        <w:ind w:left="9548"/>
        <w:spacing w:after="0"/>
        <w:rPr>
          <w:sz w:val="20"/>
          <w:szCs w:val="20"/>
          <w:color w:val="auto"/>
        </w:rPr>
      </w:pPr>
      <w:r>
        <w:rPr>
          <w:rFonts w:ascii="Arial" w:cs="Arial" w:eastAsia="Arial" w:hAnsi="Arial"/>
          <w:sz w:val="12"/>
          <w:szCs w:val="12"/>
          <w:b w:val="1"/>
          <w:bCs w:val="1"/>
          <w:color w:val="auto"/>
        </w:rPr>
        <w:t>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-86995</wp:posOffset>
            </wp:positionV>
            <wp:extent cx="17545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1754505" cy="5715"/>
                    </a:xfrm>
                    <a:prstGeom prst="rect">
                      <a:avLst/>
                    </a:prstGeom>
                    <a:noFill/>
                  </pic:spPr>
                </pic:pic>
              </a:graphicData>
            </a:graphic>
          </wp:anchor>
        </w:drawing>
      </w:r>
    </w:p>
    <w:p>
      <w:pPr>
        <w:ind w:left="9328"/>
        <w:spacing w:after="0"/>
        <w:rPr>
          <w:sz w:val="20"/>
          <w:szCs w:val="20"/>
          <w:color w:val="auto"/>
        </w:rPr>
      </w:pPr>
      <w:r>
        <w:rPr>
          <w:rFonts w:ascii="Arial" w:cs="Arial" w:eastAsia="Arial" w:hAnsi="Arial"/>
          <w:sz w:val="12"/>
          <w:szCs w:val="12"/>
          <w:b w:val="1"/>
          <w:bCs w:val="1"/>
          <w:color w:val="auto"/>
        </w:rPr>
        <w:t>Chief Executive Officer</w:t>
      </w:r>
    </w:p>
    <w:p>
      <w:pPr>
        <w:sectPr>
          <w:pgSz w:w="11900" w:h="16838" w:orient="portrait"/>
          <w:cols w:equalWidth="0" w:num="1">
            <w:col w:w="11308"/>
          </w:cols>
          <w:pgMar w:left="292" w:top="127" w:right="299" w:bottom="1440" w:gutter="0" w:footer="0" w:header="0"/>
        </w:sectPr>
      </w:pPr>
    </w:p>
    <w:bookmarkStart w:id="62" w:name="page63"/>
    <w:bookmarkEnd w:id="62"/>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Rule 13a-14(a) and Rule 15d-14(a)</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Arthur D. Chadwick, certify that:</w:t>
      </w:r>
    </w:p>
    <w:p>
      <w:pPr>
        <w:spacing w:after="0" w:line="150" w:lineRule="exact"/>
        <w:rPr>
          <w:sz w:val="20"/>
          <w:szCs w:val="20"/>
          <w:color w:val="auto"/>
        </w:rPr>
      </w:pPr>
    </w:p>
    <w:p>
      <w:pPr>
        <w:ind w:left="228" w:hanging="228"/>
        <w:spacing w:after="0"/>
        <w:tabs>
          <w:tab w:leader="none" w:pos="2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SiTime Corporation.;</w:t>
      </w:r>
    </w:p>
    <w:p>
      <w:pPr>
        <w:spacing w:after="0" w:line="159" w:lineRule="exact"/>
        <w:rPr>
          <w:rFonts w:ascii="Arial" w:cs="Arial" w:eastAsia="Arial" w:hAnsi="Arial"/>
          <w:sz w:val="12"/>
          <w:szCs w:val="12"/>
          <w:color w:val="auto"/>
        </w:rPr>
      </w:pPr>
    </w:p>
    <w:p>
      <w:pPr>
        <w:ind w:left="228" w:right="180" w:hanging="228"/>
        <w:spacing w:after="0" w:line="276" w:lineRule="auto"/>
        <w:tabs>
          <w:tab w:leader="none" w:pos="2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2"/>
          <w:szCs w:val="12"/>
          <w:color w:val="auto"/>
        </w:rPr>
      </w:pPr>
    </w:p>
    <w:p>
      <w:pPr>
        <w:ind w:left="228" w:right="80" w:hanging="228"/>
        <w:spacing w:after="0" w:line="276" w:lineRule="auto"/>
        <w:tabs>
          <w:tab w:leader="none" w:pos="2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2"/>
          <w:szCs w:val="12"/>
          <w:color w:val="auto"/>
        </w:rPr>
      </w:pPr>
    </w:p>
    <w:p>
      <w:pPr>
        <w:ind w:left="228" w:right="320" w:hanging="228"/>
        <w:spacing w:after="0" w:line="276" w:lineRule="auto"/>
        <w:tabs>
          <w:tab w:leader="none" w:pos="2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2"/>
          <w:szCs w:val="12"/>
          <w:color w:val="auto"/>
        </w:rPr>
      </w:pPr>
    </w:p>
    <w:p>
      <w:pPr>
        <w:ind w:left="588" w:right="540" w:hanging="354"/>
        <w:spacing w:after="0" w:line="276" w:lineRule="auto"/>
        <w:tabs>
          <w:tab w:leader="none" w:pos="588" w:val="left"/>
        </w:tabs>
        <w:numPr>
          <w:ilvl w:val="1"/>
          <w:numId w:val="3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2"/>
          <w:szCs w:val="12"/>
          <w:color w:val="auto"/>
        </w:rPr>
      </w:pPr>
    </w:p>
    <w:p>
      <w:pPr>
        <w:ind w:left="588" w:right="300" w:hanging="354"/>
        <w:spacing w:after="0" w:line="276" w:lineRule="auto"/>
        <w:tabs>
          <w:tab w:leader="none" w:pos="588" w:val="left"/>
        </w:tabs>
        <w:numPr>
          <w:ilvl w:val="1"/>
          <w:numId w:val="3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2"/>
          <w:szCs w:val="12"/>
          <w:color w:val="auto"/>
        </w:rPr>
      </w:pPr>
    </w:p>
    <w:p>
      <w:pPr>
        <w:ind w:left="588" w:right="300" w:hanging="354"/>
        <w:spacing w:after="0" w:line="276" w:lineRule="auto"/>
        <w:tabs>
          <w:tab w:leader="none" w:pos="588" w:val="left"/>
        </w:tabs>
        <w:numPr>
          <w:ilvl w:val="1"/>
          <w:numId w:val="3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2"/>
          <w:szCs w:val="12"/>
          <w:color w:val="auto"/>
        </w:rPr>
      </w:pPr>
    </w:p>
    <w:p>
      <w:pPr>
        <w:ind w:left="588" w:right="360" w:hanging="354"/>
        <w:spacing w:after="0" w:line="276" w:lineRule="auto"/>
        <w:tabs>
          <w:tab w:leader="none" w:pos="588" w:val="left"/>
        </w:tabs>
        <w:numPr>
          <w:ilvl w:val="1"/>
          <w:numId w:val="3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2"/>
          <w:szCs w:val="12"/>
          <w:color w:val="auto"/>
        </w:rPr>
      </w:pPr>
    </w:p>
    <w:p>
      <w:pPr>
        <w:ind w:left="228" w:right="100" w:hanging="228"/>
        <w:spacing w:after="0" w:line="276" w:lineRule="auto"/>
        <w:tabs>
          <w:tab w:leader="none" w:pos="2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2"/>
          <w:szCs w:val="12"/>
          <w:color w:val="auto"/>
        </w:rPr>
      </w:pPr>
    </w:p>
    <w:p>
      <w:pPr>
        <w:ind w:left="588" w:right="120" w:hanging="354"/>
        <w:spacing w:after="0" w:line="276" w:lineRule="auto"/>
        <w:tabs>
          <w:tab w:leader="none" w:pos="588" w:val="left"/>
        </w:tabs>
        <w:numPr>
          <w:ilvl w:val="1"/>
          <w:numId w:val="3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2"/>
          <w:szCs w:val="12"/>
          <w:color w:val="auto"/>
        </w:rPr>
      </w:pPr>
    </w:p>
    <w:p>
      <w:pPr>
        <w:ind w:left="588" w:hanging="354"/>
        <w:spacing w:after="0"/>
        <w:tabs>
          <w:tab w:leader="none" w:pos="588" w:val="left"/>
        </w:tabs>
        <w:numPr>
          <w:ilvl w:val="1"/>
          <w:numId w:val="3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5, 2021</w:t>
      </w:r>
    </w:p>
    <w:p>
      <w:pPr>
        <w:spacing w:after="0" w:line="168" w:lineRule="exact"/>
        <w:rPr>
          <w:sz w:val="20"/>
          <w:szCs w:val="20"/>
          <w:color w:val="auto"/>
        </w:rPr>
      </w:pPr>
    </w:p>
    <w:p>
      <w:pPr>
        <w:ind w:left="9348"/>
        <w:spacing w:after="0"/>
        <w:rPr>
          <w:sz w:val="20"/>
          <w:szCs w:val="20"/>
          <w:color w:val="auto"/>
        </w:rPr>
      </w:pPr>
      <w:r>
        <w:rPr>
          <w:rFonts w:ascii="Arial" w:cs="Arial" w:eastAsia="Arial" w:hAnsi="Arial"/>
          <w:sz w:val="12"/>
          <w:szCs w:val="12"/>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9525</wp:posOffset>
            </wp:positionV>
            <wp:extent cx="17545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1754505" cy="5715"/>
                    </a:xfrm>
                    <a:prstGeom prst="rect">
                      <a:avLst/>
                    </a:prstGeom>
                    <a:noFill/>
                  </pic:spPr>
                </pic:pic>
              </a:graphicData>
            </a:graphic>
          </wp:anchor>
        </w:drawing>
      </w:r>
    </w:p>
    <w:p>
      <w:pPr>
        <w:ind w:left="9388"/>
        <w:spacing w:after="0"/>
        <w:rPr>
          <w:sz w:val="20"/>
          <w:szCs w:val="20"/>
          <w:color w:val="auto"/>
        </w:rPr>
      </w:pPr>
      <w:r>
        <w:rPr>
          <w:rFonts w:ascii="Arial" w:cs="Arial" w:eastAsia="Arial" w:hAnsi="Arial"/>
          <w:sz w:val="12"/>
          <w:szCs w:val="12"/>
          <w:b w:val="1"/>
          <w:bCs w:val="1"/>
          <w:color w:val="auto"/>
        </w:rPr>
        <w:t>Arthur D. Chadwick</w:t>
      </w:r>
    </w:p>
    <w:p>
      <w:pPr>
        <w:spacing w:after="0" w:line="15" w:lineRule="exact"/>
        <w:rPr>
          <w:sz w:val="20"/>
          <w:szCs w:val="20"/>
          <w:color w:val="auto"/>
        </w:rPr>
      </w:pPr>
    </w:p>
    <w:p>
      <w:pPr>
        <w:ind w:left="8668"/>
        <w:spacing w:after="0"/>
        <w:rPr>
          <w:sz w:val="20"/>
          <w:szCs w:val="20"/>
          <w:color w:val="auto"/>
        </w:rPr>
      </w:pPr>
      <w:r>
        <w:rPr>
          <w:rFonts w:ascii="Arial" w:cs="Arial" w:eastAsia="Arial" w:hAnsi="Arial"/>
          <w:sz w:val="11"/>
          <w:szCs w:val="11"/>
          <w:b w:val="1"/>
          <w:bCs w:val="1"/>
          <w:color w:val="auto"/>
        </w:rPr>
        <w:t>Executive Vice President, Chief Financial Officer</w:t>
      </w:r>
    </w:p>
    <w:p>
      <w:pPr>
        <w:sectPr>
          <w:pgSz w:w="11900" w:h="16838" w:orient="portrait"/>
          <w:cols w:equalWidth="0" w:num="1">
            <w:col w:w="11308"/>
          </w:cols>
          <w:pgMar w:left="292" w:top="127"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2"/>
          <w:szCs w:val="12"/>
          <w:b w:val="1"/>
          <w:bCs w:val="1"/>
          <w:color w:val="auto"/>
        </w:rPr>
        <w:t>Exhibit 32.1</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100" w:firstLine="483"/>
        <w:spacing w:after="0" w:line="276" w:lineRule="auto"/>
        <w:rPr>
          <w:sz w:val="20"/>
          <w:szCs w:val="20"/>
          <w:color w:val="auto"/>
        </w:rPr>
      </w:pPr>
      <w:r>
        <w:rPr>
          <w:rFonts w:ascii="Arial" w:cs="Arial" w:eastAsia="Arial" w:hAnsi="Arial"/>
          <w:sz w:val="12"/>
          <w:szCs w:val="12"/>
          <w:color w:val="auto"/>
        </w:rPr>
        <w:t>In connection with the Quarterly Report of SiTime Corporation. (the “Company”) on Form 10-Q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52" w:lineRule="exact"/>
        <w:rPr>
          <w:sz w:val="20"/>
          <w:szCs w:val="20"/>
          <w:color w:val="auto"/>
        </w:rPr>
      </w:pPr>
    </w:p>
    <w:p>
      <w:pPr>
        <w:ind w:left="920" w:hanging="460"/>
        <w:spacing w:after="0"/>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87" w:lineRule="exact"/>
        <w:rPr>
          <w:rFonts w:ascii="Arial" w:cs="Arial" w:eastAsia="Arial" w:hAnsi="Arial"/>
          <w:sz w:val="12"/>
          <w:szCs w:val="12"/>
          <w:color w:val="auto"/>
        </w:rPr>
      </w:pPr>
    </w:p>
    <w:p>
      <w:pPr>
        <w:ind w:left="920" w:hanging="460"/>
        <w:spacing w:after="0"/>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2021</w:t>
      </w:r>
    </w:p>
    <w:p>
      <w:pPr>
        <w:spacing w:after="0" w:line="168" w:lineRule="exact"/>
        <w:rPr>
          <w:sz w:val="20"/>
          <w:szCs w:val="20"/>
          <w:color w:val="auto"/>
        </w:rPr>
      </w:pPr>
    </w:p>
    <w:p>
      <w:pPr>
        <w:ind w:left="9560"/>
        <w:spacing w:after="0"/>
        <w:rPr>
          <w:sz w:val="20"/>
          <w:szCs w:val="20"/>
          <w:color w:val="auto"/>
        </w:rPr>
      </w:pPr>
      <w:r>
        <w:rPr>
          <w:rFonts w:ascii="Arial" w:cs="Arial" w:eastAsia="Arial" w:hAnsi="Arial"/>
          <w:sz w:val="12"/>
          <w:szCs w:val="12"/>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5527040</wp:posOffset>
            </wp:positionH>
            <wp:positionV relativeFrom="paragraph">
              <wp:posOffset>9525</wp:posOffset>
            </wp:positionV>
            <wp:extent cx="164592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ind w:left="9620"/>
        <w:spacing w:after="0"/>
        <w:rPr>
          <w:sz w:val="20"/>
          <w:szCs w:val="20"/>
          <w:color w:val="auto"/>
        </w:rPr>
      </w:pPr>
      <w:r>
        <w:rPr>
          <w:rFonts w:ascii="Arial" w:cs="Arial" w:eastAsia="Arial" w:hAnsi="Arial"/>
          <w:sz w:val="12"/>
          <w:szCs w:val="12"/>
          <w:b w:val="1"/>
          <w:bCs w:val="1"/>
          <w:color w:val="auto"/>
        </w:rPr>
        <w:t>Rajesh Vashist</w:t>
      </w:r>
    </w:p>
    <w:p>
      <w:pPr>
        <w:spacing w:after="0" w:line="15" w:lineRule="exact"/>
        <w:rPr>
          <w:sz w:val="20"/>
          <w:szCs w:val="20"/>
          <w:color w:val="auto"/>
        </w:rPr>
      </w:pPr>
    </w:p>
    <w:p>
      <w:pPr>
        <w:ind w:left="9400"/>
        <w:spacing w:after="0"/>
        <w:rPr>
          <w:sz w:val="20"/>
          <w:szCs w:val="20"/>
          <w:color w:val="auto"/>
        </w:rPr>
      </w:pPr>
      <w:r>
        <w:rPr>
          <w:rFonts w:ascii="Arial" w:cs="Arial" w:eastAsia="Arial" w:hAnsi="Arial"/>
          <w:sz w:val="12"/>
          <w:szCs w:val="12"/>
          <w:b w:val="1"/>
          <w:bCs w:val="1"/>
          <w:color w:val="auto"/>
        </w:rPr>
        <w:t>Chief Executive Officer</w:t>
      </w:r>
    </w:p>
    <w:p>
      <w:pPr>
        <w:sectPr>
          <w:pgSz w:w="11900" w:h="16838" w:orient="portrait"/>
          <w:cols w:equalWidth="0" w:num="1">
            <w:col w:w="11300"/>
          </w:cols>
          <w:pgMar w:left="300" w:top="127" w:right="299" w:bottom="1440" w:gutter="0" w:footer="0" w:header="0"/>
        </w:sectPr>
      </w:pPr>
    </w:p>
    <w:bookmarkStart w:id="64" w:name="page65"/>
    <w:bookmarkEnd w:id="64"/>
    <w:p>
      <w:pPr>
        <w:jc w:val="right"/>
        <w:spacing w:after="0"/>
        <w:rPr>
          <w:sz w:val="20"/>
          <w:szCs w:val="20"/>
          <w:color w:val="auto"/>
        </w:rPr>
      </w:pPr>
      <w:r>
        <w:rPr>
          <w:rFonts w:ascii="Arial" w:cs="Arial" w:eastAsia="Arial" w:hAnsi="Arial"/>
          <w:sz w:val="12"/>
          <w:szCs w:val="12"/>
          <w:b w:val="1"/>
          <w:bCs w:val="1"/>
          <w:color w:val="auto"/>
        </w:rPr>
        <w:t>Exhibit 32.2</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100" w:firstLine="483"/>
        <w:spacing w:after="0" w:line="276" w:lineRule="auto"/>
        <w:rPr>
          <w:sz w:val="20"/>
          <w:szCs w:val="20"/>
          <w:color w:val="auto"/>
        </w:rPr>
      </w:pPr>
      <w:r>
        <w:rPr>
          <w:rFonts w:ascii="Arial" w:cs="Arial" w:eastAsia="Arial" w:hAnsi="Arial"/>
          <w:sz w:val="12"/>
          <w:szCs w:val="12"/>
          <w:color w:val="auto"/>
        </w:rPr>
        <w:t>In connection with the Quarterly Report of SiTime Corporation. (the “Company”) on Form 10-Q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52" w:lineRule="exact"/>
        <w:rPr>
          <w:sz w:val="20"/>
          <w:szCs w:val="20"/>
          <w:color w:val="auto"/>
        </w:rPr>
      </w:pPr>
    </w:p>
    <w:p>
      <w:pPr>
        <w:ind w:left="920" w:hanging="460"/>
        <w:spacing w:after="0"/>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87" w:lineRule="exact"/>
        <w:rPr>
          <w:rFonts w:ascii="Arial" w:cs="Arial" w:eastAsia="Arial" w:hAnsi="Arial"/>
          <w:sz w:val="12"/>
          <w:szCs w:val="12"/>
          <w:color w:val="auto"/>
        </w:rPr>
      </w:pPr>
    </w:p>
    <w:p>
      <w:pPr>
        <w:ind w:left="920" w:hanging="460"/>
        <w:spacing w:after="0"/>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2021</w:t>
      </w:r>
    </w:p>
    <w:p>
      <w:pPr>
        <w:spacing w:after="0" w:line="168" w:lineRule="exact"/>
        <w:rPr>
          <w:sz w:val="20"/>
          <w:szCs w:val="20"/>
          <w:color w:val="auto"/>
        </w:rPr>
      </w:pPr>
    </w:p>
    <w:p>
      <w:pPr>
        <w:ind w:left="9420"/>
        <w:spacing w:after="0"/>
        <w:rPr>
          <w:sz w:val="20"/>
          <w:szCs w:val="20"/>
          <w:color w:val="auto"/>
        </w:rPr>
      </w:pPr>
      <w:r>
        <w:rPr>
          <w:rFonts w:ascii="Arial" w:cs="Arial" w:eastAsia="Arial" w:hAnsi="Arial"/>
          <w:sz w:val="12"/>
          <w:szCs w:val="12"/>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5527040</wp:posOffset>
            </wp:positionH>
            <wp:positionV relativeFrom="paragraph">
              <wp:posOffset>9525</wp:posOffset>
            </wp:positionV>
            <wp:extent cx="164592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ind w:left="9460"/>
        <w:spacing w:after="0"/>
        <w:rPr>
          <w:sz w:val="20"/>
          <w:szCs w:val="20"/>
          <w:color w:val="auto"/>
        </w:rPr>
      </w:pPr>
      <w:r>
        <w:rPr>
          <w:rFonts w:ascii="Arial" w:cs="Arial" w:eastAsia="Arial" w:hAnsi="Arial"/>
          <w:sz w:val="12"/>
          <w:szCs w:val="12"/>
          <w:b w:val="1"/>
          <w:bCs w:val="1"/>
          <w:color w:val="auto"/>
        </w:rPr>
        <w:t>Arthur D. Chadwick</w:t>
      </w:r>
    </w:p>
    <w:p>
      <w:pPr>
        <w:spacing w:after="0" w:line="15" w:lineRule="exact"/>
        <w:rPr>
          <w:sz w:val="20"/>
          <w:szCs w:val="20"/>
          <w:color w:val="auto"/>
        </w:rPr>
      </w:pPr>
    </w:p>
    <w:p>
      <w:pPr>
        <w:ind w:left="8740"/>
        <w:spacing w:after="0"/>
        <w:rPr>
          <w:sz w:val="20"/>
          <w:szCs w:val="20"/>
          <w:color w:val="auto"/>
        </w:rPr>
      </w:pPr>
      <w:r>
        <w:rPr>
          <w:rFonts w:ascii="Arial" w:cs="Arial" w:eastAsia="Arial" w:hAnsi="Arial"/>
          <w:sz w:val="11"/>
          <w:szCs w:val="11"/>
          <w:b w:val="1"/>
          <w:bCs w:val="1"/>
          <w:color w:val="auto"/>
        </w:rPr>
        <w:t>Executive Vice President, Chief Financial Officer</w:t>
      </w:r>
    </w:p>
    <w:sectPr>
      <w:pgSz w:w="11900" w:h="16838" w:orient="portrait"/>
      <w:cols w:equalWidth="0" w:num="1">
        <w:col w:w="11300"/>
      </w:cols>
      <w:pgMar w:left="300"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4"/>
    </w:lvl>
  </w:abstractNum>
  <w:abstractNum w:abstractNumId="25">
    <w:nsid w:val="1E7FF521"/>
    <w:multiLevelType w:val="hybridMultilevel"/>
    <w:lvl w:ilvl="0">
      <w:lvlJc w:val="left"/>
      <w:lvlText w:val="%1."/>
      <w:numFmt w:val="decimal"/>
      <w:start w:val="7"/>
    </w:lvl>
  </w:abstractNum>
  <w:abstractNum w:abstractNumId="26">
    <w:nsid w:val="7C3DBD3D"/>
    <w:multiLevelType w:val="hybridMultilevel"/>
    <w:lvl w:ilvl="0">
      <w:lvlJc w:val="left"/>
      <w:lvlText w:val="%1"/>
      <w:numFmt w:val="decimal"/>
      <w:start w:val="1"/>
    </w:lvl>
    <w:lvl w:ilvl="1">
      <w:lvlJc w:val="left"/>
      <w:lvlText w:val="(%2)"/>
      <w:numFmt w:val="lowerLetter"/>
      <w:start w:val="1"/>
    </w:lvl>
  </w:abstractNum>
  <w:abstractNum w:abstractNumId="27">
    <w:nsid w:val="737B8DDC"/>
    <w:multiLevelType w:val="hybridMultilevel"/>
    <w:lvl w:ilvl="0">
      <w:lvlJc w:val="left"/>
      <w:lvlText w:val="%1."/>
      <w:numFmt w:val="decimal"/>
      <w:start w:val="9"/>
    </w:lvl>
    <w:lvl w:ilvl="1">
      <w:lvlJc w:val="left"/>
      <w:lvlText w:val="%2"/>
      <w:numFmt w:val="lowerLetter"/>
      <w:start w:val="1"/>
    </w:lvl>
  </w:abstractNum>
  <w:abstractNum w:abstractNumId="28">
    <w:nsid w:val="6CEAF087"/>
    <w:multiLevelType w:val="hybridMultilevel"/>
    <w:lvl w:ilvl="0">
      <w:lvlJc w:val="left"/>
      <w:lvlText w:val="%1."/>
      <w:numFmt w:val="decimal"/>
      <w:start w:val="11"/>
    </w:lvl>
  </w:abstractNum>
  <w:abstractNum w:abstractNumId="29">
    <w:nsid w:val="22221A70"/>
    <w:multiLevelType w:val="hybridMultilevel"/>
    <w:lvl w:ilvl="0">
      <w:lvlJc w:val="left"/>
      <w:lvlText w:val="%1."/>
      <w:numFmt w:val="decimal"/>
      <w:start w:val="18"/>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77" Type="http://schemas.openxmlformats.org/officeDocument/2006/relationships/hyperlink" Target="http://www.sec.gov/Archives/edgar/data/1451809/000119312519301287/d630610dex31.htm" TargetMode="External"/><Relationship Id="rId78" Type="http://schemas.openxmlformats.org/officeDocument/2006/relationships/hyperlink" Target="http://www.sec.gov/Archives/edgar/data/1451809/000156459021035069/sitm-ex32_6.htm" TargetMode="External"/><Relationship Id="rId79" Type="http://schemas.openxmlformats.org/officeDocument/2006/relationships/hyperlink" Target="http://www.sec.gov/Archives/edgar/data/0001451809/000119312519272678/d701682dex41.htm" TargetMode="External"/><Relationship Id="rId80" Type="http://schemas.openxmlformats.org/officeDocument/2006/relationships/hyperlink" Target="http://www.sec.gov/Archives/edgar/data/1451809/000156459021005867/sitm-ex42_6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2021-08-05T15:38:30Z</dcterms:created>
  <dcterms:modified xsi:type="dcterms:W3CDTF">2021-08-05T15:38:30Z</dcterms:modified>
</cp:coreProperties>
</file>