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8" w:lineRule="exact"/>
        <w:rPr>
          <w:sz w:val="24"/>
          <w:szCs w:val="24"/>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001-39135</w:t>
      </w:r>
    </w:p>
    <w:p>
      <w:pPr>
        <w:spacing w:after="0" w:line="3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SiTime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22"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02-0713868</w:t>
            </w:r>
          </w:p>
        </w:tc>
      </w:tr>
      <w:tr>
        <w:trPr>
          <w:trHeight w:val="182"/>
        </w:trPr>
        <w:tc>
          <w:tcPr>
            <w:tcW w:w="4120" w:type="dxa"/>
            <w:vAlign w:val="bottom"/>
          </w:tcPr>
          <w:p>
            <w:pPr>
              <w:jc w:val="center"/>
              <w:ind w:right="198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0"/>
        </w:trPr>
        <w:tc>
          <w:tcPr>
            <w:tcW w:w="4120" w:type="dxa"/>
            <w:vAlign w:val="bottom"/>
          </w:tcPr>
          <w:p>
            <w:pPr>
              <w:jc w:val="center"/>
              <w:ind w:right="1984"/>
              <w:spacing w:after="0"/>
              <w:rPr>
                <w:sz w:val="20"/>
                <w:szCs w:val="20"/>
                <w:color w:val="auto"/>
              </w:rPr>
            </w:pPr>
            <w:r>
              <w:rPr>
                <w:rFonts w:ascii="Times New Roman" w:cs="Times New Roman" w:eastAsia="Times New Roman" w:hAnsi="Times New Roman"/>
                <w:sz w:val="18"/>
                <w:szCs w:val="18"/>
                <w:b w:val="1"/>
                <w:bCs w:val="1"/>
                <w:color w:val="auto"/>
                <w:w w:val="99"/>
              </w:rPr>
              <w:t>5451 Patrick Henry Drive</w:t>
            </w:r>
          </w:p>
        </w:tc>
        <w:tc>
          <w:tcPr>
            <w:tcW w:w="3020" w:type="dxa"/>
            <w:vAlign w:val="bottom"/>
          </w:tcPr>
          <w:p>
            <w:pPr>
              <w:spacing w:after="0"/>
              <w:rPr>
                <w:sz w:val="21"/>
                <w:szCs w:val="21"/>
                <w:color w:val="auto"/>
              </w:rPr>
            </w:pPr>
          </w:p>
        </w:tc>
      </w:t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00"/>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328-4400</w:t>
      </w:r>
    </w:p>
    <w:p>
      <w:pPr>
        <w:spacing w:after="0" w:line="3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63"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r>
      <w:tr>
        <w:trPr>
          <w:trHeight w:val="217"/>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SITM</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68" w:lineRule="exact"/>
        <w:rPr>
          <w:sz w:val="24"/>
          <w:szCs w:val="24"/>
          <w:color w:val="auto"/>
        </w:rPr>
      </w:pPr>
    </w:p>
    <w:p>
      <w:pPr>
        <w:ind w:firstLine="1377"/>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2" w:lineRule="exact"/>
        <w:rPr>
          <w:sz w:val="24"/>
          <w:szCs w:val="24"/>
          <w:color w:val="auto"/>
        </w:rPr>
      </w:pPr>
    </w:p>
    <w:p>
      <w:pPr>
        <w:jc w:val="both"/>
        <w:ind w:right="60" w:firstLine="1377"/>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tabs>
          <w:tab w:leader="none" w:pos="520" w:val="left"/>
          <w:tab w:leader="none" w:pos="1160" w:val="left"/>
        </w:tabs>
        <w:rPr>
          <w:sz w:val="20"/>
          <w:szCs w:val="20"/>
          <w:color w:val="auto"/>
        </w:rPr>
      </w:pPr>
      <w:r>
        <w:rPr>
          <w:rFonts w:ascii="Times New Roman" w:cs="Times New Roman" w:eastAsia="Times New Roman" w:hAnsi="Times New Roman"/>
          <w:sz w:val="16"/>
          <w:szCs w:val="16"/>
          <w:color w:val="auto"/>
        </w:rPr>
        <w:t>files).</w:t>
        <w:tab/>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69" w:lineRule="exact"/>
        <w:rPr>
          <w:sz w:val="24"/>
          <w:szCs w:val="24"/>
          <w:color w:val="auto"/>
        </w:rPr>
      </w:pPr>
    </w:p>
    <w:p>
      <w:pPr>
        <w:jc w:val="both"/>
        <w:ind w:right="60" w:firstLine="1377"/>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280"/>
              <w:spacing w:after="0"/>
              <w:rPr>
                <w:sz w:val="20"/>
                <w:szCs w:val="20"/>
                <w:color w:val="auto"/>
              </w:rPr>
            </w:pPr>
            <w:r>
              <w:rPr>
                <w:rFonts w:ascii="Wingdings" w:cs="Wingdings" w:eastAsia="Wingdings" w:hAnsi="Wingdings"/>
                <w:sz w:val="16"/>
                <w:szCs w:val="16"/>
                <w:b w:val="1"/>
                <w:bCs w:val="1"/>
                <w:color w:val="auto"/>
              </w:rPr>
              <w:t>x</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00"/>
              <w:spacing w:after="0"/>
              <w:rPr>
                <w:sz w:val="20"/>
                <w:szCs w:val="20"/>
                <w:color w:val="auto"/>
              </w:rPr>
            </w:pPr>
            <w:r>
              <w:rPr>
                <w:rFonts w:ascii="Wingdings" w:cs="Wingdings" w:eastAsia="Wingdings" w:hAnsi="Wingdings"/>
                <w:sz w:val="16"/>
                <w:szCs w:val="16"/>
                <w:b w:val="1"/>
                <w:bCs w:val="1"/>
                <w:color w:val="auto"/>
                <w:w w:val="97"/>
              </w:rPr>
              <w:t>o</w:t>
            </w:r>
          </w:p>
        </w:tc>
      </w:tr>
      <w:tr>
        <w:trPr>
          <w:trHeight w:val="45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28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00"/>
              <w:spacing w:after="0"/>
              <w:rPr>
                <w:sz w:val="20"/>
                <w:szCs w:val="20"/>
                <w:color w:val="auto"/>
              </w:rPr>
            </w:pPr>
            <w:r>
              <w:rPr>
                <w:rFonts w:ascii="Wingdings" w:cs="Wingdings" w:eastAsia="Wingdings" w:hAnsi="Wingdings"/>
                <w:sz w:val="16"/>
                <w:szCs w:val="16"/>
                <w:b w:val="1"/>
                <w:bCs w:val="1"/>
                <w:color w:val="auto"/>
                <w:w w:val="97"/>
              </w:rPr>
              <w:t>o</w:t>
            </w:r>
          </w:p>
        </w:tc>
      </w:tr>
      <w:tr>
        <w:trPr>
          <w:trHeight w:val="45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40" w:type="dxa"/>
            <w:vAlign w:val="bottom"/>
          </w:tcPr>
          <w:p>
            <w:pPr>
              <w:ind w:left="28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68" w:lineRule="exact"/>
        <w:rPr>
          <w:sz w:val="24"/>
          <w:szCs w:val="24"/>
          <w:color w:val="auto"/>
        </w:rPr>
      </w:pPr>
    </w:p>
    <w:p>
      <w:pPr>
        <w:jc w:val="both"/>
        <w:ind w:right="200" w:firstLine="1377"/>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 w:lineRule="exact"/>
        <w:rPr>
          <w:sz w:val="24"/>
          <w:szCs w:val="24"/>
          <w:color w:val="auto"/>
        </w:rPr>
      </w:pPr>
    </w:p>
    <w:p>
      <w:pPr>
        <w:ind w:left="1380"/>
        <w:spacing w:after="0"/>
        <w:tabs>
          <w:tab w:leader="none" w:pos="8880" w:val="left"/>
          <w:tab w:leader="none" w:pos="9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94"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6"/>
          <w:szCs w:val="16"/>
          <w:color w:val="auto"/>
        </w:rPr>
        <w:t>As of August 1, 2025, the registrant had 26,003,972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779145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0" w:type="dxa"/>
            <w:vAlign w:val="bottom"/>
            <w:gridSpan w:val="7"/>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37"/>
        </w:trPr>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Risk Factor Summary</w:t>
            </w:r>
          </w:p>
        </w:tc>
        <w:tc>
          <w:tcPr>
            <w:tcW w:w="7140" w:type="dxa"/>
            <w:vAlign w:val="bottom"/>
            <w:gridSpan w:val="1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460" w:type="dxa"/>
            <w:vAlign w:val="bottom"/>
            <w:gridSpan w:val="9"/>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00" w:type="dxa"/>
            <w:vAlign w:val="bottom"/>
            <w:gridSpan w:val="8"/>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3200" w:type="dxa"/>
            <w:vAlign w:val="bottom"/>
            <w:gridSpan w:val="2"/>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3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340" w:type="dxa"/>
            <w:vAlign w:val="bottom"/>
            <w:gridSpan w:val="4"/>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60" w:type="dxa"/>
            <w:vAlign w:val="bottom"/>
            <w:gridSpan w:val="5"/>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vMerge w:val="continue"/>
          </w:tcPr>
          <w:p>
            <w:pPr>
              <w:spacing w:after="0"/>
              <w:rPr>
                <w:sz w:val="21"/>
                <w:szCs w:val="21"/>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840" w:type="dxa"/>
            <w:vAlign w:val="bottom"/>
            <w:gridSpan w:val="10"/>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400" w:type="dxa"/>
            <w:vAlign w:val="bottom"/>
            <w:gridSpan w:val="13"/>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2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20" w:type="dxa"/>
            <w:vAlign w:val="bottom"/>
            <w:gridSpan w:val="14"/>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as more fully described in Part II, Item 1A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198" w:lineRule="exact"/>
        <w:rPr>
          <w:sz w:val="20"/>
          <w:szCs w:val="20"/>
          <w:color w:val="auto"/>
        </w:rPr>
      </w:pPr>
    </w:p>
    <w:p>
      <w:pPr>
        <w:ind w:left="820" w:hanging="488"/>
        <w:spacing w:after="0"/>
        <w:tabs>
          <w:tab w:leader="none" w:pos="82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Global macroeconomic conditions have harmed and may continue to harm our business;</w:t>
      </w:r>
    </w:p>
    <w:p>
      <w:pPr>
        <w:spacing w:after="0" w:line="111" w:lineRule="exact"/>
        <w:rPr>
          <w:rFonts w:ascii="Arial" w:cs="Arial" w:eastAsia="Arial" w:hAnsi="Arial"/>
          <w:sz w:val="22"/>
          <w:szCs w:val="22"/>
          <w:color w:val="auto"/>
        </w:rPr>
      </w:pPr>
    </w:p>
    <w:p>
      <w:pPr>
        <w:ind w:left="820" w:hanging="488"/>
        <w:spacing w:after="0"/>
        <w:tabs>
          <w:tab w:leader="none" w:pos="82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are subject to the cyclical nature of the semiconductor industry;</w:t>
      </w:r>
    </w:p>
    <w:p>
      <w:pPr>
        <w:spacing w:after="0" w:line="130" w:lineRule="exact"/>
        <w:rPr>
          <w:rFonts w:ascii="Arial" w:cs="Arial" w:eastAsia="Arial" w:hAnsi="Arial"/>
          <w:sz w:val="22"/>
          <w:szCs w:val="22"/>
          <w:color w:val="auto"/>
        </w:rPr>
      </w:pPr>
    </w:p>
    <w:p>
      <w:pPr>
        <w:ind w:left="820" w:hanging="488"/>
        <w:spacing w:after="0" w:line="247"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126" w:lineRule="exact"/>
        <w:rPr>
          <w:rFonts w:ascii="Arial" w:cs="Arial" w:eastAsia="Arial" w:hAnsi="Arial"/>
          <w:sz w:val="22"/>
          <w:szCs w:val="22"/>
          <w:color w:val="auto"/>
        </w:rPr>
      </w:pPr>
    </w:p>
    <w:p>
      <w:pPr>
        <w:ind w:left="820" w:right="8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132" w:lineRule="exact"/>
        <w:rPr>
          <w:rFonts w:ascii="Arial" w:cs="Arial" w:eastAsia="Arial" w:hAnsi="Arial"/>
          <w:sz w:val="22"/>
          <w:szCs w:val="22"/>
          <w:color w:val="auto"/>
        </w:rPr>
      </w:pPr>
    </w:p>
    <w:p>
      <w:pPr>
        <w:ind w:left="820" w:hanging="488"/>
        <w:spacing w:after="0" w:line="24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revenue and operating results may fluctuate from period to period due to, among other factors, macroeconomic conditions, cyclical fluctuations in the semiconductor market, customer demand, product life cycles, fluctuations in inventories held by our distributors or end customers, the gain or loss of significant customers, the availability of capacity in our supply chain, research and development costs, the impact of any pandemic, epidemic, or outbreak of disease, on our business as well as our suppliers and customers, and product warranty claims. This in turn could cause our stock price to decline;</w:t>
      </w:r>
    </w:p>
    <w:p>
      <w:pPr>
        <w:spacing w:after="0" w:line="129" w:lineRule="exact"/>
        <w:rPr>
          <w:rFonts w:ascii="Arial" w:cs="Arial" w:eastAsia="Arial" w:hAnsi="Arial"/>
          <w:sz w:val="22"/>
          <w:szCs w:val="22"/>
          <w:color w:val="auto"/>
        </w:rPr>
      </w:pPr>
    </w:p>
    <w:p>
      <w:pPr>
        <w:jc w:val="both"/>
        <w:ind w:left="820" w:right="100" w:hanging="488"/>
        <w:spacing w:after="0" w:line="243"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spacing w:after="0" w:line="127" w:lineRule="exact"/>
        <w:rPr>
          <w:rFonts w:ascii="Arial" w:cs="Arial" w:eastAsia="Arial" w:hAnsi="Arial"/>
          <w:sz w:val="22"/>
          <w:szCs w:val="22"/>
          <w:color w:val="auto"/>
        </w:rPr>
      </w:pPr>
    </w:p>
    <w:p>
      <w:pPr>
        <w:ind w:left="820" w:right="16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If significant tariffs or other trade restrictions are placed on our products or third-party suppliers, our revenue and results of operations may be materially harmed;</w:t>
      </w:r>
    </w:p>
    <w:p>
      <w:pPr>
        <w:spacing w:after="0" w:line="91" w:lineRule="exact"/>
        <w:rPr>
          <w:rFonts w:ascii="Arial" w:cs="Arial" w:eastAsia="Arial" w:hAnsi="Arial"/>
          <w:sz w:val="22"/>
          <w:szCs w:val="22"/>
          <w:color w:val="auto"/>
        </w:rPr>
      </w:pPr>
    </w:p>
    <w:p>
      <w:pPr>
        <w:ind w:left="820" w:right="66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operations is located outside of the United States, which subjects us to additional risks, including increased complexity and costs of managing international operations and geopolitical instability;</w:t>
      </w:r>
    </w:p>
    <w:p>
      <w:pPr>
        <w:spacing w:after="0" w:line="94" w:lineRule="exact"/>
        <w:rPr>
          <w:rFonts w:ascii="Times New Roman" w:cs="Times New Roman" w:eastAsia="Times New Roman" w:hAnsi="Times New Roman"/>
          <w:sz w:val="18"/>
          <w:szCs w:val="18"/>
          <w:color w:val="auto"/>
        </w:rPr>
      </w:pPr>
    </w:p>
    <w:p>
      <w:pPr>
        <w:ind w:left="820" w:right="200" w:hanging="488"/>
        <w:spacing w:after="0" w:line="24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spacing w:after="0" w:line="126" w:lineRule="exact"/>
        <w:rPr>
          <w:rFonts w:ascii="Arial" w:cs="Arial" w:eastAsia="Arial" w:hAnsi="Arial"/>
          <w:sz w:val="22"/>
          <w:szCs w:val="22"/>
          <w:color w:val="auto"/>
        </w:rPr>
      </w:pPr>
    </w:p>
    <w:p>
      <w:pPr>
        <w:ind w:left="820" w:right="32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113" w:lineRule="exact"/>
        <w:rPr>
          <w:rFonts w:ascii="Arial" w:cs="Arial" w:eastAsia="Arial" w:hAnsi="Arial"/>
          <w:sz w:val="22"/>
          <w:szCs w:val="22"/>
          <w:color w:val="auto"/>
        </w:rPr>
      </w:pPr>
    </w:p>
    <w:p>
      <w:pPr>
        <w:ind w:left="820" w:hanging="488"/>
        <w:spacing w:after="0"/>
        <w:tabs>
          <w:tab w:leader="none" w:pos="82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If we are not able to successfully introduce and ship in volume new products in a timely manner, our business and revenue will suffer;</w:t>
      </w:r>
    </w:p>
    <w:p>
      <w:pPr>
        <w:spacing w:after="0" w:line="130" w:lineRule="exact"/>
        <w:rPr>
          <w:rFonts w:ascii="Arial" w:cs="Arial" w:eastAsia="Arial" w:hAnsi="Arial"/>
          <w:sz w:val="22"/>
          <w:szCs w:val="22"/>
          <w:color w:val="auto"/>
        </w:rPr>
      </w:pPr>
    </w:p>
    <w:p>
      <w:pPr>
        <w:ind w:left="820" w:right="52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Pandemics, epidemics, or other outbreaks of disease have had and may in the future have an adverse impact upon our business, results of operations, and financial condition, as well as the businesses of our suppliers and customers;</w:t>
      </w:r>
    </w:p>
    <w:p>
      <w:pPr>
        <w:spacing w:after="0" w:line="124" w:lineRule="exact"/>
        <w:rPr>
          <w:rFonts w:ascii="Arial" w:cs="Arial" w:eastAsia="Arial" w:hAnsi="Arial"/>
          <w:sz w:val="22"/>
          <w:szCs w:val="22"/>
          <w:color w:val="auto"/>
        </w:rPr>
      </w:pPr>
    </w:p>
    <w:p>
      <w:pPr>
        <w:ind w:left="820" w:hanging="488"/>
        <w:spacing w:after="0"/>
        <w:tabs>
          <w:tab w:leader="none" w:pos="8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Our gross margins may fluctuate due to a variety of factors, which could negatively impact our results of operations and our financial condition;</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revenue in previous periods may not be indicative of future performance and our revenue may fluctuate over time;</w:t>
      </w:r>
    </w:p>
    <w:p>
      <w:pPr>
        <w:spacing w:after="0" w:line="130" w:lineRule="exact"/>
        <w:rPr>
          <w:rFonts w:ascii="Arial" w:cs="Arial" w:eastAsia="Arial" w:hAnsi="Arial"/>
          <w:sz w:val="22"/>
          <w:szCs w:val="22"/>
          <w:color w:val="auto"/>
        </w:rPr>
      </w:pPr>
    </w:p>
    <w:p>
      <w:pPr>
        <w:jc w:val="both"/>
        <w:ind w:left="820" w:right="280" w:hanging="488"/>
        <w:spacing w:after="0" w:line="239"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32" w:lineRule="exact"/>
        <w:rPr>
          <w:rFonts w:ascii="Arial" w:cs="Arial" w:eastAsia="Arial" w:hAnsi="Arial"/>
          <w:sz w:val="22"/>
          <w:szCs w:val="22"/>
          <w:color w:val="auto"/>
        </w:rPr>
      </w:pPr>
    </w:p>
    <w:p>
      <w:pPr>
        <w:ind w:left="820" w:right="280" w:hanging="488"/>
        <w:spacing w:after="0" w:line="24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provide a lifetime warranty on our products and may be subject to warranty or product liability claims, which could harm our reputation, result in unexpected expenses, and cause us to lose market share;</w:t>
      </w:r>
    </w:p>
    <w:p>
      <w:pPr>
        <w:spacing w:after="0" w:line="107"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Defects in our products could harm our relationships with our customers and damage our reputation;</w:t>
      </w:r>
    </w:p>
    <w:p>
      <w:pPr>
        <w:spacing w:after="0" w:line="123"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If we fail to compete effectively, we may lose or fail to gain market share, which could negatively impact our operating results and our business;</w:t>
      </w:r>
    </w:p>
    <w:p>
      <w:pPr>
        <w:spacing w:after="0" w:line="130" w:lineRule="exact"/>
        <w:rPr>
          <w:rFonts w:ascii="Arial" w:cs="Arial" w:eastAsia="Arial" w:hAnsi="Arial"/>
          <w:sz w:val="21"/>
          <w:szCs w:val="21"/>
          <w:color w:val="auto"/>
        </w:rPr>
      </w:pPr>
    </w:p>
    <w:p>
      <w:pPr>
        <w:ind w:left="820" w:right="18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may make acquisitions in the future that could disrupt our business, cause dilution to our stockholders, reduce our financial resources, and harm our business;</w:t>
      </w:r>
    </w:p>
    <w:p>
      <w:pPr>
        <w:spacing w:after="0" w:line="113"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accurately predict our future capital needs, and we may not be able to obtain additional financing to fund our operations;</w:t>
      </w:r>
    </w:p>
    <w:p>
      <w:pPr>
        <w:spacing w:after="0" w:line="111"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may seek, or be required to seek debt financing;</w:t>
      </w:r>
    </w:p>
    <w:p>
      <w:pPr>
        <w:spacing w:after="0" w:line="143" w:lineRule="exact"/>
        <w:rPr>
          <w:rFonts w:ascii="Arial" w:cs="Arial" w:eastAsia="Arial" w:hAnsi="Arial"/>
          <w:sz w:val="22"/>
          <w:szCs w:val="22"/>
          <w:color w:val="auto"/>
        </w:rPr>
      </w:pPr>
    </w:p>
    <w:p>
      <w:pPr>
        <w:ind w:left="820" w:right="58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comply with the laws associated with our activities outside of the United States could subject us to penalties and other adverse consequences;</w:t>
      </w:r>
    </w:p>
    <w:p>
      <w:pPr>
        <w:spacing w:after="0" w:line="132" w:lineRule="exact"/>
        <w:rPr>
          <w:rFonts w:ascii="Arial" w:cs="Arial" w:eastAsia="Arial" w:hAnsi="Arial"/>
          <w:sz w:val="22"/>
          <w:szCs w:val="22"/>
          <w:color w:val="auto"/>
        </w:rPr>
      </w:pPr>
    </w:p>
    <w:p>
      <w:pPr>
        <w:ind w:left="820" w:right="14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are subject to government regulation, including import, export and economic sanctions laws and regulations that may expose us to liability and increase our costs;</w:t>
      </w:r>
    </w:p>
    <w:p>
      <w:pPr>
        <w:spacing w:after="0" w:line="132" w:lineRule="exact"/>
        <w:rPr>
          <w:rFonts w:ascii="Arial" w:cs="Arial" w:eastAsia="Arial" w:hAnsi="Arial"/>
          <w:sz w:val="22"/>
          <w:szCs w:val="22"/>
          <w:color w:val="auto"/>
        </w:rPr>
      </w:pPr>
    </w:p>
    <w:p>
      <w:pPr>
        <w:ind w:left="820" w:right="34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New or future changes to U.S. and non-U.S. tax laws, or tax regulatory authorities disagreeing with our positions and conclusions regarding certain tax positions, could materially adversely affect us;</w:t>
      </w:r>
    </w:p>
    <w:p>
      <w:pPr>
        <w:spacing w:after="0" w:line="132" w:lineRule="exact"/>
        <w:rPr>
          <w:rFonts w:ascii="Arial" w:cs="Arial" w:eastAsia="Arial" w:hAnsi="Arial"/>
          <w:sz w:val="22"/>
          <w:szCs w:val="22"/>
          <w:color w:val="auto"/>
        </w:rPr>
      </w:pPr>
    </w:p>
    <w:p>
      <w:pPr>
        <w:ind w:left="820" w:right="60" w:hanging="488"/>
        <w:spacing w:after="0" w:line="239"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Breaches, cyberattacks, or other disruptions to our information technology systems owned or maintained by us or third parties could disrupt our operations, compromise confidentiality of private customer data or our intellectual property, and adversely affect our business, reputation, operations, and financial results;</w:t>
      </w:r>
    </w:p>
    <w:p>
      <w:pPr>
        <w:spacing w:after="0" w:line="132" w:lineRule="exact"/>
        <w:rPr>
          <w:rFonts w:ascii="Arial" w:cs="Arial" w:eastAsia="Arial" w:hAnsi="Arial"/>
          <w:sz w:val="22"/>
          <w:szCs w:val="22"/>
          <w:color w:val="auto"/>
        </w:rPr>
      </w:pPr>
    </w:p>
    <w:p>
      <w:pPr>
        <w:jc w:val="both"/>
        <w:ind w:left="820" w:right="360" w:hanging="488"/>
        <w:spacing w:after="0" w:line="239"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spacing w:after="0" w:line="91" w:lineRule="exact"/>
        <w:rPr>
          <w:rFonts w:ascii="Arial" w:cs="Arial" w:eastAsia="Arial" w:hAnsi="Arial"/>
          <w:sz w:val="22"/>
          <w:szCs w:val="22"/>
          <w:color w:val="auto"/>
        </w:rPr>
      </w:pPr>
    </w:p>
    <w:p>
      <w:pPr>
        <w:ind w:left="820" w:right="200" w:hanging="488"/>
        <w:spacing w:after="0" w:line="312" w:lineRule="auto"/>
        <w:tabs>
          <w:tab w:leader="none" w:pos="8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impacted by risks associated with the concentration of ownership of a significant portion of our stock, and our other shareholders’ ability to influence matters requiring stockholder approval will be limited, which could impact our business and operating results;</w:t>
      </w:r>
    </w:p>
    <w:p>
      <w:pPr>
        <w:spacing w:after="0" w:line="53" w:lineRule="exact"/>
        <w:rPr>
          <w:rFonts w:ascii="Times New Roman" w:cs="Times New Roman" w:eastAsia="Times New Roman" w:hAnsi="Times New Roman"/>
          <w:sz w:val="17"/>
          <w:szCs w:val="17"/>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Substantial future sales of our common stock could cause the market price of our common stock to decline; and</w:t>
      </w:r>
    </w:p>
    <w:p>
      <w:pPr>
        <w:spacing w:after="0" w:line="143" w:lineRule="exact"/>
        <w:rPr>
          <w:rFonts w:ascii="Arial" w:cs="Arial" w:eastAsia="Arial" w:hAnsi="Arial"/>
          <w:sz w:val="22"/>
          <w:szCs w:val="22"/>
          <w:color w:val="auto"/>
        </w:rPr>
      </w:pPr>
    </w:p>
    <w:p>
      <w:pPr>
        <w:ind w:left="820" w:right="2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8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spacing w:after="0"/>
              <w:rPr>
                <w:sz w:val="20"/>
                <w:szCs w:val="20"/>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172,522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 in held-to-maturity securities</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412,728</w:t>
            </w: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38,209</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76,741</w:t>
            </w: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10,276</w:t>
            </w:r>
          </w:p>
        </w:tc>
      </w:tr>
      <w:tr>
        <w:trPr>
          <w:trHeight w:val="237"/>
        </w:trPr>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544,060</w:t>
            </w: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99,861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82,475</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163,558</w:t>
            </w: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6,569</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87,098</w:t>
            </w: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64"/>
        </w:trPr>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1,269,136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884,959</w:t>
            </w:r>
          </w:p>
        </w:tc>
      </w:tr>
      <w:tr>
        <w:trPr>
          <w:trHeight w:val="20"/>
        </w:trPr>
        <w:tc>
          <w:tcPr>
            <w:tcW w:w="78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7"/>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spacing w:after="0"/>
              <w:rPr>
                <w:sz w:val="18"/>
                <w:szCs w:val="18"/>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22,894</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85,555</w:t>
            </w:r>
          </w:p>
        </w:tc>
      </w:tr>
      <w:tr>
        <w:trPr>
          <w:trHeight w:val="27"/>
        </w:trPr>
        <w:tc>
          <w:tcPr>
            <w:tcW w:w="78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107,542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108,449</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76,791</w:t>
            </w:r>
          </w:p>
        </w:tc>
      </w:tr>
      <w:tr>
        <w:trPr>
          <w:trHeight w:val="27"/>
        </w:trPr>
        <w:tc>
          <w:tcPr>
            <w:tcW w:w="78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7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168,455</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185,240</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spacing w:after="0"/>
              <w:rPr>
                <w:sz w:val="21"/>
                <w:szCs w:val="21"/>
                <w:color w:val="auto"/>
              </w:rPr>
            </w:pPr>
          </w:p>
        </w:tc>
      </w:tr>
      <w:tr>
        <w:trPr>
          <w:trHeight w:val="225"/>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- 200,000 shares authorized; 26,004 and 23,598 shares issued and</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June 30, 2025 and December 31, 2024</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1,326,735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881,718</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(182,001)</w:t>
            </w:r>
          </w:p>
        </w:tc>
      </w:tr>
      <w:tr>
        <w:trPr>
          <w:trHeight w:val="27"/>
        </w:trPr>
        <w:tc>
          <w:tcPr>
            <w:tcW w:w="78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7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1,100,681</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699,719</w:t>
            </w:r>
          </w:p>
        </w:tc>
      </w:tr>
      <w:tr>
        <w:trPr>
          <w:trHeight w:val="264"/>
        </w:trPr>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1,269,136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884,959</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2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2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69,494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43,866</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129,808</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76,888</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37,705</w:t>
            </w:r>
          </w:p>
        </w:tc>
      </w:tr>
      <w:tr>
        <w:trPr>
          <w:trHeight w:val="27"/>
        </w:trPr>
        <w:tc>
          <w:tcPr>
            <w:tcW w:w="52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36,052</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21,523</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66,387</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39,183</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30,563</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25,490</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60,589</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51,034</w:t>
            </w:r>
          </w:p>
        </w:tc>
      </w:tr>
      <w:tr>
        <w:trPr>
          <w:trHeight w:val="243"/>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49,102</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2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28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8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6,405</w:t>
            </w:r>
          </w:p>
        </w:tc>
      </w:tr>
      <w:tr>
        <w:trPr>
          <w:trHeight w:val="237"/>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53,843</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119,108</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106,541</w:t>
            </w:r>
          </w:p>
        </w:tc>
      </w:tr>
      <w:tr>
        <w:trPr>
          <w:trHeight w:val="27"/>
        </w:trPr>
        <w:tc>
          <w:tcPr>
            <w:tcW w:w="52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(32,320)</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(52,721)</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(67,358)</w:t>
            </w:r>
          </w:p>
        </w:tc>
      </w:tr>
      <w:tr>
        <w:trPr>
          <w:trHeight w:val="243"/>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3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(26,787)</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(43,954)</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(55,478)</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(44,056)</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(55,473)</w:t>
            </w:r>
          </w:p>
        </w:tc>
      </w:tr>
      <w:tr>
        <w:trPr>
          <w:trHeight w:val="20"/>
        </w:trPr>
        <w:tc>
          <w:tcPr>
            <w:tcW w:w="52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9"/>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and comprehensive loss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(44,056)</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(55,473)</w:t>
            </w: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r>
        <w:trPr>
          <w:trHeight w:val="21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diluted</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basic net loss per share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22,881</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diluted net loss per share</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23,923</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22,997</w:t>
            </w: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22,881</w:t>
            </w:r>
          </w:p>
        </w:tc>
      </w:tr>
      <w:tr>
        <w:trPr>
          <w:trHeight w:val="27"/>
        </w:trPr>
        <w:tc>
          <w:tcPr>
            <w:tcW w:w="52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2260" w:type="dxa"/>
            <w:vAlign w:val="bottom"/>
            <w:gridSpan w:val="3"/>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10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66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2"/>
            <w:vMerge w:val="restart"/>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restart"/>
          </w:tcPr>
          <w:p>
            <w:pPr>
              <w:jc w:val="center"/>
              <w:ind w:right="92"/>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6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17"/>
                <w:szCs w:val="17"/>
                <w:color w:val="auto"/>
              </w:rPr>
            </w:pP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1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466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23,722</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898,390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(205,878)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692,514</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follow-on public offering net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underwriting discounts and commissions and other offering</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387,329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in connection with At-The-Market</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offering net of underwriting discounts and commissions and</w:t>
            </w: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offering costs</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29,695</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upon vesting of restricted stock units, net of</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26,004</w:t>
            </w:r>
          </w:p>
        </w:tc>
        <w:tc>
          <w:tcPr>
            <w:tcW w:w="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1,326,735</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(226,057)</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1,100,681</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813,312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(117,104)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696,210</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in connection with At-The-Market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 net of underwriting discounts and commissions and</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offering 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shares upon vesting of restricted stock units, net of</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withholdings</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0" w:type="dxa"/>
            <w:vAlign w:val="bottom"/>
          </w:tcPr>
          <w:p>
            <w:pPr>
              <w:spacing w:after="0"/>
              <w:rPr>
                <w:sz w:val="1"/>
                <w:szCs w:val="1"/>
                <w:color w:val="auto"/>
              </w:rPr>
            </w:pPr>
          </w:p>
        </w:tc>
      </w:tr>
      <w:tr>
        <w:trPr>
          <w:trHeight w:val="26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(143,873)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692,512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23,598</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881,718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(182,001)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699,719</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(44,056)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(44,056)</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follow-on public offering net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underwriting discounts and commissions and other offering</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387,329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in connection with At-The-Market</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offering net of underwriting discounts and commissions and</w:t>
            </w: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offering costs</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29,695</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upon vesting of restricted stock units, net of</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(27,284)</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26,004</w:t>
            </w:r>
          </w:p>
        </w:tc>
        <w:tc>
          <w:tcPr>
            <w:tcW w:w="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1,326,735</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(226,057)</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1,100,681</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796,450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(88,400)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708,052</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(55,473)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(55,473)</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in connection with At-The-Market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 net of underwriting discounts and commissions and</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offering 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shares upon vesting of restricted stock units, net of</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withholdings</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(20,368)</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(20,368)</w:t>
            </w:r>
          </w:p>
        </w:tc>
        <w:tc>
          <w:tcPr>
            <w:tcW w:w="0" w:type="dxa"/>
            <w:vAlign w:val="bottom"/>
          </w:tcPr>
          <w:p>
            <w:pPr>
              <w:spacing w:after="0"/>
              <w:rPr>
                <w:sz w:val="1"/>
                <w:szCs w:val="1"/>
                <w:color w:val="auto"/>
              </w:rPr>
            </w:pPr>
          </w:p>
        </w:tc>
      </w:tr>
      <w:tr>
        <w:trPr>
          <w:trHeight w:val="26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(143,873)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692,512</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51,372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44,620</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unrealized interest on held to maturity securities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Change in fair value of sales-based earnout liability</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acquisition consideration payable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Inventory write-down</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4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4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3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held to maturity securities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(343,951)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maturity of held to maturity securities</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423,162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428,004</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paid for intangibles</w:t>
            </w:r>
          </w:p>
        </w:tc>
        <w:tc>
          <w:tcPr>
            <w:tcW w:w="3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(247,364)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withholding paid on behalf of employees for net share settlement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433,091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offering costs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 towards earnouts</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deferred acquisition consideration payable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FF0FC"/>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383,404</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(72,791)</w:t>
            </w:r>
          </w:p>
        </w:tc>
        <w:tc>
          <w:tcPr>
            <w:tcW w:w="0" w:type="dxa"/>
            <w:vAlign w:val="bottom"/>
          </w:tcPr>
          <w:p>
            <w:pPr>
              <w:spacing w:after="0"/>
              <w:rPr>
                <w:sz w:val="1"/>
                <w:szCs w:val="1"/>
                <w:color w:val="auto"/>
              </w:rPr>
            </w:pPr>
          </w:p>
        </w:tc>
      </w:tr>
      <w:tr>
        <w:trPr>
          <w:trHeight w:val="23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Beginning of period</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End of period</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172,522</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16,637</w:t>
            </w:r>
          </w:p>
        </w:tc>
        <w:tc>
          <w:tcPr>
            <w:tcW w:w="0" w:type="dxa"/>
            <w:vAlign w:val="bottom"/>
          </w:tcPr>
          <w:p>
            <w:pPr>
              <w:spacing w:after="0"/>
              <w:rPr>
                <w:sz w:val="1"/>
                <w:szCs w:val="1"/>
                <w:color w:val="auto"/>
              </w:rPr>
            </w:pPr>
          </w:p>
        </w:tc>
      </w:tr>
      <w:tr>
        <w:trPr>
          <w:trHeight w:val="20"/>
        </w:trPr>
        <w:tc>
          <w:tcPr>
            <w:tcW w:w="82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taxes paid</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Unpaid property and equipment</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Unpaid offering costs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Right-of-use assets acquired under operating leases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82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SiTime Corporation (the “Company” or "SiTime") was incorporated in the State of Delaware in December 2003. The Company is a leading provider of Precision timing ("Precision Timing") solutions, a category that SiTime created. Precision Timing provides the timing functionality that is needed for electronics to operate reliably and accurately. The Company's products have been designed to address a wide range of applications across a broad array of end markets. The Company operates a fabless business model and leverages its global network of distributors to address the broad set of end markets that it serves.</w:t>
      </w:r>
    </w:p>
    <w:p>
      <w:pPr>
        <w:spacing w:after="0" w:line="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have been prepared in conformity with United States ("U.S.") generally accepted accounting principles ("GAAP") for interim financial information and the instructions to Form 10-Q and Article 10 of Regulation S-X, and should be read in conjunction with the Company's audited consolidated financial statements and related notes thereto filed with the U.S. Securities and Exchange Commission ("SEC") on Form 10-K for the fiscal year ended December 31, 2024. The interim financial statements are unaudited, but reflect all adjustments which are, in the opinion of management, of a normal, recurring nature necessary to provide a fair statement of results for the interim periods presented. The results of operations for the interim periods shown in this report are not necessarily indicative of the results that may be expected for the fiscal year ending December 31, 2025, for any future year, or for any other future interim period.</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significant areas requiring the use of management estimates and assumptions include revenue recognition, fair value of earnout liabilities, estimate of reserve for excess and obsolete inventories, and sales reserves. Actual results could differ from those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Company’s audited consolidated financial statements and related notes thereto included in the Annual Report on Form 10-K for the year ended December 31, 2024. There have been no changes to these accounting policies through June 30,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1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financial statements that have not yet been issued or made available for issuance. This ASU will likely result in the required additional disclosures being included in our consolidated financial statements, once adopted. We are currently evaluating the provisions of this ASU.</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(Subtopic 220-40).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This ASU will likely result in the required additional disclosures being included in our consolidated financial statements, once adopted. We are currently evaluating the provisions of this ASU.</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2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2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5"/>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(44,056)</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(55,473)</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basic net loss per share</w:t>
            </w:r>
          </w:p>
        </w:tc>
        <w:tc>
          <w:tcPr>
            <w:tcW w:w="2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22,997</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22,881</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employee equity incentive plans</w:t>
            </w: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diluted net loss per share</w:t>
            </w:r>
          </w:p>
        </w:tc>
        <w:tc>
          <w:tcPr>
            <w:tcW w:w="28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23,923</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22,997</w:t>
            </w:r>
          </w:p>
        </w:tc>
        <w:tc>
          <w:tcPr>
            <w:tcW w:w="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22,881</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 per share, 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 per share, diluted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7"/>
        </w:trPr>
        <w:tc>
          <w:tcPr>
            <w:tcW w:w="52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Potential dilutive securities include dilutive common shares from share-based awards attributable to the assumed exercise of restricted stock unit awards using the treasury stock method. Under the treasury stock method, potential common shares outstanding are not included in the computation of diluted net income per share if their effect is anti-dilutive.</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three months ended June 30, 2025 and 2024, the Company had 403,246 and 766,620 potential shares from share-based awards that are anti-dilutive, respectively. During the six months ended June 30, 2025 and 2024, the Company had 455,502 and 698,148 potential shares from share-based awards that are anti-dilutive,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highly liquid money market funds of $150.3 million and $0.3 million, respectively, were valued using Level 1 of the fair value hierarchy, quoted prices in active markets for identical assets, and are included in cash equivalents.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 in held-to-maturity securities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 Company had purchased Treasury Bills with maturities ranging from 3 to 12 months, which the Company intends to hold until maturity and has classified as held-to-maturity securities. The held-to-maturity securities are recorded at amortized cost totaling $624.1 million including gross accrued interest of $3.1 million as of June 30, 2025. As of June 30, 2025, the fair value on the held-to-maturity securities was $624.0 million and the gross unrealized loss was $0.1 million.</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2024, the amortized cost of the held-to-maturity securities totaled $412.7 million including gross accrued interest of $4.3 million. As of December 31, 2023, the fair value and gross unrealized loss on the held-to-maturity securities was $412.9 million and $0.2 million, respectively.</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treasury bills were valued using Level 1 of the fair value hierarchy, quoted prices in active markets for identical assets, and are included in short-term investments. The carrying value of our investments is reviewed quarterly for changes in circumstances or the occurrence of events that suggests an investment may not be fully recoverable.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Sales-based earnout liability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sales-based earnout liability is determined using a Monte Carlo simulation model using significant unobservable fair value</w:t>
      </w:r>
    </w:p>
    <w:p>
      <w:pPr>
        <w:spacing w:after="0" w:line="5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inputs and is therefore classified as a Level 3 measurement. The assumptions used in the calculation are based on the revenue projections over the term of the contingent earn-out period, expected volatility, and discount rate. The estimates of fair value are uncertain and changes in any of the estimated inputs used will result in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significant adjustments to the fair value. As of June 30, 2025, the Company used a volatility rate of 20%, risk free rate ranging from 3.7% to 4.3%, and an expected term ranging from 0.13 years to 3.38 years.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3 financial liabilities: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January 1, 2025</w:t>
            </w:r>
          </w:p>
        </w:tc>
        <w:tc>
          <w:tcPr>
            <w:tcW w:w="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the fair value during the year recorded to acquisition related costs</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June 30, 2025</w:t>
            </w:r>
          </w:p>
        </w:tc>
        <w:tc>
          <w:tcPr>
            <w:tcW w:w="3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categories during any of the periods presented.</w:t>
            </w: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18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1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74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40" w:type="dxa"/>
            <w:vAlign w:val="bottom"/>
          </w:tcPr>
          <w:p>
            <w:pPr>
              <w:spacing w:after="0"/>
              <w:rPr>
                <w:sz w:val="16"/>
                <w:szCs w:val="16"/>
                <w:color w:val="auto"/>
              </w:rPr>
            </w:pPr>
          </w:p>
        </w:tc>
        <w:tc>
          <w:tcPr>
            <w:tcW w:w="14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23495</wp:posOffset>
            </wp:positionV>
            <wp:extent cx="22199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73"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consisted of the following:</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26,916</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38,259</w:t>
            </w:r>
          </w:p>
        </w:tc>
      </w:tr>
      <w:tr>
        <w:trPr>
          <w:trHeight w:val="270"/>
        </w:trPr>
        <w:tc>
          <w:tcPr>
            <w:tcW w:w="6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26,866</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38,209</w:t>
            </w:r>
          </w:p>
        </w:tc>
      </w:tr>
      <w:tr>
        <w:trPr>
          <w:trHeight w:val="27"/>
        </w:trPr>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-213360</wp:posOffset>
            </wp:positionV>
            <wp:extent cx="713232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41910</wp:posOffset>
            </wp:positionV>
            <wp:extent cx="2168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62" w:lineRule="exact"/>
        <w:rPr>
          <w:sz w:val="20"/>
          <w:szCs w:val="20"/>
          <w:color w:val="auto"/>
        </w:rPr>
      </w:pPr>
    </w:p>
    <w:p>
      <w:pPr>
        <w:ind w:left="480"/>
        <w:spacing w:after="0"/>
        <w:tabs>
          <w:tab w:leader="none" w:pos="2040" w:val="left"/>
        </w:tabs>
        <w:rPr>
          <w:sz w:val="20"/>
          <w:szCs w:val="20"/>
          <w:color w:val="auto"/>
        </w:rPr>
      </w:pPr>
      <w:r>
        <w:rPr>
          <w:rFonts w:ascii="Times New Roman" w:cs="Times New Roman" w:eastAsia="Times New Roman" w:hAnsi="Times New Roman"/>
          <w:sz w:val="14"/>
          <w:szCs w:val="14"/>
          <w:b w:val="1"/>
          <w:bCs w:val="1"/>
          <w:color w:val="auto"/>
        </w:rPr>
        <w:t>June 30, 2025</w:t>
      </w:r>
      <w:r>
        <w:rPr>
          <w:sz w:val="20"/>
          <w:szCs w:val="20"/>
          <w:color w:val="auto"/>
        </w:rPr>
        <w:tab/>
      </w: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41910</wp:posOffset>
            </wp:positionV>
            <wp:extent cx="2168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1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6" w:lineRule="exact"/>
        <w:rPr>
          <w:sz w:val="20"/>
          <w:szCs w:val="20"/>
          <w:color w:val="auto"/>
        </w:rPr>
      </w:pPr>
    </w:p>
    <w:p>
      <w:pPr>
        <w:sectPr>
          <w:pgSz w:w="11900" w:h="16838" w:orient="portrait"/>
          <w:cols w:equalWidth="0" w:num="2">
            <w:col w:w="7020" w:space="720"/>
            <w:col w:w="35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15,206</w:t>
            </w: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5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26,038</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5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24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2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52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5240" w:type="dxa"/>
            <w:vAlign w:val="bottom"/>
          </w:tcPr>
          <w:p>
            <w:pPr>
              <w:spacing w:after="0"/>
              <w:rPr>
                <w:sz w:val="3"/>
                <w:szCs w:val="3"/>
                <w:color w:val="auto"/>
              </w:rPr>
            </w:pPr>
          </w:p>
        </w:tc>
        <w:tc>
          <w:tcPr>
            <w:tcW w:w="2820" w:type="dxa"/>
            <w:vAlign w:val="bottom"/>
            <w:gridSpan w:val="2"/>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20" w:type="dxa"/>
            <w:vAlign w:val="bottom"/>
            <w:tcBorders>
              <w:bottom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40" w:type="dxa"/>
            <w:vAlign w:val="bottom"/>
            <w:tcBorders>
              <w:bottom w:val="single" w:sz="8" w:color="CFF0FC"/>
            </w:tcBorders>
          </w:tcPr>
          <w:p>
            <w:pPr>
              <w:spacing w:after="0"/>
              <w:rPr>
                <w:sz w:val="2"/>
                <w:szCs w:val="2"/>
                <w:color w:val="auto"/>
              </w:rPr>
            </w:pPr>
          </w:p>
        </w:tc>
        <w:tc>
          <w:tcPr>
            <w:tcW w:w="25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8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560" w:type="dxa"/>
            <w:vAlign w:val="bottom"/>
            <w:tcBorders>
              <w:top w:val="single" w:sz="8" w:color="CFF0FC"/>
              <w:bottom w:val="single" w:sz="8" w:color="CFF0FC"/>
            </w:tcBorders>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8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r>
      <w:tr>
        <w:trPr>
          <w:trHeight w:val="227"/>
        </w:trPr>
        <w:tc>
          <w:tcPr>
            <w:tcW w:w="7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gridSpan w:val="4"/>
          </w:tcPr>
          <w:p>
            <w:pPr>
              <w:jc w:val="right"/>
              <w:ind w:right="119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and manufacturing equipment</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149,828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119,964</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w:t>
            </w: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7,818</w:t>
            </w:r>
          </w:p>
        </w:tc>
      </w:tr>
      <w:tr>
        <w:trPr>
          <w:trHeight w:val="237"/>
        </w:trPr>
        <w:tc>
          <w:tcPr>
            <w:tcW w:w="78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142,320</w:t>
            </w: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(71,082)</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(59,845)</w:t>
            </w:r>
          </w:p>
        </w:tc>
      </w:tr>
      <w:tr>
        <w:trPr>
          <w:trHeight w:val="26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82,475</w:t>
            </w:r>
          </w:p>
        </w:tc>
      </w:tr>
      <w:tr>
        <w:trPr>
          <w:trHeight w:val="21"/>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$5.9 million and $3.8 million for the three months ended June 30, 2025 and 2024, respectively, and $11.0 million and 7.4 million for the six months ended June 30, 2025 and 2024,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38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38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7"/>
        </w:trPr>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1"/>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4"/>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2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6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4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Net Assets</w:t>
            </w:r>
          </w:p>
        </w:tc>
      </w:tr>
      <w:tr>
        <w:trPr>
          <w:trHeight w:val="37"/>
        </w:trPr>
        <w:tc>
          <w:tcPr>
            <w:tcW w:w="3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79,718</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86,125</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based royalty asset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r>
      <w:tr>
        <w:trPr>
          <w:trHeight w:val="27"/>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r>
      <w:tr>
        <w:trPr>
          <w:trHeight w:val="27"/>
        </w:trPr>
        <w:tc>
          <w:tcPr>
            <w:tcW w:w="38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amortizable intangible assets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118,339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86,444</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127,585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94,058</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w:t>
            </w:r>
          </w:p>
        </w:tc>
      </w:tr>
      <w:tr>
        <w:trPr>
          <w:trHeight w:val="27"/>
        </w:trPr>
        <w:tc>
          <w:tcPr>
            <w:tcW w:w="38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187,839</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(31,895)</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155,944</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197,085</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(33,527)</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163,558</w:t>
            </w: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$3.9 million and $4.1 million for the three months ended June 30, 2025 and 2024, respectively, and $7.8 million and 6.1 million for the six months ended June 30, 2025 and 2024,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aggregate future amortization expense for intangible assets subject to amortization as of June 30, 2025 is summarized as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 (remainder)</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7,685</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15,110</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12,977</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beyond</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24,811</w:t>
            </w:r>
          </w:p>
        </w:tc>
      </w:tr>
      <w:tr>
        <w:trPr>
          <w:trHeight w:val="27"/>
        </w:trPr>
        <w:tc>
          <w:tcPr>
            <w:tcW w:w="976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86,444</w:t>
            </w: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7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gridSpan w:val="7"/>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3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7,867</w:t>
            </w:r>
          </w:p>
        </w:tc>
        <w:tc>
          <w:tcPr>
            <w:tcW w:w="24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12,381</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reserves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3,673</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Sales-based earnout liability, current</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34,817</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23,953</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 current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38,400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37,760</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 term lease liability</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2,836</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2,744</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5,044</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94,479</w:t>
            </w:r>
          </w:p>
        </w:tc>
        <w:tc>
          <w:tcPr>
            <w:tcW w:w="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85,555</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consisted of the following:</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7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gridSpan w:val="7"/>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Sales-based earnout liability, non-current</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lease liability</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leases office space in California, Michigan, Malaysia, Japan, Taiwan, the Netherlands, Finland, Ukraine, and India, all under non-cancellable operating leases with various expiration dates through May 2029.</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remaining lease terms vary from a few months to four years. For certain of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operating lease-related assets and liabilities recorded on the condensed consolidated balance sheets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60" w:type="dxa"/>
            <w:vAlign w:val="bottom"/>
          </w:tcPr>
          <w:p>
            <w:pPr>
              <w:spacing w:after="0"/>
              <w:rPr>
                <w:sz w:val="16"/>
                <w:szCs w:val="16"/>
                <w:color w:val="auto"/>
              </w:rPr>
            </w:pPr>
          </w:p>
        </w:tc>
      </w:tr>
      <w:tr>
        <w:trPr>
          <w:trHeight w:val="37"/>
        </w:trPr>
        <w:tc>
          <w:tcPr>
            <w:tcW w:w="75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5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r>
      <w:tr>
        <w:trPr>
          <w:trHeight w:val="227"/>
        </w:trPr>
        <w:tc>
          <w:tcPr>
            <w:tcW w:w="7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60" w:type="dxa"/>
            <w:vAlign w:val="bottom"/>
            <w:gridSpan w:val="5"/>
          </w:tcPr>
          <w:p>
            <w:pPr>
              <w:jc w:val="right"/>
              <w:ind w:right="129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70"/>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480" w:type="dxa"/>
            <w:vAlign w:val="bottom"/>
            <w:tcBorders>
              <w:bottom w:val="single" w:sz="8" w:color="CFF0FC"/>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6,569</w:t>
            </w:r>
          </w:p>
        </w:tc>
      </w:tr>
      <w:tr>
        <w:trPr>
          <w:trHeight w:val="23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accrued expenses and other current liabilities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2,744</w:t>
            </w:r>
          </w:p>
        </w:tc>
      </w:tr>
      <w:tr>
        <w:trPr>
          <w:trHeight w:val="27"/>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other non-current liabilities</w:t>
            </w:r>
          </w:p>
        </w:tc>
        <w:tc>
          <w:tcPr>
            <w:tcW w:w="28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56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3,488</w:t>
            </w:r>
          </w:p>
        </w:tc>
      </w:tr>
      <w:tr>
        <w:trPr>
          <w:trHeight w:val="26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6,232</w:t>
            </w:r>
          </w:p>
        </w:tc>
      </w:tr>
      <w:tr>
        <w:trPr>
          <w:trHeight w:val="20"/>
        </w:trPr>
        <w:tc>
          <w:tcPr>
            <w:tcW w:w="7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1517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56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6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5.4%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931"/>
        </w:trPr>
        <w:tc>
          <w:tcPr>
            <w:tcW w:w="4480" w:type="dxa"/>
            <w:vAlign w:val="bottom"/>
          </w:tcPr>
          <w:p>
            <w:pPr>
              <w:spacing w:after="0"/>
              <w:rPr>
                <w:sz w:val="24"/>
                <w:szCs w:val="24"/>
                <w:color w:val="auto"/>
              </w:rPr>
            </w:pPr>
          </w:p>
        </w:tc>
        <w:tc>
          <w:tcPr>
            <w:tcW w:w="560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56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three and six months ended June 30,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80" w:type="dxa"/>
            <w:vAlign w:val="bottom"/>
          </w:tcPr>
          <w:p>
            <w:pPr>
              <w:spacing w:after="0"/>
              <w:rPr>
                <w:sz w:val="15"/>
                <w:szCs w:val="15"/>
                <w:color w:val="auto"/>
              </w:rPr>
            </w:pPr>
          </w:p>
        </w:tc>
        <w:tc>
          <w:tcPr>
            <w:tcW w:w="212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4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r>
      <w:tr>
        <w:trPr>
          <w:trHeight w:val="37"/>
        </w:trPr>
        <w:tc>
          <w:tcPr>
            <w:tcW w:w="59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0"/>
        </w:trPr>
        <w:tc>
          <w:tcPr>
            <w:tcW w:w="59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9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7"/>
        </w:trPr>
        <w:tc>
          <w:tcPr>
            <w:tcW w:w="5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
        </w:trPr>
        <w:tc>
          <w:tcPr>
            <w:tcW w:w="5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780" w:type="dxa"/>
            <w:vAlign w:val="bottom"/>
            <w:tcBorders>
              <w:bottom w:val="single" w:sz="8" w:color="CFF0FC"/>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7"/>
        </w:trPr>
        <w:tc>
          <w:tcPr>
            <w:tcW w:w="5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7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6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7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2,014</w:t>
            </w:r>
          </w:p>
        </w:tc>
        <w:tc>
          <w:tcPr>
            <w:tcW w:w="8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1,260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w:t>
            </w:r>
          </w:p>
        </w:tc>
      </w:tr>
      <w:tr>
        <w:trPr>
          <w:trHeight w:val="21"/>
        </w:trPr>
        <w:tc>
          <w:tcPr>
            <w:tcW w:w="5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Cash paid for operating lease liabilities was $0.9 million and $0.8 million for the three months ended June 30, 2025 and 2024, respectively, and $1.7 million and $1.5 million for the six months ended June 30, 2025 and 2024,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 Cash Flows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condensed consolidated balance sheet as of June 30,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w:t>
            </w: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w:t>
            </w:r>
          </w:p>
        </w:tc>
      </w:tr>
      <w:tr>
        <w:trPr>
          <w:trHeight w:val="20"/>
        </w:trPr>
        <w:tc>
          <w:tcPr>
            <w:tcW w:w="9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February 27, 2024, the Company entered into a Sales Agreement ("Sales Agreement"), with Stifel, Nicolaus &amp; Company, Incorporated ("Stifel"), under which the Company may offer and sell from time to time at its sole discretion, up to an aggregate of 1,200,000 shares of its common stock, par value $0.0001 per share, through Stifel acting as its sales agent.</w:t>
      </w:r>
    </w:p>
    <w:p>
      <w:pPr>
        <w:spacing w:after="0" w:line="68"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2025, the Company sold 150,000 shares of its common stock through Stifel under the Sales Agreement at a weighted average price of $203.94 per share resulting in net proceeds to the Company of $29.7 million, after deducting underwriting discounts and commissions of $0.6 million and offering costs of $0.3 million. During the three months ended June 30, 2024, the Company sold 100,000 shares of its common stock through Stifel under the Sales Agreement at a weighted average price of $127.18 per share resulting in net proceeds to the Company of $12.3 million, after deducting underwriting discounts and commissions of $0.3 million and offering costs of $0.1 million.</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the Company sold 150,000 shares of its common stock through Stifel under the Sales Agreement at a weighted average price of $203.94 per share resulting in net proceeds to the Company of $29.7 million, after deducting underwriting discounts and commissions of $0.6 million and deferred offering costs of $0.3 million. During the six months ended June 30, 2024, the Company sold 132,500 shares of its common stock through Stifel under the Sales Agreement at a weighted average price of $118.69 per share resulting in net proceeds to the Company of $15.0 million, after deducting underwriting discounts and commissions of $0.3 million and deferred offering costs of $0.4 million.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June 27, 2025, the Company completed a follow-on public offering, in which it issued and sold 2,012,500 shares of its common stock, resulting in net proceeds to the Company of $387.3 million after deducting underwriting discounts and commissions of $14.1 million and deferred offering costs of $1.1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RSU, performance based restricted stock units ("PRSU"), and multi-year performance restricted stock units ("MYPSU") activity for the three and six months ended June 30,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PRSU</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MYPSU</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5"/>
        </w:trPr>
        <w:tc>
          <w:tcPr>
            <w:tcW w:w="39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62"/>
        </w:trPr>
        <w:tc>
          <w:tcPr>
            <w:tcW w:w="3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0"/>
        </w:trPr>
        <w:tc>
          <w:tcPr>
            <w:tcW w:w="39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7"/>
        </w:trPr>
        <w:tc>
          <w:tcPr>
            <w:tcW w:w="39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7"/>
        </w:trPr>
        <w:tc>
          <w:tcPr>
            <w:tcW w:w="3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0"/>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2024</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915,152</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210,044</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285,880</w:t>
            </w: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(145,509)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(53,090)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r>
      <w:tr>
        <w:trPr>
          <w:trHeight w:val="288"/>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March 31, 2025</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1,008,775</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312,519</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285,880</w:t>
            </w: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r>
      <w:tr>
        <w:trPr>
          <w:trHeight w:val="21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(187,281)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r>
      <w:tr>
        <w:trPr>
          <w:trHeight w:val="288"/>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June 30, 2025</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887,920</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312,519</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285,880</w:t>
            </w: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280" w:type="dxa"/>
            <w:vAlign w:val="bottom"/>
            <w:gridSpan w:val="4"/>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3"/>
          </w:tcPr>
          <w:p>
            <w:pPr>
              <w:jc w:val="center"/>
              <w:ind w:left="6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r>
      <w:tr>
        <w:trPr>
          <w:trHeight w:val="50"/>
        </w:trPr>
        <w:tc>
          <w:tcPr>
            <w:tcW w:w="59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00"/>
        </w:trPr>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7"/>
        </w:trPr>
        <w:tc>
          <w:tcPr>
            <w:tcW w:w="5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
        </w:trPr>
        <w:tc>
          <w:tcPr>
            <w:tcW w:w="5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3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67,281</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141,880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171,632</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withheld for taxes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13,806</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20,368</w:t>
            </w:r>
          </w:p>
        </w:tc>
      </w:tr>
    </w:tbl>
    <w:p>
      <w:pPr>
        <w:spacing w:after="0" w:line="19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February 2025, the Compensation Committee approved target bonus amounts based on the achievement of revenue and individual performance goals for the fiscal year 2025 (the "2025 Goals"). The awards for the actual payouts are granted in the quarter following the end of the performance period.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condensed consolidated cash flow statements. The liability of $1.4 million for 2025 Goals was recorded as accrued expenses and other current liabilities in the condensed consolidated balance sheet as of June 30, 2025.</w:t>
      </w:r>
    </w:p>
    <w:p>
      <w:pPr>
        <w:spacing w:after="0" w:line="7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February 2025, the Compensation Committee of the Company approved PRSUs for the fiscal year 2025 with performance goals based on the achievement of relative total stockholder return with a three year performance period (the "2025 TSR PRSU Goals"). The grant-date fair value of each PRSU was determined using Monte Carlo simulation model. The assumptions used in the Monte Carlo simulation for the awards included expected volatility ranging from 72.6% to 72.9%, risk free rate of 4.3%, no expected dividend yield and expected term of 2.9 years. The Company recognizes the expense related to the 2025 TSR PRSU Goals on a graded-vesting method over the requisite performance period. These grants are included in the PRSU awards granted in the table above.</w:t>
      </w:r>
    </w:p>
    <w:p>
      <w:pPr>
        <w:spacing w:after="0" w:line="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also operates a bonus plan for certain employees which are based on a fixed dollar amount to be settled in RSUs. These awards are categorized as liability-based awards until settled. Once settled, these awards are reflected as RSU granted in the above table. Such expense is included in the non-cash adjustment within stock-based compensation expense on the condensed consolidated cash flow statements. The liability of $1.0 million was recorded as accrued expenses and other current liabilities in the condensed consolidated balance sheet as of June 30,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detail of stock-based compensation expense amounts included in the condensed consolidated statement of operations for each of the periods presented: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214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r>
      <w:tr>
        <w:trPr>
          <w:trHeight w:val="37"/>
        </w:trPr>
        <w:tc>
          <w:tcPr>
            <w:tcW w:w="5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0"/>
        </w:trPr>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7"/>
        </w:trPr>
        <w:tc>
          <w:tcPr>
            <w:tcW w:w="5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
        </w:trPr>
        <w:tc>
          <w:tcPr>
            <w:tcW w:w="5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based awards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17,236</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24,091</w:t>
            </w:r>
          </w:p>
        </w:tc>
      </w:tr>
      <w:tr>
        <w:trPr>
          <w:trHeight w:val="27"/>
        </w:trPr>
        <w:tc>
          <w:tcPr>
            <w:tcW w:w="5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59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41,818</w:t>
            </w:r>
          </w:p>
        </w:tc>
      </w:tr>
      <w:tr>
        <w:trPr>
          <w:trHeight w:val="237"/>
        </w:trPr>
        <w:tc>
          <w:tcPr>
            <w:tcW w:w="59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based awards - to be settled in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7"/>
        </w:trPr>
        <w:tc>
          <w:tcPr>
            <w:tcW w:w="5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59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r>
      <w:tr>
        <w:trPr>
          <w:trHeight w:val="237"/>
        </w:trPr>
        <w:tc>
          <w:tcPr>
            <w:tcW w:w="59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r>
      <w:tr>
        <w:trPr>
          <w:trHeight w:val="288"/>
        </w:trPr>
        <w:tc>
          <w:tcPr>
            <w:tcW w:w="5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 - equity and liability based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recorded to 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based awards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24,342</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21,151</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41,818</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based awards - settled in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r>
      <w:tr>
        <w:trPr>
          <w:trHeight w:val="243"/>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compensation expense capitalized to inventory</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7"/>
        </w:trPr>
        <w:tc>
          <w:tcPr>
            <w:tcW w:w="5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5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 recorded to additional paid-in capital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costs and related weighted average period of recognition as of June 30,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5"/>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Compensation Costs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of Recognition</w:t>
            </w:r>
          </w:p>
        </w:tc>
      </w:tr>
      <w:tr>
        <w:trPr>
          <w:trHeight w:val="190"/>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37"/>
        </w:trPr>
        <w:tc>
          <w:tcPr>
            <w:tcW w:w="81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MYPSUs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Liability-based awards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8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quarterly provision for income taxes is based on applying the estimated annual effective tax rate to the year to date pre-tax income, plus any discrete items. The Company updates its estimate of its annual effective tax rate at the end of each quarterly period. The estimate takes into account annual forecasted income before income taxes, the geographic mix of income before income taxes and any significant permanent tax items.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provision for income taxes and the effective tax rates for the three and six months ended June 30,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62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5"/>
                <w:szCs w:val="15"/>
                <w:color w:val="auto"/>
              </w:rPr>
            </w:pPr>
          </w:p>
        </w:tc>
      </w:tr>
      <w:tr>
        <w:trPr>
          <w:trHeight w:val="190"/>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3"/>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r>
      <w:tr>
        <w:trPr>
          <w:trHeight w:val="37"/>
        </w:trPr>
        <w:tc>
          <w:tcPr>
            <w:tcW w:w="5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27"/>
        </w:trPr>
        <w:tc>
          <w:tcPr>
            <w:tcW w:w="5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
        </w:trPr>
        <w:tc>
          <w:tcPr>
            <w:tcW w:w="5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(20,144)</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(26,787)</w:t>
            </w: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(43,954)</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(55,478)</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Pr>
          <w:p>
            <w:pPr>
              <w:spacing w:after="0"/>
              <w:rPr>
                <w:sz w:val="21"/>
                <w:szCs w:val="21"/>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51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before income taxes and taxable income.</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reserve on its deferred tax assets as of June 30, 2025.</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income tax provision was immaterial for both the three and six months ended June 30, 2025 and 2024. The provision for income taxes is primarily related to the foreign subsidiaries’ local country obligations. The U.S. effective tax rate is less than 1% and is due to minimum state tax. There is no federal provision for income taxes as the Company has sufficient carryforward of net operating losses to offset any operating income earned since inception and has projected an operating loss in the current year.</w:t>
      </w:r>
    </w:p>
    <w:p>
      <w:pPr>
        <w:spacing w:after="0" w:line="7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 Company had $2.5 million and $2.5 million, respectively, of total unrecognized tax benefits. If the Company is able to eventually recognize these uncertain tax positions, none of the unrecognized benefits would reduce the Company’s effective tax rate due to the full valuation allowance on the Company’s deferred tax assets.</w:t>
      </w:r>
    </w:p>
    <w:p>
      <w:pPr>
        <w:spacing w:after="0" w:line="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policy is to record interest and penalties related to unrecognized tax benefits as income tax expense. For the three and six months ended June 30, 2025 and 2024, the Company recorded immaterial amounts related to the accrual of interest and penalties.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Geographic and Customer Information</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operates in one reportable segment related to the design, development, and sale of Precision Timing solutions to the global electronics industry.</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accounting policies of the Company’s single segment and key performance measures used by the Chief Executive Officer, who is the Chief Operating Decision Maker, to assess the performance of the Company are the same as those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within Note 1 and Note 11 of the Annual Report on Form 10-K for the year ended December 31, 2024, filed with the SEC on February 14,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about the Company’s revenue, significant segment expenses and other segment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280" w:type="dxa"/>
            <w:vAlign w:val="bottom"/>
            <w:gridSpan w:val="4"/>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37"/>
        </w:trPr>
        <w:tc>
          <w:tcPr>
            <w:tcW w:w="5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6"/>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27"/>
        </w:trPr>
        <w:tc>
          <w:tcPr>
            <w:tcW w:w="5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9"/>
                <w:szCs w:val="19"/>
                <w:color w:val="auto"/>
              </w:rPr>
            </w:pPr>
          </w:p>
        </w:tc>
      </w:tr>
      <w:tr>
        <w:trPr>
          <w:trHeight w:val="37"/>
        </w:trPr>
        <w:tc>
          <w:tcPr>
            <w:tcW w:w="5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76,888</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23,384</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manufacturing overheads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w:t>
            </w:r>
          </w:p>
        </w:tc>
      </w:tr>
      <w:tr>
        <w:trPr>
          <w:trHeight w:val="27"/>
        </w:trPr>
        <w:tc>
          <w:tcPr>
            <w:tcW w:w="5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39,183</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58,622</w:t>
            </w:r>
          </w:p>
        </w:tc>
        <w:tc>
          <w:tcPr>
            <w:tcW w:w="8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100,547</w:t>
            </w:r>
          </w:p>
        </w:tc>
      </w:tr>
      <w:tr>
        <w:trPr>
          <w:trHeight w:val="26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8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(44,056)</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(55,473)</w:t>
            </w:r>
          </w:p>
        </w:tc>
      </w:tr>
      <w:tr>
        <w:trPr>
          <w:trHeight w:val="20"/>
        </w:trPr>
        <w:tc>
          <w:tcPr>
            <w:tcW w:w="5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560"/>
        <w:spacing w:after="0" w:line="230" w:lineRule="auto"/>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Other segment items include research and development expenses and selling, general and administrative expenses, primarily in the nature of nonmanufacturing expenses including salaries and stock-based compensation for employees, consulting expenses, certain other expenses, and taxes.</w:t>
      </w:r>
    </w:p>
    <w:p>
      <w:pPr>
        <w:spacing w:after="0" w:line="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Revenue by geographic area is presented based upon the ship-to location of the customers who purchased the Company’s products, which may be different from the geographic locations of the ultimate end customers. The following table sets forth revenue by country for countries with 10% or more of the Company’s revenue during any of the periods presented: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214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r>
      <w:tr>
        <w:trPr>
          <w:trHeight w:val="50"/>
        </w:trPr>
        <w:tc>
          <w:tcPr>
            <w:tcW w:w="59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186"/>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27"/>
        </w:trPr>
        <w:tc>
          <w:tcPr>
            <w:tcW w:w="5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
        </w:trPr>
        <w:tc>
          <w:tcPr>
            <w:tcW w:w="5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15,082</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47,395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25,536</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21,611</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7,623</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17,619</w:t>
            </w:r>
          </w:p>
        </w:tc>
        <w:tc>
          <w:tcPr>
            <w:tcW w:w="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0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33,132</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15,650</w:t>
            </w:r>
          </w:p>
        </w:tc>
      </w:tr>
      <w:tr>
        <w:trPr>
          <w:trHeight w:val="26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69,494</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129,808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76,888</w:t>
            </w:r>
          </w:p>
        </w:tc>
      </w:tr>
      <w:tr>
        <w:trPr>
          <w:trHeight w:val="20"/>
        </w:trPr>
        <w:tc>
          <w:tcPr>
            <w:tcW w:w="5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total property and equipment attributable to operations by country as of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8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r>
      <w:tr>
        <w:trPr>
          <w:trHeight w:val="227"/>
        </w:trPr>
        <w:tc>
          <w:tcPr>
            <w:tcW w:w="7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gridSpan w:val="4"/>
          </w:tcPr>
          <w:p>
            <w:pPr>
              <w:jc w:val="right"/>
              <w:ind w:right="119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32,200</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24,294</w:t>
            </w: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r>
      <w:tr>
        <w:trPr>
          <w:trHeight w:val="27"/>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w:t>
            </w:r>
          </w:p>
        </w:tc>
      </w:tr>
      <w:tr>
        <w:trPr>
          <w:trHeight w:val="236"/>
        </w:trPr>
        <w:tc>
          <w:tcPr>
            <w:tcW w:w="78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99,861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82,475</w:t>
            </w:r>
          </w:p>
        </w:tc>
      </w:tr>
      <w:tr>
        <w:trPr>
          <w:trHeight w:val="27"/>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 We did not have any amounts accrued towards these matters as of June 30,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and specified environmental matters.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purchases components from a variety of suppliers and uses several contract manufacturers to provide manufacturing services for its products. During the normal course of business, in order to manage manufacturing lead times and to help ensure adequate component supply, the Company enters into agreements with the Company’s contract manufacturers and suppliers that allow them to procure inventory based upon criteria as defined by the Company. In addition, the Company has a multi-year agreement to purchase minimum quantities of micro-electro-mechanical systems ("MEMS") wafers and is responsible for research and development, tooling, and samples cost under the agreement. A portion of the Company’s reported purchase commitments arising from these agreements consists of firm, non-cancelable purchase commitments. In certain instances, these agreements allow the Company the option to cancel, reschedule, and adjust the Company’s requirements based on its business needs prior to when production starts. However, in situations where the Company is unable to cancel, reschedule, or adjust the purchase commitment due to changing customer demand, excess inventories could result in material inventory provisions. Total future non-cancelable purchase commitments as of June 30, 2025 were as follows:</w:t>
      </w:r>
    </w:p>
    <w:p>
      <w:pPr>
        <w:spacing w:after="0" w:line="128" w:lineRule="exact"/>
        <w:rPr>
          <w:sz w:val="20"/>
          <w:szCs w:val="20"/>
          <w:color w:val="auto"/>
        </w:rPr>
      </w:pPr>
    </w:p>
    <w:tbl>
      <w:tblPr>
        <w:tblLayout w:type="fixed"/>
        <w:tblInd w:w="278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4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r>
      <w:tr>
        <w:trPr>
          <w:trHeight w:val="27"/>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r>
      <w:tr>
        <w:trPr>
          <w:trHeight w:val="27"/>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(“OBBBA” or the “Act”) was enacted into law. Based on the Company’s preliminary assessment, the provisions of the Act are not expected to materially impact the Company’s effective tax rate or cash flows for the current fiscal year.</w:t>
      </w:r>
    </w:p>
    <w:p>
      <w:pPr>
        <w:spacing w:after="0" w:line="5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treatment options related to previously capitalized research and experimentation (“R&amp;E”) expenses under Internal Revenue Code Section 174, in light of changes introduced by the Act. At this time, the Company does not anticipate any other material implications resulting from the enactment of the Act.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the related notes that appear elsewhere in this document.</w:t>
      </w:r>
    </w:p>
    <w:p>
      <w:pPr>
        <w:spacing w:after="0" w:line="5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information in this Quarterly Report on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We may, in some cases, use words such as “anticipate,” “believe,” “could,” “estimate,” “expect,” “intend,” “may,” “objective,”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report include, but are not limited to, statements about:</w:t>
      </w:r>
    </w:p>
    <w:p>
      <w:pPr>
        <w:spacing w:after="0" w:line="105" w:lineRule="exact"/>
        <w:rPr>
          <w:sz w:val="20"/>
          <w:szCs w:val="20"/>
          <w:color w:val="auto"/>
        </w:rPr>
      </w:pPr>
    </w:p>
    <w:p>
      <w:pPr>
        <w:ind w:left="1700" w:right="580" w:hanging="882"/>
        <w:spacing w:after="0" w:line="234" w:lineRule="auto"/>
        <w:tabs>
          <w:tab w:leader="none" w:pos="16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plans to focus on oscillators, clock ICs, resonators and timing synchronization solutions and to aggressively expand our presence in these markets;</w:t>
      </w:r>
    </w:p>
    <w:p>
      <w:pPr>
        <w:spacing w:after="0" w:line="132" w:lineRule="exact"/>
        <w:rPr>
          <w:rFonts w:ascii="Arial" w:cs="Arial" w:eastAsia="Arial" w:hAnsi="Arial"/>
          <w:sz w:val="22"/>
          <w:szCs w:val="22"/>
          <w:color w:val="auto"/>
        </w:rPr>
      </w:pPr>
    </w:p>
    <w:p>
      <w:pPr>
        <w:ind w:left="1700" w:hanging="882"/>
        <w:spacing w:after="0" w:line="234" w:lineRule="auto"/>
        <w:tabs>
          <w:tab w:leader="none" w:pos="16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ability to address market and customer demands and to timely develop new or enhanced solutions to meet those demands;</w:t>
      </w:r>
    </w:p>
    <w:p>
      <w:pPr>
        <w:spacing w:after="0" w:line="113"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anticipated trends, challenges and growth in our business and the markets in which we operate, including pricing expectations;</w:t>
      </w:r>
    </w:p>
    <w:p>
      <w:pPr>
        <w:spacing w:after="0" w:line="125"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revenue, average selling prices, gross margin, and expenses;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the effects of macroeconomic events in 2025;</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dependence on a limited number of customers and end customers;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customer relationships and our ability to retain and expand our customer relationships and to achieve design wins;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the success, cost, and timing of new products;</w:t>
      </w:r>
    </w:p>
    <w:p>
      <w:pPr>
        <w:spacing w:after="0" w:line="125"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the size and growth potential of the markets for our solutions, and our ability to serve and expand our presence in those markets;</w:t>
      </w:r>
    </w:p>
    <w:p>
      <w:pPr>
        <w:spacing w:after="0" w:line="130" w:lineRule="exact"/>
        <w:rPr>
          <w:rFonts w:ascii="Arial" w:cs="Arial" w:eastAsia="Arial" w:hAnsi="Arial"/>
          <w:sz w:val="22"/>
          <w:szCs w:val="22"/>
          <w:color w:val="auto"/>
        </w:rPr>
      </w:pPr>
    </w:p>
    <w:p>
      <w:pPr>
        <w:ind w:left="1700" w:right="740" w:hanging="882"/>
        <w:spacing w:after="0" w:line="234" w:lineRule="auto"/>
        <w:tabs>
          <w:tab w:leader="none" w:pos="16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plans to expand sales and marketing efforts through increased collaboration with our distributors and contracted sales representatives, and our plans to grow direct online sales through our self-service online store;</w:t>
      </w:r>
    </w:p>
    <w:p>
      <w:pPr>
        <w:spacing w:after="0" w:line="132" w:lineRule="exact"/>
        <w:rPr>
          <w:rFonts w:ascii="Arial" w:cs="Arial" w:eastAsia="Arial" w:hAnsi="Arial"/>
          <w:sz w:val="22"/>
          <w:szCs w:val="22"/>
          <w:color w:val="auto"/>
        </w:rPr>
      </w:pPr>
    </w:p>
    <w:p>
      <w:pPr>
        <w:ind w:left="1700" w:right="80" w:hanging="882"/>
        <w:spacing w:after="0" w:line="234" w:lineRule="auto"/>
        <w:tabs>
          <w:tab w:leader="none" w:pos="16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to identify new customers and deliver differentiated Precision Timing solutions to them through digital marketing strategies;</w:t>
      </w:r>
    </w:p>
    <w:p>
      <w:pPr>
        <w:spacing w:after="0" w:line="113"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goal to become the leading provider of Precision Timing solutions for advanced and challenging applications;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positioning of being designed into current systems as well as future products;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belief that our advanced packaging designs can enable the smallest footprints in the industry;</w:t>
      </w:r>
    </w:p>
    <w:p>
      <w:pPr>
        <w:spacing w:after="0" w:line="125"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competition in our existing and future markets;</w:t>
      </w:r>
    </w:p>
    <w:p>
      <w:pPr>
        <w:spacing w:after="0" w:line="89"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success of our acquisitions and how we integrate and generate revenue;</w:t>
      </w:r>
    </w:p>
    <w:p>
      <w:pPr>
        <w:spacing w:after="0" w:line="117" w:lineRule="exact"/>
        <w:rPr>
          <w:rFonts w:ascii="Times New Roman" w:cs="Times New Roman" w:eastAsia="Times New Roman" w:hAnsi="Times New Roman"/>
          <w:sz w:val="18"/>
          <w:szCs w:val="18"/>
          <w:color w:val="auto"/>
        </w:rPr>
      </w:pPr>
    </w:p>
    <w:p>
      <w:pPr>
        <w:ind w:left="1700" w:right="340" w:hanging="882"/>
        <w:spacing w:after="0" w:line="282" w:lineRule="auto"/>
        <w:tabs>
          <w:tab w:leader="none" w:pos="1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 pandemic, epidemic, or other outbreak of disease may in the future have on our business, results of operations and financial condition, as well as the businesses of our suppliers and customers;</w:t>
      </w:r>
    </w:p>
    <w:p>
      <w:pPr>
        <w:spacing w:after="0" w:line="75" w:lineRule="exact"/>
        <w:rPr>
          <w:rFonts w:ascii="Times New Roman" w:cs="Times New Roman" w:eastAsia="Times New Roman" w:hAnsi="Times New Roman"/>
          <w:sz w:val="18"/>
          <w:szCs w:val="18"/>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regulatory developments in the United States and foreign countries;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the performance of, and our relationships with, our third-party suppliers and manufacturers;</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and our customers’ ability to respond successfully to technological or industry developments;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ability to attract and retain key personnel;</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intellectual property and related litigation;</w:t>
      </w:r>
    </w:p>
    <w:p>
      <w:pPr>
        <w:spacing w:after="0" w:line="143" w:lineRule="exact"/>
        <w:rPr>
          <w:rFonts w:ascii="Arial" w:cs="Arial" w:eastAsia="Arial" w:hAnsi="Arial"/>
          <w:sz w:val="22"/>
          <w:szCs w:val="22"/>
          <w:color w:val="auto"/>
        </w:rPr>
      </w:pPr>
    </w:p>
    <w:p>
      <w:pPr>
        <w:ind w:left="1700" w:right="240" w:hanging="882"/>
        <w:spacing w:after="0" w:line="234" w:lineRule="auto"/>
        <w:tabs>
          <w:tab w:leader="none" w:pos="169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belief as to the sufficiency of our existing cash and cash equivalents and short-term investments funds to meet our cash needs for at least the next 12 months and our future capital requirements over the longer term;</w:t>
      </w:r>
    </w:p>
    <w:p>
      <w:pPr>
        <w:spacing w:after="0" w:line="113" w:lineRule="exact"/>
        <w:rPr>
          <w:rFonts w:ascii="Arial" w:cs="Arial" w:eastAsia="Arial" w:hAnsi="Arial"/>
          <w:sz w:val="22"/>
          <w:szCs w:val="22"/>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adequacy and availability of our leased facilities; and</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accuracy of our estimates regarding capital requirements and needs for additional financing.</w:t>
      </w:r>
    </w:p>
    <w:p>
      <w:pPr>
        <w:spacing w:after="0" w:line="9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These forward-looking statements reflect our management’s beliefs and views with respect to future events and are based on estimates and assumptions as of the date of this report and are subject to risks and uncertainties. We discuss many of these risks in greater detail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spacing w:after="0" w:line="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ability to accurately measure and reference time has been essential to humankind’s greatest inventions and technological advances. Timing technology has continued to evolve over centuries, underpinning broader technological evolution and is the heartbeat of digital electronic systems. Timing ensures that the system runs smoothly and reliably by providing and distributing clock signals to various critical components such as central processing units, communication and interface ICs, and radio frequency components. As electronics evolve to deliver higher performance, connectivity, and intelligence, even in increasingly challenging environments, while also being more complex and size-constrained, we believe they will require more sophisticated</w:t>
      </w:r>
    </w:p>
    <w:p>
      <w:pPr>
        <w:spacing w:after="0" w:line="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semiconductor-based timing solutions that cannot be developed in legacy quartz crystal-based technologies. Precision timing fills this need with the performance, power, size, and cost that is required by these applications.</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a leading provider of Precision Timing solutions to the global electronics industry. Our Precision Timing products are the heartbeat of our customers’ electronic systems, providing the timing functionality that is needed for electronics to operate reliably and accurately. We provide Precision Timing solutions that are differentiated by high performance, high resilience, and high reliability, along with programmability, small size, and low power consumption. Our products have been designed into over 300 applications across our target markets, including communications, datacenter and enterprise, automotive, industrial, aerospace, mobile, Internet of Things ("IoT"), and consumer. Our current solutions include various types of oscillators, as well as clock integrated circuits ("ICs") and resonators.</w:t>
      </w:r>
    </w:p>
    <w:p>
      <w:pPr>
        <w:spacing w:after="0" w:line="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all-silicon solutions are based on four fundamental areas of technical expertise: micro-electro-mechanical systems (“MEMS”), analog mixed-signal design, and advanced system-level integration and software. This expertise, along with the knowledge of our customers' systems, gives our products a significant edge as we address customers’ complex timing problems. In this aspect, we believe we are different than quartz-based oscillator and resonator providers, who typically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have expertise in designing and manufacturing resonator components, but usually outsource the analog circuit design and packaging. We also have a deep understanding of the mechanical, electrical, and thermal properties of materials, which is a key requirement for developing our proprietary MEMS processes. To maximize MEMS first-silicon success, we have also developed our own MEMS simulation tools. We are also different in that our MEMS resonators are made using semiconductor technology which has significant benefits in features, performance, manufacturing, and cost, while the quartz resonator and oscillator suppliers use quartz crystal material.</w:t>
      </w:r>
    </w:p>
    <w:p>
      <w:pPr>
        <w:spacing w:after="0" w:line="75"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Compared to traditional clock IC suppliers, we are different in that we design the resonator in-house and can integrate it into the clock IC package. Our analog/mixed-signal die are developed using industry-standard processes and deliver high levels of performance using programmable phase-locked loops, temperature sensors, regulators, data converters, drivers and other building blocks. Unlike most clock IC vendors, we do not rely on quartz vendors to provide the quartz resonator clock reference that is required for their clock ICs to function. Our expertise creates supply chain advantages for us and most importantly, enables us to design and build complete timing systems that result in performance advantages, providing a complete solution to the customer.</w:t>
      </w:r>
    </w:p>
    <w:p>
      <w:pPr>
        <w:spacing w:after="0" w:line="6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Today’s newer applications are driving the need for faster connectivity and lower latency, even when the electronics is subject to non-ideal conditions. Our Precision Timing solutions are designed to be resilient to such harsh environmental stressors which provides a benefit to our customers. For example, AI Infrastructure equipment is becoming more dense, and is subject to rapid temperature changes within the system, but still needs to deliver maximum performance and reliability. In 2025, we have benefitted from the strong growth in AI datacenter deployments. In the Communications market, a 5G small cell radio mounted on a pole next to a road or rail line is going to be subject to vibration as heavy trucks or trains go by. These conditions make our Precision Timing solutions a natural choice in such applications. Our solutions are also utilized in automotive electronics, including advanced driver assistance systems for self-driving cars, which require increased timing accuracy. For the industrial market, our products offer programmability and high reliability for the diverse operating conditions of industrial equipment, including high temperatures, mechanical shock, and vibration. For the aerospace market, our solutions provide high reliability and lower acceleration sensitivity for end products that operate in rugged conditions. For the mobile, IoT and consumer market, our timing solutions offer high performance at optimal power consumption and size, as our customers fit more functionality into smaller devices.</w:t>
      </w:r>
    </w:p>
    <w:p>
      <w:pPr>
        <w:spacing w:after="0" w:line="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all of these markets, the trend for increased data transfer at higher speeds and demand for lower latency continues to grow. This requires higher levels of performance in timing and synchronization. Additionally, as electronics continue to proliferate in all industries and areas of our daily life, digital devices are increasingly subjected to less controlled environments, making resiliency to environmental stressors ever more important. These industry trends place higher demands on timing components, increasing the importance of resilient and reliable Precision Timing.</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believe that the total timing market is approximately $10 billion in size. Since our founding, we have focused on the portion of the market that concentrates on the requirement for compelling solutions to solve difficult timing problems. Historically, our revenue has been substantially derived from sales of oscillator systems across our target end markets.</w:t>
      </w:r>
    </w:p>
    <w:p>
      <w:pPr>
        <w:spacing w:after="0" w:line="6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In December 2023, we acquired clocking products through the acquisition of certain assets and the exclusive license to certain intellectual property from Aura Semiconductor Pvt. Ltd. and certain of its affiliated entities (together, "Aura") relating to Aura's timing business and clock products that significantly expands our presence within the clocking market. Total consideration paid in the acquisition included approximately $148 million in fixed payments and up to $120 million in earnouts. With the addition of all four categories of clock products including network synchronizers, jitter cleaners, clock generators, and</w:t>
      </w:r>
    </w:p>
    <w:p>
      <w:pPr>
        <w:spacing w:after="0" w:line="2"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7"/>
          <w:szCs w:val="17"/>
          <w:color w:val="auto"/>
        </w:rPr>
        <w:t>buffers, we now offer a comprehensive portfolio of timing solutions. By pairing the new SiTime clocking products with our MEMS oscillators and/or our resonators, we expect to be able to offer a more complete clock tree that is simpler to design with higher performance, more resilience to environmental</w:t>
      </w:r>
    </w:p>
    <w:p>
      <w:pPr>
        <w:ind w:right="300"/>
        <w:spacing w:after="0" w:line="282" w:lineRule="auto"/>
        <w:rPr>
          <w:sz w:val="20"/>
          <w:szCs w:val="20"/>
          <w:color w:val="auto"/>
        </w:rPr>
      </w:pPr>
      <w:r>
        <w:rPr>
          <w:rFonts w:ascii="Times New Roman" w:cs="Times New Roman" w:eastAsia="Times New Roman" w:hAnsi="Times New Roman"/>
          <w:sz w:val="18"/>
          <w:szCs w:val="18"/>
          <w:color w:val="auto"/>
        </w:rPr>
        <w:t>stressors and higher reliability. SiTime is now a key provider of all differentiated products in timing – oscillators, clocks, and resonators combined with depth in engineering expertise in Precision Timing solutions.</w:t>
      </w:r>
    </w:p>
    <w:p>
      <w:pPr>
        <w:spacing w:after="0" w:line="54"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sell our products primarily through distributors, who in turn sell to our end customers. We also sell products directly to some of our end customers.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sales personnel or distributors or by shopping on our online store, SiTimeDirect™.</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operate a fabless business model, where we outsource manufacturing to semiconductor industry suppliers, which allows us to focus on, and excel in, the design, marketing, and sales of our products. A fabless infrastructure gives us production flexibility and the ability to scale capacity up and down to meet demand. While this model allows us to operate with lower capital expenditure investment than other semiconductor companies that own fabs, we may be required to make such investments from time to time primarily to strengthen our supply chain and optimize our costs. These investments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could put downward pressure on our gross margins if demand for our products does not materialize as expected. Further, this model could also subject us to supply constraints, when demand for our products is higher than anticipated, resulting in increased costs and impacting our gross margins. Our</w:t>
      </w:r>
    </w:p>
    <w:p>
      <w:pPr>
        <w:spacing w:after="0" w:line="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programmable architecture also plays a key role in ensuring optimal production flexibility. In contrast to products offered by traditional timing device suppliers, our products are batch produced and then custom programmed to customer needs, allowing us to offer shorter lead times and the ability to meet custom requirements more easily.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derive revenue primarily from sales of Precision Timing solutions to distributors.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2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20" w:type="dxa"/>
            <w:vAlign w:val="bottom"/>
          </w:tcPr>
          <w:p>
            <w:pPr>
              <w:spacing w:after="0"/>
              <w:rPr>
                <w:sz w:val="15"/>
                <w:szCs w:val="15"/>
                <w:color w:val="auto"/>
              </w:rPr>
            </w:pPr>
          </w:p>
        </w:tc>
        <w:tc>
          <w:tcPr>
            <w:tcW w:w="12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5"/>
                <w:szCs w:val="15"/>
                <w:color w:val="auto"/>
              </w:rPr>
            </w:pPr>
          </w:p>
        </w:tc>
      </w:tr>
      <w:tr>
        <w:trPr>
          <w:trHeight w:val="190"/>
        </w:trPr>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
        </w:trPr>
        <w:tc>
          <w:tcPr>
            <w:tcW w:w="15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6"/>
        </w:trPr>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15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7"/>
        </w:trPr>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20" w:type="dxa"/>
            <w:vAlign w:val="bottom"/>
          </w:tcPr>
          <w:p>
            <w:pPr>
              <w:spacing w:after="0"/>
              <w:rPr>
                <w:sz w:val="19"/>
                <w:szCs w:val="19"/>
                <w:color w:val="auto"/>
              </w:rPr>
            </w:pPr>
          </w:p>
        </w:tc>
      </w:tr>
      <w:tr>
        <w:trPr>
          <w:trHeight w:val="37"/>
        </w:trPr>
        <w:tc>
          <w:tcPr>
            <w:tcW w:w="1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69,494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43,866</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25,628</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58 %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129,808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76,888</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52,920</w:t>
            </w: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69 %</w:t>
            </w:r>
          </w:p>
        </w:tc>
      </w:tr>
    </w:tbl>
    <w:p>
      <w:pPr>
        <w:spacing w:after="0" w:line="18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Revenue increased by $25.6 million, or 58%, for the three months ended June 30, 2025 compared to the same period in the prior year. Revenue increased by $52.9 million, or 69%, for the six months ended June 30, 2025 compared to the same period in the prior year. The increase in both periods was primarily related to an increase in sales volume as well as increase in average selling prices of our products due to change in mix of the products we shipped.</w:t>
      </w:r>
    </w:p>
    <w:p>
      <w:pPr>
        <w:spacing w:after="0" w:line="5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Sales attributable to our largest end customer through multiple distributors accounted for 17% and 18% of our revenue for the three months ended June 30, 2025 and 2024, respectively, and 18% and 18% of our revenue for the six months ended June 30, 2025 and 2024, respectively. Our end customers predominantly purchase our products from distributors. Our top three customers by revenue, which are distributors, together accounted for approximately 66% and 55% of our revenue for the three months ended June 30, 2025 and 2024, respectively, and 64% and 54% of our revenues for the six months ended June 30, 2025 and 2024, respectively. Revenue attributable to our largest ten end customers accounted for 64% and 59% for the three months ended June 30, 2025 and 2024, respectively, and 64% and 57% of our revenues for the six months ended June 30, 2025 and 2024,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 of revenue consists of wafers acquired from third-party foundries, assembly, packaging, and test cost of our products paid to third-party contract manufacturers, amortization of acquired intangibles and personnel and other costs associated with our manufacturing operations. Cost of revenue also includes depreciation of production equipment, inventory write-downs, shipping and handling costs, and allocation of overhead and facility costs. We also include credits for rebates received from third-party contract manufacturers in cost of revenue.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2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00" w:type="dxa"/>
            <w:vAlign w:val="bottom"/>
          </w:tcPr>
          <w:p>
            <w:pPr>
              <w:spacing w:after="0"/>
              <w:rPr>
                <w:sz w:val="15"/>
                <w:szCs w:val="15"/>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5"/>
                <w:szCs w:val="15"/>
                <w:color w:val="auto"/>
              </w:rPr>
            </w:pPr>
          </w:p>
        </w:tc>
      </w:tr>
      <w:tr>
        <w:trPr>
          <w:trHeight w:val="190"/>
        </w:trPr>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80" w:type="dxa"/>
            <w:vAlign w:val="bottom"/>
            <w:gridSpan w:val="5"/>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
        </w:trPr>
        <w:tc>
          <w:tcPr>
            <w:tcW w:w="14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6"/>
        </w:trPr>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14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7"/>
        </w:trPr>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780" w:type="dxa"/>
            <w:vAlign w:val="bottom"/>
          </w:tcPr>
          <w:p>
            <w:pPr>
              <w:spacing w:after="0"/>
              <w:rPr>
                <w:sz w:val="19"/>
                <w:szCs w:val="19"/>
                <w:color w:val="auto"/>
              </w:rPr>
            </w:pPr>
          </w:p>
        </w:tc>
      </w:tr>
      <w:tr>
        <w:trPr>
          <w:trHeight w:val="37"/>
        </w:trPr>
        <w:tc>
          <w:tcPr>
            <w:tcW w:w="1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43"/>
        </w:trPr>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33,442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22,343</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11,099</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63,421</w:t>
            </w:r>
          </w:p>
        </w:tc>
        <w:tc>
          <w:tcPr>
            <w:tcW w:w="4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6"/>
                <w:szCs w:val="16"/>
                <w:color w:val="auto"/>
              </w:rPr>
              <w:t>37,705</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25,716</w:t>
            </w: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33"/>
        </w:trPr>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20"/>
                <w:szCs w:val="20"/>
                <w:color w:val="auto"/>
              </w:rPr>
            </w:pPr>
          </w:p>
        </w:tc>
        <w:tc>
          <w:tcPr>
            <w:tcW w:w="9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36,052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21,523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14,529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66,387</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39,183</w:t>
            </w:r>
          </w:p>
        </w:tc>
        <w:tc>
          <w:tcPr>
            <w:tcW w:w="8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27,204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53"/>
        </w:trPr>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$14.5 million in the three months ended June 30, 2025 compared to the same period in the prior year. Gross profit increased $19.6 million mainly from higher revenue which was partially offset by higher other manufacturing and overhead costs of $4.4 million, consisting of depreciation and amortization, freight outwards and inventory reserves, and higher stock based compensation expense of $0.5 million.</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Gross profit increased by $27.2 million in the six months ended June 30, 2025 compared to the same period in the prior year. Gross profit increased $38.5 million mainly from higher revenue which was partially offset by higher other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manufacturing and overhead costs of $7.9 million, higher amortization from acquired intangibles of $2.4 million, and higher stock-based compensation expense of $1.0 million.</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Gross margin was higher by 2.8% in the three months ended June 30, 2025 compared to the same period in the prior year. The gross margins increased by 2.4% primarily due to a change in the mix of products shipped, and due to improved absorption of other manufacturing overheads of 0.9%. This was partially offset by an increase due to stock-based compensation expense of 0.5%.</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Gross margin was higher by 0.2% in the six months ended June 30, 2025 compared to the same period in the prior year. The gross margins increased by 0.9% primarily due to a change in the mix of products shipped. This was partially offset by an increase due to stock-based compensation expense of 0.5% and lower absorption of other manufacturing overheads of 0.2%.</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may fluctuate from time to time due to a variety of factors. For additional discussion please see Part II, Item 1A "Risk Factors" of this report, especially the risk factor titled “Our gross margins may fluctuate due to a variety of factors, which could negatively impact our results of operations and our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selling, general and administrative expenses, and acquisition related costs.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2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00" w:type="dxa"/>
            <w:vAlign w:val="bottom"/>
          </w:tcPr>
          <w:p>
            <w:pPr>
              <w:spacing w:after="0"/>
              <w:rPr>
                <w:sz w:val="15"/>
                <w:szCs w:val="15"/>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Research and</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25,490</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center"/>
              <w:ind w:left="202"/>
              <w:spacing w:after="0"/>
              <w:rPr>
                <w:sz w:val="20"/>
                <w:szCs w:val="20"/>
                <w:color w:val="auto"/>
              </w:rPr>
            </w:pPr>
            <w:r>
              <w:rPr>
                <w:rFonts w:ascii="Times New Roman" w:cs="Times New Roman" w:eastAsia="Times New Roman" w:hAnsi="Times New Roman"/>
                <w:sz w:val="16"/>
                <w:szCs w:val="16"/>
                <w:color w:val="auto"/>
                <w:w w:val="99"/>
              </w:rPr>
              <w:t>5,073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60,589</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51,034</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1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Selling, general and</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28,228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25,190</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center"/>
              <w:ind w:left="202"/>
              <w:spacing w:after="0"/>
              <w:rPr>
                <w:sz w:val="20"/>
                <w:szCs w:val="20"/>
                <w:color w:val="auto"/>
              </w:rPr>
            </w:pPr>
            <w:r>
              <w:rPr>
                <w:rFonts w:ascii="Times New Roman" w:cs="Times New Roman" w:eastAsia="Times New Roman" w:hAnsi="Times New Roman"/>
                <w:sz w:val="16"/>
                <w:szCs w:val="16"/>
                <w:color w:val="auto"/>
                <w:w w:val="99"/>
              </w:rPr>
              <w:t>3,038</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55,086</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49,102</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5,984</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related</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5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costs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3,163</w:t>
            </w:r>
          </w:p>
        </w:tc>
        <w:tc>
          <w:tcPr>
            <w:tcW w:w="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left="182"/>
              <w:spacing w:after="0"/>
              <w:rPr>
                <w:sz w:val="20"/>
                <w:szCs w:val="20"/>
                <w:color w:val="auto"/>
              </w:rPr>
            </w:pPr>
            <w:r>
              <w:rPr>
                <w:rFonts w:ascii="Times New Roman" w:cs="Times New Roman" w:eastAsia="Times New Roman" w:hAnsi="Times New Roman"/>
                <w:sz w:val="16"/>
                <w:szCs w:val="16"/>
                <w:color w:val="auto"/>
                <w:w w:val="98"/>
              </w:rPr>
              <w:t>(1,291)</w:t>
            </w:r>
          </w:p>
        </w:tc>
        <w:tc>
          <w:tcPr>
            <w:tcW w:w="100" w:type="dxa"/>
            <w:vAlign w:val="bottom"/>
            <w:tcBorders>
              <w:bottom w:val="single" w:sz="8" w:color="CFF0FC"/>
            </w:tcBorders>
          </w:tcPr>
          <w:p>
            <w:pPr>
              <w:spacing w:after="0"/>
              <w:rPr>
                <w:sz w:val="20"/>
                <w:szCs w:val="20"/>
                <w:color w:val="auto"/>
              </w:rPr>
            </w:pPr>
          </w:p>
        </w:tc>
        <w:tc>
          <w:tcPr>
            <w:tcW w:w="42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3,433</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6,405</w:t>
            </w: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100" w:type="dxa"/>
            <w:vAlign w:val="bottom"/>
            <w:tcBorders>
              <w:bottom w:val="single" w:sz="8" w:color="CFF0FC"/>
            </w:tcBorders>
          </w:tcPr>
          <w:p>
            <w:pPr>
              <w:spacing w:after="0"/>
              <w:rPr>
                <w:sz w:val="20"/>
                <w:szCs w:val="20"/>
                <w:color w:val="auto"/>
              </w:rPr>
            </w:pPr>
          </w:p>
        </w:tc>
        <w:tc>
          <w:tcPr>
            <w:tcW w:w="42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89"/>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operating</w:t>
            </w:r>
          </w:p>
        </w:tc>
        <w:tc>
          <w:tcPr>
            <w:tcW w:w="24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60,663</w:t>
            </w:r>
          </w:p>
        </w:tc>
        <w:tc>
          <w:tcPr>
            <w:tcW w:w="10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53,843</w:t>
            </w:r>
          </w:p>
        </w:tc>
        <w:tc>
          <w:tcPr>
            <w:tcW w:w="80" w:type="dxa"/>
            <w:vAlign w:val="bottom"/>
            <w:shd w:val="clear" w:color="auto" w:fill="CFF0FC"/>
          </w:tcPr>
          <w:p>
            <w:pPr>
              <w:spacing w:after="0"/>
              <w:rPr>
                <w:sz w:val="16"/>
                <w:szCs w:val="16"/>
                <w:color w:val="auto"/>
              </w:rPr>
            </w:pPr>
          </w:p>
        </w:tc>
        <w:tc>
          <w:tcPr>
            <w:tcW w:w="320" w:type="dxa"/>
            <w:vAlign w:val="bottom"/>
            <w:vMerge w:val="restart"/>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FF0FC"/>
          </w:tcPr>
          <w:p>
            <w:pPr>
              <w:jc w:val="center"/>
              <w:ind w:left="202"/>
              <w:spacing w:after="0"/>
              <w:rPr>
                <w:sz w:val="20"/>
                <w:szCs w:val="20"/>
                <w:color w:val="auto"/>
              </w:rPr>
            </w:pPr>
            <w:r>
              <w:rPr>
                <w:rFonts w:ascii="Times New Roman" w:cs="Times New Roman" w:eastAsia="Times New Roman" w:hAnsi="Times New Roman"/>
                <w:sz w:val="16"/>
                <w:szCs w:val="16"/>
                <w:color w:val="auto"/>
                <w:w w:val="99"/>
              </w:rPr>
              <w:t>6,820</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119,108</w:t>
            </w:r>
          </w:p>
        </w:tc>
        <w:tc>
          <w:tcPr>
            <w:tcW w:w="80" w:type="dxa"/>
            <w:vAlign w:val="bottom"/>
            <w:shd w:val="clear" w:color="auto" w:fill="CFF0FC"/>
          </w:tcPr>
          <w:p>
            <w:pPr>
              <w:spacing w:after="0"/>
              <w:rPr>
                <w:sz w:val="16"/>
                <w:szCs w:val="16"/>
                <w:color w:val="auto"/>
              </w:rPr>
            </w:pPr>
          </w:p>
        </w:tc>
        <w:tc>
          <w:tcPr>
            <w:tcW w:w="2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106,541</w:t>
            </w:r>
          </w:p>
        </w:tc>
        <w:tc>
          <w:tcPr>
            <w:tcW w:w="10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12,567</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vMerge w:val="continue"/>
            <w:shd w:val="clear" w:color="auto" w:fill="CFF0FC"/>
          </w:tcPr>
          <w:p>
            <w:pPr>
              <w:spacing w:after="0"/>
              <w:rPr>
                <w:sz w:val="20"/>
                <w:szCs w:val="20"/>
                <w:color w:val="auto"/>
              </w:rPr>
            </w:pPr>
          </w:p>
        </w:tc>
        <w:tc>
          <w:tcPr>
            <w:tcW w:w="7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vMerge w:val="continue"/>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1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research and development efforts are focused on the design and development of Precision Timing solutions. Our research and development expense consists primarily of personnel costs, pre-production engineering mask costs, software license expenses, design tools and prototype-related expenses, facility costs, supplies, professional and consulting fees, and allocated overhead costs, which may be offset by non-recurring engineering contra-expenses recorded in certain periods. There is no assurance that we will have non-recurring engineering contra-expense from period to period.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expenses to fluctuate as a percentage of revenue from period to period depending on the timing of these expenses.</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$5.1 million, or 20%, for the three months ended June 30, 2025, compared to the same period in the prior year, primarily due to higher engineering spend towards ongoing new product development of $1.7 million, and increase in stock-based compensation expense of $1.7 million, and higher other personnel costs of $1.1 million due to increase in headcount.</w:t>
      </w:r>
    </w:p>
    <w:p>
      <w:pPr>
        <w:spacing w:after="0" w:line="6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$9.6 million, or 19% for the six months ended June 30, 2025, compared to the same period in the prior year, primarily due to higher engineering spend towards ongoing new product development of $3.9 million, and increase in stock-based compensation expense of $3.2 million, and higher other personnel costs of $2.2 million due to increase in headcount.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General and Administrative</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Sales, general and administrative expense consists of personnel costs, professional and consulting fees, accounting and audit fees, legal costs, field application engineering support, travel costs, advertising expenses, and allocated overhead costs. We expect sales, general and administrative expenses to continue to increase in absolute dollars as we increase our personnel and grow our operations, although it may fluctuate as a percentage of revenue from period to period depending on the timing of these expenses.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by $3.0 million, or 12%, for the three months ended June 30, 2025, compared to the same period in the prior year, primarily due to higher stock-based compensation expense of $1.3 million, higher consulting fees of $1.2 million, and higher other personnel costs of $0.6 million due to increase in headcount.</w:t>
      </w:r>
    </w:p>
    <w:p>
      <w:pPr>
        <w:spacing w:after="0" w:line="6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by $6.0 million, or 12%, for the six months ended June 30, 2025 compared to the same period in the prior year, primarily due to higher stock-based compensation expense of $2.6 million due to new grants, higher other personnel costs of $1.8 million, and higher consulting fees of $1.4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related costs</w:t>
      </w:r>
    </w:p>
    <w:p>
      <w:pPr>
        <w:spacing w:after="0" w:line="121" w:lineRule="exact"/>
        <w:rPr>
          <w:sz w:val="20"/>
          <w:szCs w:val="20"/>
          <w:color w:val="auto"/>
        </w:rPr>
      </w:pPr>
    </w:p>
    <w:p>
      <w:pPr>
        <w:jc w:val="both"/>
        <w:ind w:right="140"/>
        <w:spacing w:after="0" w:line="312" w:lineRule="auto"/>
        <w:rPr>
          <w:sz w:val="20"/>
          <w:szCs w:val="20"/>
          <w:color w:val="auto"/>
        </w:rPr>
      </w:pPr>
      <w:r>
        <w:rPr>
          <w:rFonts w:ascii="Times New Roman" w:cs="Times New Roman" w:eastAsia="Times New Roman" w:hAnsi="Times New Roman"/>
          <w:sz w:val="17"/>
          <w:szCs w:val="17"/>
          <w:color w:val="auto"/>
        </w:rPr>
        <w:t>Acquisition related costs include legal, regulatory, consulting, and other costs incurred towards the acquisition closed during the year ended December 31, 2023, and also include changes in the fair value of the sales-based earnout liability and interest accretion related to the acquisition consideration payable.</w:t>
      </w:r>
    </w:p>
    <w:p>
      <w:pPr>
        <w:spacing w:after="0" w:line="3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Acquisition related costs decreased by $1.3 million, or 41%, for the three months ended June 30, 2025, primarily due to lower accretion of acquisition consideration payable and earnouts by $0.5 million and $0.8 million respectively due to lower remaining amount payable.</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Acquisition related costs decreased by $3.0 million, or 46%, for the six months ended June 30, 2025 compared to the same period in the prior year, primarily due to lower accretion of acquisition consideration payable and earnouts by $1.4 million and $0.9 million respectively due to lower remaining amount payable, and a reduction in one-time acquisition costs related to the 2023 Aura transaction of $0.6 million.</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will incur incremental costs in 2025 and beyond related to the Aura transaction arising from changes in the fair value of the sales-based earnout liability and accretion of acquisition consideration payable.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primarily of interest income on short term investments.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00" w:type="dxa"/>
            <w:vAlign w:val="bottom"/>
          </w:tcPr>
          <w:p>
            <w:pPr>
              <w:spacing w:after="0"/>
              <w:rPr>
                <w:sz w:val="15"/>
                <w:szCs w:val="15"/>
                <w:color w:val="auto"/>
              </w:rPr>
            </w:pPr>
          </w:p>
        </w:tc>
        <w:tc>
          <w:tcPr>
            <w:tcW w:w="13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r>
      <w:tr>
        <w:trPr>
          <w:trHeight w:val="190"/>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tcPr>
          <w:p>
            <w:pPr>
              <w:jc w:val="center"/>
              <w:ind w:left="52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center"/>
              <w:ind w:left="56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
        </w:trPr>
        <w:tc>
          <w:tcPr>
            <w:tcW w:w="15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6"/>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15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27"/>
        </w:trPr>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40" w:type="dxa"/>
            <w:vAlign w:val="bottom"/>
          </w:tcPr>
          <w:p>
            <w:pPr>
              <w:spacing w:after="0"/>
              <w:rPr>
                <w:sz w:val="19"/>
                <w:szCs w:val="19"/>
                <w:color w:val="auto"/>
              </w:rPr>
            </w:pPr>
          </w:p>
        </w:tc>
      </w:tr>
      <w:tr>
        <w:trPr>
          <w:trHeight w:val="37"/>
        </w:trPr>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3"/>
        </w:trPr>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5,736</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8,557</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12,296</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r>
    </w:tbl>
    <w:p>
      <w:pPr>
        <w:spacing w:after="0" w:line="18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Interest income decreased by $1.5 million or 26% for the three months ended June 30, 2025, compared to the same period in the prior year due to a decrease in average investment balance during the period arising from acquisition related payments, payments towards capital expenditures, as well as lower interest rates.</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Interest income decreased by $3.7 million or 30% for the six months ended June 30, 2025, compared to the same period in the prior year due to a decrease in average investment balances during the period arising from acquisition related payments in the current year, payment towards capital expenditures, as well as lower interest rates.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primarily of foreign exchange gains and losses.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80" w:type="dxa"/>
            <w:vAlign w:val="bottom"/>
          </w:tcPr>
          <w:p>
            <w:pPr>
              <w:spacing w:after="0"/>
              <w:rPr>
                <w:sz w:val="14"/>
                <w:szCs w:val="14"/>
                <w:color w:val="auto"/>
              </w:rPr>
            </w:pPr>
          </w:p>
        </w:tc>
        <w:tc>
          <w:tcPr>
            <w:tcW w:w="9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4"/>
                <w:szCs w:val="14"/>
                <w:color w:val="auto"/>
              </w:rPr>
            </w:pPr>
          </w:p>
        </w:tc>
      </w:tr>
      <w:tr>
        <w:trPr>
          <w:trHeight w:val="190"/>
        </w:trPr>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center"/>
              <w:ind w:left="54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center"/>
              <w:ind w:left="56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50"/>
        </w:trPr>
        <w:tc>
          <w:tcPr>
            <w:tcW w:w="15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186"/>
        </w:trPr>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15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26"/>
        </w:trPr>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60" w:type="dxa"/>
            <w:vAlign w:val="bottom"/>
          </w:tcPr>
          <w:p>
            <w:pPr>
              <w:spacing w:after="0"/>
              <w:rPr>
                <w:sz w:val="19"/>
                <w:szCs w:val="19"/>
                <w:color w:val="auto"/>
              </w:rPr>
            </w:pPr>
          </w:p>
        </w:tc>
      </w:tr>
      <w:tr>
        <w:trPr>
          <w:trHeight w:val="37"/>
        </w:trPr>
        <w:tc>
          <w:tcPr>
            <w:tcW w:w="1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2"/>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43"/>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 net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0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Other income (expense), net, increased by $0.4 million and $0.6 million for the three and six months ended June 30, 2025 respectively, compared to the same periods in the prior year primarily due to lower net unrealized losses on foreign exchange rates from activities in our foreign subsidiaries resulting from favorable exchange rate fluctuations.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net operating loss ("NOL") carryforwards, and tax credits related primarily to research and development. We expect to maintain this full valuation allowance until realization of the deferred tax assets becomes more likely than not.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2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5"/>
                <w:szCs w:val="15"/>
                <w:color w:val="auto"/>
              </w:rPr>
            </w:pPr>
          </w:p>
        </w:tc>
      </w:tr>
      <w:tr>
        <w:trPr>
          <w:trHeight w:val="190"/>
        </w:trPr>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center"/>
              <w:ind w:left="52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7"/>
        </w:trPr>
        <w:tc>
          <w:tcPr>
            <w:tcW w:w="15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6"/>
        </w:trPr>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0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15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27"/>
        </w:trPr>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60" w:type="dxa"/>
            <w:vAlign w:val="bottom"/>
          </w:tcPr>
          <w:p>
            <w:pPr>
              <w:spacing w:after="0"/>
              <w:rPr>
                <w:sz w:val="19"/>
                <w:szCs w:val="19"/>
                <w:color w:val="auto"/>
              </w:rPr>
            </w:pPr>
          </w:p>
        </w:tc>
      </w:tr>
      <w:tr>
        <w:trPr>
          <w:trHeight w:val="37"/>
        </w:trPr>
        <w:tc>
          <w:tcPr>
            <w:tcW w:w="1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6"/>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30"/>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benefit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25"/>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we had cash and cash equivalents of $172.5 million and $6.1 million, respectively. As of June 30, 2025 and December 31, 2024, we also held $624.1 million and $412.7 million of short-term investments, respectively, in held-to-maturity securities that consisted of treasury bills. Our principal use of cash is to fund our operations, to support growth through capital investments, and to acquire complementary businesses, products, services or technologies in the future.</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February 2024, we entered into a Sales Agreement with Stifel, under which we may offer and sell from time to time at our sole discretion, up to an aggregate of 1,200,000 shares of our common stock, par value $0.0001 per share, through Stifel as our sales agent. During the six months ended June 30, 2025, we sold 150,000 shares of our common stock under the Sales Agreement at a weighted average price of $203.94 per share resulting in net proceeds to us of $29.7 million, after deducting underwriting discounts and commissions and offering costs. The Company used the net proceeds from the shares of common stock offered and sold to replenish funds expended to satisfy anticipated tax withholding and remittance obligations related to the net settlement upon vesting of restricted stock unit awards (“RSU”) granted to employees under the equity incentive plans.</w:t>
      </w:r>
    </w:p>
    <w:p>
      <w:pPr>
        <w:spacing w:after="0" w:line="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June 27, 2025, we completed a follow-on public offering, in which we issued and sold 2,012,500 shares of our common stock, resulting in net proceeds to us of $387.3 million after deducting underwriting discounts and commissions of $14.1 million and deferred offering costs of $1.1 million.</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purchase obligations primarily include non-cancelable purchase commitments from agreements with our contract manufacturers as well as a multi-year purchase agreement with commitment to purchase minimum quantities of MEMS wafers and research and development, tooling and sample cost under the agreement, and design and simulation licenses. For information about our contractual obligations refer to "Note 5 - Leases" and "Note 9 - Commitments and Contingencies" of the Notes to Condensed Consolidated Financial Statements for the period ending June 30, 2025.</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expect to continue our investing activities to support growth, primarily through the purchase of property and equipment, intellectual property licenses, and capitalized software, to support research and development, sales and marketing, product support, and administrative staff.</w:t>
      </w:r>
    </w:p>
    <w:p>
      <w:pPr>
        <w:spacing w:after="0" w:line="5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We believe that our existing cash and cash equivalents and our short-term investments will be sufficient to meet our operating cash needs for at least the next 12 months. Over the longer term, our future capital requirements will depend on many factors, including our growth rate, the timing and extent of our sales and marketing and research and development expenditures, costs to acquire or invest in complementary businesses and technologies, payment obligations associated with our completed acquisitions based on achievement of certain milestones, and the continuing market acceptance of our solutions.</w:t>
      </w:r>
    </w:p>
    <w:p>
      <w:pPr>
        <w:spacing w:after="0" w:line="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flows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7"/>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r>
      <w:tr>
        <w:trPr>
          <w:trHeight w:val="37"/>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30,376</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78,412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383,404</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(72,791)</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166,416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7,169</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six months ended June 30, 2025, net cash provided by operating activities of $30.4 million was primarily due to a net loss of $44.1 million and change in operating assets and liabilities of $3.2 million, offset by non-cash expenses of $77.7 million. Non-cash expenses were mainly related to stock-based compensation expense, depreciation and amortization, change in fair value of sales based earnout liability, accretion of acquisition consideration payable, inventory write-down and net change in unrealized interest on held to maturity investments. The changes in operating assets and liabilities resulted in cash used primarily due to an increase in inventories as we built our wafer inventory levels, increase in accounts payable and accrued expenses primarily due to timing of accrued payroll and related benefit payments, and an increase in prepaid expenses and other assets due to timing of payment to vendors, partially offset by a decrease in our accounts receivables due to timing of shipments.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investing activities consist primarily of purchase and maturities of short-term investments as well as capital expenditures for property and equipment purchases. Our short-term investments were primarily in treasury bills to earn interest. Our capital expenditures for property and equipment have primarily been for general business purposes, including machinery and equipment, leasehold improvements, acquired software, computer equipment used internally, and production masks to manufacture our products.</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2025, net cash used in investing activities was $247.4 million. We paid $635.8 million to purchase short-term investments in held-to-maturity securities. We paid $34.7 million largely to purchase manufacturing equipment and intangibles to support the general business operations. These payments were offset by proceeds of $423.2 million generated from held-to-maturity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financing activities have primarily consisted of proceeds from issuance of shares, payments of withholding taxes on RSUs, and payment of acquisition related consideration and earnouts. During the six months ended June 30, 2025, we sold 150,000 shares of our common stock through Stifel under the Sales Agreement resulting in net proceeds to the Company of $29.7 million, after deducting underwriting discounts and commissions of $0.6 million and deferred offering costs of $0.3 million. Further, we completed a follow-on public offering on June 27, 2025, in which we issued and sold 2,012,500 shares of our common stock, resulting in net proceeds to us of $387.3 million after deducting underwriting discounts and commissions of $14.1 million and deferred offering costs of $1.1 million, including deferred offering costs of $1.0 million unpaid as at June 30, 2025. We also paid tax withholdings on behalf of employees for net share settlement of $27.3 million, and paid earnouts of $6.3 million related to the Aura transaction.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GAAP. The preparation of these financial statements and accompanying disclosures requires us to make estimates and assumptions that affect the reported amounts of assets, liabilities, revenues and expenses, and related disclosures of contingent assets and liabilities in the consolidated financial statements and the accompanying notes. The Securities and Exchange Commission (the "SEC"), has defined a company’s critical accounting estimates as estimates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estimates to be as follows: (1) revenue recognition (2) business combinations, and (3) inventory.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estimates in Management’s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Discussion and Analysis of Financial Condition and Results of Operations, in our Annual Report on Form 10-K for the year ended December 31, 2024, filed with the SEC on February 14, 2025.</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Substantially all of our revenue is denominated in U.S. dollars. Our expenses are generally denominated in the currencies in which our operations are located, which is primarily in the United States and, to a lesser extent, in Finland, France, Germany, India, Japan, Korea, Malaysia, the Netherlands, and Taiwan.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had cash and cash equivalents of $172.5 million and $6.1 million as of June 30, 2025 and December 31, 2024, respectively, consisting of bank deposits, money market funds and treasury bills. We also had short-term investments in held-to-maturity securities of $624.1 million and $412.7 million consisting of treasury bills as of June 30, 2025 and December 31, 2024. Such interest-earning instruments carry a degree of interest rate risk. During the six months ended June 30, 2025, we have generated $8.6 million in interest income through our investment balance.</w:t>
      </w:r>
    </w:p>
    <w:p>
      <w:pPr>
        <w:spacing w:after="0" w:line="72"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We do not enter into investments for trading or speculative purposes and have not used any derivative financial instruments to manage our interest rate risk exposure. As of June 30, 2025, a hypothetical 10% increase or decrease in market interest rates would change the fair value and related interest income on our interest-earning instruments of $624.1 million, by an increase or decrease of approximately $0.9 million for the six months ended June 30, 2025.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spacing w:after="0" w:line="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Note 9 of the Notes to Condensed Consolidated Financial Statements in Part I, Item 1 of this Quarterly Report on Form 10-Q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macroeconomic conditions have harmed and may continue to harm our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 global company and therefore our business, results of operations, and financial condition are impacted by global macroeconomic conditions. Macroeconomic events such as rising inflation, recession, equity market volatility, geopolitical tensions, war, declines in income or asset values, decreased spending, changes to fuel and other energy costs, public health crises, supply chain disruptions, changes to U.S. trade policies, which may result in trade restrictions and sanctions, and global banking concerns have caused economic volatility, which has and may continue to harm our business, financial condition, and results of operations, and may cause an extended downturn in the worldwide economy, which would further harm our business, financial condition and results of operations. Tariffs and escalations of trade tensions between the U.S. and its trading partners may result in long-term changes to global trade. Economic volatility and adverse economic conditions have affected and may continue to affect the demand for our products and our customers’ products. Reduced demand for our customers’ products may lead to a buildup of inventory at many of our customers, including distributors, and their affiliates, partners, and contract manufacturers, which may adversely affect demand for our products. Reduced demand for our products could result in significant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w:t>
      </w:r>
    </w:p>
    <w:p>
      <w:pPr>
        <w:spacing w:after="0" w:line="8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 due to credit defaults. As a result, global macroeconomic conditions have had and may continue to have a material adverse effect on our business, results of operations,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From time to time, these factors, together with changes in macroeconomic conditions, can cause significant upturns and downturns in the semiconductor industry, and in our business. Downturns in the semiconductor industry have been characterized by diminished product demand, production overcapacity, high inventory levels for us and our customers, and erosion of average selling prices. For example, in 2023 we experienced, and we may in the future experience, customer inventory adjustments that may adversely affect our results of operations. Any downturns in the semiconductor industry could harm our business, financial condition, and results of operations.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spacing w:after="0" w:line="76"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Historically we have derived a significant portion of our revenue from a limited number of customers. We sell our products primarily through distributors, who in turn sell to our end customers. We also sell directly to our end customers. Our top three distributors by revenue together accounted for approximately 66% and 55% of our revenue for the three months ended June 30, 2025 and 2024, respectively, and 64% and 54% of our revenue six months ended June 30, 2025 and 2024, respectively. Based on our shipment information, we believe that revenue attributable to our ten largest end customers accounted for 64% and 59% of our revenue for the three months ended June 30, 2025 and 2024, respectively, and 64% and 57% of our revenue six months ended June 30, 2025 and 2024, respectively. Sales attributable to Apple Inc., our largest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end customer accounted for approximately 17% and 18% of our revenue for the three months ended June 30, 2025 and 2024, respectively, and 18% and 18% of our revenue six months ended June 30, 2025 and 2024, respectively. We anticipate revenue attributable to this customer will fluctuate from period to period. Although we sell our products to this customer through distributors on a purchase order basis, including, but not limited to, Pernas Electronics Co., Ltd., Arrow Electronics, Inc., and Quantek Technology Corporation,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w:t>
      </w:r>
    </w:p>
    <w:p>
      <w:pPr>
        <w:spacing w:after="0" w:line="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our operating results for the foreseeable future will continue to depend to a significant extent on sales attributable to a limited number of customers and end customers. If we are unable to expand or further diversify our customer base, it could harm our business, financial condition, and results of operations.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our end customers were to choose to work with other manufacturers or our relationships with our customers are disrupted for any reason, it could have a significant negative impact on our business. Any reduction in sales attributable to our larger customers and end customers, including our largest end customer, would have a significant and disproportionate impact on our business, financial condition, and results of operations. Geopolitical tensions are leading to an increasing trend of customers seeking domestically produced products or reducing the dependence upon or use of products from certain countries, which could limit our ability to make sales to these customers.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Further,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7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sell our products primarily through distributors, usually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forecasts provided by customers, end customers, or their affiliates or contract manufacturers may change or may later prove to have been inaccurate which could make demand for our products difficult for us to predict and could expose us to the risks of inventory shortages or excess inventory and materially harm our results of operations. As we do not acquire inventory to pre-build custom products, we may not be able to fulfill increased demand in the short term. Any of the foregoing events could materially and adversely affect our business, financial condition,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operating results may fluctuate from period to period, which could cause our stock price to fluctuate.</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changes. Factors relating to our business that may contribute to fluctuations in our operating results include the following factors, as well as other factors described elsewhere in this report:</w:t>
      </w:r>
    </w:p>
    <w:p>
      <w:pPr>
        <w:spacing w:after="0" w:line="72" w:lineRule="exact"/>
        <w:rPr>
          <w:sz w:val="20"/>
          <w:szCs w:val="20"/>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fluctuations in the semiconductor market;</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and product life cycles;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reduction, or cancellation of, or changes in the forecasts or timing of, orders by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levels of inventories held by our distributors or end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product cost, and product mix;</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delays, shortages, and capacity limitations;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our customers’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introduce, and market new products and technologies on a timely basis;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product development costs;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and introductions by us or our competitors;</w:t>
      </w:r>
    </w:p>
    <w:p>
      <w:pPr>
        <w:spacing w:after="0" w:line="117" w:lineRule="exact"/>
        <w:rPr>
          <w:rFonts w:ascii="Times New Roman" w:cs="Times New Roman" w:eastAsia="Times New Roman" w:hAnsi="Times New Roman"/>
          <w:sz w:val="18"/>
          <w:szCs w:val="18"/>
          <w:color w:val="auto"/>
        </w:rPr>
      </w:pPr>
    </w:p>
    <w:p>
      <w:pPr>
        <w:ind w:left="2360" w:right="24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costs and related new product expenditures and our ability to achieve cost reductions in a timely or predictable manner;</w:t>
      </w:r>
    </w:p>
    <w:p>
      <w:pPr>
        <w:spacing w:after="0" w:line="53" w:lineRule="exact"/>
        <w:rPr>
          <w:rFonts w:ascii="Times New Roman" w:cs="Times New Roman" w:eastAsia="Times New Roman" w:hAnsi="Times New Roman"/>
          <w:sz w:val="18"/>
          <w:szCs w:val="18"/>
          <w:color w:val="auto"/>
        </w:rPr>
      </w:pPr>
    </w:p>
    <w:p>
      <w:pPr>
        <w:ind w:left="2360" w:right="26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fluctuations in sales by product manufacturers that incorporate our Precision Timing solutions into their products;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end-market demand into which we have limited insight, including cyclicality, seasonality, and the competitive landscape;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socioeconomic or political conditions in the countries where we operate or where our products are sold or used;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 epidemic, or outbreak of disease, on our business, suppliers, and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warranty claims, including those not covered by our suppliers;</w:t>
      </w:r>
    </w:p>
    <w:p>
      <w:pPr>
        <w:spacing w:after="0" w:line="117" w:lineRule="exact"/>
        <w:rPr>
          <w:rFonts w:ascii="Times New Roman" w:cs="Times New Roman" w:eastAsia="Times New Roman" w:hAnsi="Times New Roman"/>
          <w:sz w:val="18"/>
          <w:szCs w:val="18"/>
          <w:color w:val="auto"/>
        </w:rPr>
      </w:pPr>
    </w:p>
    <w:p>
      <w:pPr>
        <w:ind w:left="2360" w:right="32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disruptions or delays due to failure of information technology infrastructure or enterprise resource planning systems;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 or changes in existing accounting standards;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one or more of our executive officers or other key employees.</w:t>
      </w:r>
    </w:p>
    <w:p>
      <w:pPr>
        <w:spacing w:after="0" w:line="11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for our wafer fabrication, assembly, packaging, and testing operations, which exposes us to certain risks that may harm our business.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operate an outsourced manufacturing business model. As a result, we rely on third parties, primarily located outside the U.S., for all of our manufacturing operations, including wafer fabrication, assembly, packaging, and testing. Adverse relations between the U.S. and any country supplying our materials could impact timely availability of our inventory.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which are procured or subcontracted by our third-party suppliers for manufacturing of our products are procured or subcontracted on a single or sole-source basis. Except for our agreement with Robert Bosch LLC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The initial term of this supply agreement is through February 2027 and renews automatically. We currently rely primarily on Bosch and Teledyne Digital Imaging Inc. ("Teledyne") for our MEMS fabrication, and primarily on TSMC for our analog circuits fabrication, and any disruption in the supply of wafers or any increases in the wafer or materials prices could adversely affect our gross margins and our ability to meet customer demands in a timely manner, or at all, and lead to reduced revenue. In 2021 and the first half of 2022 there were a number of industry-wide supply constraints affecting the supply of analog circuits manufactured by certain foundries, including TSMC, and affecting outsourced semiconductor assembly and test providers (“OSATs”), which limited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spacing w:after="0" w:line="8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 ensure continued wafer supply, we may be required to establish alternative wafer supply sources, which could require significant expenditures and limit our negotiating leverage. We currently rely on Bosch, TSMC and Teledyne as our primary foundries and suppliers for our MEMS timing devices and analog circuits, and only a few foundry vendors have the capability to manufacture our most advanced solutions, in particular with respect to our MEMS technology. If we engage alternative supply sources, we may incur additional costs and encounter difficulties and/or delays in qualifying the supply sources. For example, we had a license agreement with Bosch under which Bosch granted us a license to use certain patents. Under this agreement, we were required to pay a royalty fee to Bosch if we engaged third parties to manufacture, or if we decided to manufacture ourselves, certain generations of our MEMS wafers until March 31, 2024. In addition, shipments could be significantly delayed while these sources are qualified for volume production. If we are unable to maintain our relationship with Bosch, TSMC, or Teledyne, our ability to produce high-quality products could suffer, which in turn could harm our business, financial condition, and results of operations.</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currently primarily rely on Advanced Semiconductor Engineering, Inc. (“ASE”), Carsem (M) Sdn. Bhd ("Carsem"). and United Test and Assembly Center Ltd. (“UTAC”) for assembly and testing, as well as Daishinku Corp. (“Daishinku”), UTAC, Hana Semiconductor (Ayutthaya) Co., Ltd, and ASE for ceramic packaging for some of our products. We enter into capacity agreements with certain of our OSATs from time to time, which may adversely impact our gross margins and results of operations if we do not purchase required minimum quantities.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longer to accomplish.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w:t>
      </w:r>
    </w:p>
    <w:p>
      <w:pPr>
        <w:spacing w:after="0" w:line="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5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recent announcements of substantial new tariffs and other restrictive trade policies have created a dynamic and unpredictable trade landscape, which may adversely impact our business.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Current or future tariffs or other restrictive trade measures may raise the costs of raw materials, components or finished goods, which may adversely impact both our product offerings and our operational expenses. Such cost increases may reduce our margins and require us to increase prices, which could harm our competitive position, reduce customer demand and damage customer relationships. Our manufacturers, suppliers and distribution channels are also affected by the current trade environment, and we may experience supply chain disruptions as a result of increased costs and uncertainty, as well as risks to the long-term viability of key vendors, which may impact our ability to meet customer demand or manage inventory efficiently. Tariff and other trade-related cost pressures and supply chain disruptions may lead to reputational harm if we are unable to deliver products or services on expected timelines or if any price increases are poorly received by customers or business partners. In addition, many of our customers operate businesses that may be impacted by trade policies, which may result in decreased demand for our products or extended sales cycles as customers assess the impact of evolving trade policies on their operations and face increased costs or decreased revenue due to tariffs and trade restrictions.</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products, delay purchases, limit expansion opportunities with customers, limit our access to capital, or otherwise negatively impact our business and operations. Ongoing tariff, trade restrictions and macroeconomic uncertainty has and may continue to contribute to volatility in the price of our common stock.</w:t>
      </w:r>
    </w:p>
    <w:p>
      <w:pPr>
        <w:spacing w:after="0" w:line="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U.S. or foreign jurisdictions related to compliance with trade regulations. In addition, retaliatory trade policies or anti-U.S. sentiment in certain regions whether driven by trade tensions, political disagreements, or regulatory concerns may make customers, governments, and investors more hesitant to engage with, purchase from or invest in U.S. firms. This may lead to increased preference for local competitors, changes to government procurement policies, heightened regulatory scrutiny, decreased intellectual property protections, delays in regulatory approvals or other retaliatory regulatory non-tariff policies, which may result in heightened international legal and operational risks and difficulties in attracting and retaining non-U.S. customers, suppliers, employees, partners and investors.</w:t>
      </w:r>
    </w:p>
    <w:p>
      <w:pPr>
        <w:spacing w:after="0" w:line="8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Ongoing uncertainty regarding trade policies may also complicate our short- and long-term strategic planning, and that of our partners and customers, including decisions regarding hiring, product strategy, capital investment, supply chain design and geographic expansion.</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elsewhere in this report and in our Annual Report for the fiscal year ended December 31, 2024.</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operations is located outside of the United States, which subjects us to additional risks, including increased complexity and costs of managing international operations and geopolitical instability.</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outsource the fabrication and assembly of all of our products to third parties that are primarily located in Germany and Asia. In addition, we conduct research and development activities in locations including the United States, Japan, the Netherlands, Taiwan, Ukraine, Finland, and India. We also conduct marketing and administrative functions in the United States, Japan, the Netherlands, China, Taiwan, Malaysia, Ukraine, and India. Members of our sales force are located in various locations outside of the United States. Certain of the critical functions for our business are performed in locations outside of the United States. In addition, approximately 93% and 91% of our revenue for the three months ended June 30, 2025 and 2024, respectively, and 93% and 90% of our revenue six months ended June 30, 2025 and 2024,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84" w:lineRule="exact"/>
        <w:rPr>
          <w:sz w:val="20"/>
          <w:szCs w:val="20"/>
          <w:color w:val="auto"/>
        </w:rPr>
      </w:pPr>
    </w:p>
    <w:p>
      <w:pPr>
        <w:ind w:left="2360" w:right="40" w:hanging="1218"/>
        <w:spacing w:after="0" w:line="282" w:lineRule="auto"/>
        <w:tabs>
          <w:tab w:leader="none" w:pos="23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costs of managing international operations, including manufacturing, assembly, and testing of our products and associated costs;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military conflicts, including the effects of Russia’s invasion of Ukraine;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including the effects of rising inflation and increased interest rates;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for, and vulnerability to theft of, our intellectual property rights, including our trade secrets;</w:t>
      </w:r>
    </w:p>
    <w:p>
      <w:pPr>
        <w:spacing w:after="0" w:line="117" w:lineRule="exact"/>
        <w:rPr>
          <w:rFonts w:ascii="Times New Roman" w:cs="Times New Roman" w:eastAsia="Times New Roman" w:hAnsi="Times New Roman"/>
          <w:sz w:val="18"/>
          <w:szCs w:val="18"/>
          <w:color w:val="auto"/>
        </w:rPr>
      </w:pPr>
    </w:p>
    <w:p>
      <w:pPr>
        <w:ind w:left="2360" w:right="2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53" w:lineRule="exact"/>
        <w:rPr>
          <w:rFonts w:ascii="Times New Roman" w:cs="Times New Roman" w:eastAsia="Times New Roman" w:hAnsi="Times New Roman"/>
          <w:sz w:val="18"/>
          <w:szCs w:val="18"/>
          <w:color w:val="auto"/>
        </w:rPr>
      </w:pPr>
    </w:p>
    <w:p>
      <w:pPr>
        <w:ind w:left="2360" w:right="4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tariffs, including the ongoing trade tensions between the U.S. and China that has resulted in higher tariffs on certain semiconductor products and increased trade restrictions;</w:t>
      </w:r>
    </w:p>
    <w:p>
      <w:pPr>
        <w:spacing w:after="0" w:line="53" w:lineRule="exact"/>
        <w:rPr>
          <w:rFonts w:ascii="Times New Roman" w:cs="Times New Roman" w:eastAsia="Times New Roman" w:hAnsi="Times New Roman"/>
          <w:sz w:val="18"/>
          <w:szCs w:val="18"/>
          <w:color w:val="auto"/>
        </w:rPr>
      </w:pPr>
    </w:p>
    <w:p>
      <w:pPr>
        <w:ind w:left="2360" w:right="26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exchange losses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2360" w:right="140" w:hanging="1218"/>
        <w:spacing w:after="0" w:line="266"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or foreign governments on our ability to do business with certain companies or in certain countries as a result of international political conflicts and the complexity of complying with those restrictions;</w:t>
      </w:r>
    </w:p>
    <w:p>
      <w:pPr>
        <w:spacing w:after="0" w:line="67" w:lineRule="exact"/>
        <w:rPr>
          <w:rFonts w:ascii="Times New Roman" w:cs="Times New Roman" w:eastAsia="Times New Roman" w:hAnsi="Times New Roman"/>
          <w:sz w:val="18"/>
          <w:szCs w:val="18"/>
          <w:color w:val="auto"/>
        </w:rPr>
      </w:pPr>
    </w:p>
    <w:p>
      <w:pPr>
        <w:ind w:left="2360" w:right="6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international operations;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policies which may impact our ability to hire personnel;</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2360" w:right="54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in foreign countries which may impact availability of personnel, such as mandatory military service in countries such as Ukraine, Taiwan, and Finland;</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and the impact of public health epidemics on employees and the global economy;</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outages and natural disasters; and</w:t>
      </w:r>
    </w:p>
    <w:p>
      <w:pPr>
        <w:spacing w:after="0" w:line="117" w:lineRule="exact"/>
        <w:rPr>
          <w:rFonts w:ascii="Times New Roman" w:cs="Times New Roman" w:eastAsia="Times New Roman" w:hAnsi="Times New Roman"/>
          <w:sz w:val="18"/>
          <w:szCs w:val="18"/>
          <w:color w:val="auto"/>
        </w:rPr>
      </w:pPr>
    </w:p>
    <w:p>
      <w:pPr>
        <w:ind w:left="2360" w:right="6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work-from-home or other restrictions or stoppages, like those imposed by governments around the world as a result of pandemics.</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engineering personnel in Taiwan and sales force personnel in China. If political tensions between China and Taiwan were to increase further, it could disrupt our business and adversely affect our financial condition and results of operations. In addition, given the current political and military situation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 Further, the COVID-19 pandemic led to travel, work-from-home, and other restrictions, which significantly impacted our domestic and international operations and the operations of our suppliers, distributors, partners, and customers.</w:t>
      </w:r>
    </w:p>
    <w:p>
      <w:pPr>
        <w:spacing w:after="0" w:line="7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we fail to convince our current or prospective customers to include our products in their product offerings or to achieve a consistent number of design wins, our business, financial condition, and results of operations will be harmed.</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may deteriorate.</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fail to anticipate or respond to technological shifts or market demands, or to develop new or enhanced products or technologies in response to the same in a timely manner,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manner, and our designs do not gain acceptance, we will lose market share and our competitive position.</w:t>
      </w:r>
    </w:p>
    <w:p>
      <w:pPr>
        <w:spacing w:after="0" w:line="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Times New Roman" w:cs="Times New Roman" w:eastAsia="Times New Roman" w:hAnsi="Times New Roman"/>
          <w:sz w:val="18"/>
          <w:szCs w:val="18"/>
          <w:b w:val="1"/>
          <w:bCs w:val="1"/>
          <w:i w:val="1"/>
          <w:iCs w:val="1"/>
          <w:color w:val="auto"/>
        </w:rPr>
        <w:t>.</w:t>
      </w:r>
    </w:p>
    <w:p>
      <w:pPr>
        <w:spacing w:after="0" w:line="6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5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7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develop commercially successful products under such arrangements in a timely manner as a result of any of these and other challenges could have a material adverse effect on our business, results of operations, and financial condition.</w:t>
      </w:r>
    </w:p>
    <w:p>
      <w:pPr>
        <w:spacing w:after="0" w:line="7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success of our Precision Timing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68"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target markets include the communications, datacenter, and enterprise, automotive, industrial, aerospace, and mobile, IoT, and consumer markets. Substantially all of our revenue to date has been attributable to sales of MEMS oscillators. We have expanded our products to include clock IC and timing synchronization solutions. Any deterioration in our target customer or product markets or reduction in capital spending to support these markets could lead to a reduction in demand for our products, which would adversely affect our revenue and results of operations. Further, if our target customer markets do not grow or develop in ways that we currently expect, demand for our technology may not materialize as expected, which would also negatively impact our business, financial condition, and results of operations.</w:t>
      </w:r>
    </w:p>
    <w:p>
      <w:pPr>
        <w:spacing w:after="0" w:line="7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future revenue growth, if any, will depend in part on our ability to expand within our existing markets and our ability to enter into new markets. Each of our end markets presents distinct and substantial challenges and risks and, in many cases, requires us to develop new customized solutions to address the particular requirements of that market. Meeting the technical requirements and securing future design wins in any of these new markets will require a substantial investment of our time and resources. We cannot assure you that we will secure future design wins from these or other new markets, or that we will achieve meaningful revenue from sales in these markets. If new markets do not develop as we currently anticipate or if we are unable to penetrate them and scale in them successfully, our revenue could decline.</w:t>
      </w:r>
    </w:p>
    <w:p>
      <w:pPr>
        <w:spacing w:after="0" w:line="7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5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products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increase operations in other currencies in the future, we may experience foreign exchange gains or losses due to the volatility of other currencies compared to the U.S. dollar. Certain of our employees are located primarily in Finland, India, Japan, Malaysia, the Netherlands, Taiwan, and Ukraine.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7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our individual products have fluctuated historically over time and may do so in the future, which could harm our revenue and gross margins.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Although on average selling prices of our products have increased over time as we introduce higher end products, the average selling prices of our individual products generally decrease over time.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introduce and ship in volume new products in a timely manner, our business and revenue will suffer.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consistently introduce new products that ship in volume, or if our transition to these new products does not successfully occur prior to any decrease in revenue from our prior products, our revenue will likely decline significantly and rapidly.</w:t>
      </w:r>
    </w:p>
    <w:p>
      <w:pPr>
        <w:spacing w:after="0" w:line="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other outbreaks of disease have had and may in the future have an adverse impact upon our business, results of operations and financial condition.</w:t>
      </w:r>
    </w:p>
    <w:p>
      <w:pPr>
        <w:spacing w:after="0" w:line="5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 future pandemic, epidemic, health crisis, or other outbreak of disease, may negatively and materially impact our business, results of operations, and financial condition, due to:</w:t>
      </w:r>
    </w:p>
    <w:p>
      <w:pPr>
        <w:spacing w:after="0" w:line="7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a global economic recession or depression that could significantly reduce demand and/or prices for our products;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reduced productivity in our product development, operations, marketing, sales, and other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mandates, guidance, or recommendations regarding shutdown, closures, or other restrictions;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to our supply chain;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higher rate of losses on our accounts receivable due to credit defaults; 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volatility in our stock price.</w:t>
      </w:r>
    </w:p>
    <w:p>
      <w:pPr>
        <w:spacing w:after="0" w:line="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potential impact that a future pandemic, epidemic, health crisis, or other outbreak of disease, could have on our business, results of operations, and financial condition, and on the other risk factors described in this “Risk Factors” section, remain unclear and difficult to predict.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gross margins may fluctuate due to a variety of factors, which could negatively impact our results of operations and our financial condition.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and geographic and market pricing strategies.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For instance, we continued to see increases in our manufacturing costs in fiscal year 2023 due to industry wide increases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8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in previous periods may not be indicative of future performance and our revenue may fluctuate over time.</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revenue has fluctuated over time. Our revenue was $69.5 million and $43.9 million for the three months ended June 30, 2025 and 2024, respectively, and $129.8 million and $76.9 million for the six months ended June 30, 2025 and 2024, respectively. You should not rely on our revenue for any previous quarterly or annual periods as any indication of our revenue for future fiscal periods. As we grow our business, our revenue may fluctuate in future periods due to a number of</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reasons, which may include macroeconomic conditions, slowing demand for our products, increasing competition, a decrease in the growth of our overall market or market saturation, or our failure to capitalize on growth opportunities.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effectively, we may not be able to execute our business plan and our operating results could suffer.</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7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5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provide a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in our products or failures to meet product specifications could harm our relationships with our customers and damage our reputation.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spacing w:after="0" w:line="6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operate in industries characterized by rapidly changing technologies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develop new or enhanced products or technologies in a timely manner in response to changing market demand, whether due to technological shifts or otherwise, could result in the loss of customers and decreased revenue and have an adverse effect on our business, financial condition, and results of operations.</w:t>
      </w:r>
    </w:p>
    <w:p>
      <w:pPr>
        <w:spacing w:after="0" w:line="7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ensure compliance with evolving industry standards in our target markets, as well as in the timing semiconductor industry. The emergence of new industry standards could render our products incompatible with products developed by third-party suppliers or make it difficult for our products to meet the requirements of certain original equipment manufacturers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make the substantial investments that are required to remain competitive in our business.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we may lose or fail to gain market share, which could negatively impact our operating results and our business.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global semiconductor market in general, and the timing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market share, any of which could harm our business, financial condition, and results of operations. Our competitors range from large, international companies offering a wide range of timing products to smaller companies, including start-ups, specializing in narrow market verticals. Companies that we primarily compete with include, but are not limited to, Abracon LLC, Daishinku Corp., Diodes Incorporated, Kyocera Corporation, Microchip Technology Inc., Murata Manufacturing Co., Ltd., Nihon Dempa Kogyo Co., Ltd., Rakon Limited, Renesas Electronics Corporation, Seiko Epson Corporation, Skyworks Solutions, Inc., Texas Instruments Incorporated, and TXC Corporation.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Our ability to compete successfully will depend on a number of factors, including:</w:t>
      </w:r>
    </w:p>
    <w:p>
      <w:pPr>
        <w:spacing w:after="0" w:line="75" w:lineRule="exact"/>
        <w:rPr>
          <w:sz w:val="20"/>
          <w:szCs w:val="20"/>
          <w:color w:val="auto"/>
        </w:rPr>
      </w:pPr>
    </w:p>
    <w:p>
      <w:pPr>
        <w:ind w:left="2360" w:right="60" w:hanging="1218"/>
        <w:spacing w:after="0" w:line="282" w:lineRule="auto"/>
        <w:tabs>
          <w:tab w:leader="none" w:pos="2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define, design, and regularly introduce new products that anticipate the functionality and integration needs of our customers’ next-generation products and applications;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strong and long-lasting relationships with our customers and other industry participants;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capitalize on, and prevent losses due to, vertical integration by significant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those of competing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design wins;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success of our customers’ products utilizing our solutions within their competitive end markets;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capabilities to provide innovative solutions and maintain our product roadmap;</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sales and marketing efforts, including those of our distributors, and our brand awareness and reputation;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capacity with our foundry and assembly partners to manufacture and assemble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withstand or respond to significant price competition;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and expand international operations in a cost-effective manner;</w:t>
      </w:r>
    </w:p>
    <w:p>
      <w:pPr>
        <w:spacing w:after="0" w:line="117" w:lineRule="exact"/>
        <w:rPr>
          <w:rFonts w:ascii="Times New Roman" w:cs="Times New Roman" w:eastAsia="Times New Roman" w:hAnsi="Times New Roman"/>
          <w:sz w:val="18"/>
          <w:szCs w:val="18"/>
          <w:color w:val="auto"/>
        </w:rPr>
      </w:pPr>
    </w:p>
    <w:p>
      <w:pPr>
        <w:ind w:left="2360" w:right="640" w:hanging="1218"/>
        <w:spacing w:after="0" w:line="282" w:lineRule="auto"/>
        <w:tabs>
          <w:tab w:leader="none" w:pos="2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including obtaining intellectual property rights from third-parties that may be necessary to meet the evolving demands of the market;</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potential patent infringement claims arising from third-parties;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promote and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high-level talent, including our management team and engineers.</w:t>
      </w:r>
    </w:p>
    <w:p>
      <w:pPr>
        <w:spacing w:after="0" w:line="11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their applications. Any of these factors, alone or in combination with others, could harm our business, financial condition, and results of operations and result in a loss of market share and an increase in pricing pressure.</w:t>
      </w:r>
    </w:p>
    <w:p>
      <w:pPr>
        <w:spacing w:after="0" w:line="5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highly skilled key employees, including in engineering, product development, operations, sales, and marketing.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including due to adverse business conditions, could have an adverse effect on our business.</w:t>
      </w:r>
    </w:p>
    <w:p>
      <w:pPr>
        <w:spacing w:after="0" w:line="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 culture has contributed to our success and if we cannot maintain this culture, our business could be harmed.</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54" w:lineRule="exact"/>
        <w:rPr>
          <w:sz w:val="20"/>
          <w:szCs w:val="20"/>
          <w:color w:val="auto"/>
        </w:rPr>
      </w:pPr>
    </w:p>
    <w:p>
      <w:pPr>
        <w:ind w:left="2360" w:right="80" w:hanging="1218"/>
        <w:spacing w:after="0" w:line="282" w:lineRule="auto"/>
        <w:tabs>
          <w:tab w:leader="none" w:pos="23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failure to identify, attract, reward, and retain people in leadership positions in our organization who share and further our culture, values, and mission;</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size and geographic diversity of our workforce;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to move in directions that may divert us from our mission, vision, and values;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challenges of a rapidly-evolving industry;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need to develop expertise in new areas of business that affect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not able to maintain our culture, our business, financial condition, and results of operations could be adversely affected.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acquisition of certain assets and an exclusive license to certain intellectual property of Aura involves a number of risks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1, 2023, we closed the acquisition of certain assets and an exclusive license to certain intellectual property of Aura. The payment obligations in connection with the acquisition have and will continue to reduce our liquidity, and may limit our flexibility in responding to other business opportunities, as well as increase our vulnerability to adverse economic and industry conditions.</w:t>
      </w:r>
    </w:p>
    <w:p>
      <w:pPr>
        <w:spacing w:after="0" w:line="6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entered into the transaction with Aura with the expectation that the transaction would result in various benefits to us, including the expansion of our product portfolio, and growth of our business. To realize the anticipated benefits of the acquisition, the products of Aura must be successfully completed, delivered to us, and then integrated. Product completion can be complex and time consuming, and Aura may not be able to deliver the products on time or deliver products that meet the agreed specified criteria. Further, we may face significant challenges in integrating the technologies and products. If the products are not successfully completed and integrated, the anticipated benefits of the transactions may not be realized fully or may take longer to realize than expected. The acquisition may not further our business strategy as we expect and we may experience unanticipated costs or liabilities associated with the acquisition, which could adversely affect our business or operating results and potentially cause impairment to assets that we recorded as a part of the acquisition including intangible assets and goodwill. In addition, if we are unable to integrate and retain personnel that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joined us as part of the transaction with Aura, we may not be able to fully capitalize on the benefits. Any of the above could decrease the benefits we expect to receive from the agreement with Aura and adversely affect our financial condition and operating results.</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strategic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cause us to forgo other potential transactions or internal projects,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 Further, acquisitions may result in charges such as acquisition-related expenses, write-offs, restructuring charges, or future impairment of goodwill, as well as contingent liabilities, adverse tax consequences, additional share-based compensation expense, and other charges that could adversely affect our results of operations.</w:t>
      </w:r>
    </w:p>
    <w:p>
      <w:pPr>
        <w:spacing w:after="0" w:line="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enter into an agreement for an acquisition, the transaction, or parts of the transaction, may fail to be completed due to factors such as: failure to obtain regulatory or other required approvals, disputes or litigation, or difficulties obtaining financing for the transaction. Even if we fail to complete an acquisition, we may have incurred significant expenses in connection with such transaction and the failure to complete a pending acquisition may result in negative publicity and a negative perception of us among the investment community.</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foregoing reasons, pursuit of an acquisition of other businesses, products, or technologies could adversely impact our business, financial condition,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foundries with which we contract do not achieve satisfactory yields or quality, our reputation and customer relationships could be harmed.</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Raw material and engineered material availability and price fluctuations have in the past and may in the future increase the cost of our products, impact our ability to meet customer commitments, and may adversely affect our results of operations.</w:t>
      </w:r>
    </w:p>
    <w:p>
      <w:pPr>
        <w:spacing w:after="0" w:line="5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limited or delayed availability,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6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spacing w:after="0" w:line="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 annually and as of June 30, 2025, substantially all of which are large distributors, OEMs, and system manufacturers, we had $0.1 million and $0.1 million in allowance for credit losses as of June 30, 2025 and December 31, 2024, respectively. However, if our credit losses were to exceed our current or future allowance for credit losses, our business, financial condition, and results of operations would be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predict our future capital needs, and we may not be able to obtain additional financing to fund our operations.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121" w:lineRule="exact"/>
        <w:rPr>
          <w:sz w:val="20"/>
          <w:szCs w:val="20"/>
          <w:color w:val="auto"/>
        </w:rPr>
      </w:pPr>
    </w:p>
    <w:p>
      <w:pPr>
        <w:ind w:right="80" w:firstLine="81"/>
        <w:spacing w:after="0" w:line="277" w:lineRule="auto"/>
        <w:rPr>
          <w:sz w:val="20"/>
          <w:szCs w:val="20"/>
          <w:color w:val="auto"/>
        </w:rPr>
      </w:pPr>
      <w:r>
        <w:rPr>
          <w:rFonts w:ascii="Times New Roman" w:cs="Times New Roman" w:eastAsia="Times New Roman" w:hAnsi="Times New Roman"/>
          <w:sz w:val="17"/>
          <w:szCs w:val="17"/>
          <w:color w:val="auto"/>
        </w:rPr>
        <w:t>We regularly maintain cash balances at third-party financial institutions in excess of the Federal Deposit Insurance Corporation (“FDIC”) insurance limit. If a depository institution fails to return our deposits or if a depository institution is subject to other adverse conditions in the financial or credit markets, there is no guarantee that the U.S. Department of Treasury, FDIC or Federal Reserve Board will provide access to uninsured deposits, which could restrict access to our cash or cash equivalents and could adversely impact our operating liquidity, financial condition, and results of operations. As of June 30, 2025, a majority of our cash and short-term investment balances were maintained with Wells Fargo &amp; Co., Morgan Stanley, and U.S. Bancorp.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seek, or be required to seek, debt financing.</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the laws associated with our activities outside of the United States could subject us to penalties and other adverse consequences.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7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 over financial reporting may not prevent or detect misstatements because of its inherent limitations, including the possibility of human error, failure or interruption of information technology systems, the circumvention or overriding of controls, or fraud.</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6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environmental laws or regulations, as well as sustainability initiatives, could impose substantial costs and may adversely affect our business.</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product or manufacturing standards could be impacted by new or revised environmental rules and regulations or other social initiatives. For example, a significant portion of our revenue comes from international sales. Environmental laws or regulations in those countries or in the countries of our end customers may increase our cost of doing business and adversely affect our business and results of operations.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customers, regulators, investors, employees, and other stakeholders are focusing on sustainability matters. While we have certain sustainability initiatives, there is no assurance that customers, regulators, investors, and employees will determine that these programs are sufficient. Any actual or perceived shortcomings with respect to our sustainability initiatives and reporting can impact our ability to retain certain customers or increase our customer base, reelect our board of directors, attract and retain certain types of investors, or hire and retain employees. Collecting, measuring, and reporting sustainability information and metrics can be costly, difficult and time consuming, is subject to evolving reporting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standards, and can present numerous operational, reputational, financial, legal, and other risks, any of which could adversely affect our business as well as on our reputation and stock price.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or future changes to U.S. and non-U.S. tax laws could materially adversely affect us.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government contracting regulations, we could suffer a loss of revenue or other penalties.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spacing w:after="0" w:line="7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For example,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including with respect to climate change, such as fire, power loss, telecommunications failure, cyber-attack, war, terrorist attack, political, social, or economic unrest, pandemic, epidemic, health crisis,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7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 federal, and foreign laws and regulations and other legal obligations related to privacy, data protection, and data security could adversely affect us.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subject to a variety of laws and regulations worldwide related to privacy, data protection, and data security, such as the European Union’s General Data Protection Regulation or California’s Consumer Privacy Act of 2018 and Privacy Rights Act of 2020. These laws and regulations are continuously and rapidly evolving, and the scope and interpretation of the laws and regulations that are or may be applicable to us are often uncertain and may be conflicting. As a result, these laws and regulations may be interpreted and applied in a manner inconsistent with our practices or policies and we could face fines, lawsuits, regulatory investigations, and other claims and penalties, and we could be required to fundamentally change our practices, which could adversely affect our business and operating results. Complying with such laws and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regulations may be time-consuming and require additional resources, and could therefore adversely affect our business and results of operations. Any failure or perceived failure by us or our third-party service providers to comply with our privacy, data protection, or data security policies, or legal or contractual obligations, even if unfounded, may result in governmental enforcement actions, litigation, liability, or negative publicity, and could adversely affect our business, financial condition, and results of operations.</w:t>
      </w:r>
    </w:p>
    <w:p>
      <w:pPr>
        <w:spacing w:after="0" w:line="6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cyberattacks, and other disruptions to information technology systems owned or maintained by us or third parties, such as vendors or suppliers, could disrupt our operations, compromise the confidentiality of private customer data or our intellectual property, and adversely affect our business, reputation, operations, and financial results.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our information technology systems, and those of our vendors, suppliers, and customers, including hardware, software, cloud services, infrastructure, networks, and systems, for the effective operation of our business and for secure maintenance and storage of confidential data relating to our business. Additionally, in the ordinary course of business we collect and store sensitive data, including intellectual property and proprietary business information as well as personal information of our customers and employees, in data centers and on information technology systems, including systems that may be controlled or maintained by third parties. The secure operation of these information technology systems, and the processing and maintenance of the information processed by these systems, is critical to our business operations. While we and others have implemented various controls and defenses, cybersecurity attacks and threats have continued to become more prevalent and sophisticated. These threats are constantly evolving, making it increasingly difficult to successfully defend against or implement adequate preventive measures. Geopolitical tensions or conflicts have in the past led to, and may in the future lead to, increased risk of cybersecurity attacks. Notwithstanding defensive measures, experienced programmers, hackers, state actors, or others may be able to penetrate our security controls, or those of our vendors, suppliers, or customers, through attacks such as, but not limited to, phishing or other forms of social engineering, impersonating authorized users, ransomware, spyware, viruses, worms and other malicious software programs, software</w:t>
      </w:r>
    </w:p>
    <w:p>
      <w:pPr>
        <w:spacing w:after="0" w:line="3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supply chain attacks, exploitation of compromised commercial software, bugs and other security weaknesses and vulnerabilities, and covert introduction of malware to computers and networks. Any attack on the information technology systems of us or one of our vendors, suppliers, or customers may be difficult to detect, designed to remain dormant until a triggering event, or may continue undetected for an extended period of time. In addition, our information technology systems and those of our vendors, suppliers, and customers may be vulnerable to damage, disruptions, or shutdowns due to errors, negligence or malfeasance by employees, contractors, or others who have access to these systems.</w:t>
      </w:r>
    </w:p>
    <w:p>
      <w:pPr>
        <w:spacing w:after="0" w:line="6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Security breaches, cyberattacks, and other disruptions to our information technology systems or those of our vendors, suppliers, or customers could compromise the confidentiality, operational integrity, and accessibility of our information technology systems, or those of our vendors, suppliers, or customers, which could result in the compromise, unauthorized publication, or loss of proprietary data, intellectual property, or personal information, as well as interruptions or delays in our business operations, loss of existing or future customers, and damage to our reputation, which could adversely affect our business, reputation, and financial results. In addition, such events could result in violations of privacy or other laws, increase the risk of litigation or regulatory investigation, or cause us to incur direct losses if attackers initiate wire transfers or access our bank or investment accounts. We expect ongoing and increasing costs related to investments in technology, controls, processes, and practices; however these investments may not be sufficient to shield us from significant losses or liability in the event of security breaches, cyberattacks, or other disruptions to our information technology systems.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impacted by information technology system failures or network disruptions, and lack of redundancy.</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w:t>
      </w:r>
    </w:p>
    <w:p>
      <w:pPr>
        <w:spacing w:after="0" w:line="6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Our systems are not fully redundant, and depending on the severity of the damage or interruption, our disaster recovery plans may be inadequate or ineffective. These events could also damage our reputation, and result in increased costs or loss of sales.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December 31, 2024, we had U.S. federal, state and foreign NOL, carryforwards of approximately $250.7 million, $84.5 million and $2.0 million, respectively, and U.S. federal and state research and development tax credit carryforwards of approximately $3.9 million and $3.6 million, respectively. The U.S. federal, state, and the foreign NOL carryforwards begin to expire in 2028. The U.S. federal research and development tax credit carryforwards begin to expire in 2025 and the state research and development tax credit carryforwards carry forward indefinitely. These NOL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may be limited. We completed a Section 382 analysis and determined an ownership change last occurred in 2014 and concluded that it had no impact on U.S. federal and California NOLs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updated the Section 382 analysis through December 31, 2024, and concluded there have not been any additional ownership changes as defined under Section 382 since the June 16, 2020 follow-on offering.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Coronavirus Aid, Relief, and Economic Security Act, which was signed into law in 2020, an NOL from a tax year beginning in 2018, 2019 or 2020 can be carried back five years and would not be subject to the 80%-of-income limitation if they are exhausted during the five-year carryback period or during 2018, 2019 or 2020. The Company will not carry back any NOLs as they did not have taxable income in prior years.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June 30, 2025, we had 141 issued U.S. patents, expiring generally between 2026 and 2040, and 48 pending U.S. patent applications (including 11 provisional applications). We also had 5 foreign issued patents expiring in 2036 and 8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may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spacing w:after="0" w:line="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7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7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5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6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investors perceive these results to be negative, it could have a substantial adverse effect on the price of our common stock.</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68" w:lineRule="exact"/>
        <w:rPr>
          <w:sz w:val="20"/>
          <w:szCs w:val="20"/>
          <w:color w:val="auto"/>
        </w:rPr>
      </w:pPr>
    </w:p>
    <w:p>
      <w:pPr>
        <w:ind w:left="2280" w:hanging="1138"/>
        <w:spacing w:after="0"/>
        <w:tabs>
          <w:tab w:leader="none" w:pos="2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or sale of the applicable products, processes, or technology;</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 by us or our customers;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processes, or technology, which may not be successful;</w:t>
      </w:r>
    </w:p>
    <w:p>
      <w:pPr>
        <w:spacing w:after="0" w:line="117"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53" w:lineRule="exact"/>
        <w:rPr>
          <w:rFonts w:ascii="Times New Roman" w:cs="Times New Roman" w:eastAsia="Times New Roman" w:hAnsi="Times New Roman"/>
          <w:sz w:val="18"/>
          <w:szCs w:val="18"/>
          <w:color w:val="auto"/>
        </w:rPr>
      </w:pPr>
    </w:p>
    <w:p>
      <w:pPr>
        <w:ind w:left="2280" w:right="200" w:hanging="1138"/>
        <w:spacing w:after="0" w:line="282" w:lineRule="auto"/>
        <w:tabs>
          <w:tab w:leader="none" w:pos="22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to resolve an infringement claim, which could weaken our ability to compete with that competitor;</w:t>
      </w:r>
    </w:p>
    <w:p>
      <w:pPr>
        <w:spacing w:after="0" w:line="53" w:lineRule="exact"/>
        <w:rPr>
          <w:rFonts w:ascii="Times New Roman" w:cs="Times New Roman" w:eastAsia="Times New Roman" w:hAnsi="Times New Roman"/>
          <w:sz w:val="18"/>
          <w:szCs w:val="18"/>
          <w:color w:val="auto"/>
        </w:rPr>
      </w:pPr>
    </w:p>
    <w:p>
      <w:pPr>
        <w:ind w:left="2280" w:right="80" w:hanging="1138"/>
        <w:spacing w:after="0" w:line="282" w:lineRule="auto"/>
        <w:tabs>
          <w:tab w:leader="none" w:pos="22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rights against others; or</w:t>
      </w:r>
    </w:p>
    <w:p>
      <w:pPr>
        <w:spacing w:after="0" w:line="53" w:lineRule="exact"/>
        <w:rPr>
          <w:rFonts w:ascii="Times New Roman" w:cs="Times New Roman" w:eastAsia="Times New Roman" w:hAnsi="Times New Roman"/>
          <w:sz w:val="18"/>
          <w:szCs w:val="18"/>
          <w:color w:val="auto"/>
        </w:rPr>
      </w:pPr>
    </w:p>
    <w:p>
      <w:pPr>
        <w:ind w:left="2280" w:right="60" w:hanging="1138"/>
        <w:spacing w:after="0" w:line="282" w:lineRule="auto"/>
        <w:tabs>
          <w:tab w:leader="none" w:pos="22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or end users to discontinue their use of or to replace infringing technology sold to them with non-infringing technology, if available.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results could adversely affect our business, financial condition, and results of operations.</w:t>
      </w:r>
    </w:p>
    <w:p>
      <w:pPr>
        <w:spacing w:after="0" w:line="11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Concentration of Ownership in Our Common Stock</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long as a limited number of stockholders hold a significant amount of our stock, our other stockholders’ ability to influence matters requiring stockholder approval will be limited.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latest filings with the SEC, holders of 5% or more of our common stock and their affiliates, beneficially owned approximately 47.7% of the</w:t>
      </w:r>
    </w:p>
    <w:p>
      <w:pPr>
        <w:spacing w:after="0" w:line="5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outstanding shares of our common stock, based on the number of shares outstanding as of June 30, 2025. As a result, this group of stockholders has the ability to significantly influence us through this ownership position.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example, as long as this group of stockholders continue to hold a significant or the largest ownership position in our outstanding common stock, they may have the ability to affect the outcome of any stockholder vote during this period. As a result, they will have the ability to exert significant influence over many matters affecting us, either through a board representative or as a stockholder, including:</w:t>
      </w:r>
    </w:p>
    <w:p>
      <w:pPr>
        <w:spacing w:after="0" w:line="68" w:lineRule="exact"/>
        <w:rPr>
          <w:sz w:val="20"/>
          <w:szCs w:val="20"/>
          <w:color w:val="auto"/>
        </w:rPr>
      </w:pPr>
    </w:p>
    <w:p>
      <w:pPr>
        <w:ind w:left="2280" w:hanging="1138"/>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our business plans and policies, including the appointment and removal of our officers;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and other business combinations;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or disposition of assets;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activities;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stock; and</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available for issuance under our stock plans.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Significant ownership position of these stockholders may discourage transactions involving a change of control of us, including transactions in which other holders of our common stock might otherwise receive a premium for their shares over the then current market price. In addition, as a result of this significant influence, persons who we would like to invite to join our board of directors may decline to do so.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our common stock could cause the market price of our common stock to decline.</w:t>
      </w:r>
    </w:p>
    <w:p>
      <w:pPr>
        <w:spacing w:after="0" w:line="12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The market price of our common stock could decline as a result of substantial sales of our common stock, particularly sales by our directors, executive officers, and significant stockholders, including MegaChips, or the perception in the market that a large number of stockholders intend to sell their shares.</w:t>
      </w:r>
    </w:p>
    <w:p>
      <w:pPr>
        <w:spacing w:after="0" w:line="2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and bylaws include provisions that:</w:t>
      </w:r>
    </w:p>
    <w:p>
      <w:pPr>
        <w:spacing w:after="0" w:line="99" w:lineRule="exact"/>
        <w:rPr>
          <w:sz w:val="20"/>
          <w:szCs w:val="20"/>
          <w:color w:val="auto"/>
        </w:rPr>
      </w:pPr>
    </w:p>
    <w:p>
      <w:pPr>
        <w:ind w:left="2280" w:right="120" w:hanging="1138"/>
        <w:spacing w:after="0" w:line="282"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53" w:lineRule="exact"/>
        <w:rPr>
          <w:rFonts w:ascii="Times New Roman" w:cs="Times New Roman" w:eastAsia="Times New Roman" w:hAnsi="Times New Roman"/>
          <w:sz w:val="18"/>
          <w:szCs w:val="18"/>
          <w:color w:val="auto"/>
        </w:rPr>
      </w:pPr>
    </w:p>
    <w:p>
      <w:pPr>
        <w:ind w:left="2280" w:right="360" w:hanging="1138"/>
        <w:spacing w:after="0" w:line="282"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53" w:lineRule="exact"/>
        <w:rPr>
          <w:rFonts w:ascii="Times New Roman" w:cs="Times New Roman" w:eastAsia="Times New Roman" w:hAnsi="Times New Roman"/>
          <w:sz w:val="18"/>
          <w:szCs w:val="18"/>
          <w:color w:val="auto"/>
        </w:rPr>
      </w:pPr>
    </w:p>
    <w:p>
      <w:pPr>
        <w:ind w:left="2280" w:right="60" w:hanging="1138"/>
        <w:spacing w:after="0" w:line="282"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2280" w:hanging="1138"/>
        <w:spacing w:after="0" w:line="282"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2280" w:right="260" w:hanging="1138"/>
        <w:spacing w:after="0" w:line="282"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by a majority of directors then in office, even if less than a quorum; and</w:t>
      </w:r>
    </w:p>
    <w:p>
      <w:pPr>
        <w:spacing w:after="0" w:line="53" w:lineRule="exact"/>
        <w:rPr>
          <w:rFonts w:ascii="Times New Roman" w:cs="Times New Roman" w:eastAsia="Times New Roman" w:hAnsi="Times New Roman"/>
          <w:sz w:val="18"/>
          <w:szCs w:val="18"/>
          <w:color w:val="auto"/>
        </w:rPr>
      </w:pPr>
    </w:p>
    <w:p>
      <w:pPr>
        <w:ind w:left="2280" w:right="80" w:hanging="1138"/>
        <w:spacing w:after="0" w:line="282"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5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6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8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may decline, resulting in a loss of some or all of our stockholder investment.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trading price and volume of our common stock is likely to be volatile and could fluctuate significantly in response to numerous factors, many of which are beyond our control, including:</w:t>
      </w:r>
    </w:p>
    <w:p>
      <w:pPr>
        <w:spacing w:after="0" w:line="54" w:lineRule="exact"/>
        <w:rPr>
          <w:sz w:val="20"/>
          <w:szCs w:val="20"/>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17" w:lineRule="exact"/>
        <w:rPr>
          <w:rFonts w:ascii="Times New Roman" w:cs="Times New Roman" w:eastAsia="Times New Roman" w:hAnsi="Times New Roman"/>
          <w:sz w:val="18"/>
          <w:szCs w:val="18"/>
          <w:color w:val="auto"/>
        </w:rPr>
      </w:pPr>
    </w:p>
    <w:p>
      <w:pPr>
        <w:ind w:left="2280" w:right="42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53" w:lineRule="exact"/>
        <w:rPr>
          <w:rFonts w:ascii="Times New Roman" w:cs="Times New Roman" w:eastAsia="Times New Roman" w:hAnsi="Times New Roman"/>
          <w:sz w:val="18"/>
          <w:szCs w:val="18"/>
          <w:color w:val="auto"/>
        </w:rPr>
      </w:pPr>
    </w:p>
    <w:p>
      <w:pPr>
        <w:ind w:left="2280" w:right="58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53" w:lineRule="exact"/>
        <w:rPr>
          <w:rFonts w:ascii="Times New Roman" w:cs="Times New Roman" w:eastAsia="Times New Roman" w:hAnsi="Times New Roman"/>
          <w:sz w:val="18"/>
          <w:szCs w:val="18"/>
          <w:color w:val="auto"/>
        </w:rPr>
      </w:pPr>
    </w:p>
    <w:p>
      <w:pPr>
        <w:ind w:left="228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significant customers of changes to their product offerings, business plans, or strategies;</w:t>
      </w:r>
    </w:p>
    <w:p>
      <w:pPr>
        <w:spacing w:after="0" w:line="117" w:lineRule="exact"/>
        <w:rPr>
          <w:rFonts w:ascii="Times New Roman" w:cs="Times New Roman" w:eastAsia="Times New Roman" w:hAnsi="Times New Roman"/>
          <w:sz w:val="18"/>
          <w:szCs w:val="18"/>
          <w:color w:val="auto"/>
        </w:rPr>
      </w:pPr>
    </w:p>
    <w:p>
      <w:pPr>
        <w:ind w:left="2280" w:right="44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2280" w:right="34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the semiconductor industry;</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seasonality of the end-market demand;</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fluctuations in the semiconductor market;</w:t>
      </w:r>
    </w:p>
    <w:p>
      <w:pPr>
        <w:spacing w:after="0" w:line="117" w:lineRule="exact"/>
        <w:rPr>
          <w:rFonts w:ascii="Times New Roman" w:cs="Times New Roman" w:eastAsia="Times New Roman" w:hAnsi="Times New Roman"/>
          <w:sz w:val="18"/>
          <w:szCs w:val="18"/>
          <w:color w:val="auto"/>
        </w:rPr>
      </w:pPr>
    </w:p>
    <w:p>
      <w:pPr>
        <w:ind w:left="2280" w:right="14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 including as a result of trends in the economy as a whole;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80" w:hanging="1138"/>
        <w:spacing w:after="0"/>
        <w:tabs>
          <w:tab w:leader="none" w:pos="2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and</w:t>
      </w:r>
    </w:p>
    <w:p>
      <w:pPr>
        <w:spacing w:after="0" w:line="117" w:lineRule="exact"/>
        <w:rPr>
          <w:rFonts w:ascii="Times New Roman" w:cs="Times New Roman" w:eastAsia="Times New Roman" w:hAnsi="Times New Roman"/>
          <w:sz w:val="18"/>
          <w:szCs w:val="18"/>
          <w:color w:val="auto"/>
        </w:rPr>
      </w:pPr>
    </w:p>
    <w:p>
      <w:pPr>
        <w:ind w:left="2280" w:right="220" w:hanging="1138"/>
        <w:spacing w:after="0" w:line="282" w:lineRule="auto"/>
        <w:tabs>
          <w:tab w:leader="none" w:pos="2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geopolitical activities, war, incidents of terrorism, natural disasters, pandemics, or responses to these events.</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1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the Company's quarter ended June 30, 2025, the Company's following officers (as defined in Rule 16a-1(f) under the Exchange Act) adopted or terminated a "Rule 10b5-1 trading arrangement" (as defined in Item 408(a) of Regulation S-K of the Exchange Act) set forth in the table below, each of which is intended to satisfy the affirmative defense conditions of Rule 10b5-1(c):</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 of the Officer</w:t>
            </w: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Designation of Officer</w:t>
            </w:r>
          </w:p>
        </w:tc>
        <w:tc>
          <w:tcPr>
            <w:tcW w:w="1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3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Adoption/Termination Rule 10b5-1</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Expiration Date </w:t>
            </w:r>
            <w:r>
              <w:rPr>
                <w:rFonts w:ascii="Times New Roman" w:cs="Times New Roman" w:eastAsia="Times New Roman" w:hAnsi="Times New Roman"/>
                <w:sz w:val="23"/>
                <w:szCs w:val="23"/>
                <w:b w:val="1"/>
                <w:bCs w:val="1"/>
                <w:color w:val="auto"/>
                <w:vertAlign w:val="superscript"/>
              </w:rPr>
              <w:t>(1)</w:t>
            </w:r>
          </w:p>
        </w:tc>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16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securities to be</w:t>
            </w:r>
          </w:p>
        </w:tc>
      </w:tr>
      <w:tr>
        <w:trPr>
          <w:trHeight w:val="245"/>
        </w:trPr>
        <w:tc>
          <w:tcPr>
            <w:tcW w:w="166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sold</w:t>
            </w:r>
          </w:p>
        </w:tc>
      </w:tr>
      <w:tr>
        <w:trPr>
          <w:trHeight w:val="225"/>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Fariborz Assaderaghi</w:t>
            </w: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Adoption</w:t>
            </w:r>
          </w:p>
        </w:tc>
        <w:tc>
          <w:tcPr>
            <w:tcW w:w="1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15, 2025</w:t>
            </w:r>
          </w:p>
        </w:tc>
        <w:tc>
          <w:tcPr>
            <w:tcW w:w="1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January 27,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34"/>
        </w:trPr>
        <w:tc>
          <w:tcPr>
            <w:tcW w:w="1660" w:type="dxa"/>
            <w:vAlign w:val="bottom"/>
          </w:tcPr>
          <w:p>
            <w:pPr>
              <w:spacing w:after="0"/>
              <w:rPr>
                <w:sz w:val="20"/>
                <w:szCs w:val="20"/>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Engineering and Operations</w:t>
            </w: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1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Lionel Bonnot</w:t>
            </w: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Adoption</w:t>
            </w:r>
          </w:p>
        </w:tc>
        <w:tc>
          <w:tcPr>
            <w:tcW w:w="1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May 30, 2025</w:t>
            </w:r>
          </w:p>
        </w:tc>
        <w:tc>
          <w:tcPr>
            <w:tcW w:w="1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February 27, 2026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16,164</w:t>
            </w:r>
          </w:p>
        </w:tc>
      </w:tr>
      <w:tr>
        <w:trPr>
          <w:trHeight w:val="216"/>
        </w:trPr>
        <w:tc>
          <w:tcPr>
            <w:tcW w:w="166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Worldwide Sales and</w:t>
            </w:r>
          </w:p>
        </w:tc>
        <w:tc>
          <w:tcPr>
            <w:tcW w:w="1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41"/>
        </w:trPr>
        <w:tc>
          <w:tcPr>
            <w:tcW w:w="166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Business Development</w:t>
            </w:r>
          </w:p>
        </w:tc>
        <w:tc>
          <w:tcPr>
            <w:tcW w:w="1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25"/>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Piyush Sevalia</w:t>
            </w: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Adoption</w:t>
            </w:r>
          </w:p>
        </w:tc>
        <w:tc>
          <w:tcPr>
            <w:tcW w:w="1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30, 2025</w:t>
            </w:r>
          </w:p>
        </w:tc>
        <w:tc>
          <w:tcPr>
            <w:tcW w:w="1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27,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r>
      <w:tr>
        <w:trPr>
          <w:trHeight w:val="234"/>
        </w:trPr>
        <w:tc>
          <w:tcPr>
            <w:tcW w:w="1660" w:type="dxa"/>
            <w:vAlign w:val="bottom"/>
          </w:tcPr>
          <w:p>
            <w:pPr>
              <w:spacing w:after="0"/>
              <w:rPr>
                <w:sz w:val="20"/>
                <w:szCs w:val="20"/>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Marketing</w:t>
            </w: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1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Vincent Pangrazio</w:t>
            </w: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Adoption</w:t>
            </w:r>
          </w:p>
        </w:tc>
        <w:tc>
          <w:tcPr>
            <w:tcW w:w="1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June 4, 2025</w:t>
            </w:r>
          </w:p>
        </w:tc>
        <w:tc>
          <w:tcPr>
            <w:tcW w:w="1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August 31, 2026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16"/>
        </w:trPr>
        <w:tc>
          <w:tcPr>
            <w:tcW w:w="166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Legal Officer and</w:t>
            </w:r>
          </w:p>
        </w:tc>
        <w:tc>
          <w:tcPr>
            <w:tcW w:w="1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4"/>
        </w:trPr>
        <w:tc>
          <w:tcPr>
            <w:tcW w:w="1660" w:type="dxa"/>
            <w:vAlign w:val="bottom"/>
            <w:shd w:val="clear" w:color="auto" w:fill="CCEEFF"/>
          </w:tcPr>
          <w:p>
            <w:pPr>
              <w:spacing w:after="0"/>
              <w:rPr>
                <w:sz w:val="20"/>
                <w:szCs w:val="20"/>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Secretary</w:t>
            </w:r>
          </w:p>
        </w:tc>
        <w:tc>
          <w:tcPr>
            <w:tcW w:w="1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7"/>
        </w:trPr>
        <w:tc>
          <w:tcPr>
            <w:tcW w:w="166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right="60" w:firstLine="656"/>
        <w:spacing w:after="0" w:line="242" w:lineRule="auto"/>
        <w:tabs>
          <w:tab w:leader="none" w:pos="829"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officer's trading arrangement terminates on the earliest of: (i) date stated above (ii) the first date on which all trades set forth in the trading arrangement have been executed, or (iii) such date the trading arrangement is otherwise terminated according to its terms.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listed below are filed (or furnished, as noted) as exhibits to this Quarterly Report on Form 10-Q:</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700" w:type="dxa"/>
            <w:vAlign w:val="bottom"/>
            <w:gridSpan w:val="10"/>
          </w:tcPr>
          <w:p>
            <w:pPr>
              <w:ind w:left="1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31"/>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906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Restated Certificate of Incorporation of SiTime Corporation (the “Company”) (incorporated by reference to Exhibit 3.1 to the</w:t>
              </w:r>
            </w:hyperlink>
          </w:p>
        </w:tc>
        <w:tc>
          <w:tcPr>
            <w:tcW w:w="840" w:type="dxa"/>
            <w:vAlign w:val="bottom"/>
            <w:gridSpan w:val="7"/>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14"/>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Company’s Current Report on Form 8-K filed November 26, 2019).</w:t>
              </w:r>
            </w:hyperlink>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98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Amended and Restated Bylaws of the Company (incorporated by reference to Exhibit 3.2 to the Company’s Current Report on Form 8-K</w:t>
              </w:r>
            </w:hyperlink>
          </w:p>
        </w:tc>
        <w:tc>
          <w:tcPr>
            <w:tcW w:w="2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filed June 29, 2021).</w:t>
              </w:r>
            </w:hyperlink>
          </w:p>
        </w:tc>
        <w:tc>
          <w:tcPr>
            <w:tcW w:w="8400" w:type="dxa"/>
            <w:vAlign w:val="bottom"/>
            <w:gridSpan w:val="12"/>
          </w:tcPr>
          <w:p>
            <w:pPr>
              <w:spacing w:after="0"/>
              <w:rPr>
                <w:sz w:val="17"/>
                <w:szCs w:val="17"/>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97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Form of Common Stock Certificate of the Company (incorporated by reference to Exhibit 4.1 to the Company’s Registration Statement</w:t>
              </w:r>
            </w:hyperlink>
          </w:p>
        </w:tc>
        <w:tc>
          <w:tcPr>
            <w:tcW w:w="14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on Form S-1 (File No. 333-234305)).</w:t>
              </w:r>
            </w:hyperlink>
          </w:p>
        </w:tc>
        <w:tc>
          <w:tcPr>
            <w:tcW w:w="7200" w:type="dxa"/>
            <w:vAlign w:val="bottom"/>
            <w:gridSpan w:val="11"/>
          </w:tcPr>
          <w:p>
            <w:pPr>
              <w:spacing w:after="0"/>
              <w:rPr>
                <w:sz w:val="17"/>
                <w:szCs w:val="17"/>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95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Description of Securities Registered Pursuant to Section 12 of the Securities Exchange Act of 1934 (incorporated by reference to the</w:t>
              </w:r>
            </w:hyperlink>
          </w:p>
        </w:tc>
        <w:tc>
          <w:tcPr>
            <w:tcW w:w="34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14"/>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Company’s Annual Report on Form 10-K filed February 16, 2021).</w:t>
              </w:r>
            </w:hyperlink>
          </w:p>
        </w:tc>
      </w:tr>
      <w:tr>
        <w:trPr>
          <w:trHeight w:val="39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4"/>
                <w:szCs w:val="24"/>
                <w:color w:val="auto"/>
              </w:rPr>
            </w:pPr>
          </w:p>
        </w:tc>
        <w:tc>
          <w:tcPr>
            <w:tcW w:w="49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Insider Trading and Communications Policy</w:t>
            </w:r>
          </w:p>
        </w:tc>
        <w:tc>
          <w:tcPr>
            <w:tcW w:w="5000" w:type="dxa"/>
            <w:vAlign w:val="bottom"/>
            <w:gridSpan w:val="9"/>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96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26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00" w:type="dxa"/>
            <w:vAlign w:val="bottom"/>
            <w:gridSpan w:val="8"/>
          </w:tcPr>
          <w:p>
            <w:pPr>
              <w:spacing w:after="0"/>
              <w:rPr>
                <w:sz w:val="17"/>
                <w:szCs w:val="17"/>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9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32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00" w:type="dxa"/>
            <w:vAlign w:val="bottom"/>
            <w:gridSpan w:val="8"/>
          </w:tcPr>
          <w:p>
            <w:pPr>
              <w:spacing w:after="0"/>
              <w:rPr>
                <w:sz w:val="17"/>
                <w:szCs w:val="17"/>
                <w:color w:val="auto"/>
              </w:rPr>
            </w:pPr>
          </w:p>
        </w:tc>
      </w:tr>
      <w:tr>
        <w:trPr>
          <w:trHeight w:val="39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28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500" w:type="dxa"/>
            <w:vAlign w:val="bottom"/>
            <w:gridSpan w:val="13"/>
          </w:tcPr>
          <w:p>
            <w:pPr>
              <w:spacing w:after="0"/>
              <w:rPr>
                <w:sz w:val="17"/>
                <w:szCs w:val="17"/>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99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160" w:type="dxa"/>
            <w:vAlign w:val="bottom"/>
            <w:tcBorders>
              <w:top w:val="single" w:sz="8" w:color="0000FF"/>
            </w:tcBorders>
            <w:gridSpan w:val="7"/>
          </w:tcPr>
          <w:p>
            <w:pPr>
              <w:spacing w:after="0"/>
              <w:rPr>
                <w:sz w:val="17"/>
                <w:szCs w:val="17"/>
                <w:color w:val="auto"/>
              </w:rPr>
            </w:pPr>
          </w:p>
        </w:tc>
        <w:tc>
          <w:tcPr>
            <w:tcW w:w="340" w:type="dxa"/>
            <w:vAlign w:val="bottom"/>
            <w:gridSpan w:val="6"/>
          </w:tcPr>
          <w:p>
            <w:pPr>
              <w:spacing w:after="0"/>
              <w:rPr>
                <w:sz w:val="17"/>
                <w:szCs w:val="17"/>
                <w:color w:val="auto"/>
              </w:rPr>
            </w:pPr>
          </w:p>
        </w:tc>
      </w:tr>
      <w:tr>
        <w:trPr>
          <w:trHeight w:val="421"/>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 within</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9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3" w:lineRule="exact"/>
        <w:rPr>
          <w:sz w:val="20"/>
          <w:szCs w:val="20"/>
          <w:color w:val="auto"/>
        </w:rPr>
      </w:pPr>
    </w:p>
    <w:p>
      <w:pPr>
        <w:ind w:left="820" w:hanging="812"/>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6" w:lineRule="exact"/>
        <w:rPr>
          <w:sz w:val="20"/>
          <w:szCs w:val="20"/>
          <w:color w:val="auto"/>
        </w:rPr>
      </w:pPr>
    </w:p>
    <w:p>
      <w:pPr>
        <w:ind w:left="820" w:right="60" w:hanging="812"/>
        <w:spacing w:after="0" w:line="231" w:lineRule="exact"/>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SEC Release No. 34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9" w:lineRule="exact"/>
        <w:rPr>
          <w:sz w:val="20"/>
          <w:szCs w:val="20"/>
          <w:color w:val="auto"/>
        </w:rPr>
      </w:pPr>
    </w:p>
    <w:p>
      <w:pPr>
        <w:ind w:left="20"/>
        <w:spacing w:after="0"/>
        <w:tabs>
          <w:tab w:leader="none" w:pos="5600" w:val="left"/>
          <w:tab w:leader="none" w:pos="784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34290</wp:posOffset>
            </wp:positionV>
            <wp:extent cx="32918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3"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Elizabeth A. Howe</w:t>
      </w:r>
    </w:p>
    <w:p>
      <w:pPr>
        <w:spacing w:after="0" w:line="3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00"/>
          </w:cols>
          <w:pgMar w:left="320" w:top="121"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INSIDER TRADING AND COMMUNICATIONS POLICY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(updated July 29, 2025)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Policy as to Trades in the Company’s Securities By Company Personnel and Treatment of Confidential Information</w:t>
      </w:r>
    </w:p>
    <w:p>
      <w:pPr>
        <w:spacing w:after="0" w:line="225" w:lineRule="exact"/>
        <w:rPr>
          <w:sz w:val="20"/>
          <w:szCs w:val="20"/>
          <w:color w:val="auto"/>
        </w:rPr>
      </w:pPr>
    </w:p>
    <w:p>
      <w:pPr>
        <w:ind w:left="1380" w:hanging="635"/>
        <w:spacing w:after="0"/>
        <w:tabs>
          <w:tab w:leader="none" w:pos="13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Both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and Congress are very concerned about maintaining the fairness and integrity of the U.S. capital markets. The securities laws are continually reviewed and amended to prevent people from taking advantage of “inside information” and to increase the punishment for those who do.</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are adopting this Insider Trading and Communications Policy to set forth guidelines with respect to transactions in the securities of SiTime Corporation (the “Company”) and in the securities of other applicable publicly traded companies by the individuals subject to this policy as described below. In addition, from time to time, the Company may engage in transactions in Company securities. It is the Company’s policy to comply with applicable laws and regulations relating to insider trading.</w:t>
      </w:r>
    </w:p>
    <w:p>
      <w:pPr>
        <w:spacing w:after="0" w:line="176" w:lineRule="exact"/>
        <w:rPr>
          <w:sz w:val="20"/>
          <w:szCs w:val="20"/>
          <w:color w:val="auto"/>
        </w:rPr>
      </w:pPr>
    </w:p>
    <w:p>
      <w:pPr>
        <w:ind w:left="1380" w:hanging="635"/>
        <w:spacing w:after="0"/>
        <w:tabs>
          <w:tab w:leader="none" w:pos="13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Applicability.</w:t>
      </w:r>
    </w:p>
    <w:p>
      <w:pPr>
        <w:spacing w:after="0" w:line="225" w:lineRule="exact"/>
        <w:rPr>
          <w:sz w:val="20"/>
          <w:szCs w:val="20"/>
          <w:color w:val="auto"/>
        </w:rPr>
      </w:pPr>
    </w:p>
    <w:p>
      <w:pPr>
        <w:jc w:val="both"/>
        <w:ind w:left="100" w:right="160" w:firstLine="647"/>
        <w:spacing w:after="0" w:line="256" w:lineRule="auto"/>
        <w:rPr>
          <w:sz w:val="20"/>
          <w:szCs w:val="20"/>
          <w:color w:val="auto"/>
        </w:rPr>
      </w:pPr>
      <w:r>
        <w:rPr>
          <w:rFonts w:ascii="Arial" w:cs="Arial" w:eastAsia="Arial" w:hAnsi="Arial"/>
          <w:sz w:val="18"/>
          <w:szCs w:val="18"/>
          <w:color w:val="auto"/>
        </w:rPr>
        <w:t>This policy applies to all employees, officers, members of the Board of Directors, consultants and contractors of the Company or any subsidiary of the Company (the “</w:t>
      </w:r>
      <w:r>
        <w:rPr>
          <w:rFonts w:ascii="Arial" w:cs="Arial" w:eastAsia="Arial" w:hAnsi="Arial"/>
          <w:sz w:val="18"/>
          <w:szCs w:val="18"/>
          <w:b w:val="1"/>
          <w:bCs w:val="1"/>
          <w:i w:val="1"/>
          <w:iCs w:val="1"/>
          <w:color w:val="auto"/>
        </w:rPr>
        <w:t>Individuals</w:t>
      </w:r>
      <w:r>
        <w:rPr>
          <w:rFonts w:ascii="Arial" w:cs="Arial" w:eastAsia="Arial" w:hAnsi="Arial"/>
          <w:sz w:val="18"/>
          <w:szCs w:val="18"/>
          <w:color w:val="auto"/>
        </w:rPr>
        <w:t>”). This policy also applies to Family Members (as defined below), other members of a person’s household, and entities controlled by a person covered by this policy as described below (each a “</w:t>
      </w:r>
      <w:r>
        <w:rPr>
          <w:rFonts w:ascii="Arial" w:cs="Arial" w:eastAsia="Arial" w:hAnsi="Arial"/>
          <w:sz w:val="18"/>
          <w:szCs w:val="18"/>
          <w:b w:val="1"/>
          <w:bCs w:val="1"/>
          <w:i w:val="1"/>
          <w:iCs w:val="1"/>
          <w:color w:val="auto"/>
        </w:rPr>
        <w:t>Related Party</w:t>
      </w:r>
      <w:r>
        <w:rPr>
          <w:rFonts w:ascii="Arial" w:cs="Arial" w:eastAsia="Arial" w:hAnsi="Arial"/>
          <w:sz w:val="18"/>
          <w:szCs w:val="18"/>
          <w:color w:val="auto"/>
        </w:rPr>
        <w:t>”). This policy applies to all trading or other transactions in the Company’s securities, including common stock, options to purchase common stock and restricted stock units, and any other securities that the Company may issue, such as preferred stock, notes, bonds, and convertible securities, as well as to derivative securities relating to any of the Company’s securities, whether or not issued by the Company, and the securities of other applicable companies.</w:t>
      </w:r>
    </w:p>
    <w:p>
      <w:pPr>
        <w:spacing w:after="0" w:line="183" w:lineRule="exact"/>
        <w:rPr>
          <w:sz w:val="20"/>
          <w:szCs w:val="20"/>
          <w:color w:val="auto"/>
        </w:rPr>
      </w:pPr>
    </w:p>
    <w:p>
      <w:pPr>
        <w:ind w:left="1380" w:hanging="635"/>
        <w:spacing w:after="0"/>
        <w:tabs>
          <w:tab w:leader="none" w:pos="13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The Consequences.</w:t>
      </w:r>
    </w:p>
    <w:p>
      <w:pPr>
        <w:spacing w:after="0" w:line="225" w:lineRule="exact"/>
        <w:rPr>
          <w:sz w:val="20"/>
          <w:szCs w:val="20"/>
          <w:color w:val="auto"/>
        </w:rPr>
      </w:pPr>
    </w:p>
    <w:p>
      <w:pPr>
        <w:ind w:firstLine="729"/>
        <w:spacing w:after="0" w:line="287" w:lineRule="auto"/>
        <w:rPr>
          <w:sz w:val="20"/>
          <w:szCs w:val="20"/>
          <w:color w:val="auto"/>
        </w:rPr>
      </w:pPr>
      <w:r>
        <w:rPr>
          <w:rFonts w:ascii="Arial" w:cs="Arial" w:eastAsia="Arial" w:hAnsi="Arial"/>
          <w:sz w:val="18"/>
          <w:szCs w:val="18"/>
          <w:color w:val="auto"/>
        </w:rPr>
        <w:t>The consequences of insider trading violations can be substantial. Anyone who engages in insider trading or otherwise violates this policy may be subject to both civil liability and criminal penalties.</w:t>
      </w:r>
    </w:p>
    <w:p>
      <w:pPr>
        <w:spacing w:after="0" w:line="153" w:lineRule="exact"/>
        <w:rPr>
          <w:sz w:val="20"/>
          <w:szCs w:val="20"/>
          <w:color w:val="auto"/>
        </w:rPr>
      </w:pPr>
    </w:p>
    <w:p>
      <w:pPr>
        <w:jc w:val="both"/>
        <w:ind w:left="100" w:right="160" w:firstLine="647"/>
        <w:spacing w:after="0" w:line="259" w:lineRule="auto"/>
        <w:rPr>
          <w:sz w:val="20"/>
          <w:szCs w:val="20"/>
          <w:color w:val="auto"/>
        </w:rPr>
      </w:pPr>
      <w:r>
        <w:rPr>
          <w:rFonts w:ascii="Arial" w:cs="Arial" w:eastAsia="Arial" w:hAnsi="Arial"/>
          <w:sz w:val="18"/>
          <w:szCs w:val="18"/>
          <w:color w:val="auto"/>
        </w:rPr>
        <w:t>Further, if the Company has a reasonable basis to conclude that an employee has violated the Company’s Insider Trading and Communications Policy, whether or not knowingly, the Company may impose sanctions, including dismissal for cause. Needless to say, any of the above consequences, even an SEC investigation that does not result in prosecution, can tarnish one’s reputation (as well as the Company’s) and irreparably damage a career. Finally, the size of a transaction has no impact on potential insider trading liability. In the past, even relatively small trades (e.g., trades as small as $400) have resulted in SEC investigations and lawsuits.</w:t>
      </w:r>
    </w:p>
    <w:p>
      <w:pPr>
        <w:spacing w:after="0" w:line="179" w:lineRule="exact"/>
        <w:rPr>
          <w:sz w:val="20"/>
          <w:szCs w:val="20"/>
          <w:color w:val="auto"/>
        </w:rPr>
      </w:pPr>
    </w:p>
    <w:p>
      <w:pPr>
        <w:ind w:left="1380" w:hanging="635"/>
        <w:spacing w:after="0"/>
        <w:tabs>
          <w:tab w:leader="none" w:pos="13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Our Policy.</w:t>
      </w:r>
    </w:p>
    <w:p>
      <w:pPr>
        <w:spacing w:after="0" w:line="225" w:lineRule="exact"/>
        <w:rPr>
          <w:sz w:val="20"/>
          <w:szCs w:val="20"/>
          <w:color w:val="auto"/>
        </w:rPr>
      </w:pPr>
    </w:p>
    <w:p>
      <w:pPr>
        <w:jc w:val="both"/>
        <w:ind w:left="100" w:right="120" w:firstLine="647"/>
        <w:spacing w:after="0" w:line="262" w:lineRule="auto"/>
        <w:rPr>
          <w:sz w:val="20"/>
          <w:szCs w:val="20"/>
          <w:color w:val="auto"/>
        </w:rPr>
      </w:pPr>
      <w:r>
        <w:rPr>
          <w:rFonts w:ascii="Arial" w:cs="Arial" w:eastAsia="Arial" w:hAnsi="Arial"/>
          <w:sz w:val="18"/>
          <w:szCs w:val="18"/>
          <w:b w:val="1"/>
          <w:bCs w:val="1"/>
          <w:color w:val="auto"/>
        </w:rPr>
        <w:t>No Trading When in Possession of Material Non-Public Information</w:t>
      </w:r>
      <w:r>
        <w:rPr>
          <w:rFonts w:ascii="Arial" w:cs="Arial" w:eastAsia="Arial" w:hAnsi="Arial"/>
          <w:sz w:val="18"/>
          <w:szCs w:val="18"/>
          <w:color w:val="auto"/>
        </w:rPr>
        <w:t>. If an Individual has possession of material non-public</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(often referred to as “inside information”) relating to our Company, such Individual and such Individual’s Related Parties may not, directly or indirectly: (1) engage in any transactions in the Company’s securities, except as provided in an applicable exception set forth in this policy; (2) recommend the purchase, holding, or sale of any Company securities; (3) disclose inside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SiTime Corporation Insider Trading and Communication Policy</w:t>
      </w:r>
    </w:p>
    <w:p>
      <w:pPr>
        <w:sectPr>
          <w:pgSz w:w="11900" w:h="16838" w:orient="portrait"/>
          <w:cols w:equalWidth="0" w:num="1">
            <w:col w:w="11240"/>
          </w:cols>
          <w:pgMar w:left="320" w:top="593"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336"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information to persons within the Company whose jobs do not require them to have that information, or outside the Company to other persons, such as family, friends, business associates, and investors, unless the disclosure is made in accordance with the Company’s Regulation FD Compliance Policy; or (4) assist anyone in any of the foregoing activities. In addition, if an Individual has possession of inside information that is material to another publicly traded company, or inside information about the Company or any other company, including the Company’s customers or partners, not available to investors generally and obtained in the course of rendering services to the Company or any subsidiary of the Company, that could affect the share price of another publicly traded company, it is our policy that neither that person nor any Related Party may engage in any transaction in securities of that other publicly traded company, recommend purchase or sale of securities of that other publicly traded company, or engage in any other action to take advantage of, or pass on to others, that information until the information becomes public or is no longer material to that other company.</w:t>
      </w:r>
    </w:p>
    <w:p>
      <w:pPr>
        <w:spacing w:after="0" w:line="181" w:lineRule="exact"/>
        <w:rPr>
          <w:sz w:val="20"/>
          <w:szCs w:val="20"/>
          <w:color w:val="auto"/>
        </w:rPr>
      </w:pPr>
    </w:p>
    <w:p>
      <w:pPr>
        <w:jc w:val="both"/>
        <w:ind w:right="160" w:firstLine="647"/>
        <w:spacing w:after="0" w:line="257" w:lineRule="auto"/>
        <w:rPr>
          <w:sz w:val="20"/>
          <w:szCs w:val="20"/>
          <w:color w:val="auto"/>
        </w:rPr>
      </w:pPr>
      <w:r>
        <w:rPr>
          <w:rFonts w:ascii="Arial" w:cs="Arial" w:eastAsia="Arial" w:hAnsi="Arial"/>
          <w:sz w:val="18"/>
          <w:szCs w:val="18"/>
          <w:color w:val="auto"/>
        </w:rPr>
        <w:t>This policy applies even if the decision to trade is not based on such material non-public information. Further, 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80" w:lineRule="exact"/>
        <w:rPr>
          <w:sz w:val="20"/>
          <w:szCs w:val="20"/>
          <w:color w:val="auto"/>
        </w:rPr>
      </w:pPr>
    </w:p>
    <w:p>
      <w:pPr>
        <w:jc w:val="both"/>
        <w:ind w:right="160" w:firstLine="647"/>
        <w:spacing w:after="0" w:line="259" w:lineRule="auto"/>
        <w:rPr>
          <w:sz w:val="20"/>
          <w:szCs w:val="20"/>
          <w:color w:val="auto"/>
        </w:rPr>
      </w:pPr>
      <w:r>
        <w:rPr>
          <w:rFonts w:ascii="Arial" w:cs="Arial" w:eastAsia="Arial" w:hAnsi="Arial"/>
          <w:sz w:val="18"/>
          <w:szCs w:val="18"/>
          <w:b w:val="1"/>
          <w:bCs w:val="1"/>
          <w:color w:val="auto"/>
        </w:rPr>
        <w:t xml:space="preserve">What is Material Information? </w:t>
      </w:r>
      <w:r>
        <w:rPr>
          <w:rFonts w:ascii="Arial" w:cs="Arial" w:eastAsia="Arial" w:hAnsi="Arial"/>
          <w:sz w:val="18"/>
          <w:szCs w:val="18"/>
          <w:color w:val="auto"/>
        </w:rPr>
        <w:t>“Material information” is any information that a reasonable investor would consider important in</w:t>
      </w:r>
      <w:r>
        <w:rPr>
          <w:rFonts w:ascii="Arial" w:cs="Arial" w:eastAsia="Arial" w:hAnsi="Arial"/>
          <w:sz w:val="18"/>
          <w:szCs w:val="18"/>
          <w:b w:val="1"/>
          <w:bCs w:val="1"/>
          <w:color w:val="auto"/>
        </w:rPr>
        <w:t xml:space="preserve"> </w:t>
      </w:r>
      <w:r>
        <w:rPr>
          <w:rFonts w:ascii="Arial" w:cs="Arial" w:eastAsia="Arial" w:hAnsi="Arial"/>
          <w:sz w:val="18"/>
          <w:szCs w:val="18"/>
          <w:color w:val="auto"/>
        </w:rPr>
        <w:t>deciding whether to buy, hold, or sell securities of the Company or any securities of any other company as to which the person receives information in the course of rendering services to the Company or any subsidiary of the Company. In short, “material information” includes any information that reasonably could affect the price of our securities or securities of any other publicly traded company. Either positive or negative information may be material. It can be information about the Company or about a company with which we do business.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Examples: </w:t>
      </w:r>
      <w:r>
        <w:rPr>
          <w:rFonts w:ascii="Arial" w:cs="Arial" w:eastAsia="Arial" w:hAnsi="Arial"/>
          <w:sz w:val="18"/>
          <w:szCs w:val="18"/>
          <w:color w:val="auto"/>
        </w:rPr>
        <w:t>Common examples of information that will frequently be regarded as material are:</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financial results or forecasts;</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news of a possible merger, acquisition or tender offer;</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news of a possible agreement, collaboration, or partnership, or cancellation thereof;</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products or delays in new product introduction or development;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plans to raise additional capital through stock sales or otherwise;</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gain or loss of a significant partner or customer;</w:t>
      </w:r>
    </w:p>
    <w:p>
      <w:pPr>
        <w:spacing w:after="0" w:line="225" w:lineRule="exact"/>
        <w:rPr>
          <w:sz w:val="20"/>
          <w:szCs w:val="20"/>
          <w:color w:val="auto"/>
        </w:rPr>
      </w:pPr>
    </w:p>
    <w:p>
      <w:pPr>
        <w:ind w:left="1140" w:hanging="232"/>
        <w:spacing w:after="0" w:line="287" w:lineRule="auto"/>
        <w:rPr>
          <w:sz w:val="20"/>
          <w:szCs w:val="20"/>
          <w:color w:val="auto"/>
        </w:rPr>
      </w:pPr>
      <w:r>
        <w:rPr>
          <w:rFonts w:ascii="Arial" w:cs="Arial" w:eastAsia="Arial" w:hAnsi="Arial"/>
          <w:sz w:val="18"/>
          <w:szCs w:val="18"/>
          <w:color w:val="auto"/>
        </w:rPr>
        <w:t>a disruption in the Company’s operations or breach or unauthorized access of its property or assets, including its facilities and information technology infrastructure;</w:t>
      </w:r>
    </w:p>
    <w:p>
      <w:pPr>
        <w:spacing w:after="0" w:line="15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discoveries, or grants or allowances or disallowances of patents;</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litigation or settlements;</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changes in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160"/>
        <w:spacing w:after="0"/>
        <w:rPr>
          <w:sz w:val="20"/>
          <w:szCs w:val="20"/>
          <w:color w:val="auto"/>
        </w:rPr>
      </w:pPr>
      <w:r>
        <w:rPr>
          <w:rFonts w:ascii="Arial" w:cs="Arial" w:eastAsia="Arial" w:hAnsi="Arial"/>
          <w:sz w:val="14"/>
          <w:szCs w:val="14"/>
          <w:color w:val="auto"/>
        </w:rPr>
        <w:t>SiTime Corporation Insider Trading and Communication Policy</w:t>
      </w:r>
    </w:p>
    <w:p>
      <w:pPr>
        <w:sectPr>
          <w:pgSz w:w="11900" w:h="16838" w:orient="portrait"/>
          <w:cols w:equalWidth="0" w:num="1">
            <w:col w:w="11140"/>
          </w:cols>
          <w:pgMar w:left="420" w:top="59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33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news of a significant sale of assets;</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impending bankruptcy or financial liquidity problems; and</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changes in dividend policies or the declaration of a stock split.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20/20 Hindsight</w:t>
      </w:r>
      <w:r>
        <w:rPr>
          <w:rFonts w:ascii="Arial" w:cs="Arial" w:eastAsia="Arial" w:hAnsi="Arial"/>
          <w:sz w:val="18"/>
          <w:szCs w:val="18"/>
          <w:color w:val="auto"/>
        </w:rPr>
        <w:t>. Remember, if your securities transactions become the subject of scrutiny, they will be viewed after-the-fact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hindsight. As a result, before engaging in any transaction you should carefully consider how regulators and others might view your transaction in hindsight.</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b w:val="1"/>
          <w:bCs w:val="1"/>
          <w:color w:val="auto"/>
        </w:rPr>
        <w:t>Transactions by Family Members</w:t>
      </w:r>
      <w:r>
        <w:rPr>
          <w:rFonts w:ascii="Arial" w:cs="Arial" w:eastAsia="Arial" w:hAnsi="Arial"/>
          <w:sz w:val="18"/>
          <w:szCs w:val="18"/>
          <w:color w:val="auto"/>
        </w:rPr>
        <w:t>. The same restrictions apply to your immediate family members and others living in your</w:t>
      </w:r>
      <w:r>
        <w:rPr>
          <w:rFonts w:ascii="Arial" w:cs="Arial" w:eastAsia="Arial" w:hAnsi="Arial"/>
          <w:sz w:val="18"/>
          <w:szCs w:val="18"/>
          <w:b w:val="1"/>
          <w:bCs w:val="1"/>
          <w:color w:val="auto"/>
        </w:rPr>
        <w:t xml:space="preserve"> </w:t>
      </w:r>
      <w:r>
        <w:rPr>
          <w:rFonts w:ascii="Arial" w:cs="Arial" w:eastAsia="Arial" w:hAnsi="Arial"/>
          <w:sz w:val="18"/>
          <w:szCs w:val="18"/>
          <w:color w:val="auto"/>
        </w:rPr>
        <w:t>household (collectively, “</w:t>
      </w:r>
      <w:r>
        <w:rPr>
          <w:rFonts w:ascii="Arial" w:cs="Arial" w:eastAsia="Arial" w:hAnsi="Arial"/>
          <w:sz w:val="18"/>
          <w:szCs w:val="18"/>
          <w:b w:val="1"/>
          <w:bCs w:val="1"/>
          <w:i w:val="1"/>
          <w:iCs w:val="1"/>
          <w:color w:val="auto"/>
        </w:rPr>
        <w:t>Family Members</w:t>
      </w:r>
      <w:r>
        <w:rPr>
          <w:rFonts w:ascii="Arial" w:cs="Arial" w:eastAsia="Arial" w:hAnsi="Arial"/>
          <w:sz w:val="18"/>
          <w:szCs w:val="18"/>
          <w:color w:val="auto"/>
        </w:rPr>
        <w:t>”). You are responsible for the compliance of your Family Members.</w:t>
      </w:r>
    </w:p>
    <w:p>
      <w:pPr>
        <w:spacing w:after="0" w:line="1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Transactions by Entities that You Control</w:t>
      </w:r>
      <w:r>
        <w:rPr>
          <w:rFonts w:ascii="Arial" w:cs="Arial" w:eastAsia="Arial" w:hAnsi="Arial"/>
          <w:sz w:val="18"/>
          <w:szCs w:val="18"/>
          <w:color w:val="auto"/>
        </w:rPr>
        <w:t>. This policy also applies to any entities that you control, including any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partnerships or trusts (collectively referred to as “</w:t>
      </w:r>
      <w:r>
        <w:rPr>
          <w:rFonts w:ascii="Arial" w:cs="Arial" w:eastAsia="Arial" w:hAnsi="Arial"/>
          <w:sz w:val="18"/>
          <w:szCs w:val="18"/>
          <w:b w:val="1"/>
          <w:bCs w:val="1"/>
          <w:i w:val="1"/>
          <w:iCs w:val="1"/>
          <w:color w:val="auto"/>
        </w:rPr>
        <w:t>Controlled Entities</w:t>
      </w:r>
      <w:r>
        <w:rPr>
          <w:rFonts w:ascii="Arial" w:cs="Arial" w:eastAsia="Arial" w:hAnsi="Arial"/>
          <w:sz w:val="18"/>
          <w:szCs w:val="18"/>
          <w:color w:val="auto"/>
        </w:rPr>
        <w:t>”), and transactions by these Controlled Entities should be treated for the purposes of this policy and applicable securities laws as if they were for your own account.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Transactions of Non-Residents</w:t>
      </w:r>
      <w:r>
        <w:rPr>
          <w:rFonts w:ascii="Arial" w:cs="Arial" w:eastAsia="Arial" w:hAnsi="Arial"/>
          <w:sz w:val="18"/>
          <w:szCs w:val="18"/>
          <w:color w:val="auto"/>
        </w:rPr>
        <w:t>. The same restrictions apply regardless of whether a person is resident within the United States.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Do Not Pass Information to Others</w:t>
      </w:r>
      <w:r>
        <w:rPr>
          <w:rFonts w:ascii="Arial" w:cs="Arial" w:eastAsia="Arial" w:hAnsi="Arial"/>
          <w:sz w:val="18"/>
          <w:szCs w:val="18"/>
          <w:color w:val="auto"/>
        </w:rPr>
        <w:t>. Whether the information is proprietary information about our Company or information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could have an impact on our stock price, Individuals must not pass the information on to others. It is illegal and prohibited by this policy to advise others to trade on the basis of material non-public information. Liability in these cases can extend to both the “tippee” — the person to whom the insider disclosed material non-public information — and you, as the “tipper,” and will apply whether or not you derive any benefit from another’s actions. You should not make recommendations to others concerning the purchase or sale of securities of the Company.</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When Information is Public</w:t>
      </w:r>
      <w:r>
        <w:rPr>
          <w:rFonts w:ascii="Arial" w:cs="Arial" w:eastAsia="Arial" w:hAnsi="Arial"/>
          <w:sz w:val="18"/>
          <w:szCs w:val="18"/>
          <w:color w:val="auto"/>
        </w:rPr>
        <w:t>. As you can appreciate, it is also improper for any Individual to enter a trade immediately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made a public announcement of material information, including earnings releases. The prohibition on trading when you have material non-public information lifts once that information becomes publicly disseminated. We impose certain “trading blackouts” to ensure that the Company’s stockholders and the investing public will be afforded the time to receive the information and act upon it. These are discussed below under the heading “Trading Blackouts.” To avoid the appearance of impropriety, as a general rule, you should not engage in any transaction until at least one full trading day has passed following the release of the information. Thus, if an announcement were made after the market close on a Monday, Wednesday generally would be the first day on which you would be able to trade and if an announcement were made after the market close on a Friday, Tuesday generally would be the first eligible trading day.</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Pre-Clearance of Trades of Company Stock</w:t>
      </w:r>
      <w:r>
        <w:rPr>
          <w:rFonts w:ascii="Arial" w:cs="Arial" w:eastAsia="Arial" w:hAnsi="Arial"/>
          <w:sz w:val="18"/>
          <w:szCs w:val="18"/>
          <w:color w:val="auto"/>
        </w:rPr>
        <w:t>. To provide assistance in preventing inadvertent violations and avoiding even the</w:t>
      </w:r>
      <w:r>
        <w:rPr>
          <w:rFonts w:ascii="Arial" w:cs="Arial" w:eastAsia="Arial" w:hAnsi="Arial"/>
          <w:sz w:val="18"/>
          <w:szCs w:val="18"/>
          <w:b w:val="1"/>
          <w:bCs w:val="1"/>
          <w:color w:val="auto"/>
        </w:rPr>
        <w:t xml:space="preserve"> </w:t>
      </w:r>
      <w:r>
        <w:rPr>
          <w:rFonts w:ascii="Arial" w:cs="Arial" w:eastAsia="Arial" w:hAnsi="Arial"/>
          <w:sz w:val="18"/>
          <w:szCs w:val="18"/>
          <w:color w:val="auto"/>
        </w:rPr>
        <w:t>appearance of an improper transaction (which could result, for example, where an Individual engages in a trade while unaware of a pending major development), all members of the Board of Directors, all individuals designated as “officers” for the purposes of Rule 16a-1(f) under the Securities Exchange Act of 1934, as amended (“</w:t>
      </w:r>
      <w:r>
        <w:rPr>
          <w:rFonts w:ascii="Arial" w:cs="Arial" w:eastAsia="Arial" w:hAnsi="Arial"/>
          <w:sz w:val="18"/>
          <w:szCs w:val="18"/>
          <w:b w:val="1"/>
          <w:bCs w:val="1"/>
          <w:i w:val="1"/>
          <w:iCs w:val="1"/>
          <w:color w:val="auto"/>
        </w:rPr>
        <w:t>Section 16 Officers</w:t>
      </w:r>
      <w:r>
        <w:rPr>
          <w:rFonts w:ascii="Arial" w:cs="Arial" w:eastAsia="Arial" w:hAnsi="Arial"/>
          <w:sz w:val="18"/>
          <w:szCs w:val="18"/>
          <w:color w:val="auto"/>
        </w:rPr>
        <w:t>”), and certain employees of the Company and its subsidiaries in a position to have access to material non-public information and designated on a pre-clearance list by our Chief Executive Officer or Chief Financial Officer from time to time, which may include legal and finance personnel, certain pre-determined insiders (“</w:t>
      </w:r>
      <w:r>
        <w:rPr>
          <w:rFonts w:ascii="Arial" w:cs="Arial" w:eastAsia="Arial" w:hAnsi="Arial"/>
          <w:sz w:val="18"/>
          <w:szCs w:val="18"/>
          <w:b w:val="1"/>
          <w:bCs w:val="1"/>
          <w:i w:val="1"/>
          <w:iCs w:val="1"/>
          <w:color w:val="auto"/>
        </w:rPr>
        <w:t>Pre-Determined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and the Family Members and Controlled Entities of such persons must obtain pre-clearance in writing from our Chief Legal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absence of our Chief Legal Officer, our Chief Financial Officer) of all transactions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SiTime Corporation Insider Trading and Communication Policy</w:t>
      </w:r>
    </w:p>
    <w:p>
      <w:pPr>
        <w:sectPr>
          <w:pgSz w:w="11900" w:h="16838" w:orient="portrait"/>
          <w:cols w:equalWidth="0" w:num="1">
            <w:col w:w="11240"/>
          </w:cols>
          <w:pgMar w:left="320" w:top="593"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3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 securities (acquisitions, dispositions, transfers, gifts, etc.). You must submit a written request for pre-clearance of a transaction no later than three business days before the proposed date of execution of the transaction unless you obtain a waiver from the Audit Committee of the Board of Directors. You will be notified if you are one of the specified persons subject to this pre-clearance policy and the Company will maintain a list of all Pre-Determined Insiders. Pre-clearance is subject to a five business day expiration and must be renewed by the applicant after five business days to be valid.</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Pre-clearance does not relieve anyone of their responsibility under SEC rules. All Individuals, whether subject to pre-clearance or not, are responsible for adherence to this Insider Trading and Communications Policy, including, but not limited to: not trading on material non-public information; not trading during trading blackout periods; not trading for one full trading day after earnings announcements; and not trading in securities on a short-term basis. If any Individual is in doubt of whether or not pre-clearance is required, the Individual should inquire with our Chief Legal Officer (in the absence of our Chief Legal Officer, our Chief Financial Officer) or obtain pre-clearance as a cautionary measure. Individuals not subject to pre-clearance remain responsible for compliance with insider trading prohibitions and this policy and should be mindful of any trading activities which could lead to even the appearance of impropriety.</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Trading Blackouts</w:t>
      </w:r>
      <w:r>
        <w:rPr>
          <w:rFonts w:ascii="Arial" w:cs="Arial" w:eastAsia="Arial" w:hAnsi="Arial"/>
          <w:sz w:val="18"/>
          <w:szCs w:val="18"/>
          <w:color w:val="auto"/>
        </w:rPr>
        <w:t>. From time to time, the Company may require that Individuals and others, including Family Members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Entities, suspend trading because of developments known to the Company and not yet disclosed to the public. In that event, these persons are advised not to engage in any transaction involving the purchase or sale of the Company’s securities during that period, and should not disclose to others the fact that they have been suspended from trading. All Individuals and the Family Members and Controlled Entities of such persons will be subject to a stock trading blackout period beginning two weeks prior to the end of each fiscal quarter and ending one full trading day following the public release of earnings for that quarter. All such persons whose employment or affiliation with the Company ceases during a blackout period shall remain subject to the blackout period for the duration of the blackout period.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course, no trading should be done at any time that an Individual is actually aware of material non-public information.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Options/RSUs</w:t>
      </w:r>
      <w:r>
        <w:rPr>
          <w:rFonts w:ascii="Arial" w:cs="Arial" w:eastAsia="Arial" w:hAnsi="Arial"/>
          <w:sz w:val="18"/>
          <w:szCs w:val="18"/>
          <w:color w:val="auto"/>
        </w:rPr>
        <w:t>. Cash exercise of options granted under the Company’s equity compensation plans currently may be done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This policy also does not apply to the surrender of shares directly to the Company to satisfy tax withholding requirements, which occur as a result of certain option exercises or the vesting or settlement of any restricted stock units. Same-day-sales to exercise stock options are subject to all applicable provisions of this policy, as are any other market sale of shares subject to an option or restricted stock unit for the purpose of generating the cash needed to pay the exercise price and/or taxes (a “sell to cover”).</w:t>
      </w:r>
    </w:p>
    <w:p>
      <w:pPr>
        <w:spacing w:after="0" w:line="17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 xml:space="preserve">Exception for Approved 10b5-1 Plans. </w:t>
      </w:r>
      <w:r>
        <w:rPr>
          <w:rFonts w:ascii="Arial" w:cs="Arial" w:eastAsia="Arial" w:hAnsi="Arial"/>
          <w:sz w:val="18"/>
          <w:szCs w:val="18"/>
          <w:color w:val="auto"/>
        </w:rPr>
        <w:t>Trades by Individuals in the Company’s securities that are executed pursuant to an</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10b5-1 trading plan (a “</w:t>
      </w:r>
      <w:r>
        <w:rPr>
          <w:rFonts w:ascii="Arial" w:cs="Arial" w:eastAsia="Arial" w:hAnsi="Arial"/>
          <w:sz w:val="18"/>
          <w:szCs w:val="18"/>
          <w:b w:val="1"/>
          <w:bCs w:val="1"/>
          <w:i w:val="1"/>
          <w:iCs w:val="1"/>
          <w:color w:val="auto"/>
        </w:rPr>
        <w:t>Trading Plan</w:t>
      </w:r>
      <w:r>
        <w:rPr>
          <w:rFonts w:ascii="Arial" w:cs="Arial" w:eastAsia="Arial" w:hAnsi="Arial"/>
          <w:sz w:val="18"/>
          <w:szCs w:val="18"/>
          <w:color w:val="auto"/>
        </w:rPr>
        <w:t>”) consistent with the Company’s Rule 10b5-1 Trading Plan Guidelines are not subject to the prohibition on trading on the basis of material non-public information contained in this Insider Trading and Communications Policy or to the restrictions set forth above relating to pre-clearance procedures and blackout periods.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 Rule 10b5-1 provides an affirmative defense from insider trading liability under the federal securities laws for trading plans that meet certain requirements. It does not prevent someone from bringing a lawsuit. This Insider Trading and Communications Policy permits Individuals to adopt Trading Plans with brokers that outline a pre-set plan for trading of the Company’s securities, including those received upon the exercise of options and settlement of restricted stock units. Trading Plans are to be established only during open windows and when the Individual is not aware of any material non- 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SiTime Corporation Insider Trading and Communication Policy</w:t>
      </w:r>
    </w:p>
    <w:p>
      <w:pPr>
        <w:sectPr>
          <w:pgSz w:w="11900" w:h="16838" w:orient="portrait"/>
          <w:cols w:equalWidth="0" w:num="1">
            <w:col w:w="11240"/>
          </w:cols>
          <w:pgMar w:left="320" w:top="593"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Any Trading Plan must comply with SEC Rule 10b5-1, the Company’s Rule 10b5-1 Trading Plan Guidelines, and be approved in writing in advance by our Chief Legal Officer, and the establishment of such a Trading Plan with respect to an Individual may be publicly announced by the Company.</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Establishing a Trading Plan does not exempt Individuals from complying with the Section 16 six- month short swing profit rules or</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liability.</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Revocation/Amendments to Trading Plans</w:t>
      </w:r>
      <w:r>
        <w:rPr>
          <w:rFonts w:ascii="Arial" w:cs="Arial" w:eastAsia="Arial" w:hAnsi="Arial"/>
          <w:sz w:val="18"/>
          <w:szCs w:val="18"/>
          <w:color w:val="auto"/>
        </w:rPr>
        <w:t>. An Individual may amend or revoke his or her Trading Plan at any time,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Individual’s Trading Plan and the Company’s Rule 10b5-1 Trading Plan Guidelines.</w:t>
      </w:r>
    </w:p>
    <w:p>
      <w:pPr>
        <w:spacing w:after="0" w:line="15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Under certain circumstances, a Trading Plan must be revoked. This includes circumstances such as the announcement of a merger or the occurrence of an event that would cause the transaction to violate the law or a contractual restriction, or to have an adverse effect on the Company. The Chief Legal Officer, or his or her designee, or any stock administrator of the Company is authorized to notify the broker in such circumstances.</w:t>
      </w:r>
    </w:p>
    <w:p>
      <w:pPr>
        <w:spacing w:after="0" w:line="17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Post-Termination Transactions</w:t>
      </w:r>
      <w:r>
        <w:rPr>
          <w:rFonts w:ascii="Arial" w:cs="Arial" w:eastAsia="Arial" w:hAnsi="Arial"/>
          <w:sz w:val="18"/>
          <w:szCs w:val="18"/>
          <w:color w:val="auto"/>
        </w:rPr>
        <w:t>. This Insider Trading and Communications Policy continues to apply to your transactions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securities even after your employment, board service or consulting services terminate. If you are in possession of material non-public information when your service to the Company or a subsidiary of the Company terminates, you may not trade in Company securities until that information has become public or is no longer material.</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Domestic Relations Order</w:t>
      </w:r>
      <w:r>
        <w:rPr>
          <w:rFonts w:ascii="Arial" w:cs="Arial" w:eastAsia="Arial" w:hAnsi="Arial"/>
          <w:sz w:val="18"/>
          <w:szCs w:val="18"/>
          <w:color w:val="auto"/>
        </w:rPr>
        <w:t>. This policy does not apply to the acquisition or disposition of Company securities pursuant to a</w:t>
      </w:r>
      <w:r>
        <w:rPr>
          <w:rFonts w:ascii="Arial" w:cs="Arial" w:eastAsia="Arial" w:hAnsi="Arial"/>
          <w:sz w:val="18"/>
          <w:szCs w:val="18"/>
          <w:b w:val="1"/>
          <w:bCs w:val="1"/>
          <w:color w:val="auto"/>
        </w:rPr>
        <w:t xml:space="preserve"> </w:t>
      </w:r>
      <w:r>
        <w:rPr>
          <w:rFonts w:ascii="Arial" w:cs="Arial" w:eastAsia="Arial" w:hAnsi="Arial"/>
          <w:sz w:val="18"/>
          <w:szCs w:val="18"/>
          <w:color w:val="auto"/>
        </w:rPr>
        <w:t>domestic relations order, as defined in the Internal Revenue Code of 1986, as amended, or Title I of the Employee Retirement Income Security Act of 1974, as amended, or the rules thereunder.</w:t>
      </w:r>
    </w:p>
    <w:p>
      <w:pPr>
        <w:spacing w:after="0" w:line="171" w:lineRule="exact"/>
        <w:rPr>
          <w:sz w:val="20"/>
          <w:szCs w:val="20"/>
          <w:color w:val="auto"/>
        </w:rPr>
      </w:pPr>
    </w:p>
    <w:p>
      <w:pPr>
        <w:ind w:left="1380" w:hanging="635"/>
        <w:spacing w:after="0"/>
        <w:tabs>
          <w:tab w:leader="none" w:pos="13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Prohibited Transactions.</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believe it is improper and inappropriate for any of the Individuals to engage in short-term or speculative transactions involving Company securities. We believe that this trading can reflect badly on the Company and that Individuals should not engage in any types of transactions that are commonly viewed as a form of “betting” for or against the Company. Accordingly, it is the Company’s policy that Individuals may not engage in any of the following activities with respect to securities of the Company:</w:t>
      </w:r>
    </w:p>
    <w:p>
      <w:pPr>
        <w:spacing w:after="0" w:line="176" w:lineRule="exact"/>
        <w:rPr>
          <w:sz w:val="20"/>
          <w:szCs w:val="20"/>
          <w:color w:val="auto"/>
        </w:rPr>
      </w:pPr>
    </w:p>
    <w:p>
      <w:pPr>
        <w:jc w:val="both"/>
        <w:ind w:left="1060" w:right="160" w:hanging="83"/>
        <w:spacing w:after="0" w:line="254" w:lineRule="auto"/>
        <w:rPr>
          <w:sz w:val="20"/>
          <w:szCs w:val="20"/>
          <w:color w:val="auto"/>
        </w:rPr>
      </w:pPr>
      <w:r>
        <w:rPr>
          <w:rFonts w:ascii="Arial" w:cs="Arial" w:eastAsia="Arial" w:hAnsi="Arial"/>
          <w:sz w:val="18"/>
          <w:szCs w:val="18"/>
          <w:b w:val="1"/>
          <w:bCs w:val="1"/>
          <w:i w:val="1"/>
          <w:iCs w:val="1"/>
          <w:color w:val="auto"/>
        </w:rPr>
        <w:t xml:space="preserve">Director and officer cashless exercise </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In response to the restrictions set forth in the Sarbanes-Oxley Act of 2002, the Company will not arrange with brokers to administer cashless exercises on behalf of directors and officers of the Company. Directors and officers of the Company may only utilize the cashless exercise feature of their options if (i) the director or officer retains a broker independently of the Company, (ii) the Company’s involvement is limited to confirming that it will deliver the stock promptly upon payment of the exercise price and (iii) the director or officer uses a “T+1” cashless exercise arrangement, in which the Company agrees to deliver stock against the payment of the purchase price on the same day the sale of the stock underlying the option settles. Under a T+1 cashless exercise, a stock broker, the issuer, and the transfer agent of the issuer work together to make all transactions settle simultaneously. This approach is to avoid any inference that the Company has “extended credit” in the form of a personal loan to the director or executive officer. Any employee who has any questions about cashless exercises may obtain additional guidance from our Chief Financial Officer or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SiTime Corporation Insider Trading and Communication Policy</w:t>
      </w:r>
    </w:p>
    <w:p>
      <w:pPr>
        <w:sectPr>
          <w:pgSz w:w="11900" w:h="16838" w:orient="portrait"/>
          <w:cols w:equalWidth="0" w:num="1">
            <w:col w:w="11240"/>
          </w:cols>
          <w:pgMar w:left="320" w:top="593"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336" w:lineRule="exact"/>
        <w:rPr>
          <w:sz w:val="20"/>
          <w:szCs w:val="20"/>
          <w:color w:val="auto"/>
        </w:rPr>
      </w:pPr>
    </w:p>
    <w:p>
      <w:pPr>
        <w:jc w:val="both"/>
        <w:ind w:left="1060" w:right="160" w:hanging="110"/>
        <w:spacing w:after="0" w:line="262" w:lineRule="auto"/>
        <w:rPr>
          <w:sz w:val="20"/>
          <w:szCs w:val="20"/>
          <w:color w:val="auto"/>
        </w:rPr>
      </w:pPr>
      <w:r>
        <w:rPr>
          <w:rFonts w:ascii="Arial" w:cs="Arial" w:eastAsia="Arial" w:hAnsi="Arial"/>
          <w:sz w:val="18"/>
          <w:szCs w:val="18"/>
          <w:b w:val="1"/>
          <w:bCs w:val="1"/>
          <w:i w:val="1"/>
          <w:iCs w:val="1"/>
          <w:color w:val="auto"/>
        </w:rPr>
        <w:t xml:space="preserve">Director and officer trading during pension and 401(k) plan blackout periods </w:t>
      </w:r>
      <w:r>
        <w:rPr>
          <w:rFonts w:ascii="Arial" w:cs="Arial" w:eastAsia="Arial" w:hAnsi="Arial"/>
          <w:sz w:val="18"/>
          <w:szCs w:val="18"/>
          <w:color w:val="auto"/>
        </w:rPr>
        <w:t>– If Company securities are available 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option or used as a Company match in the Company’s 401(k) plan, directors, officers, and employees of the Company are prohibited from trading Company securities during pension and 401(k) plan blackouts, if any, in response to the restrictions set forth in the Sarbanes-Oxley Act of 2002.</w:t>
      </w:r>
    </w:p>
    <w:p>
      <w:pPr>
        <w:spacing w:after="0" w:line="176" w:lineRule="exact"/>
        <w:rPr>
          <w:sz w:val="20"/>
          <w:szCs w:val="20"/>
          <w:color w:val="auto"/>
        </w:rPr>
      </w:pPr>
    </w:p>
    <w:p>
      <w:pPr>
        <w:jc w:val="both"/>
        <w:ind w:left="1060" w:right="160" w:hanging="123"/>
        <w:spacing w:after="0" w:line="259" w:lineRule="auto"/>
        <w:rPr>
          <w:sz w:val="20"/>
          <w:szCs w:val="20"/>
          <w:color w:val="auto"/>
        </w:rPr>
      </w:pPr>
      <w:r>
        <w:rPr>
          <w:rFonts w:ascii="Arial" w:cs="Arial" w:eastAsia="Arial" w:hAnsi="Arial"/>
          <w:sz w:val="18"/>
          <w:szCs w:val="18"/>
          <w:b w:val="1"/>
          <w:bCs w:val="1"/>
          <w:i w:val="1"/>
          <w:iCs w:val="1"/>
          <w:color w:val="auto"/>
        </w:rPr>
        <w:t xml:space="preserve">Trading in securities on a short-term basis </w:t>
      </w:r>
      <w:r>
        <w:rPr>
          <w:rFonts w:ascii="Arial" w:cs="Arial" w:eastAsia="Arial" w:hAnsi="Arial"/>
          <w:sz w:val="18"/>
          <w:szCs w:val="18"/>
          <w:color w:val="auto"/>
        </w:rPr>
        <w:t>— As a general rule, any Company securities purchased in the open market (i.e.,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including stock purchased upon exercise of an employee stock option or restricted stock unit or under an employee stock purchase plan) should be held for a minimum of six months and ideally longer. Section 16 Officers and members of the Board of Directors of the Company are already subject to the SEC’s “short- swing” profit rule, which penalizes purchases and sales within any six-month period.</w:t>
      </w:r>
    </w:p>
    <w:p>
      <w:pPr>
        <w:spacing w:after="0" w:line="179" w:lineRule="exact"/>
        <w:rPr>
          <w:sz w:val="20"/>
          <w:szCs w:val="20"/>
          <w:color w:val="auto"/>
        </w:rPr>
      </w:pPr>
    </w:p>
    <w:p>
      <w:pPr>
        <w:ind w:left="1060" w:right="160" w:hanging="83"/>
        <w:spacing w:after="0" w:line="287" w:lineRule="auto"/>
        <w:rPr>
          <w:sz w:val="20"/>
          <w:szCs w:val="20"/>
          <w:color w:val="auto"/>
        </w:rPr>
      </w:pPr>
      <w:r>
        <w:rPr>
          <w:rFonts w:ascii="Arial" w:cs="Arial" w:eastAsia="Arial" w:hAnsi="Arial"/>
          <w:sz w:val="18"/>
          <w:szCs w:val="18"/>
          <w:b w:val="1"/>
          <w:bCs w:val="1"/>
          <w:i w:val="1"/>
          <w:iCs w:val="1"/>
          <w:color w:val="auto"/>
        </w:rPr>
        <w:t xml:space="preserve">Short sales of Company securities </w:t>
      </w:r>
      <w:r>
        <w:rPr>
          <w:rFonts w:ascii="Arial" w:cs="Arial" w:eastAsia="Arial" w:hAnsi="Arial"/>
          <w:sz w:val="18"/>
          <w:szCs w:val="18"/>
          <w:color w:val="auto"/>
        </w:rPr>
        <w:t>— This involves selling Company securities that you do not own in the expectation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price of the securities will fall, or as part of an arbitrage transaction.</w:t>
      </w:r>
    </w:p>
    <w:p>
      <w:pPr>
        <w:spacing w:after="0" w:line="153" w:lineRule="exact"/>
        <w:rPr>
          <w:sz w:val="20"/>
          <w:szCs w:val="20"/>
          <w:color w:val="auto"/>
        </w:rPr>
      </w:pPr>
    </w:p>
    <w:p>
      <w:pPr>
        <w:ind w:left="1060" w:right="160" w:hanging="2"/>
        <w:spacing w:after="0" w:line="287" w:lineRule="auto"/>
        <w:rPr>
          <w:sz w:val="20"/>
          <w:szCs w:val="20"/>
          <w:color w:val="auto"/>
        </w:rPr>
      </w:pPr>
      <w:r>
        <w:rPr>
          <w:rFonts w:ascii="Arial" w:cs="Arial" w:eastAsia="Arial" w:hAnsi="Arial"/>
          <w:sz w:val="18"/>
          <w:szCs w:val="18"/>
          <w:b w:val="1"/>
          <w:bCs w:val="1"/>
          <w:i w:val="1"/>
          <w:iCs w:val="1"/>
          <w:color w:val="auto"/>
        </w:rPr>
        <w:t xml:space="preserve">Buying or selling puts or calls, or their equivalent positions, on Company securities </w:t>
      </w:r>
      <w:r>
        <w:rPr>
          <w:rFonts w:ascii="Arial" w:cs="Arial" w:eastAsia="Arial" w:hAnsi="Arial"/>
          <w:sz w:val="18"/>
          <w:szCs w:val="18"/>
          <w:color w:val="auto"/>
        </w:rPr>
        <w:t>— This includes options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derivatives trading on any of the stock exchanges or futures exchanges, including cashless collars.</w:t>
      </w:r>
    </w:p>
    <w:p>
      <w:pPr>
        <w:spacing w:after="0" w:line="153" w:lineRule="exact"/>
        <w:rPr>
          <w:sz w:val="20"/>
          <w:szCs w:val="20"/>
          <w:color w:val="auto"/>
        </w:rPr>
      </w:pPr>
    </w:p>
    <w:p>
      <w:pPr>
        <w:jc w:val="both"/>
        <w:ind w:left="1060" w:right="160" w:hanging="110"/>
        <w:spacing w:after="0" w:line="262" w:lineRule="auto"/>
        <w:rPr>
          <w:sz w:val="20"/>
          <w:szCs w:val="20"/>
          <w:color w:val="auto"/>
        </w:rPr>
      </w:pPr>
      <w:r>
        <w:rPr>
          <w:rFonts w:ascii="Arial" w:cs="Arial" w:eastAsia="Arial" w:hAnsi="Arial"/>
          <w:sz w:val="18"/>
          <w:szCs w:val="18"/>
          <w:b w:val="1"/>
          <w:bCs w:val="1"/>
          <w:i w:val="1"/>
          <w:iCs w:val="1"/>
          <w:color w:val="auto"/>
        </w:rPr>
        <w:t>Margin accounts or pledging securities</w:t>
      </w:r>
      <w:r>
        <w:rPr>
          <w:rFonts w:ascii="Arial" w:cs="Arial" w:eastAsia="Arial" w:hAnsi="Arial"/>
          <w:sz w:val="18"/>
          <w:szCs w:val="18"/>
          <w:color w:val="auto"/>
        </w:rPr>
        <w:t>. This means securities held in a margin account as collateral for a margin loan,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pledged (or hypothecated) as collateral for a loan. This also includes borrowing from a brokerage firm, bank, or other entity in order to buy Company securities (other than in connection with a so-called “cashless” exercise of options under the Company’s stock plans).</w:t>
      </w:r>
    </w:p>
    <w:p>
      <w:pPr>
        <w:spacing w:after="0" w:line="176" w:lineRule="exact"/>
        <w:rPr>
          <w:sz w:val="20"/>
          <w:szCs w:val="20"/>
          <w:color w:val="auto"/>
        </w:rPr>
      </w:pPr>
    </w:p>
    <w:p>
      <w:pPr>
        <w:jc w:val="both"/>
        <w:ind w:left="1060" w:right="160" w:hanging="56"/>
        <w:spacing w:after="0" w:line="254" w:lineRule="auto"/>
        <w:rPr>
          <w:sz w:val="20"/>
          <w:szCs w:val="20"/>
          <w:color w:val="auto"/>
        </w:rPr>
      </w:pPr>
      <w:r>
        <w:rPr>
          <w:rFonts w:ascii="Arial" w:cs="Arial" w:eastAsia="Arial" w:hAnsi="Arial"/>
          <w:sz w:val="18"/>
          <w:szCs w:val="18"/>
          <w:b w:val="1"/>
          <w:bCs w:val="1"/>
          <w:i w:val="1"/>
          <w:iCs w:val="1"/>
          <w:color w:val="auto"/>
        </w:rPr>
        <w:t>Hedging</w:t>
      </w:r>
      <w:r>
        <w:rPr>
          <w:rFonts w:ascii="Arial" w:cs="Arial" w:eastAsia="Arial" w:hAnsi="Arial"/>
          <w:sz w:val="18"/>
          <w:szCs w:val="18"/>
          <w:color w:val="auto"/>
        </w:rPr>
        <w:t>. Hedging or monetization transactions can be accomplished through a number of possible mechanisms,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use of financial instruments such as prepaid variable forwards, equity swaps, collars, and exchange funds. Such hedging transactions may permit an Individual to continue to own Company securities obtained through employee benefit plans or otherwise, but without the full risks and rewards of ownership. When that occurs, the Individual may no longer have the same objectives as the Company’s other stockholders. Therefore, Individuals are prohibited from engaging in such transactions, subject to the exception set forth in the next sentence. Investments in exchange funds using Company securities may be permitted if (i) the fund is broadly diversified, (ii) such investment is not designed to hedge any decrease in the market value of Company securities, (iii) such investment is approved in advance by our Chief Legal Officer (in the absence of our Chief Legal Officer, our Chief Financial Officer), and (iv) such investment complies with the other provisions of this policy applicable to your trading in the Company’s securities, including the sections above captioned “Pre-Clearance of Trades of Company Stock” and “Trading Blackouts.”</w:t>
      </w:r>
    </w:p>
    <w:p>
      <w:pPr>
        <w:spacing w:after="0" w:line="182" w:lineRule="exact"/>
        <w:rPr>
          <w:sz w:val="20"/>
          <w:szCs w:val="20"/>
          <w:color w:val="auto"/>
        </w:rPr>
      </w:pPr>
    </w:p>
    <w:p>
      <w:pPr>
        <w:ind w:left="1380" w:hanging="635"/>
        <w:spacing w:after="0"/>
        <w:tabs>
          <w:tab w:leader="none" w:pos="13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 and Communications with the Media.</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Unauthorized disclosure of internal information relating to the Company (including information regarding facilities, products, or services, or the Company’s partners, suppliers or customers) could cause competitive harm to the Company and in some cases could result in liability for the Company.</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b w:val="1"/>
          <w:bCs w:val="1"/>
          <w:color w:val="auto"/>
        </w:rPr>
        <w:t>Unauthorized Disclosure</w:t>
      </w:r>
      <w:r>
        <w:rPr>
          <w:rFonts w:ascii="Arial" w:cs="Arial" w:eastAsia="Arial" w:hAnsi="Arial"/>
          <w:sz w:val="18"/>
          <w:szCs w:val="18"/>
          <w:color w:val="auto"/>
        </w:rPr>
        <w:t>. Individuals should not disclose internal information about the Company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anyone</w:t>
      </w:r>
      <w:r>
        <w:rPr>
          <w:rFonts w:ascii="Arial" w:cs="Arial" w:eastAsia="Arial" w:hAnsi="Arial"/>
          <w:sz w:val="18"/>
          <w:szCs w:val="18"/>
          <w:b w:val="1"/>
          <w:bCs w:val="1"/>
          <w:color w:val="auto"/>
        </w:rPr>
        <w:t xml:space="preserve"> </w:t>
      </w:r>
      <w:r>
        <w:rPr>
          <w:rFonts w:ascii="Arial" w:cs="Arial" w:eastAsia="Arial" w:hAnsi="Arial"/>
          <w:sz w:val="18"/>
          <w:szCs w:val="18"/>
          <w:color w:val="auto"/>
        </w:rPr>
        <w:t>outside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required in the performance of regular duties for the Company. In this regard, Individuals are prohibited from posting internal information about the Company on a “bulletin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SiTime Corporation Insider Trading and Communication Policy</w:t>
      </w:r>
    </w:p>
    <w:p>
      <w:pPr>
        <w:sectPr>
          <w:pgSz w:w="11900" w:h="16838" w:orient="portrait"/>
          <w:cols w:equalWidth="0" w:num="1">
            <w:col w:w="11240"/>
          </w:cols>
          <w:pgMar w:left="320" w:top="593"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3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board” or “blog” on the Internet, communicating about the Company and its business in Internet-based “chat” rooms or blogs, or having a blog that discusses the Company and its business.</w:t>
      </w:r>
    </w:p>
    <w:p>
      <w:pPr>
        <w:spacing w:after="0" w:line="1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Communications with the Media, Securities Analysts and Investors</w:t>
      </w:r>
      <w:r>
        <w:rPr>
          <w:rFonts w:ascii="Arial" w:cs="Arial" w:eastAsia="Arial" w:hAnsi="Arial"/>
          <w:sz w:val="18"/>
          <w:szCs w:val="18"/>
          <w:color w:val="auto"/>
        </w:rPr>
        <w:t>. Communications on behalf of the Company with the media,</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analysts, and investors must be made only by specifically designated representatives of the Company, as communications may be regulated by federal securities laws including but not limited to Regulation FD. Unless you have been expressly authorized to make such communications, if you receive any inquiry relating to the Company from the media, a securities analyst, or an investor, you should refer the inquiry to our Chief Financial Officer or Chief Legal Officer.</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Safeguarding Confidential Information</w:t>
      </w:r>
      <w:r>
        <w:rPr>
          <w:rFonts w:ascii="Arial" w:cs="Arial" w:eastAsia="Arial" w:hAnsi="Arial"/>
          <w:sz w:val="18"/>
          <w:szCs w:val="18"/>
          <w:color w:val="auto"/>
        </w:rPr>
        <w:t>. Care must be taken to safeguard the confidentiality of internal information. For example,</w:t>
      </w:r>
      <w:r>
        <w:rPr>
          <w:rFonts w:ascii="Arial" w:cs="Arial" w:eastAsia="Arial" w:hAnsi="Arial"/>
          <w:sz w:val="18"/>
          <w:szCs w:val="18"/>
          <w:b w:val="1"/>
          <w:bCs w:val="1"/>
          <w:color w:val="auto"/>
        </w:rPr>
        <w:t xml:space="preserve"> </w:t>
      </w:r>
      <w:r>
        <w:rPr>
          <w:rFonts w:ascii="Arial" w:cs="Arial" w:eastAsia="Arial" w:hAnsi="Arial"/>
          <w:sz w:val="18"/>
          <w:szCs w:val="18"/>
          <w:color w:val="auto"/>
        </w:rPr>
        <w:t>sensitive documents should not be left lying on desks, and visitors should not be left unattended in offices containing internal company documents.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Rumors</w:t>
      </w:r>
      <w:r>
        <w:rPr>
          <w:rFonts w:ascii="Arial" w:cs="Arial" w:eastAsia="Arial" w:hAnsi="Arial"/>
          <w:sz w:val="18"/>
          <w:szCs w:val="18"/>
          <w:color w:val="auto"/>
        </w:rPr>
        <w:t>. Rumors concerning the business and affairs of the Company may circulate from time to time. Our general policy is not to</w:t>
      </w:r>
      <w:r>
        <w:rPr>
          <w:rFonts w:ascii="Arial" w:cs="Arial" w:eastAsia="Arial" w:hAnsi="Arial"/>
          <w:sz w:val="18"/>
          <w:szCs w:val="18"/>
          <w:b w:val="1"/>
          <w:bCs w:val="1"/>
          <w:color w:val="auto"/>
        </w:rPr>
        <w:t xml:space="preserve"> </w:t>
      </w:r>
      <w:r>
        <w:rPr>
          <w:rFonts w:ascii="Arial" w:cs="Arial" w:eastAsia="Arial" w:hAnsi="Arial"/>
          <w:sz w:val="18"/>
          <w:szCs w:val="18"/>
          <w:color w:val="auto"/>
        </w:rPr>
        <w:t>comment upon those rumors. Individuals should also refrain from commenting upon or responding to rumors and should refer any requests for comments or responses to our Chief Financial Officer or Chief Legal Officer.</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Analyst Reports</w:t>
      </w:r>
      <w:r>
        <w:rPr>
          <w:rFonts w:ascii="Arial" w:cs="Arial" w:eastAsia="Arial" w:hAnsi="Arial"/>
          <w:sz w:val="18"/>
          <w:szCs w:val="18"/>
          <w:color w:val="auto"/>
        </w:rPr>
        <w:t>. The Company views analyst reports as the proprietary information of the analyst’s firm. The Company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such reports on our corporate or other websites or through any other means to persons outside of the Company. The Company should avoid directing anyone outside the Company to an analyst report, in part to avoid the appearance of endorsing such a report.</w:t>
      </w:r>
    </w:p>
    <w:p>
      <w:pPr>
        <w:spacing w:after="0" w:line="171" w:lineRule="exact"/>
        <w:rPr>
          <w:sz w:val="20"/>
          <w:szCs w:val="20"/>
          <w:color w:val="auto"/>
        </w:rPr>
      </w:pPr>
    </w:p>
    <w:p>
      <w:pPr>
        <w:ind w:left="1380" w:hanging="635"/>
        <w:spacing w:after="0"/>
        <w:tabs>
          <w:tab w:leader="none" w:pos="13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Company Assistance.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Any person who has any questions about specific transactions may obtain additional guidance from our Chief Financial Officer or our Chief Legal Officer.</w:t>
      </w:r>
    </w:p>
    <w:p>
      <w:pPr>
        <w:spacing w:after="0" w:line="15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Remember, however, you are ultimately responsible for adhering to this Insider Trading and Communications Policy and avoiding improper transactions. In this regard, it is imperative that you use your best judgment.</w:t>
      </w:r>
    </w:p>
    <w:p>
      <w:pPr>
        <w:spacing w:after="0" w:line="1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16 Filings</w:t>
      </w:r>
      <w:r>
        <w:rPr>
          <w:rFonts w:ascii="Arial" w:cs="Arial" w:eastAsia="Arial" w:hAnsi="Arial"/>
          <w:sz w:val="18"/>
          <w:szCs w:val="18"/>
          <w:color w:val="auto"/>
        </w:rPr>
        <w:t>. While the Company expects to assist each director and Section 16 Officer (including Family Members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Entities of such persons) (collectively, “</w:t>
      </w:r>
      <w:r>
        <w:rPr>
          <w:rFonts w:ascii="Arial" w:cs="Arial" w:eastAsia="Arial" w:hAnsi="Arial"/>
          <w:sz w:val="18"/>
          <w:szCs w:val="18"/>
          <w:b w:val="1"/>
          <w:bCs w:val="1"/>
          <w:i w:val="1"/>
          <w:iCs w:val="1"/>
          <w:color w:val="auto"/>
        </w:rPr>
        <w:t>Section 16 Reporting Persons</w:t>
      </w:r>
      <w:r>
        <w:rPr>
          <w:rFonts w:ascii="Arial" w:cs="Arial" w:eastAsia="Arial" w:hAnsi="Arial"/>
          <w:sz w:val="18"/>
          <w:szCs w:val="18"/>
          <w:color w:val="auto"/>
        </w:rPr>
        <w:t>”) with such Section 16 filings, and expects such assistance to include form preparation for all Section 16 Reporting Persons other than those who do not require such assistance, the obligation to file Section 16 reports (Forms 3, 4 and 5) is a personal obligation of each such person, and the Company is not responsible for any failure to file accurate and timely Section 16 reports. Each Section 16 Reporting Person must ensure that his or her broker provides the Company with detailed information (trade date, number of shares, exact price) regarding every transaction involving the securities of the Company, including gifts, transfers, pledges, and all Rule 10b5-1 transactions, both in connection with mandatory pre-clearance requirements for such Section 16 Reporting Persons and immediately following execution.</w:t>
      </w:r>
    </w:p>
    <w:p>
      <w:pPr>
        <w:spacing w:after="0" w:line="185" w:lineRule="exact"/>
        <w:rPr>
          <w:sz w:val="20"/>
          <w:szCs w:val="20"/>
          <w:color w:val="auto"/>
        </w:rPr>
      </w:pPr>
    </w:p>
    <w:p>
      <w:pPr>
        <w:ind w:left="1380" w:hanging="635"/>
        <w:spacing w:after="0"/>
        <w:tabs>
          <w:tab w:leader="none" w:pos="13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Modifications.</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This Insider Trading and Communications Policy has been approved by the Company’s Board of Directors. Officers of the Company may, from time to time, make non-substantive modifications to this Insider Trading and Communications Policy (including, without limitation, substitution of the names of the appropriate contact persons within the Company) with subsequent notice to the Company’s Board of Directors or the Nominating and Corporate Governance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SiTime Corporation Insider Trading and Communication Policy</w:t>
      </w:r>
    </w:p>
    <w:p>
      <w:pPr>
        <w:sectPr>
          <w:pgSz w:w="11900" w:h="16838" w:orient="portrait"/>
          <w:cols w:equalWidth="0" w:num="1">
            <w:col w:w="11240"/>
          </w:cols>
          <w:pgMar w:left="320" w:top="593"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336" w:lineRule="exact"/>
        <w:rPr>
          <w:sz w:val="20"/>
          <w:szCs w:val="20"/>
          <w:color w:val="auto"/>
        </w:rPr>
      </w:pPr>
    </w:p>
    <w:p>
      <w:pPr>
        <w:ind w:left="1380" w:hanging="635"/>
        <w:spacing w:after="0"/>
        <w:tabs>
          <w:tab w:leader="none" w:pos="13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directors, officers, employees, consultants, and contractors of the Company and its subsidiaries will be required to acknowledge, electronically or in writing, their understanding of, and intent to comply with, this Insider Trading and Communications Policy. This agreement will constitute each such person’s consent for the Company to issue any necessary stop-transfer orders to the Company’s transfer agent to enforce compliance with this policy. As a condition of continued employment or engagement, all employees, contractors, and consultants must periodically acknowledge, electronically or in writing, that they have read and agree to abide by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SiTime Corporation Insider Trading and Communication Policy</w:t>
      </w:r>
    </w:p>
    <w:p>
      <w:pPr>
        <w:sectPr>
          <w:pgSz w:w="11900" w:h="16838" w:orient="portrait"/>
          <w:cols w:equalWidth="0" w:num="1">
            <w:col w:w="11240"/>
          </w:cols>
          <w:pgMar w:left="320" w:top="593" w:right="339" w:bottom="1440" w:gutter="0" w:footer="0" w:header="0"/>
        </w:sectPr>
      </w:pPr>
    </w:p>
    <w:bookmarkStart w:id="63" w:name="page64"/>
    <w:bookmarkEnd w:id="63"/>
    <w:p>
      <w:pPr>
        <w:spacing w:after="0" w:line="58" w:lineRule="exact"/>
        <w:rPr>
          <w:sz w:val="20"/>
          <w:szCs w:val="20"/>
          <w:color w:val="auto"/>
        </w:rPr>
      </w:pPr>
    </w:p>
    <w:p>
      <w:pPr>
        <w:ind w:left="5020"/>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have received and read a copy of the SiTime Corporation Insider Trading and Communications Policy and I understand and agree to comply with the specific requirements of the policy. I agree that I will be subject to sanctions imposed by the Company, in its discretion, for violation of the Company’s policy, including dismissal for cause, and that the Company may give stop-transfer and other instructions to the Company’s transfer agent against transfer of Company securities by me in a transaction that the Company considers to be in contravention of this policy.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-7620</wp:posOffset>
            </wp:positionV>
            <wp:extent cx="3810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-7620</wp:posOffset>
            </wp:positionV>
            <wp:extent cx="5080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-7620</wp:posOffset>
            </wp:positionV>
            <wp:extent cx="5080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5080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-7620</wp:posOffset>
            </wp:positionV>
            <wp:extent cx="3810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Rule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Rajesh Vashist, certify that:</w:t>
      </w:r>
    </w:p>
    <w:p>
      <w:pPr>
        <w:spacing w:after="0" w:line="225" w:lineRule="exact"/>
        <w:rPr>
          <w:sz w:val="20"/>
          <w:szCs w:val="20"/>
          <w:color w:val="auto"/>
        </w:rPr>
      </w:pPr>
    </w:p>
    <w:p>
      <w:pPr>
        <w:ind w:left="580" w:hanging="572"/>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SiTime Corporation.;</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40" w:right="100" w:hanging="965"/>
        <w:spacing w:after="0" w:line="266" w:lineRule="auto"/>
        <w:tabs>
          <w:tab w:leader="none" w:pos="153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220" w:hanging="965"/>
        <w:spacing w:after="0" w:line="266" w:lineRule="auto"/>
        <w:tabs>
          <w:tab w:leader="none" w:pos="153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20" w:hanging="965"/>
        <w:spacing w:after="0" w:line="266" w:lineRule="auto"/>
        <w:tabs>
          <w:tab w:leader="none" w:pos="153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20" w:hanging="965"/>
        <w:spacing w:after="0" w:line="266" w:lineRule="auto"/>
        <w:tabs>
          <w:tab w:leader="none" w:pos="153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1540" w:right="260" w:hanging="965"/>
        <w:spacing w:after="0" w:line="282" w:lineRule="auto"/>
        <w:tabs>
          <w:tab w:leader="none" w:pos="153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1540" w:right="560" w:hanging="965"/>
        <w:spacing w:after="0" w:line="282" w:lineRule="auto"/>
        <w:tabs>
          <w:tab w:leader="none" w:pos="153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333"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34290</wp:posOffset>
            </wp:positionV>
            <wp:extent cx="31718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5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Rajesh Vashist</w:t>
      </w:r>
    </w:p>
    <w:p>
      <w:pPr>
        <w:spacing w:after="0" w:line="3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25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Rule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Elizabeth A. Howe, certify that:</w:t>
      </w:r>
    </w:p>
    <w:p>
      <w:pPr>
        <w:spacing w:after="0" w:line="225" w:lineRule="exact"/>
        <w:rPr>
          <w:sz w:val="20"/>
          <w:szCs w:val="20"/>
          <w:color w:val="auto"/>
        </w:rPr>
      </w:pPr>
    </w:p>
    <w:p>
      <w:pPr>
        <w:ind w:left="580" w:hanging="572"/>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SiTime Corporation.;</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60" w:right="180" w:hanging="885"/>
        <w:spacing w:after="0" w:line="266" w:lineRule="auto"/>
        <w:tabs>
          <w:tab w:leader="none" w:pos="14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460" w:hanging="885"/>
        <w:spacing w:after="0" w:line="266" w:lineRule="auto"/>
        <w:tabs>
          <w:tab w:leader="none" w:pos="14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460" w:right="40" w:hanging="885"/>
        <w:spacing w:after="0" w:line="282" w:lineRule="auto"/>
        <w:tabs>
          <w:tab w:leader="none" w:pos="14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460" w:right="100" w:hanging="885"/>
        <w:spacing w:after="0" w:line="266" w:lineRule="auto"/>
        <w:tabs>
          <w:tab w:leader="none" w:pos="14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60" w:right="340" w:hanging="885"/>
        <w:spacing w:after="0" w:line="282" w:lineRule="auto"/>
        <w:tabs>
          <w:tab w:leader="none" w:pos="14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1460" w:right="40" w:hanging="885"/>
        <w:spacing w:after="0" w:line="282" w:lineRule="auto"/>
        <w:tabs>
          <w:tab w:leader="none" w:pos="14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33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34290</wp:posOffset>
            </wp:positionV>
            <wp:extent cx="31718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Elizabeth A. Howe</w:t>
      </w:r>
    </w:p>
    <w:p>
      <w:pPr>
        <w:spacing w:after="0" w:line="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ectPr>
          <w:pgSz w:w="11900" w:h="16838" w:orient="portrait"/>
          <w:cols w:equalWidth="0" w:num="1">
            <w:col w:w="11240"/>
          </w:cols>
          <w:pgMar w:left="320" w:top="1143"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105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SiTime Corporation. (the “Company”) on Form 10-Q for the period ended June 30, 2025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2100" w:hanging="1039"/>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2120" w:right="720" w:hanging="1059"/>
        <w:spacing w:after="0" w:line="282" w:lineRule="auto"/>
        <w:tabs>
          <w:tab w:leader="none" w:pos="21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306"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34290</wp:posOffset>
            </wp:positionV>
            <wp:extent cx="28886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53"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b w:val="1"/>
          <w:bCs w:val="1"/>
          <w:color w:val="auto"/>
        </w:rPr>
        <w:t>Rajesh Vashist</w:t>
      </w:r>
    </w:p>
    <w:p>
      <w:pPr>
        <w:spacing w:after="0" w:line="3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43"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105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SiTime Corporation. (the “Company”) on Form 10-Q for the period ended June 30, 2025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2100" w:hanging="1039"/>
        <w:spacing w:after="0"/>
        <w:tabs>
          <w:tab w:leader="none" w:pos="2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2120" w:right="720" w:hanging="1059"/>
        <w:spacing w:after="0" w:line="282" w:lineRule="auto"/>
        <w:tabs>
          <w:tab w:leader="none" w:pos="21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30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34290</wp:posOffset>
            </wp:positionV>
            <wp:extent cx="28886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5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Elizabeth A. Howe</w:t>
      </w:r>
    </w:p>
    <w:p>
      <w:pPr>
        <w:spacing w:after="0" w:line="3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2"/>
    </w:lvl>
  </w:abstractNum>
  <w:abstractNum w:abstractNumId="23">
    <w:nsid w:val="2901D82"/>
    <w:multiLevelType w:val="hybridMultilevel"/>
    <w:lvl w:ilvl="0">
      <w:lvlJc w:val="left"/>
      <w:lvlText w:val="%1."/>
      <w:numFmt w:val="decimal"/>
      <w:start w:val="3"/>
    </w:lvl>
  </w:abstractNum>
  <w:abstractNum w:abstractNumId="24">
    <w:nsid w:val="3A95F874"/>
    <w:multiLevelType w:val="hybridMultilevel"/>
    <w:lvl w:ilvl="0">
      <w:lvlJc w:val="left"/>
      <w:lvlText w:val="%1."/>
      <w:numFmt w:val="decimal"/>
      <w:start w:val="4"/>
    </w:lvl>
  </w:abstractNum>
  <w:abstractNum w:abstractNumId="25">
    <w:nsid w:val="8138641"/>
    <w:multiLevelType w:val="hybridMultilevel"/>
    <w:lvl w:ilvl="0">
      <w:lvlJc w:val="left"/>
      <w:lvlText w:val="%1."/>
      <w:numFmt w:val="decimal"/>
      <w:start w:val="5"/>
    </w:lvl>
  </w:abstractNum>
  <w:abstractNum w:abstractNumId="26">
    <w:nsid w:val="1E7FF521"/>
    <w:multiLevelType w:val="hybridMultilevel"/>
    <w:lvl w:ilvl="0">
      <w:lvlJc w:val="left"/>
      <w:lvlText w:val="%1."/>
      <w:numFmt w:val="decimal"/>
      <w:start w:val="6"/>
    </w:lvl>
  </w:abstractNum>
  <w:abstractNum w:abstractNumId="27">
    <w:nsid w:val="7C3DBD3D"/>
    <w:multiLevelType w:val="hybridMultilevel"/>
    <w:lvl w:ilvl="0">
      <w:lvlJc w:val="left"/>
      <w:lvlText w:val="%1."/>
      <w:numFmt w:val="decimal"/>
      <w:start w:val="7"/>
    </w:lvl>
  </w:abstractNum>
  <w:abstractNum w:abstractNumId="28">
    <w:nsid w:val="737B8DDC"/>
    <w:multiLevelType w:val="hybridMultilevel"/>
    <w:lvl w:ilvl="0">
      <w:lvlJc w:val="left"/>
      <w:lvlText w:val="%1."/>
      <w:numFmt w:val="decimal"/>
      <w:start w:val="8"/>
    </w:lvl>
  </w:abstractNum>
  <w:abstractNum w:abstractNumId="29">
    <w:nsid w:val="6CEAF087"/>
    <w:multiLevelType w:val="hybridMultilevel"/>
    <w:lvl w:ilvl="0">
      <w:lvlJc w:val="left"/>
      <w:lvlText w:val="%1."/>
      <w:numFmt w:val="decimal"/>
      <w:start w:val="9"/>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73" Type="http://schemas.openxmlformats.org/officeDocument/2006/relationships/hyperlink" Target="https://www.sec.gov/Archives/edgar/data/1451809/000119312519301287/d630610dex31.htm" TargetMode="External"/><Relationship Id="rId74" Type="http://schemas.openxmlformats.org/officeDocument/2006/relationships/hyperlink" Target="https://www.sec.gov/Archives/edgar/data/1451809/000156459021035069/sitm-ex32_6.htm" TargetMode="External"/><Relationship Id="rId75" Type="http://schemas.openxmlformats.org/officeDocument/2006/relationships/hyperlink" Target="https://www.sec.gov/Archives/edgar/data/0001451809/000119312519272678/d701682dex41.htm" TargetMode="External"/><Relationship Id="rId76" Type="http://schemas.openxmlformats.org/officeDocument/2006/relationships/hyperlink" Target="https://www.sec.gov/Archives/edgar/data/1451809/000156459021005867/sitm-ex42_6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2025-08-07T05:26:49Z</dcterms:created>
  <dcterms:modified xsi:type="dcterms:W3CDTF">2025-08-07T05:26:49Z</dcterms:modified>
</cp:coreProperties>
</file>