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385" w:type="dxa"/>
        <w:jc w:val="left"/>
        <w:tblInd w:w="0" w:type="dxa"/>
        <w:tblLayout w:type="fixed"/>
        <w:tblCellMar>
          <w:top w:w="28" w:type="dxa"/>
          <w:left w:w="28" w:type="dxa"/>
          <w:bottom w:w="28" w:type="dxa"/>
          <w:right w:w="28" w:type="dxa"/>
        </w:tblCellMar>
      </w:tblPr>
      <w:tblGrid>
        <w:gridCol w:w="1721"/>
        <w:gridCol w:w="1512"/>
        <w:gridCol w:w="2152"/>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30, 2026</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SiTime Corporation</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1"/>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001-39135</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02-0713868</w:t>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5451 Patrick Henry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Santa Clara,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90" w:type="dxa"/>
        <w:jc w:val="left"/>
        <w:tblInd w:w="0" w:type="dxa"/>
        <w:tblLayout w:type="fixed"/>
        <w:tblCellMar>
          <w:top w:w="28" w:type="dxa"/>
          <w:left w:w="28" w:type="dxa"/>
          <w:bottom w:w="28" w:type="dxa"/>
          <w:right w:w="28" w:type="dxa"/>
        </w:tblCellMar>
      </w:tblPr>
      <w:tblGrid>
        <w:gridCol w:w="1951"/>
        <w:gridCol w:w="1715"/>
        <w:gridCol w:w="242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(408) 328-4400</w:t>
            </w:r>
          </w:p>
        </w:tc>
      </w:tr>
    </w:tbl>
    <w:p>
      <w:pPr>
        <w:pStyle w:val="TextBody"/>
        <w:bidi w:val="0"/>
        <w:spacing w:lineRule="auto" w:line="288" w:before="360" w:after="283"/>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1, 2026, SiTime Corporation, a Delaware corporation (the “Company”) filed a Current Report on Form 8-K (the “Original Report”) to report, among other things, the completion of its previously announced acquisition of certain assets related to the timing business of Renesas Electronics Corporation (the “Timing Product Business” and such acquisition, the "Acquisition") pursuant to that certain Asset Purchase Agreement between the Company and Renesas Electronics America Inc., a California corporation ("Renesas"), dated February 4,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filing this Current Report on Form 8-K/A (the “Amendment”) solely to amend Item 9.01 of the Original Report to present the required financial statements and pro forma financial information related to the Acquisition not later than 71 calendar days from the date on which the Original Report was required to be filed, as permitted under Items 9.01(a)(3) and 9.01(b)(2). Except for the filing of such financial statements and pro forma financial information, this Amendment does not otherwise modify or update the Original Report, and this Amendment should be read in conjunction with the Original Report.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 Financial Statements of Business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Rule 3-05 of Regulation S-X, the Company is filing herewith the unaudited interim combined financial statements of the Timing Product Business as of June 30, 2026, and for the six months ended June 30, 2026 and 2025, which are filed as Exhibit 99.1 and incorporated by reference herein. These combined financial statements have been prepared in accordance with the rules and regulations of the Securities and Exchange Commission and U.S. generally accepted accounting principles, and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Statements of Assets Acquired and Liabilities Assumed as of June 30, 2026 (unaudited);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Statements of Revenue and Direct Expenses for the six months ended June 30, 2026 and 2025 (unaudited);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Notes to the Interim Combined Financial Statements (unaudited). </w:t>
      </w:r>
    </w:p>
    <w:p>
      <w:pPr>
        <w:pStyle w:val="TextBody"/>
        <w:bidi w:val="0"/>
        <w:spacing w:lineRule="auto" w:line="288" w:before="120" w:after="283"/>
        <w:jc w:val="left"/>
        <w:rPr/>
      </w:pPr>
      <w:r>
        <w:rPr>
          <w:rFonts w:ascii="Times New Roman;serif" w:hAnsi="Times New Roman;serif"/>
          <w:b w:val="false"/>
          <w:color w:val="000000"/>
          <w:sz w:val="20"/>
        </w:rPr>
        <w:t xml:space="preserve">The Company previously filed the audited combined financial statements of the Timing Product Business as of and for the years ended December 31, 2025 and 2024 as </w:t>
      </w:r>
      <w:hyperlink r:id="rId2">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 xml:space="preserve">to the Company’s Current Report on Form 8-K filed on May 19, 2026 and incorporated by reference herein.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 Pro Forma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Article 11 of Regulation S-X, the Company is filing herewith (i) the unaudited pro forma condensed combined balance sheet as of June 30, 2026, of the Company, giving effect to the Acquisition as if it had been completed on June 30, 2026; and (ii) the unaudited pro forma condensed combined income statements for the six months ended June 30, 2026 and the year ended December 31, 2025, each giving effect to the Acquisition and the related financing as if they had been completed on January 1, 2025, and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Unaudited Pro Forma Condensed Combined Balance Sheet as of June 30,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Unaudited Pro Forma Condensed Combined Income Statement for the six months ended June 30,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Unaudited Pro Forma Condensed Combined Income Statement for the year ended December 31, 2025;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Notes to Unaudited Pro Forma Condensed Combined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attached hereto as Exhibit 99.2 and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 forma financial information included as Exhibit 99.2 to this Current Report on Form 8-K has been prepared for illustrative purposes only as required by Form 8-K, and is not intended to, and does not purport to, represent what the Company’s actual results or financial condition would have been if the Acquisition had occurred on the relevant date and is not intended to project the future results or the financial condition that the Company may achieve following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243" w:type="dxa"/>
        <w:jc w:val="left"/>
        <w:tblInd w:w="0" w:type="dxa"/>
        <w:tblLayout w:type="fixed"/>
        <w:tblCellMar>
          <w:top w:w="28" w:type="dxa"/>
          <w:left w:w="28" w:type="dxa"/>
          <w:bottom w:w="28" w:type="dxa"/>
          <w:right w:w="28" w:type="dxa"/>
        </w:tblCellMar>
      </w:tblPr>
      <w:tblGrid>
        <w:gridCol w:w="124"/>
        <w:gridCol w:w="109"/>
        <w:gridCol w:w="109"/>
        <w:gridCol w:w="264"/>
        <w:gridCol w:w="264"/>
        <w:gridCol w:w="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9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36"/>
        <w:gridCol w:w="295"/>
        <w:gridCol w:w="296"/>
        <w:gridCol w:w="2714"/>
        <w:gridCol w:w="2708"/>
        <w:gridCol w:w="3856"/>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9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ex991-renesastimingbusines.htm">
              <w:r>
                <w:rPr>
                  <w:rStyle w:val="InternetLink"/>
                  <w:rFonts w:ascii="Times New Roman;serif" w:hAnsi="Times New Roman;serif"/>
                  <w:b w:val="false"/>
                  <w:color w:val="0000FF"/>
                  <w:sz w:val="20"/>
                  <w:u w:val="single"/>
                </w:rPr>
                <w:t>99.1</w:t>
              </w:r>
            </w:hyperlink>
          </w:p>
        </w:tc>
        <w:tc>
          <w:tcPr>
            <w:tcW w:w="927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1-renesastimingbusines.htm">
              <w:r>
                <w:rPr>
                  <w:rStyle w:val="InternetLink"/>
                  <w:rFonts w:ascii="Times New Roman;serif" w:hAnsi="Times New Roman;serif"/>
                  <w:b w:val="false"/>
                  <w:color w:val="0000FF"/>
                  <w:sz w:val="20"/>
                  <w:u w:val="single"/>
                </w:rPr>
                <w:t>Historical unaudited interim combined financial statements of the Timing Product Business and related notes as of June 30, 2026 and for the six months ended June 30, 2026 and 2025.</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ex992-sitimeproformafsxytd.htm">
              <w:r>
                <w:rPr>
                  <w:rStyle w:val="InternetLink"/>
                  <w:rFonts w:ascii="Times New Roman;serif" w:hAnsi="Times New Roman;serif"/>
                  <w:b w:val="false"/>
                  <w:color w:val="0000FF"/>
                  <w:sz w:val="20"/>
                  <w:u w:val="single"/>
                </w:rPr>
                <w:t>99.2</w:t>
              </w:r>
            </w:hyperlink>
          </w:p>
        </w:tc>
        <w:tc>
          <w:tcPr>
            <w:tcW w:w="927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2-sitimeproformafsxytd.htm">
              <w:r>
                <w:rPr>
                  <w:rStyle w:val="InternetLink"/>
                  <w:rFonts w:ascii="Times New Roman;serif" w:hAnsi="Times New Roman;serif"/>
                  <w:b w:val="false"/>
                  <w:color w:val="0000FF"/>
                  <w:sz w:val="20"/>
                  <w:u w:val="single"/>
                </w:rPr>
                <w:t>Unaudited pro forma condensed combined financial information of SiTime Corporation and related notes as of and for the six months ended June 30, 2026 and for the year ended December 31, 2025.</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7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28"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49"/>
        <w:gridCol w:w="149"/>
        <w:gridCol w:w="151"/>
        <w:gridCol w:w="1347"/>
        <w:gridCol w:w="1347"/>
        <w:gridCol w:w="19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9" w:before="63" w:after="283"/>
        <w:jc w:val="left"/>
        <w:rPr>
          <w:rFonts w:ascii="Times New Roman;serif" w:hAnsi="Times New Roman;serif"/>
          <w:b/>
          <w:color w:val="000000"/>
          <w:sz w:val="20"/>
        </w:rPr>
      </w:pPr>
      <w:r>
        <w:rPr>
          <w:rFonts w:ascii="Times New Roman;serif" w:hAnsi="Times New Roman;serif"/>
          <w:b/>
          <w:color w:val="000000"/>
          <w:sz w:val="20"/>
        </w:rPr>
        <w:t>TIMING PRODUCT BUSINESS (A product line of Renesas) Interim Combined Financial Statements (Unaudited)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Statements of Assets Acquired and Liabilities Assumed as of June 30, 2026 (Unaudited) and December 31, 2025</w:t>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Statements of Revenue and Direct Expenses (Unaudited) for the three and six months ended June 30, 2026 and 2025</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3" w:after="283"/>
        <w:jc w:val="left"/>
        <w:rPr>
          <w:rFonts w:ascii="Times New Roman;serif" w:hAnsi="Times New Roman;serif"/>
          <w:b/>
          <w:color w:val="000000"/>
          <w:sz w:val="20"/>
        </w:rPr>
      </w:pPr>
      <w:r>
        <w:rPr>
          <w:rFonts w:ascii="Times New Roman;serif" w:hAnsi="Times New Roman;serif"/>
          <w:b/>
          <w:color w:val="000000"/>
          <w:sz w:val="20"/>
        </w:rPr>
        <w:t>TIMING PRODUCT BUSINESS (A product line of Renesas)</w:t>
      </w:r>
    </w:p>
    <w:p>
      <w:pPr>
        <w:pStyle w:val="TextBody"/>
        <w:bidi w:val="0"/>
        <w:spacing w:before="0" w:after="0"/>
        <w:jc w:val="left"/>
        <w:rPr/>
      </w:pPr>
      <w:r>
        <w:rPr/>
      </w:r>
    </w:p>
    <w:p>
      <w:pPr>
        <w:pStyle w:val="TextBody"/>
        <w:bidi w:val="0"/>
        <w:spacing w:before="0" w:after="0"/>
        <w:jc w:val="left"/>
        <w:rPr/>
      </w:pPr>
      <w:r>
        <w:rPr/>
      </w:r>
    </w:p>
    <w:p>
      <w:pPr>
        <w:pStyle w:val="TextBody"/>
        <w:bidi w:val="0"/>
        <w:spacing w:before="197"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    Page</w:t>
      </w:r>
    </w:p>
    <w:p>
      <w:pPr>
        <w:pStyle w:val="TextBody"/>
        <w:bidi w:val="0"/>
        <w:spacing w:lineRule="auto" w:line="288" w:before="241" w:after="283"/>
        <w:jc w:val="left"/>
        <w:rPr>
          <w:rFonts w:ascii="Times New Roman;serif" w:hAnsi="Times New Roman;serif"/>
          <w:b w:val="false"/>
          <w:color w:val="000000"/>
          <w:sz w:val="20"/>
        </w:rPr>
      </w:pPr>
      <w:r>
        <w:rPr>
          <w:rFonts w:ascii="Times New Roman;serif" w:hAnsi="Times New Roman;serif"/>
          <w:b w:val="false"/>
          <w:color w:val="000000"/>
          <w:sz w:val="20"/>
        </w:rPr>
        <w:t>Interim Combined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Interim Statements of Assets Acquired and Liabilities Assumed as of June 30, 2026 (Unaudited) and    3 December 31, 2025</w:t>
      </w:r>
    </w:p>
    <w:p>
      <w:pPr>
        <w:pStyle w:val="TextBody"/>
        <w:bidi w:val="0"/>
        <w:spacing w:lineRule="auto" w:line="288" w:before="241" w:after="283"/>
        <w:jc w:val="left"/>
        <w:rPr>
          <w:rFonts w:ascii="Times New Roman;serif" w:hAnsi="Times New Roman;serif"/>
          <w:b w:val="false"/>
          <w:color w:val="000000"/>
          <w:sz w:val="20"/>
        </w:rPr>
      </w:pPr>
      <w:r>
        <w:rPr>
          <w:rFonts w:ascii="Times New Roman;serif" w:hAnsi="Times New Roman;serif"/>
          <w:b w:val="false"/>
          <w:color w:val="000000"/>
          <w:sz w:val="20"/>
        </w:rPr>
        <w:t>Interim Statements of Revenue and Direct Expenses (Unaudited) for the three and six months ended    4 June 30, 2026 and 2025</w:t>
      </w:r>
    </w:p>
    <w:p>
      <w:pPr>
        <w:pStyle w:val="TextBody"/>
        <w:bidi w:val="0"/>
        <w:spacing w:lineRule="auto" w:line="288" w:before="239" w:after="283"/>
        <w:jc w:val="left"/>
        <w:rPr>
          <w:rFonts w:ascii="Times New Roman;serif" w:hAnsi="Times New Roman;serif"/>
          <w:b w:val="false"/>
          <w:color w:val="000000"/>
          <w:sz w:val="20"/>
        </w:rPr>
      </w:pPr>
      <w:r>
        <w:rPr>
          <w:rFonts w:ascii="Times New Roman;serif" w:hAnsi="Times New Roman;serif"/>
          <w:b w:val="false"/>
          <w:color w:val="000000"/>
          <w:sz w:val="20"/>
        </w:rPr>
        <w:t>Notes to the Interim Combined Financial Statements (Unaudited)    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3" w:after="283"/>
        <w:jc w:val="left"/>
        <w:rPr>
          <w:rFonts w:ascii="Times New Roman;serif" w:hAnsi="Times New Roman;serif"/>
          <w:b/>
          <w:color w:val="000000"/>
          <w:sz w:val="20"/>
        </w:rPr>
      </w:pPr>
      <w:r>
        <w:rPr>
          <w:rFonts w:ascii="Times New Roman;serif" w:hAnsi="Times New Roman;serif"/>
          <w:b/>
          <w:color w:val="000000"/>
          <w:sz w:val="20"/>
        </w:rPr>
        <w:t>TIMING PRODUCT BUSINESS (A product line of Renesas)</w:t>
      </w:r>
    </w:p>
    <w:p>
      <w:pPr>
        <w:pStyle w:val="TextBody"/>
        <w:bidi w:val="0"/>
        <w:spacing w:before="18" w:after="283"/>
        <w:jc w:val="left"/>
        <w:rPr/>
      </w:pPr>
      <w:r>
        <w:rPr/>
      </w:r>
    </w:p>
    <w:p>
      <w:pPr>
        <w:pStyle w:val="TextBody"/>
        <w:bidi w:val="0"/>
        <w:spacing w:lineRule="auto" w:line="285" w:before="0" w:after="0"/>
        <w:jc w:val="left"/>
        <w:rPr>
          <w:rFonts w:ascii="Times New Roman;serif" w:hAnsi="Times New Roman;serif"/>
          <w:b/>
          <w:color w:val="000000"/>
          <w:sz w:val="20"/>
        </w:rPr>
      </w:pPr>
      <w:r>
        <w:rPr>
          <w:rFonts w:ascii="Times New Roman;serif" w:hAnsi="Times New Roman;serif"/>
          <w:b/>
          <w:color w:val="000000"/>
          <w:sz w:val="20"/>
        </w:rPr>
        <w:t>STATEMENTS OF ASSETS ACQUIRED AND LIABILITIES ASSUMED AS OF JUNE 30, 2026 (UNAUDITED) AND DECEMBER 31, 2025</w:t>
      </w:r>
    </w:p>
    <w:p>
      <w:pPr>
        <w:pStyle w:val="TextBody"/>
        <w:bidi w:val="0"/>
        <w:spacing w:lineRule="atLeast" w:line="229" w:before="0" w:after="0"/>
        <w:jc w:val="left"/>
        <w:rPr>
          <w:rFonts w:ascii="Times New Roman;serif" w:hAnsi="Times New Roman;serif"/>
          <w:b w:val="false"/>
          <w:i/>
          <w:color w:val="000000"/>
          <w:sz w:val="20"/>
        </w:rPr>
      </w:pPr>
      <w:r>
        <w:rPr>
          <w:rFonts w:ascii="Times New Roman;serif" w:hAnsi="Times New Roman;serif"/>
          <w:b w:val="false"/>
          <w:i/>
          <w:color w:val="000000"/>
          <w:sz w:val="20"/>
        </w:rPr>
        <w:t>(US dollars in thousands)</w:t>
      </w:r>
    </w:p>
    <w:p>
      <w:pPr>
        <w:pStyle w:val="TextBody"/>
        <w:bidi w:val="0"/>
        <w:spacing w:before="49" w:after="283"/>
        <w:jc w:val="left"/>
        <w:rPr/>
      </w:pPr>
      <w:r>
        <w:rPr/>
      </w:r>
    </w:p>
    <w:tbl>
      <w:tblPr>
        <w:tblW w:w="6068" w:type="dxa"/>
        <w:jc w:val="left"/>
        <w:tblInd w:w="0" w:type="dxa"/>
        <w:tblLayout w:type="fixed"/>
        <w:tblCellMar>
          <w:top w:w="28" w:type="dxa"/>
          <w:left w:w="28" w:type="dxa"/>
          <w:bottom w:w="28" w:type="dxa"/>
          <w:right w:w="28" w:type="dxa"/>
        </w:tblCellMar>
      </w:tblPr>
      <w:tblGrid>
        <w:gridCol w:w="1103"/>
        <w:gridCol w:w="969"/>
        <w:gridCol w:w="972"/>
        <w:gridCol w:w="109"/>
        <w:gridCol w:w="109"/>
        <w:gridCol w:w="109"/>
        <w:gridCol w:w="354"/>
        <w:gridCol w:w="354"/>
        <w:gridCol w:w="358"/>
        <w:gridCol w:w="109"/>
        <w:gridCol w:w="109"/>
        <w:gridCol w:w="109"/>
        <w:gridCol w:w="381"/>
        <w:gridCol w:w="381"/>
        <w:gridCol w:w="542"/>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color w:val="000000"/>
                <w:sz w:val="20"/>
              </w:rPr>
            </w:pPr>
            <w:r>
              <w:rPr>
                <w:rFonts w:ascii="Times New Roman;serif" w:hAnsi="Times New Roman;serif"/>
                <w:b/>
                <w:color w:val="000000"/>
                <w:sz w:val="20"/>
              </w:rPr>
              <w:t>June 30,</w:t>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color w:val="000000"/>
                <w:sz w:val="20"/>
                <w:u w:val="single"/>
              </w:rPr>
              <w:t>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color w:val="000000"/>
                <w:sz w:val="20"/>
                <w:u w:val="single"/>
              </w:rPr>
              <w:t>2025    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54" w:before="0" w:after="0"/>
              <w:jc w:val="right"/>
              <w:rPr/>
            </w:pPr>
            <w:r>
              <w:rPr>
                <w:rFonts w:ascii="Times New Roman;serif" w:hAnsi="Times New Roman;serif"/>
                <w:b/>
                <w:color w:val="000000"/>
                <w:sz w:val="20"/>
              </w:rPr>
              <w:t>$    </w:t>
            </w:r>
            <w:r>
              <w:rPr>
                <w:rFonts w:ascii="Times New Roman;serif" w:hAnsi="Times New Roman;serif"/>
                <w:b w:val="false"/>
                <w:color w:val="000000"/>
                <w:sz w:val="20"/>
              </w:rPr>
              <w:t>1,370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tLeast" w:line="254" w:before="0" w:after="0"/>
              <w:jc w:val="right"/>
              <w:rPr>
                <w:rFonts w:ascii="Times New Roman;serif" w:hAnsi="Times New Roman;serif"/>
                <w:b w:val="false"/>
                <w:color w:val="000000"/>
                <w:sz w:val="20"/>
              </w:rPr>
            </w:pPr>
            <w:r>
              <w:rPr>
                <w:rFonts w:ascii="Times New Roman;serif" w:hAnsi="Times New Roman;serif"/>
                <w:b w:val="false"/>
                <w:color w:val="000000"/>
                <w:sz w:val="20"/>
              </w:rPr>
              <w:t>$    5,134</w:t>
            </w:r>
          </w:p>
        </w:tc>
      </w:tr>
      <w:tr>
        <w:trPr/>
        <w:tc>
          <w:tcPr>
            <w:tcW w:w="304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1,370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5,134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5,667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4,917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Right-of-use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382,299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382,299</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35,599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r>
      <w:tr>
        <w:trPr/>
        <w:tc>
          <w:tcPr>
            <w:tcW w:w="304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424,814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447,050</w:t>
            </w:r>
          </w:p>
        </w:tc>
      </w:tr>
      <w:tr>
        <w:trPr/>
        <w:tc>
          <w:tcPr>
            <w:tcW w:w="304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tLeast" w:line="259" w:before="0" w:after="0"/>
              <w:jc w:val="right"/>
              <w:rPr>
                <w:rFonts w:ascii="Times New Roman;serif" w:hAnsi="Times New Roman;serif"/>
                <w:b/>
                <w:color w:val="000000"/>
                <w:sz w:val="20"/>
              </w:rPr>
            </w:pPr>
            <w:r>
              <w:rPr>
                <w:rFonts w:ascii="Times New Roman;serif" w:hAnsi="Times New Roman;serif"/>
                <w:b/>
                <w:color w:val="000000"/>
                <w:sz w:val="20"/>
              </w:rPr>
              <w:t>$    426,184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tLeast" w:line="259" w:before="0" w:after="0"/>
              <w:jc w:val="right"/>
              <w:rPr>
                <w:rFonts w:ascii="Times New Roman;serif" w:hAnsi="Times New Roman;serif"/>
                <w:b/>
                <w:color w:val="000000"/>
                <w:sz w:val="20"/>
              </w:rPr>
            </w:pPr>
            <w:r>
              <w:rPr>
                <w:rFonts w:ascii="Times New Roman;serif" w:hAnsi="Times New Roman;serif"/>
                <w:b/>
                <w:color w:val="000000"/>
                <w:sz w:val="20"/>
              </w:rPr>
              <w:t>$    452,184</w:t>
            </w:r>
          </w:p>
        </w:tc>
      </w:tr>
      <w:tr>
        <w:trPr/>
        <w:tc>
          <w:tcPr>
            <w:tcW w:w="3044" w:type="dxa"/>
            <w:gridSpan w:val="3"/>
            <w:tcBorders>
              <w:top w:val="dashed" w:sz="4" w:space="0" w:color="9999FF"/>
            </w:tcBorders>
            <w:shd w:fill="FFFFFF" w:val="clear"/>
            <w:tcMar>
              <w:top w:w="30" w:type="dxa"/>
              <w:left w:w="0" w:type="dxa"/>
              <w:bottom w:w="0" w:type="dxa"/>
              <w:right w:w="0" w:type="dxa"/>
            </w:tcMar>
            <w:vAlign w:val="center"/>
          </w:tcPr>
          <w:p>
            <w:pPr>
              <w:pStyle w:val="TableContents"/>
              <w:bidi w:val="0"/>
              <w:spacing w:before="115" w:after="283"/>
              <w:jc w:val="left"/>
              <w:rPr/>
            </w:pPr>
            <w:r>
              <w:rPr/>
            </w:r>
          </w:p>
          <w:p>
            <w:pPr>
              <w:pStyle w:val="TableContents"/>
              <w:bidi w:val="0"/>
              <w:spacing w:lineRule="auto" w:line="288" w:before="1" w:after="283"/>
              <w:jc w:val="left"/>
              <w:rPr>
                <w:rFonts w:ascii="Times New Roman;serif" w:hAnsi="Times New Roman;serif"/>
                <w:b/>
                <w:color w:val="000000"/>
                <w:sz w:val="20"/>
              </w:rPr>
            </w:pPr>
            <w:r>
              <w:rPr>
                <w:rFonts w:ascii="Times New Roman;serif" w:hAnsi="Times New Roman;serif"/>
                <w:b/>
                <w:color w:val="000000"/>
                <w:sz w:val="20"/>
              </w:rPr>
              <w:t>LIABILITIES ASSUMED</w:t>
            </w:r>
          </w:p>
          <w:p>
            <w:pPr>
              <w:pStyle w:val="TableContents"/>
              <w:bidi w:val="0"/>
              <w:spacing w:lineRule="auto" w:line="288" w:before="29" w:after="283"/>
              <w:jc w:val="left"/>
              <w:rPr>
                <w:rFonts w:ascii="Times New Roman;serif" w:hAnsi="Times New Roman;serif"/>
                <w:b w:val="false"/>
                <w:color w:val="000000"/>
                <w:sz w:val="20"/>
              </w:rPr>
            </w:pPr>
            <w:r>
              <w:rPr>
                <w:rFonts w:ascii="Times New Roman;serif" w:hAnsi="Times New Roman;serif"/>
                <w:b w:val="false"/>
                <w:color w:val="000000"/>
                <w:sz w:val="20"/>
              </w:rPr>
              <w:t>Warranty and return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ashed" w:sz="4" w:space="0" w:color="9999FF"/>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before="115" w:after="283"/>
              <w:jc w:val="left"/>
              <w:rPr/>
            </w:pPr>
            <w:r>
              <w:rPr/>
            </w:r>
          </w:p>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ashed" w:sz="4" w:space="0" w:color="9999FF"/>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before="115" w:after="283"/>
              <w:jc w:val="left"/>
              <w:rPr/>
            </w:pPr>
            <w:r>
              <w:rPr/>
            </w:r>
          </w:p>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1,177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Lease liability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r>
      <w:tr>
        <w:trPr/>
        <w:tc>
          <w:tcPr>
            <w:tcW w:w="304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1,406</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left"/>
              <w:rPr>
                <w:rFonts w:ascii="Times New Roman;serif" w:hAnsi="Times New Roman;serif"/>
                <w:b w:val="false"/>
                <w:color w:val="000000"/>
                <w:sz w:val="20"/>
              </w:rPr>
            </w:pPr>
            <w:r>
              <w:rPr>
                <w:rFonts w:ascii="Times New Roman;serif" w:hAnsi="Times New Roman;serif"/>
                <w:b w:val="false"/>
                <w:color w:val="000000"/>
                <w:sz w:val="20"/>
              </w:rPr>
              <w:t>Lease liability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24"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r>
      <w:tr>
        <w:trPr/>
        <w:tc>
          <w:tcPr>
            <w:tcW w:w="304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1,154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FFFF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1,302</w:t>
            </w:r>
          </w:p>
        </w:tc>
      </w:tr>
      <w:tr>
        <w:trPr/>
        <w:tc>
          <w:tcPr>
            <w:tcW w:w="304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1,390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tcBorders>
            <w:shd w:fill="CCEEFF" w:val="clear"/>
            <w:tcMar>
              <w:top w:w="30" w:type="dxa"/>
              <w:left w:w="0" w:type="dxa"/>
              <w:bottom w:w="0" w:type="dxa"/>
              <w:right w:w="0" w:type="dxa"/>
            </w:tcMar>
            <w:vAlign w:val="center"/>
          </w:tcPr>
          <w:p>
            <w:pPr>
              <w:pStyle w:val="TableContents"/>
              <w:bidi w:val="0"/>
              <w:spacing w:lineRule="auto" w:line="288" w:before="29" w:after="283"/>
              <w:jc w:val="right"/>
              <w:rPr>
                <w:rFonts w:ascii="Times New Roman;serif" w:hAnsi="Times New Roman;serif"/>
                <w:b/>
                <w:color w:val="000000"/>
                <w:sz w:val="20"/>
              </w:rPr>
            </w:pPr>
            <w:r>
              <w:rPr>
                <w:rFonts w:ascii="Times New Roman;serif" w:hAnsi="Times New Roman;serif"/>
                <w:b/>
                <w:color w:val="000000"/>
                <w:sz w:val="20"/>
              </w:rPr>
              <w:t>2,708</w:t>
            </w:r>
          </w:p>
        </w:tc>
      </w:tr>
      <w:tr>
        <w:trPr/>
        <w:tc>
          <w:tcPr>
            <w:tcW w:w="3044" w:type="dxa"/>
            <w:gridSpan w:val="3"/>
            <w:tcBorders>
              <w:top w:val="single" w:sz="4" w:space="0" w:color="00338D"/>
              <w:bottom w:val="single" w:sz="8" w:space="0" w:color="00338D"/>
            </w:tcBorders>
            <w:shd w:fill="FFFFFF" w:val="clear"/>
            <w:tcMar>
              <w:top w:w="30" w:type="dxa"/>
              <w:left w:w="0" w:type="dxa"/>
              <w:bottom w:w="30" w:type="dxa"/>
              <w:right w:w="0" w:type="dxa"/>
            </w:tcMar>
            <w:vAlign w:val="center"/>
          </w:tcPr>
          <w:p>
            <w:pPr>
              <w:pStyle w:val="TableContents"/>
              <w:bidi w:val="0"/>
              <w:spacing w:lineRule="auto" w:line="288" w:before="29"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338D"/>
              <w:bottom w:val="single" w:sz="8" w:space="0" w:color="00338D"/>
            </w:tcBorders>
            <w:shd w:fill="FFFFFF" w:val="clear"/>
            <w:tcMar>
              <w:top w:w="30" w:type="dxa"/>
              <w:left w:w="0" w:type="dxa"/>
              <w:bottom w:w="30" w:type="dxa"/>
              <w:right w:w="0" w:type="dxa"/>
            </w:tcMar>
            <w:vAlign w:val="center"/>
          </w:tcPr>
          <w:p>
            <w:pPr>
              <w:pStyle w:val="TableContents"/>
              <w:bidi w:val="0"/>
              <w:spacing w:lineRule="atLeast" w:line="259" w:before="0" w:after="0"/>
              <w:jc w:val="right"/>
              <w:rPr>
                <w:rFonts w:ascii="Times New Roman;serif" w:hAnsi="Times New Roman;serif"/>
                <w:b/>
                <w:color w:val="000000"/>
                <w:sz w:val="20"/>
              </w:rPr>
            </w:pPr>
            <w:r>
              <w:rPr>
                <w:rFonts w:ascii="Times New Roman;serif" w:hAnsi="Times New Roman;serif"/>
                <w:b/>
                <w:color w:val="000000"/>
                <w:sz w:val="20"/>
              </w:rPr>
              <w:t>$    424,794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338D"/>
              <w:bottom w:val="single" w:sz="8" w:space="0" w:color="00338D"/>
            </w:tcBorders>
            <w:shd w:fill="FFFFFF" w:val="clear"/>
            <w:tcMar>
              <w:top w:w="30" w:type="dxa"/>
              <w:left w:w="0" w:type="dxa"/>
              <w:bottom w:w="30" w:type="dxa"/>
              <w:right w:w="0" w:type="dxa"/>
            </w:tcMar>
            <w:vAlign w:val="center"/>
          </w:tcPr>
          <w:p>
            <w:pPr>
              <w:pStyle w:val="TableContents"/>
              <w:bidi w:val="0"/>
              <w:spacing w:lineRule="atLeast" w:line="259" w:before="0" w:after="0"/>
              <w:jc w:val="right"/>
              <w:rPr>
                <w:rFonts w:ascii="Times New Roman;serif" w:hAnsi="Times New Roman;serif"/>
                <w:b/>
                <w:color w:val="000000"/>
                <w:sz w:val="20"/>
              </w:rPr>
            </w:pPr>
            <w:r>
              <w:rPr>
                <w:rFonts w:ascii="Times New Roman;serif" w:hAnsi="Times New Roman;serif"/>
                <w:b/>
                <w:color w:val="000000"/>
                <w:sz w:val="20"/>
              </w:rPr>
              <w:t>$    449,476</w:t>
            </w:r>
          </w:p>
        </w:tc>
      </w:tr>
    </w:tbl>
    <w:p>
      <w:pPr>
        <w:pStyle w:val="TextBody"/>
        <w:bidi w:val="0"/>
        <w:spacing w:before="0" w:after="0"/>
        <w:jc w:val="left"/>
        <w:rPr/>
      </w:pPr>
      <w:r>
        <w:rPr/>
      </w:r>
    </w:p>
    <w:p>
      <w:pPr>
        <w:pStyle w:val="TextBody"/>
        <w:bidi w:val="0"/>
        <w:spacing w:lineRule="auto" w:line="288" w:before="68"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combined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1" w:after="283"/>
        <w:jc w:val="left"/>
        <w:rPr/>
      </w:pPr>
      <w:r>
        <w:rPr/>
      </w:r>
    </w:p>
    <w:p>
      <w:pPr>
        <w:pStyle w:val="TextBody"/>
        <w:bidi w:val="0"/>
        <w:spacing w:before="1"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9"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TIMING PRODUCT BUSINESS (A product line of Renesas)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STATEMENTS OF REVENUE AND DIRECT EXPENSES (UNAUDITED) FOR THE THREE AND SIX MONTHS ENDED JUNE 30, 2026 AND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10205" w:type="dxa"/>
        <w:jc w:val="left"/>
        <w:tblInd w:w="0" w:type="dxa"/>
        <w:tblLayout w:type="fixed"/>
        <w:tblCellMar>
          <w:top w:w="28" w:type="dxa"/>
          <w:left w:w="28" w:type="dxa"/>
          <w:bottom w:w="28" w:type="dxa"/>
          <w:right w:w="28" w:type="dxa"/>
        </w:tblCellMar>
      </w:tblPr>
      <w:tblGrid>
        <w:gridCol w:w="1617"/>
        <w:gridCol w:w="1294"/>
        <w:gridCol w:w="1260"/>
        <w:gridCol w:w="109"/>
        <w:gridCol w:w="109"/>
        <w:gridCol w:w="109"/>
        <w:gridCol w:w="389"/>
        <w:gridCol w:w="338"/>
        <w:gridCol w:w="338"/>
        <w:gridCol w:w="175"/>
        <w:gridCol w:w="175"/>
        <w:gridCol w:w="175"/>
        <w:gridCol w:w="389"/>
        <w:gridCol w:w="338"/>
        <w:gridCol w:w="338"/>
        <w:gridCol w:w="109"/>
        <w:gridCol w:w="109"/>
        <w:gridCol w:w="109"/>
        <w:gridCol w:w="364"/>
        <w:gridCol w:w="390"/>
        <w:gridCol w:w="391"/>
        <w:gridCol w:w="162"/>
        <w:gridCol w:w="162"/>
        <w:gridCol w:w="162"/>
        <w:gridCol w:w="364"/>
        <w:gridCol w:w="298"/>
        <w:gridCol w:w="432"/>
      </w:tblGrid>
      <w:tr>
        <w:trPr/>
        <w:tc>
          <w:tcPr>
            <w:tcW w:w="161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1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153,038</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97,339</w:t>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w:t>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(exclusive of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(exclusive of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20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w:t>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20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22,830</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direct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20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40,022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77,158</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64,083</w:t>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less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8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43,710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8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75,880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33,256</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93" w:after="283"/>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TIMING PRODUCT BUSINESS (A product line of Renesas)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NOTES TO INTERIM COMBINED FINANCIAL STATEMENTS (UNAUDITED)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in US dollars in thousands, unless otherwise indicated)</w:t>
      </w:r>
    </w:p>
    <w:p>
      <w:pPr>
        <w:pStyle w:val="TextBody"/>
        <w:bidi w:val="0"/>
        <w:spacing w:lineRule="auto" w:line="288" w:before="120" w:after="283"/>
        <w:ind w:left="0" w:right="0" w:hanging="353"/>
        <w:jc w:val="left"/>
        <w:rPr>
          <w:rFonts w:ascii="Times New Roman;serif" w:hAnsi="Times New Roman;serif"/>
          <w:b/>
          <w:color w:val="000000"/>
          <w:sz w:val="20"/>
        </w:rPr>
      </w:pPr>
      <w:r>
        <w:rPr>
          <w:rFonts w:ascii="Times New Roman;serif" w:hAnsi="Times New Roman;serif"/>
          <w:b/>
          <w:color w:val="000000"/>
          <w:sz w:val="20"/>
        </w:rPr>
        <w:t>1.DESCRIPTION OF THE TRANSACTION AND BASIS OF PRESENTATION</w:t>
      </w:r>
    </w:p>
    <w:p>
      <w:pPr>
        <w:pStyle w:val="TextBody"/>
        <w:bidi w:val="0"/>
        <w:spacing w:lineRule="auto" w:line="288" w:before="120" w:after="283"/>
        <w:jc w:val="both"/>
        <w:rPr/>
      </w:pPr>
      <w:r>
        <w:rPr>
          <w:rFonts w:ascii="Times New Roman;serif" w:hAnsi="Times New Roman;serif"/>
          <w:b/>
          <w:color w:val="000000"/>
          <w:sz w:val="20"/>
        </w:rPr>
        <w:t xml:space="preserve">Description of the Transaction – </w:t>
      </w:r>
      <w:r>
        <w:rPr>
          <w:rFonts w:ascii="Times New Roman;serif" w:hAnsi="Times New Roman;serif"/>
          <w:b w:val="false"/>
          <w:color w:val="000000"/>
          <w:sz w:val="20"/>
        </w:rPr>
        <w:t>Renesas Electronics Corporation (“Renesas”, the “Company”), a public company established under the Companies Act of Japan and domiciled in Japan, announced that Renesas Electronics America Inc., a California corporation and wholly-owned subsidiary of Renesas (“REA”), and SiTime Corporation, incorporated in the State of Delaware (“SiTime”), entered into an Asset Purchase Agreement (the “Asset Purchase Agreement”), pursuant to which REA will and will cause certain of its affiliates to sell, transfer, assign and convey to SiTime all of their right, title and interest in, to and under certain assets (as further set forth in the Asset Purchase Agreement and described below, the “Transferred Assets”) related to the timing business of REA (“Transferred Business”, “Timing Product Business”, “Business”) (such transaction, the “Transaction”). The Transaction was approved by the Renesas’ Board of Directors on February 5, 2026, Tokyo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 2026 (the “Closing Date”), SiTime completed the acquisition of the Business for a final aggregate purchase price of approximately $1,500,000,000 in cash and 3,558,691 shares of the SiTime’s common stock, subject to certain adjustments as set forth in the Asset Purchase Agreement. On the Closing Date, the Company entered into a Transition Services Agreement with SiTime under which certain transitional services will be made available on a temporary basis following the Closing Date to facilitate SiTime’s operation of the Business and Renesas’s operation of its remaining business. The accompanying carve-out financial statements do not reflect the effects of the Transaction, as the completion of the Transaction occurred after the balance sheet date.</w:t>
      </w:r>
    </w:p>
    <w:p>
      <w:pPr>
        <w:pStyle w:val="TextBody"/>
        <w:bidi w:val="0"/>
        <w:spacing w:lineRule="auto" w:line="288" w:before="120" w:after="283"/>
        <w:jc w:val="both"/>
        <w:rPr/>
      </w:pPr>
      <w:r>
        <w:rPr>
          <w:rFonts w:ascii="Times New Roman;serif" w:hAnsi="Times New Roman;serif"/>
          <w:b/>
          <w:color w:val="000000"/>
          <w:sz w:val="20"/>
        </w:rPr>
        <w:t xml:space="preserve">Description of the Business and the Transferred Assets – </w:t>
      </w:r>
      <w:r>
        <w:rPr>
          <w:rFonts w:ascii="Times New Roman;serif" w:hAnsi="Times New Roman;serif"/>
          <w:b w:val="false"/>
          <w:color w:val="000000"/>
          <w:sz w:val="20"/>
        </w:rPr>
        <w:t>The Timing Product Business, which originated from the acquisition of Integrated Device Technology, Inc. (“IDT”) in 2019, consists of the Renesas’ timing product portfolio and the related technologies, assets, and personnel. The timing business encompasses the research and development, fabrication, testing, and sales of crystal oscillators, clock buffers, clock generators, and jitter attenuators for customers in cloud computing, automotive, and communications sectors. The Timing Product Business has operations to serve markets in the United States, Canada, China, Taiwan, Bulgaria, India, and Malaysia. As part of the Transaction, SiTime or certain of its affiliates will acquire certain specified assets primarily related to the Business, including certain contracts (excluding customer, supplier and foundry agreements), certain intellectual property exclusively related to the Business, design databases and other proprietary data, all finished goods inventory, certain machinery and equipment used exclusively in the Business, and all goodwill attributable thereto. In connection with the transaction, SiTime and certain of its affiliates will assume certain liabilities of the Business, subject to certain specified exclusions, including, among others, certain lease liabilities, warranty and return liabilities.</w:t>
      </w:r>
    </w:p>
    <w:p>
      <w:pPr>
        <w:pStyle w:val="TextBody"/>
        <w:bidi w:val="0"/>
        <w:spacing w:lineRule="auto" w:line="288" w:before="120" w:after="283"/>
        <w:jc w:val="both"/>
        <w:rPr/>
      </w:pPr>
      <w:r>
        <w:rPr>
          <w:rFonts w:ascii="Times New Roman;serif" w:hAnsi="Times New Roman;serif"/>
          <w:b/>
          <w:color w:val="000000"/>
          <w:sz w:val="20"/>
        </w:rPr>
        <w:t xml:space="preserve">Basis of Presentation – </w:t>
      </w:r>
      <w:r>
        <w:rPr>
          <w:rFonts w:ascii="Times New Roman;serif" w:hAnsi="Times New Roman;serif"/>
          <w:b w:val="false"/>
          <w:color w:val="000000"/>
          <w:sz w:val="20"/>
        </w:rPr>
        <w:t>The accompanying Interim Statements of Assets Acquired and Liabilities Assumed as of June 30, 2026 (unaudited) and December 31, 2025, and the related Interim Statements of Revenue and Direct Expenses for the three and six months ended June 30, 2026 and 2025, and notes thereto (collectively, the “Interim Combined Financial Statements”) of Timing Product Business have been prepared for the purpose of complying with Rule 3-05 of Regulation S-X under the Securities Act of 1933 of the United States Securities and Exchange Commission.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Throughout the periods covered by the Interim Combined Financial Statements, the operations relating to the assets acquired and liabilities assumed were not segregated within separate legal entities but were embedded within various Renesas legal entities. Historically, Renesas has not maintained separate accounts for these assets and liabilities. The assets and liabilities have not been operated as a separate independent business, operating segment, or division and separate financial statements have not been historically prepared. As a result, preparation of complete financial statements for the historical periods for the Timing Product Business, including reasonable and appropriate allocations of corporate overhead, interest, and tax expenses, is impracticable.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Interim Combined Financial Statements have been derived from the accounting records of Renesas and other wholly owned subsidiaries of Renesas, including REA, using historical results of operations and financial position and reflect only the assets acquired, liabilities assumed and associated revenue, direct expenses, and other expenses of the Timing Product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Interim Combined Financial Statements have been prepared in accordance with accounting principles generally accepted in the United States (“US GAAP”). Results for interim periods should not be considered indicative of results for a full year. These Interim Combined Financial Statements should be read in conjunction with the Combined Financial Statements and Notes thereto for the year ended December 31, 2025 and 2024, collectively. These Interim Combined Financial Statements are not intended to represent a complete presentation of the assets and liabilities or the revenue and direct expenses and the related footnotes of the Timing Product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as part of the Transaction include items specifically identified in the Asset Purchase Agreement (see “Description of the Business” above). Certain assets and liabilities related to the Timing Product Business are excluded from the Interim Combined Financial Statements as such assets and liabilities constitute excluded assets and retained liabilities as defined in the Asset Purchase Agreement. Such excluded assets and retained liabilities include cash and cash equivalents, raw materials, work in progress, borrowings, and certain shared assets and liabilities. Acquired assets and assumed liabilities included in the Interim Combined Financial Statements are primarily inventories, specific property, plant, and equipment and intangible assets, specific lease agreements, and certain warranty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revenue and expenses presented reflect only the activities and functions that were historically part of and directly attributable to the Timing Product Business. The financial information presented herein is not fully indicative of the results that would have been achieved had the Business operated as a separate, stand-alone entity during the periods presented. In addition, the Interim Combined Financial Statements are not indicative of the financial condition or results of operations to be expected in the future due to changes in the Business and the omission of certain operating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the Timing Product Business operated as an integrated internal contract manufacturer within the Renesas group (consisting of Renesas and its wholly owned subsidiaries), cash flows specific to operating, investing, and financing activities were neither prepared nor historically reported at the Timing Product Business level and were comingled with other Renesas group entities. As a result, the preparation of such cash flow information attributable to the Timing Product Business is not practical and was not included in the Interim Combined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Interim Combined Financial Statements are not necessarily indicative of the results of operations that would have occurred or may occur in the future if the Timing Product Business had been integrated into the SiTime group (consisting of SiTime and its wholly owned subsidiaries).</w:t>
      </w:r>
    </w:p>
    <w:p>
      <w:pPr>
        <w:pStyle w:val="TextBody"/>
        <w:bidi w:val="0"/>
        <w:spacing w:lineRule="auto" w:line="288" w:before="120" w:after="283"/>
        <w:ind w:left="0" w:right="0" w:hanging="353"/>
        <w:jc w:val="left"/>
        <w:rPr>
          <w:rFonts w:ascii="Times New Roman;serif" w:hAnsi="Times New Roman;serif"/>
          <w:b/>
          <w:color w:val="000000"/>
          <w:sz w:val="20"/>
        </w:rPr>
      </w:pPr>
      <w:r>
        <w:rPr>
          <w:rFonts w:ascii="Times New Roman;serif" w:hAnsi="Times New Roman;serif"/>
          <w:b/>
          <w:color w:val="000000"/>
          <w:sz w:val="20"/>
        </w:rPr>
        <w:t>2.USE OF MANAGEMENT’S ESTIMATES AND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Interim Combined Financial Statements include consistent and reasonable allocation of certain divisional shared costs that can be directly attributed to the Timing Product Businesses, based on appropriate assumptions and estimates. Where specific identification was not practicable, a proportional cost allocation method was used, based on revenue or headcount. The allocations and estimates in the Interim Statements of Revenue and Direct Expenses are based on assumptions that Renesas management considers reasonable. Actual results may differ from these estimates and assumptions. Refer to Note 11. Selling, General and Administrative Expenses and Note 13. Relationship with Parent and Related Entities for further information.</w:t>
      </w:r>
    </w:p>
    <w:p>
      <w:pPr>
        <w:pStyle w:val="TextBody"/>
        <w:bidi w:val="0"/>
        <w:spacing w:lineRule="auto" w:line="288" w:before="120" w:after="283"/>
        <w:ind w:left="0" w:right="0" w:hanging="353"/>
        <w:jc w:val="left"/>
        <w:rPr>
          <w:rFonts w:ascii="Times New Roman;serif" w:hAnsi="Times New Roman;serif"/>
          <w:b/>
          <w:color w:val="000000"/>
          <w:sz w:val="20"/>
        </w:rPr>
      </w:pPr>
      <w:r>
        <w:rPr>
          <w:rFonts w:ascii="Times New Roman;serif" w:hAnsi="Times New Roman;serif"/>
          <w:b/>
          <w:color w:val="000000"/>
          <w:sz w:val="20"/>
        </w:rPr>
        <w:t>3.SUMMARY OF SIGNIFICANT ACCOUNTING POLICIES</w:t>
      </w:r>
    </w:p>
    <w:p>
      <w:pPr>
        <w:pStyle w:val="TextBody"/>
        <w:bidi w:val="0"/>
        <w:spacing w:lineRule="auto" w:line="288" w:before="120" w:after="283"/>
        <w:jc w:val="both"/>
        <w:rPr/>
      </w:pPr>
      <w:r>
        <w:rPr>
          <w:rFonts w:ascii="Times New Roman;serif" w:hAnsi="Times New Roman;serif"/>
          <w:b/>
          <w:color w:val="000000"/>
          <w:sz w:val="20"/>
        </w:rPr>
        <w:t xml:space="preserve">Inventory </w:t>
      </w:r>
      <w:r>
        <w:rPr>
          <w:color w:val="000000"/>
        </w:rPr>
        <w:t xml:space="preserve">– </w:t>
      </w:r>
      <w:r>
        <w:rPr>
          <w:rFonts w:ascii="Times New Roman;serif" w:hAnsi="Times New Roman;serif"/>
          <w:b w:val="false"/>
          <w:color w:val="000000"/>
          <w:sz w:val="20"/>
        </w:rPr>
        <w:t>Inventory is measured at the acquisition cost, including the costs to purchase, convert, and any other costs incurred in bringing the inventory to their present location and condition. After the initial recognition, inventory is measured at the lower of cost and net realizable value, however if costs exceed net realizable value, the inventory is written down to net realizable value. Excess and obsolete inventories are determined based on management’s assessment of future demand, historical usage by product, and market conditions. The net realizable value is calculated by deducting the estimated costs of completion and the estimated selling costs from the estimated selling price in the ordinary course of business. The cost is calculated using the standard costing method, which approximates actual cost on a first-in, first-out basis.</w:t>
      </w:r>
    </w:p>
    <w:p>
      <w:pPr>
        <w:pStyle w:val="TextBody"/>
        <w:bidi w:val="0"/>
        <w:spacing w:lineRule="auto" w:line="288" w:before="120" w:after="283"/>
        <w:jc w:val="both"/>
        <w:rPr/>
      </w:pPr>
      <w:r>
        <w:rPr>
          <w:rFonts w:ascii="Times New Roman;serif" w:hAnsi="Times New Roman;serif"/>
          <w:b/>
          <w:color w:val="000000"/>
          <w:sz w:val="20"/>
        </w:rPr>
        <w:t xml:space="preserve">Property, Plant, and Equipment </w:t>
      </w:r>
      <w:r>
        <w:rPr>
          <w:color w:val="000000"/>
        </w:rPr>
        <w:t xml:space="preserve">– </w:t>
      </w:r>
      <w:r>
        <w:rPr>
          <w:rFonts w:ascii="Times New Roman;serif" w:hAnsi="Times New Roman;serif"/>
          <w:b w:val="false"/>
          <w:color w:val="000000"/>
          <w:sz w:val="20"/>
        </w:rPr>
        <w:t>Property, plant, and equipment are measured at historical acquisition costs, and reduced by accumulated depreciation and any recognized impairment losses. Depreciation of property, plant and equipment is recognized on a straight-line basis over the estimated useful lives of the respective assets. Depreciation expense is recorded within cost of sales, research and development, or selling, general and administrative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useful life, the residual value and the depreciation method are reviewed at the end of each fiscal year, and any changes are applied to the period when the estimates are changed and future periods prospectively as a change in the accounting estimate.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major assets are as follows.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Years</w:t>
      </w:r>
    </w:p>
    <w:tbl>
      <w:tblPr>
        <w:tblW w:w="3569" w:type="dxa"/>
        <w:jc w:val="left"/>
        <w:tblInd w:w="0" w:type="dxa"/>
        <w:tblLayout w:type="fixed"/>
        <w:tblCellMar>
          <w:top w:w="28" w:type="dxa"/>
          <w:left w:w="28" w:type="dxa"/>
          <w:bottom w:w="28" w:type="dxa"/>
          <w:right w:w="28" w:type="dxa"/>
        </w:tblCellMar>
      </w:tblPr>
      <w:tblGrid>
        <w:gridCol w:w="863"/>
        <w:gridCol w:w="758"/>
        <w:gridCol w:w="764"/>
        <w:gridCol w:w="346"/>
        <w:gridCol w:w="346"/>
        <w:gridCol w:w="49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right"/>
              <w:rPr>
                <w:rFonts w:ascii="Times New Roman;serif" w:hAnsi="Times New Roman;serif"/>
                <w:b w:val="false"/>
                <w:color w:val="000000"/>
                <w:sz w:val="20"/>
              </w:rPr>
            </w:pPr>
            <w:r>
              <w:rPr>
                <w:rFonts w:ascii="Times New Roman;serif" w:hAnsi="Times New Roman;serif"/>
                <w:b w:val="false"/>
                <w:color w:val="000000"/>
                <w:sz w:val="20"/>
              </w:rPr>
              <w:t>2 to 10 years</w:t>
            </w:r>
          </w:p>
        </w:tc>
      </w:tr>
      <w:tr>
        <w:trPr/>
        <w:tc>
          <w:tcPr>
            <w:tcW w:w="23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8" w:before="0" w:after="0"/>
              <w:jc w:val="left"/>
              <w:rPr>
                <w:rFonts w:ascii="Times New Roman;serif" w:hAnsi="Times New Roman;serif"/>
                <w:b w:val="false"/>
                <w:color w:val="000000"/>
                <w:sz w:val="20"/>
              </w:rPr>
            </w:pPr>
            <w:r>
              <w:rPr>
                <w:rFonts w:ascii="Times New Roman;serif" w:hAnsi="Times New Roman;serif"/>
                <w:b w:val="false"/>
                <w:color w:val="000000"/>
                <w:sz w:val="20"/>
              </w:rPr>
              <w:t>Tools, furniture and fixtures</w:t>
            </w:r>
          </w:p>
        </w:tc>
        <w:tc>
          <w:tcPr>
            <w:tcW w:w="11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8" w:before="0" w:after="0"/>
              <w:jc w:val="right"/>
              <w:rPr>
                <w:rFonts w:ascii="Times New Roman;serif" w:hAnsi="Times New Roman;serif"/>
                <w:b w:val="false"/>
                <w:color w:val="000000"/>
                <w:sz w:val="20"/>
              </w:rPr>
            </w:pPr>
            <w:r>
              <w:rPr>
                <w:rFonts w:ascii="Times New Roman;serif" w:hAnsi="Times New Roman;serif"/>
                <w:b w:val="false"/>
                <w:color w:val="000000"/>
                <w:sz w:val="20"/>
              </w:rPr>
              <w:t>2 to 5 years</w:t>
            </w:r>
          </w:p>
        </w:tc>
      </w:tr>
    </w:tbl>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Leases – </w:t>
      </w:r>
      <w:r>
        <w:rPr>
          <w:rFonts w:ascii="Times New Roman;serif" w:hAnsi="Times New Roman;serif"/>
          <w:b w:val="false"/>
          <w:color w:val="000000"/>
          <w:sz w:val="20"/>
        </w:rPr>
        <w:t>Contract arrangements are determined if it is a lease or contain a lease at inception. Lease classification is evaluated at commencement and, as necessary, at modification.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lease related balances are included in right-of-use (“ROU”) asset, lease liability – current, and lease liability – non-current on the Interim Statements of Assets Acquired and Liabilities Assumed. The Business currently does not have any finance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operating lease ROU asset represents the Business’s right to use an underlying asset for the lease term and the operating lease liability represents the present value of the Business’s obligation to make lease payments arising from the lease. The operating lease ROU asset and liability are recognized at the present value of the future lease payments at the lease commencement date. The interest rate used to determine the present value of the future lease payments is the incremental borrowing rate of the Business operated as a component of Renesas. The incremental borrowing rate is estimated to approximate the interest rate on a collateralized basis with similar terms and payments, and in economic environments where the leased asset is located. The operating lease ROU asset also includes adjustments related to lease incentives, prepaid or accrued rent and initial direct lease costs. Operating lease ROU asset is subject to evaluation for impairment or disposal on a basis consistent with other long-lived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 terms may include periods under options to extend or terminate the lease when it is reasonably certain that the Business will exercise that option. The Business generally uses the base, non-cancelable lease term when determining the lease right-of-use asset and lease liability. Payments under the Business’s lease arrangement is primarily fixed, however, certain lease agreements contain variable payments, which are expensed as incurred and not included in the operating lease ROU asset and liability. Variable lease payments are primarily comprised of common area maintenance charges and utility costs.</w:t>
      </w:r>
    </w:p>
    <w:p>
      <w:pPr>
        <w:pStyle w:val="TextBody"/>
        <w:bidi w:val="0"/>
        <w:spacing w:lineRule="auto" w:line="288" w:before="120" w:after="283"/>
        <w:jc w:val="both"/>
        <w:rPr/>
      </w:pPr>
      <w:r>
        <w:rPr>
          <w:rFonts w:ascii="Times New Roman;serif" w:hAnsi="Times New Roman;serif"/>
          <w:b/>
          <w:color w:val="000000"/>
          <w:sz w:val="20"/>
        </w:rPr>
        <w:t xml:space="preserve">Goodwill and intangible assets – </w:t>
      </w:r>
      <w:r>
        <w:rPr>
          <w:rFonts w:ascii="Times New Roman;serif" w:hAnsi="Times New Roman;serif"/>
          <w:b w:val="false"/>
          <w:color w:val="000000"/>
          <w:sz w:val="20"/>
        </w:rPr>
        <w:t>Goodwill represents the excess of purchase price over the fair value of identifiable assets acquired and liabilities assumed in the business combination.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was recognized in connection with Renesas’ acquisition of Integrated Device Technology, Inc. on March 29, 2019. Goodwill was attributed to the Timing Product Business based on the proportionate fair value relative to the fair value of the IDT acquisition as of the acquisition date. Subsequently, the Business assessed the attributed goodwill for impairment each fiscal year or more frequently if events or circumstances indicate it is more likely than not that the fair value of the reporting unit is less than the carrying amount. An impairment loss is recognized when and to the extent a reporting unit’s carrying amount is determined to exceed its estimated fair value. Impairment losses on goodwill are recognized in the Statements of Revenue and Direct Expenses and are not reversed in a subsequent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are presented at cost less any accumulated amortization and accumulated impairment losses using the cost model. Intangible assets acquired in a business combination are measured at fair value as of the date of acquisition, comprised of developed technology and computer software specifically associated with the Timing Product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useful lives are amortized over their respective estimated useful life using the straight-line method, and an impairment test is performed if any indications of impairment exist. For intangible assets with finite useful lives, their useful lives and amortization method are reviewed at the end of each fiscal year. A change in the useful life or the amortization method is applied prospectively as a change in accounting estimate. The useful life for Timing Product Business’s developed technology and internal use computer software are 8 and 3 years, respectively.</w:t>
      </w:r>
    </w:p>
    <w:p>
      <w:pPr>
        <w:pStyle w:val="TextBody"/>
        <w:bidi w:val="0"/>
        <w:spacing w:lineRule="auto" w:line="288" w:before="120" w:after="283"/>
        <w:jc w:val="both"/>
        <w:rPr/>
      </w:pPr>
      <w:r>
        <w:rPr>
          <w:rFonts w:ascii="Times New Roman;serif" w:hAnsi="Times New Roman;serif"/>
          <w:b/>
          <w:color w:val="000000"/>
          <w:sz w:val="20"/>
        </w:rPr>
        <w:t xml:space="preserve">Revenue Recognition </w:t>
      </w:r>
      <w:r>
        <w:rPr>
          <w:color w:val="000000"/>
        </w:rPr>
        <w:t xml:space="preserve">– </w:t>
      </w:r>
      <w:r>
        <w:rPr>
          <w:rFonts w:ascii="Times New Roman;serif" w:hAnsi="Times New Roman;serif"/>
          <w:b w:val="false"/>
          <w:color w:val="000000"/>
          <w:sz w:val="20"/>
        </w:rPr>
        <w:t>Revenue recognition is conducted in accordance with ASC 606 using the five-step model, which requires the identification of the contract with a customer, the identification of distinct performance obligations in the contract, the determination of the transaction price, the allocation of the transaction price to the performance obligations, and the recognition of revenue as the performance obligations are satisfied.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Product Business engages in research, development, design, manufacturing, sale, and servicing of semiconductor products. Revenue is mainly recognized when the goods are delivered as the ownership of these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goods has been transferred to the customer and the performance obligations are identified at the time of delivery.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is measured at the amount of consideration to which the business expects to be entitled, net of estimated discounts, rebates, and returns. Sales to specific distributors may be subject to the various sales promotion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Business provides product warranties covering manufacturing defects and performance issues within a defined warranty period. Warranty reserves are estimated based on historical warranty claim rates, cost of repair or replacement, and product failure trends.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ship and debit is a program designed to assist specific distributors on their sales to end customers through pricing adjustments. Under this program, the selling prices will be adjusted when the specific distributors sell the products to the end customers. At the time we record sales to the specific distributors, we accrue for ship and debit liabilities and deduct the same amounts from revenue based on the estimate of the variable consideration resulting from the application of the ship and debit program upon the future sales by the distributors.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 rotation is a program whereby on a semi-annual basis, specific distributors are allowed to return, for credit, inventories equal to a certain percentage of their purchases for the previous six months. We recognize return allowance for obligation under expected future inventory returns. We accrue for refund liabilities related to the stock rotation program at every closing date and deduct the same amount from revenue.</w:t>
      </w:r>
    </w:p>
    <w:p>
      <w:pPr>
        <w:pStyle w:val="TextBody"/>
        <w:bidi w:val="0"/>
        <w:spacing w:lineRule="auto" w:line="288" w:before="240" w:after="283"/>
        <w:ind w:left="0" w:right="0" w:hanging="353"/>
        <w:jc w:val="left"/>
        <w:rPr>
          <w:rFonts w:ascii="Times New Roman;serif" w:hAnsi="Times New Roman;serif"/>
          <w:b/>
          <w:color w:val="000000"/>
          <w:sz w:val="20"/>
        </w:rPr>
      </w:pPr>
      <w:r>
        <w:rPr>
          <w:rFonts w:ascii="Times New Roman;serif" w:hAnsi="Times New Roman;serif"/>
          <w:b/>
          <w:color w:val="000000"/>
          <w:sz w:val="20"/>
        </w:rPr>
        <w:t>4.INVENTORY,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inventories that are part of the Business are summarized as follows:</w:t>
      </w:r>
    </w:p>
    <w:tbl>
      <w:tblPr>
        <w:tblW w:w="3605" w:type="dxa"/>
        <w:jc w:val="left"/>
        <w:tblInd w:w="0" w:type="dxa"/>
        <w:tblLayout w:type="fixed"/>
        <w:tblCellMar>
          <w:top w:w="28" w:type="dxa"/>
          <w:left w:w="28" w:type="dxa"/>
          <w:bottom w:w="28" w:type="dxa"/>
          <w:right w:w="28" w:type="dxa"/>
        </w:tblCellMar>
      </w:tblPr>
      <w:tblGrid>
        <w:gridCol w:w="494"/>
        <w:gridCol w:w="434"/>
        <w:gridCol w:w="436"/>
        <w:gridCol w:w="211"/>
        <w:gridCol w:w="616"/>
        <w:gridCol w:w="109"/>
        <w:gridCol w:w="280"/>
        <w:gridCol w:w="819"/>
        <w:gridCol w:w="20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93" w:before="0" w:after="0"/>
              <w:jc w:val="center"/>
              <w:rPr>
                <w:rFonts w:ascii="Times New Roman;serif" w:hAnsi="Times New Roman;serif"/>
                <w:b/>
                <w:color w:val="000000"/>
                <w:sz w:val="20"/>
              </w:rPr>
            </w:pPr>
            <w:r>
              <w:rPr>
                <w:rFonts w:ascii="Times New Roman;serif" w:hAnsi="Times New Roman;serif"/>
                <w:b/>
                <w:color w:val="000000"/>
                <w:sz w:val="20"/>
              </w:rPr>
              <w:t xml:space="preserve">June 30, </w:t>
            </w:r>
          </w:p>
          <w:p>
            <w:pPr>
              <w:pStyle w:val="TableContents"/>
              <w:bidi w:val="0"/>
              <w:spacing w:lineRule="atLeast" w:line="193"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93" w:before="0" w:after="0"/>
              <w:jc w:val="center"/>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tLeast" w:line="193"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12"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sans-serif" w:hAnsi="sans-serif"/>
          <w:b/>
          <w:color w:val="000000"/>
          <w:sz w:val="19"/>
        </w:rPr>
        <w:t>5.</w:t>
      </w:r>
      <w:r>
        <w:rPr>
          <w:rFonts w:ascii="Times New Roman;serif" w:hAnsi="Times New Roman;serif"/>
          <w:b/>
          <w:color w:val="000000"/>
          <w:sz w:val="20"/>
        </w:rPr>
        <w:t>PROPERTY, PLANT, AND EQUIPMENT,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property, plant, and equipment by major asset class and accumulated depreciation that are part of the Business are summarized as follows:</w:t>
      </w:r>
    </w:p>
    <w:tbl>
      <w:tblPr>
        <w:tblW w:w="5715" w:type="dxa"/>
        <w:jc w:val="left"/>
        <w:tblInd w:w="0" w:type="dxa"/>
        <w:tblLayout w:type="fixed"/>
        <w:tblCellMar>
          <w:top w:w="28" w:type="dxa"/>
          <w:left w:w="28" w:type="dxa"/>
          <w:bottom w:w="28" w:type="dxa"/>
          <w:right w:w="28" w:type="dxa"/>
        </w:tblCellMar>
      </w:tblPr>
      <w:tblGrid>
        <w:gridCol w:w="1249"/>
        <w:gridCol w:w="1096"/>
        <w:gridCol w:w="1105"/>
        <w:gridCol w:w="320"/>
        <w:gridCol w:w="320"/>
        <w:gridCol w:w="321"/>
        <w:gridCol w:w="381"/>
        <w:gridCol w:w="381"/>
        <w:gridCol w:w="542"/>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00" w:before="0" w:after="0"/>
              <w:ind w:left="0" w:right="0" w:hanging="450"/>
              <w:jc w:val="left"/>
              <w:rPr>
                <w:rFonts w:ascii="Times New Roman;serif" w:hAnsi="Times New Roman;serif"/>
                <w:b/>
                <w:color w:val="000000"/>
                <w:sz w:val="22"/>
              </w:rPr>
            </w:pPr>
            <w:r>
              <w:rPr>
                <w:rFonts w:ascii="Times New Roman;serif" w:hAnsi="Times New Roman;serif"/>
                <w:b/>
                <w:color w:val="000000"/>
                <w:sz w:val="22"/>
              </w:rPr>
              <w:t>June 30,</w:t>
            </w:r>
          </w:p>
          <w:p>
            <w:pPr>
              <w:pStyle w:val="TableContents"/>
              <w:bidi w:val="0"/>
              <w:spacing w:lineRule="atLeast" w:line="211"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2026</w:t>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00" w:before="0" w:after="0"/>
              <w:jc w:val="center"/>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tLeast" w:line="211"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1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20,917</w:t>
            </w:r>
          </w:p>
        </w:tc>
        <w:tc>
          <w:tcPr>
            <w:tcW w:w="13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19,619</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65" w:after="283"/>
              <w:jc w:val="left"/>
              <w:rPr>
                <w:rFonts w:ascii="Times New Roman;serif" w:hAnsi="Times New Roman;serif"/>
                <w:b w:val="false"/>
                <w:color w:val="000000"/>
                <w:sz w:val="20"/>
              </w:rPr>
            </w:pPr>
            <w:r>
              <w:rPr>
                <w:rFonts w:ascii="Times New Roman;serif" w:hAnsi="Times New Roman;serif"/>
                <w:b w:val="false"/>
                <w:color w:val="000000"/>
                <w:sz w:val="20"/>
              </w:rPr>
              <w:t>Tools, furniture and fixtures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91" w:after="283"/>
              <w:jc w:val="right"/>
              <w:rPr>
                <w:rFonts w:ascii="Times New Roman;serif" w:hAnsi="Times New Roman;serif"/>
                <w:b w:val="false"/>
                <w:color w:val="000000"/>
                <w:sz w:val="20"/>
              </w:rPr>
            </w:pPr>
            <w:r>
              <w:rPr>
                <w:rFonts w:ascii="Times New Roman;serif" w:hAnsi="Times New Roman;serif"/>
                <w:b w:val="false"/>
                <w:color w:val="000000"/>
                <w:sz w:val="20"/>
              </w:rPr>
              <w:t>5,124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91" w:after="283"/>
              <w:jc w:val="right"/>
              <w:rPr>
                <w:rFonts w:ascii="Times New Roman;serif" w:hAnsi="Times New Roman;serif"/>
                <w:b w:val="false"/>
                <w:color w:val="000000"/>
                <w:sz w:val="20"/>
              </w:rPr>
            </w:pPr>
            <w:r>
              <w:rPr>
                <w:rFonts w:ascii="Times New Roman;serif" w:hAnsi="Times New Roman;serif"/>
                <w:b w:val="false"/>
                <w:color w:val="000000"/>
                <w:sz w:val="20"/>
              </w:rPr>
              <w:t>4,614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26,041</w:t>
            </w:r>
          </w:p>
        </w:tc>
        <w:tc>
          <w:tcPr>
            <w:tcW w:w="13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24,233</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65"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91" w:after="283"/>
              <w:jc w:val="right"/>
              <w:rPr>
                <w:rFonts w:ascii="Times New Roman;serif" w:hAnsi="Times New Roman;serif"/>
                <w:b w:val="false"/>
                <w:color w:val="000000"/>
                <w:sz w:val="20"/>
              </w:rPr>
            </w:pPr>
            <w:r>
              <w:rPr>
                <w:rFonts w:ascii="Times New Roman;serif" w:hAnsi="Times New Roman;serif"/>
                <w:b w:val="false"/>
                <w:color w:val="000000"/>
                <w:sz w:val="20"/>
              </w:rPr>
              <w:t>(20,374)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91" w:after="283"/>
              <w:jc w:val="right"/>
              <w:rPr>
                <w:rFonts w:ascii="Times New Roman;serif" w:hAnsi="Times New Roman;serif"/>
                <w:b w:val="false"/>
                <w:color w:val="000000"/>
                <w:sz w:val="20"/>
              </w:rPr>
            </w:pPr>
            <w:r>
              <w:rPr>
                <w:rFonts w:ascii="Times New Roman;serif" w:hAnsi="Times New Roman;serif"/>
                <w:b w:val="false"/>
                <w:color w:val="000000"/>
                <w:sz w:val="20"/>
              </w:rPr>
              <w:t>(19,316)</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11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96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5,667</w:t>
            </w:r>
          </w:p>
        </w:tc>
        <w:tc>
          <w:tcPr>
            <w:tcW w:w="130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137" w:after="283"/>
              <w:jc w:val="right"/>
              <w:rPr>
                <w:rFonts w:ascii="Times New Roman;serif" w:hAnsi="Times New Roman;serif"/>
                <w:b w:val="false"/>
                <w:color w:val="000000"/>
                <w:sz w:val="20"/>
              </w:rPr>
            </w:pPr>
            <w:r>
              <w:rPr>
                <w:rFonts w:ascii="Times New Roman;serif" w:hAnsi="Times New Roman;serif"/>
                <w:b w:val="false"/>
                <w:color w:val="000000"/>
                <w:sz w:val="20"/>
              </w:rPr>
              <w:t>$    4,917</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recorded depreciation expense related to property and equipment was $626 and $456 for the three months ended June 30, 2026, and 2025, respectively and $1,085 and $993 for the six months ended June 30, 2026 and 2025.</w:t>
      </w:r>
    </w:p>
    <w:p>
      <w:pPr>
        <w:pStyle w:val="TextBody"/>
        <w:bidi w:val="0"/>
        <w:spacing w:lineRule="auto" w:line="288" w:before="240" w:after="283"/>
        <w:ind w:left="0" w:right="0" w:hanging="360"/>
        <w:jc w:val="left"/>
        <w:rPr/>
      </w:pPr>
      <w:r>
        <w:rPr>
          <w:rFonts w:ascii="sans-serif" w:hAnsi="sans-serif"/>
          <w:b/>
          <w:color w:val="000000"/>
          <w:sz w:val="19"/>
        </w:rPr>
        <w:t>6.</w:t>
      </w:r>
      <w:r>
        <w:rPr>
          <w:rFonts w:ascii="Times New Roman;serif" w:hAnsi="Times New Roman;serif"/>
          <w:b/>
          <w:color w:val="000000"/>
          <w:sz w:val="20"/>
        </w:rPr>
        <w:t>LEASE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Business has only one lease for its Ottawa, Canada office, which is classified as an operating lease. The remaining lease term is approximately six years, and Renesas Electronics Canada Limited has an option to extend the term for a period of five years. This renewal option is not included in the remaining lease term as it is not reasonably certain that Renesas Electronics Canada Limited will exercise such renewal option. Additionally, Renesas Electronics Canada Limited has variable lease payments, which are primarily composed of utility charges, real estate taxes, and building maintenance.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lease-related assets and liabilities recorded on the Interim Statements of Assets Acquired and Liabilities assumed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7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828" w:type="dxa"/>
        <w:jc w:val="left"/>
        <w:tblInd w:w="0" w:type="dxa"/>
        <w:tblLayout w:type="fixed"/>
        <w:tblCellMar>
          <w:top w:w="28" w:type="dxa"/>
          <w:left w:w="28" w:type="dxa"/>
          <w:bottom w:w="28" w:type="dxa"/>
          <w:right w:w="28" w:type="dxa"/>
        </w:tblCellMar>
      </w:tblPr>
      <w:tblGrid>
        <w:gridCol w:w="918"/>
        <w:gridCol w:w="806"/>
        <w:gridCol w:w="810"/>
        <w:gridCol w:w="419"/>
        <w:gridCol w:w="282"/>
        <w:gridCol w:w="289"/>
        <w:gridCol w:w="580"/>
        <w:gridCol w:w="299"/>
        <w:gridCol w:w="425"/>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99" w:before="0" w:after="0"/>
              <w:jc w:val="center"/>
              <w:rPr>
                <w:rFonts w:ascii="Times New Roman;serif" w:hAnsi="Times New Roman;serif"/>
                <w:b/>
                <w:color w:val="000000"/>
                <w:sz w:val="20"/>
              </w:rPr>
            </w:pPr>
            <w:r>
              <w:rPr>
                <w:rFonts w:ascii="Times New Roman;serif" w:hAnsi="Times New Roman;serif"/>
                <w:b/>
                <w:color w:val="000000"/>
                <w:sz w:val="20"/>
              </w:rPr>
              <w:t>June 30,</w:t>
            </w:r>
          </w:p>
          <w:p>
            <w:pPr>
              <w:pStyle w:val="TableContents"/>
              <w:bidi w:val="0"/>
              <w:spacing w:lineRule="atLeast" w:line="20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99" w:before="0" w:after="0"/>
              <w:jc w:val="center"/>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tLeast" w:line="209"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9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1,249</w:t>
            </w:r>
          </w:p>
        </w:tc>
        <w:tc>
          <w:tcPr>
            <w:tcW w:w="13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1,407</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38" w:after="283"/>
              <w:jc w:val="left"/>
              <w:rPr>
                <w:rFonts w:ascii="Times New Roman;serif" w:hAnsi="Times New Roman;serif"/>
                <w:b w:val="false"/>
                <w:color w:val="000000"/>
                <w:sz w:val="20"/>
              </w:rPr>
            </w:pPr>
            <w:r>
              <w:rPr>
                <w:rFonts w:ascii="Times New Roman;serif" w:hAnsi="Times New Roman;serif"/>
                <w:b w:val="false"/>
                <w:color w:val="000000"/>
                <w:sz w:val="20"/>
              </w:rPr>
              <w:t>Lease liability – current</w:t>
            </w:r>
          </w:p>
        </w:tc>
        <w:tc>
          <w:tcPr>
            <w:tcW w:w="9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38"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3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38"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tLeast" w:line="229" w:before="23" w:after="283"/>
              <w:jc w:val="left"/>
              <w:rPr>
                <w:rFonts w:ascii="Times New Roman;serif" w:hAnsi="Times New Roman;serif"/>
                <w:b w:val="false"/>
                <w:color w:val="000000"/>
                <w:sz w:val="20"/>
              </w:rPr>
            </w:pPr>
            <w:r>
              <w:rPr>
                <w:rFonts w:ascii="Times New Roman;serif" w:hAnsi="Times New Roman;serif"/>
                <w:b w:val="false"/>
                <w:color w:val="000000"/>
                <w:sz w:val="20"/>
              </w:rPr>
              <w:t>Lease liability – non-current</w:t>
            </w:r>
          </w:p>
        </w:tc>
        <w:tc>
          <w:tcPr>
            <w:tcW w:w="990" w:type="dxa"/>
            <w:gridSpan w:val="3"/>
            <w:tcBorders/>
            <w:shd w:fill="CCEEFF" w:val="clear"/>
            <w:tcMar>
              <w:top w:w="0" w:type="dxa"/>
              <w:left w:w="0" w:type="dxa"/>
              <w:bottom w:w="0" w:type="dxa"/>
              <w:right w:w="0" w:type="dxa"/>
            </w:tcMar>
            <w:vAlign w:val="center"/>
          </w:tcPr>
          <w:p>
            <w:pPr>
              <w:pStyle w:val="TableContents"/>
              <w:bidi w:val="0"/>
              <w:spacing w:lineRule="atLeast" w:line="229" w:before="23"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tLeast" w:line="229" w:before="23"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5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r>
    </w:tbl>
    <w:p>
      <w:pPr>
        <w:pStyle w:val="TextBody"/>
        <w:bidi w:val="0"/>
        <w:spacing w:lineRule="auto" w:line="288" w:before="47" w:after="283"/>
        <w:jc w:val="both"/>
        <w:rPr>
          <w:rFonts w:ascii="Times New Roman;serif" w:hAnsi="Times New Roman;serif"/>
          <w:b w:val="false"/>
          <w:color w:val="000000"/>
          <w:sz w:val="20"/>
        </w:rPr>
      </w:pPr>
      <w:r>
        <w:rPr>
          <w:rFonts w:ascii="Times New Roman;serif" w:hAnsi="Times New Roman;serif"/>
          <w:b w:val="false"/>
          <w:color w:val="000000"/>
          <w:sz w:val="20"/>
        </w:rPr>
        <w:t>Discount rate    1.6%     1.6%</w:t>
      </w:r>
    </w:p>
    <w:p>
      <w:pPr>
        <w:pStyle w:val="TextBody"/>
        <w:bidi w:val="0"/>
        <w:spacing w:before="183" w:after="283"/>
        <w:jc w:val="left"/>
        <w:rPr/>
      </w:pPr>
      <w:r>
        <w:rPr/>
      </w:r>
    </w:p>
    <w:p>
      <w:pPr>
        <w:pStyle w:val="TextBody"/>
        <w:bidi w:val="0"/>
        <w:spacing w:lineRule="auto" w:line="247"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Total operating lease costs were $59 and $62 for the three months ended June 30, 2026 and 2025, respectively, and $117 and $124 for the six months ended June 30, 2026 and 2025, respectively. Cash paid for operating lease liabilities was $110 and $115 for the six months ended June 30, 2026 and 2025, respectively.</w:t>
      </w:r>
    </w:p>
    <w:p>
      <w:pPr>
        <w:pStyle w:val="TextBody"/>
        <w:bidi w:val="0"/>
        <w:spacing w:before="4"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the first five years and total of the remaining years, as applicable, to the operating lease liability recorded on the Interim Statements of Assets Acquired and Liabilities Assumed as of June 30, 2026:</w:t>
      </w:r>
    </w:p>
    <w:p>
      <w:pPr>
        <w:pStyle w:val="TextBody"/>
        <w:bidi w:val="0"/>
        <w:spacing w:before="0" w:after="0"/>
        <w:jc w:val="both"/>
        <w:rPr/>
      </w:pPr>
      <w:r>
        <w:rPr/>
      </w:r>
    </w:p>
    <w:tbl>
      <w:tblPr>
        <w:tblW w:w="5699" w:type="dxa"/>
        <w:jc w:val="left"/>
        <w:tblInd w:w="0" w:type="dxa"/>
        <w:tblLayout w:type="fixed"/>
        <w:tblCellMar>
          <w:top w:w="28" w:type="dxa"/>
          <w:left w:w="28" w:type="dxa"/>
          <w:bottom w:w="28" w:type="dxa"/>
          <w:right w:w="28" w:type="dxa"/>
        </w:tblCellMar>
      </w:tblPr>
      <w:tblGrid>
        <w:gridCol w:w="1585"/>
        <w:gridCol w:w="1392"/>
        <w:gridCol w:w="1402"/>
        <w:gridCol w:w="284"/>
        <w:gridCol w:w="829"/>
        <w:gridCol w:w="207"/>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87"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3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2030 </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Lease liability – current </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liability – non-current</w:t>
            </w:r>
          </w:p>
        </w:tc>
        <w:tc>
          <w:tcPr>
            <w:tcW w:w="28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0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94"/>
        <w:jc w:val="left"/>
        <w:rPr/>
      </w:pPr>
      <w:r>
        <w:rPr>
          <w:rFonts w:ascii="sans-serif" w:hAnsi="sans-serif"/>
          <w:b/>
          <w:color w:val="000000"/>
          <w:sz w:val="19"/>
        </w:rPr>
        <w:t>7.</w:t>
      </w:r>
      <w:r>
        <w:rPr>
          <w:rFonts w:ascii="Times New Roman;serif" w:hAnsi="Times New Roman;serif"/>
          <w:b/>
          <w:color w:val="000000"/>
          <w:sz w:val="20"/>
        </w:rPr>
        <w:t>GOODWILL AND INTANGIBLE ASSETS,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was recognized in connection with Renesas’ acquisition of Integrated Device Technology, Inc. on March 29, 2019. Goodwill was attributed to the Timing Product Business based on the proportionate fair value relative to the fair value of the IDT acquisition as of the acquisition date. No goodwill impairment losses were recognized for the three and 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specifically identified to the Business include developed technology recognized in the IDT acquisition and certain other internal use computer software.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 additions in goodwill and other intangible assets for the six months ended June 30, 2026. Changes in accumulated amortization and impairment losses, and the carrying amounts of goodwill and other intangible assets are as follows.</w:t>
      </w:r>
    </w:p>
    <w:p>
      <w:pPr>
        <w:pStyle w:val="TextBody"/>
        <w:bidi w:val="0"/>
        <w:spacing w:before="0" w:after="0"/>
        <w:jc w:val="left"/>
        <w:rPr/>
      </w:pPr>
      <w:r>
        <w:rPr/>
      </w:r>
    </w:p>
    <w:p>
      <w:pPr>
        <w:pStyle w:val="TextBody"/>
        <w:bidi w:val="0"/>
        <w:spacing w:lineRule="auto" w:line="288" w:before="93" w:after="283"/>
        <w:ind w:left="0" w:right="0" w:hanging="359"/>
        <w:jc w:val="left"/>
        <w:rPr>
          <w:rFonts w:ascii="Times New Roman;serif" w:hAnsi="Times New Roman;serif"/>
          <w:b w:val="false"/>
          <w:color w:val="000000"/>
          <w:sz w:val="20"/>
        </w:rPr>
      </w:pPr>
      <w:r>
        <w:rPr>
          <w:rFonts w:ascii="Times New Roman;serif" w:hAnsi="Times New Roman;serif"/>
          <w:b w:val="false"/>
          <w:color w:val="000000"/>
          <w:sz w:val="20"/>
        </w:rPr>
        <w:t>A.Acquisition cost</w:t>
      </w:r>
    </w:p>
    <w:tbl>
      <w:tblPr>
        <w:tblW w:w="10205" w:type="dxa"/>
        <w:jc w:val="left"/>
        <w:tblInd w:w="0" w:type="dxa"/>
        <w:tblLayout w:type="fixed"/>
        <w:tblCellMar>
          <w:top w:w="28" w:type="dxa"/>
          <w:left w:w="28" w:type="dxa"/>
          <w:bottom w:w="28" w:type="dxa"/>
          <w:right w:w="28" w:type="dxa"/>
        </w:tblCellMar>
      </w:tblPr>
      <w:tblGrid>
        <w:gridCol w:w="1040"/>
        <w:gridCol w:w="913"/>
        <w:gridCol w:w="919"/>
        <w:gridCol w:w="354"/>
        <w:gridCol w:w="354"/>
        <w:gridCol w:w="358"/>
        <w:gridCol w:w="1154"/>
        <w:gridCol w:w="1153"/>
        <w:gridCol w:w="1161"/>
        <w:gridCol w:w="457"/>
        <w:gridCol w:w="457"/>
        <w:gridCol w:w="459"/>
        <w:gridCol w:w="416"/>
        <w:gridCol w:w="415"/>
        <w:gridCol w:w="595"/>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righ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33"/>
              <w:jc w:val="both"/>
              <w:rPr>
                <w:rFonts w:ascii="Times New Roman;serif" w:hAnsi="Times New Roman;serif"/>
                <w:b w:val="false"/>
                <w:color w:val="000000"/>
                <w:sz w:val="20"/>
              </w:rPr>
            </w:pPr>
            <w:r>
              <w:rPr>
                <w:rFonts w:ascii="Times New Roman;serif" w:hAnsi="Times New Roman;serif"/>
                <w:b w:val="false"/>
                <w:color w:val="000000"/>
                <w:sz w:val="20"/>
              </w:rPr>
              <w:t>Intangible asset – Developed Technology</w:t>
            </w:r>
          </w:p>
        </w:tc>
        <w:tc>
          <w:tcPr>
            <w:tcW w:w="13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uto" w:line="288" w:before="0" w:after="0"/>
              <w:jc w:val="right"/>
              <w:rPr>
                <w:color w:val="000000"/>
              </w:rPr>
            </w:pPr>
            <w:r>
              <w:rPr>
                <w:color w:val="000000"/>
              </w:rPr>
              <w:t xml:space="preserve">– </w:t>
            </w:r>
            <w:r>
              <w:rPr>
                <w:rFonts w:ascii="Times New Roman;serif" w:hAnsi="Times New Roman;serif"/>
                <w:b w:val="false"/>
                <w:color w:val="000000"/>
                <w:sz w:val="20"/>
              </w:rPr>
              <w:t>Software</w:t>
            </w:r>
          </w:p>
        </w:tc>
        <w:tc>
          <w:tcPr>
            <w:tcW w:w="14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uto" w:line="288" w:before="0" w:after="0"/>
              <w:jc w:val="right"/>
              <w:rPr>
                <w:color w:val="000000"/>
              </w:rPr>
            </w:pPr>
            <w:r>
              <w:rPr>
                <w:color w:val="000000"/>
              </w:rPr>
              <w:t xml:space="preserve">– </w:t>
            </w:r>
            <w:r>
              <w:rPr>
                <w:rFonts w:ascii="Times New Roman;serif" w:hAnsi="Times New Roman;serif"/>
                <w:b w:val="false"/>
                <w:color w:val="000000"/>
                <w:sz w:val="20"/>
              </w:rPr>
              <w:t>Total</w:t>
            </w:r>
          </w:p>
        </w:tc>
      </w:tr>
      <w:tr>
        <w:trPr/>
        <w:tc>
          <w:tcPr>
            <w:tcW w:w="287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1066"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382,299</w:t>
            </w:r>
          </w:p>
        </w:tc>
        <w:tc>
          <w:tcPr>
            <w:tcW w:w="3468"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365,000</w:t>
            </w:r>
          </w:p>
        </w:tc>
        <w:tc>
          <w:tcPr>
            <w:tcW w:w="137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317</w:t>
            </w:r>
          </w:p>
        </w:tc>
        <w:tc>
          <w:tcPr>
            <w:tcW w:w="142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365,317</w:t>
            </w:r>
          </w:p>
        </w:tc>
      </w:tr>
      <w:tr>
        <w:trPr/>
        <w:tc>
          <w:tcPr>
            <w:tcW w:w="287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6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2"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Balances as of June 30, 2026</w:t>
            </w:r>
          </w:p>
        </w:tc>
        <w:tc>
          <w:tcPr>
            <w:tcW w:w="1066"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382,299</w:t>
            </w:r>
          </w:p>
        </w:tc>
        <w:tc>
          <w:tcPr>
            <w:tcW w:w="3468"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365,000</w:t>
            </w:r>
          </w:p>
        </w:tc>
        <w:tc>
          <w:tcPr>
            <w:tcW w:w="1373"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317</w:t>
            </w:r>
          </w:p>
        </w:tc>
        <w:tc>
          <w:tcPr>
            <w:tcW w:w="1426"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365,317</w:t>
            </w:r>
          </w:p>
        </w:tc>
      </w:tr>
    </w:tbl>
    <w:p>
      <w:pPr>
        <w:pStyle w:val="TextBody"/>
        <w:bidi w:val="0"/>
        <w:spacing w:before="0" w:after="0"/>
        <w:jc w:val="left"/>
        <w:rPr/>
      </w:pPr>
      <w:r>
        <w:rPr/>
      </w:r>
    </w:p>
    <w:p>
      <w:pPr>
        <w:pStyle w:val="TextBody"/>
        <w:bidi w:val="0"/>
        <w:spacing w:before="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59"/>
        <w:jc w:val="left"/>
        <w:rPr>
          <w:rFonts w:ascii="Times New Roman;serif" w:hAnsi="Times New Roman;serif"/>
          <w:b w:val="false"/>
          <w:color w:val="000000"/>
          <w:sz w:val="20"/>
        </w:rPr>
      </w:pPr>
      <w:r>
        <w:rPr>
          <w:rFonts w:ascii="Times New Roman;serif" w:hAnsi="Times New Roman;serif"/>
          <w:b w:val="false"/>
          <w:color w:val="000000"/>
          <w:sz w:val="20"/>
        </w:rPr>
        <w:t>B.Accumulated amortization</w:t>
      </w:r>
    </w:p>
    <w:tbl>
      <w:tblPr>
        <w:tblW w:w="10063" w:type="dxa"/>
        <w:jc w:val="left"/>
        <w:tblInd w:w="0" w:type="dxa"/>
        <w:tblLayout w:type="fixed"/>
        <w:tblCellMar>
          <w:top w:w="28" w:type="dxa"/>
          <w:left w:w="28" w:type="dxa"/>
          <w:bottom w:w="28" w:type="dxa"/>
          <w:right w:w="28" w:type="dxa"/>
        </w:tblCellMar>
      </w:tblPr>
      <w:tblGrid>
        <w:gridCol w:w="1048"/>
        <w:gridCol w:w="920"/>
        <w:gridCol w:w="926"/>
        <w:gridCol w:w="290"/>
        <w:gridCol w:w="290"/>
        <w:gridCol w:w="291"/>
        <w:gridCol w:w="1162"/>
        <w:gridCol w:w="1162"/>
        <w:gridCol w:w="1170"/>
        <w:gridCol w:w="459"/>
        <w:gridCol w:w="459"/>
        <w:gridCol w:w="461"/>
        <w:gridCol w:w="417"/>
        <w:gridCol w:w="417"/>
        <w:gridCol w:w="591"/>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righ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33"/>
              <w:jc w:val="both"/>
              <w:rPr>
                <w:rFonts w:ascii="Times New Roman;serif" w:hAnsi="Times New Roman;serif"/>
                <w:b w:val="false"/>
                <w:color w:val="000000"/>
                <w:sz w:val="20"/>
              </w:rPr>
            </w:pPr>
            <w:r>
              <w:rPr>
                <w:rFonts w:ascii="Times New Roman;serif" w:hAnsi="Times New Roman;serif"/>
                <w:b w:val="false"/>
                <w:color w:val="000000"/>
                <w:sz w:val="20"/>
              </w:rPr>
              <w:t>Intangible asset – Developed Technology</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tLeast" w:line="229" w:before="0" w:after="0"/>
              <w:jc w:val="right"/>
              <w:rPr>
                <w:color w:val="000000"/>
              </w:rPr>
            </w:pPr>
            <w:r>
              <w:rPr>
                <w:color w:val="000000"/>
              </w:rPr>
              <w:t xml:space="preserve">– </w:t>
            </w:r>
            <w:r>
              <w:rPr>
                <w:rFonts w:ascii="Times New Roman;serif" w:hAnsi="Times New Roman;serif"/>
                <w:b w:val="false"/>
                <w:color w:val="000000"/>
                <w:sz w:val="20"/>
              </w:rPr>
              <w:t>Software</w:t>
            </w:r>
          </w:p>
        </w:tc>
        <w:tc>
          <w:tcPr>
            <w:tcW w:w="14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9"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tLeast" w:line="229" w:before="0" w:after="0"/>
              <w:jc w:val="right"/>
              <w:rPr>
                <w:color w:val="000000"/>
              </w:rPr>
            </w:pPr>
            <w:r>
              <w:rPr>
                <w:color w:val="000000"/>
              </w:rPr>
              <w:t xml:space="preserve">– </w:t>
            </w:r>
            <w:r>
              <w:rPr>
                <w:rFonts w:ascii="Times New Roman;serif" w:hAnsi="Times New Roman;serif"/>
                <w:b w:val="false"/>
                <w:color w:val="000000"/>
                <w:sz w:val="20"/>
              </w:rPr>
              <w:t>Total</w:t>
            </w:r>
          </w:p>
        </w:tc>
      </w:tr>
      <w:tr>
        <w:trPr/>
        <w:tc>
          <w:tcPr>
            <w:tcW w:w="2894"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871"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94"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(306,615)</w:t>
            </w:r>
          </w:p>
        </w:tc>
        <w:tc>
          <w:tcPr>
            <w:tcW w:w="137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(275)</w:t>
            </w:r>
          </w:p>
        </w:tc>
        <w:tc>
          <w:tcPr>
            <w:tcW w:w="1425"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(306,890)</w:t>
            </w:r>
          </w:p>
        </w:tc>
      </w:tr>
      <w:tr>
        <w:trPr/>
        <w:tc>
          <w:tcPr>
            <w:tcW w:w="289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9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(22,812)</w:t>
            </w:r>
          </w:p>
        </w:tc>
        <w:tc>
          <w:tcPr>
            <w:tcW w:w="13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(22,828)</w:t>
            </w:r>
          </w:p>
        </w:tc>
      </w:tr>
      <w:tr>
        <w:trPr/>
        <w:tc>
          <w:tcPr>
            <w:tcW w:w="2894"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871"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94"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(329,427)</w:t>
            </w:r>
          </w:p>
        </w:tc>
        <w:tc>
          <w:tcPr>
            <w:tcW w:w="1379"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(291)</w:t>
            </w:r>
          </w:p>
        </w:tc>
        <w:tc>
          <w:tcPr>
            <w:tcW w:w="1425"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(329,718)</w:t>
            </w:r>
          </w:p>
        </w:tc>
      </w:tr>
    </w:tbl>
    <w:p>
      <w:pPr>
        <w:pStyle w:val="TextBody"/>
        <w:bidi w:val="0"/>
        <w:spacing w:lineRule="auto" w:line="249" w:before="229" w:after="283"/>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Total amortization expense recognized for developed technology and software were $11,414 and $11,415 for the three months ended June 30, 2026 and 2025, respectively.</w:t>
      </w:r>
    </w:p>
    <w:p>
      <w:pPr>
        <w:pStyle w:val="TextBody"/>
        <w:bidi w:val="0"/>
        <w:spacing w:before="2" w:after="283"/>
        <w:jc w:val="left"/>
        <w:rPr/>
      </w:pPr>
      <w:r>
        <w:rPr/>
      </w:r>
    </w:p>
    <w:p>
      <w:pPr>
        <w:pStyle w:val="TextBody"/>
        <w:bidi w:val="0"/>
        <w:spacing w:lineRule="auto" w:line="288" w:before="0" w:after="0"/>
        <w:ind w:left="0" w:right="0" w:hanging="359"/>
        <w:jc w:val="left"/>
        <w:rPr>
          <w:rFonts w:ascii="Times New Roman;serif" w:hAnsi="Times New Roman;serif"/>
          <w:b w:val="false"/>
          <w:color w:val="000000"/>
          <w:sz w:val="20"/>
        </w:rPr>
      </w:pPr>
      <w:r>
        <w:rPr>
          <w:rFonts w:ascii="Times New Roman;serif" w:hAnsi="Times New Roman;serif"/>
          <w:b w:val="false"/>
          <w:color w:val="000000"/>
          <w:sz w:val="20"/>
        </w:rPr>
        <w:t>C.Carrying amount</w:t>
      </w:r>
    </w:p>
    <w:tbl>
      <w:tblPr>
        <w:tblW w:w="10205" w:type="dxa"/>
        <w:jc w:val="left"/>
        <w:tblInd w:w="0" w:type="dxa"/>
        <w:tblLayout w:type="fixed"/>
        <w:tblCellMar>
          <w:top w:w="28" w:type="dxa"/>
          <w:left w:w="28" w:type="dxa"/>
          <w:bottom w:w="28" w:type="dxa"/>
          <w:right w:w="28" w:type="dxa"/>
        </w:tblCellMar>
      </w:tblPr>
      <w:tblGrid>
        <w:gridCol w:w="1040"/>
        <w:gridCol w:w="913"/>
        <w:gridCol w:w="919"/>
        <w:gridCol w:w="354"/>
        <w:gridCol w:w="354"/>
        <w:gridCol w:w="358"/>
        <w:gridCol w:w="1154"/>
        <w:gridCol w:w="1153"/>
        <w:gridCol w:w="1161"/>
        <w:gridCol w:w="457"/>
        <w:gridCol w:w="457"/>
        <w:gridCol w:w="459"/>
        <w:gridCol w:w="415"/>
        <w:gridCol w:w="415"/>
        <w:gridCol w:w="596"/>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righ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33"/>
              <w:jc w:val="both"/>
              <w:rPr>
                <w:rFonts w:ascii="Times New Roman;serif" w:hAnsi="Times New Roman;serif"/>
                <w:b w:val="false"/>
                <w:color w:val="000000"/>
                <w:sz w:val="20"/>
              </w:rPr>
            </w:pPr>
            <w:r>
              <w:rPr>
                <w:rFonts w:ascii="Times New Roman;serif" w:hAnsi="Times New Roman;serif"/>
                <w:b w:val="false"/>
                <w:color w:val="000000"/>
                <w:sz w:val="20"/>
              </w:rPr>
              <w:t>Intangible asset – Developed Technology</w:t>
            </w:r>
          </w:p>
        </w:tc>
        <w:tc>
          <w:tcPr>
            <w:tcW w:w="13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tLeast" w:line="229" w:before="0" w:after="0"/>
              <w:jc w:val="right"/>
              <w:rPr>
                <w:color w:val="000000"/>
              </w:rPr>
            </w:pPr>
            <w:r>
              <w:rPr>
                <w:color w:val="000000"/>
              </w:rPr>
              <w:t xml:space="preserve">– </w:t>
            </w:r>
            <w:r>
              <w:rPr>
                <w:rFonts w:ascii="Times New Roman;serif" w:hAnsi="Times New Roman;serif"/>
                <w:b w:val="false"/>
                <w:color w:val="000000"/>
                <w:sz w:val="20"/>
              </w:rPr>
              <w:t>Software</w:t>
            </w:r>
          </w:p>
        </w:tc>
        <w:tc>
          <w:tcPr>
            <w:tcW w:w="14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9" w:before="0" w:after="0"/>
              <w:jc w:val="right"/>
              <w:rPr>
                <w:rFonts w:ascii="Times New Roman;serif" w:hAnsi="Times New Roman;serif"/>
                <w:b w:val="false"/>
                <w:color w:val="000000"/>
                <w:sz w:val="20"/>
              </w:rPr>
            </w:pPr>
            <w:r>
              <w:rPr>
                <w:rFonts w:ascii="Times New Roman;serif" w:hAnsi="Times New Roman;serif"/>
                <w:b w:val="false"/>
                <w:color w:val="000000"/>
                <w:sz w:val="20"/>
              </w:rPr>
              <w:t>Intangible asset</w:t>
            </w:r>
          </w:p>
          <w:p>
            <w:pPr>
              <w:pStyle w:val="TableContents"/>
              <w:bidi w:val="0"/>
              <w:spacing w:lineRule="atLeast" w:line="229" w:before="0" w:after="0"/>
              <w:jc w:val="right"/>
              <w:rPr>
                <w:color w:val="000000"/>
              </w:rPr>
            </w:pPr>
            <w:r>
              <w:rPr>
                <w:color w:val="000000"/>
              </w:rPr>
              <w:t xml:space="preserve">– </w:t>
            </w:r>
            <w:r>
              <w:rPr>
                <w:rFonts w:ascii="Times New Roman;serif" w:hAnsi="Times New Roman;serif"/>
                <w:b w:val="false"/>
                <w:color w:val="000000"/>
                <w:sz w:val="20"/>
              </w:rPr>
              <w:t>Total</w:t>
            </w:r>
          </w:p>
        </w:tc>
      </w:tr>
      <w:tr>
        <w:trPr/>
        <w:tc>
          <w:tcPr>
            <w:tcW w:w="287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1066"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382,299</w:t>
            </w:r>
          </w:p>
        </w:tc>
        <w:tc>
          <w:tcPr>
            <w:tcW w:w="3468"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58,385</w:t>
            </w:r>
          </w:p>
        </w:tc>
        <w:tc>
          <w:tcPr>
            <w:tcW w:w="137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w:t>
            </w:r>
          </w:p>
        </w:tc>
        <w:tc>
          <w:tcPr>
            <w:tcW w:w="142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58,427</w:t>
            </w:r>
          </w:p>
        </w:tc>
      </w:tr>
      <w:tr>
        <w:trPr/>
        <w:tc>
          <w:tcPr>
            <w:tcW w:w="287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106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382,299</w:t>
            </w:r>
          </w:p>
        </w:tc>
        <w:tc>
          <w:tcPr>
            <w:tcW w:w="3468"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35,573</w:t>
            </w:r>
          </w:p>
        </w:tc>
        <w:tc>
          <w:tcPr>
            <w:tcW w:w="137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w:t>
            </w:r>
          </w:p>
        </w:tc>
        <w:tc>
          <w:tcPr>
            <w:tcW w:w="142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35,599</w:t>
            </w:r>
          </w:p>
        </w:tc>
      </w:tr>
    </w:tbl>
    <w:p>
      <w:pPr>
        <w:pStyle w:val="TextBody"/>
        <w:bidi w:val="0"/>
        <w:spacing w:before="1" w:after="283"/>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remaining amortization periods for developed technology and software are 2 years and 1 year, respectively.</w:t>
      </w:r>
    </w:p>
    <w:p>
      <w:pPr>
        <w:pStyle w:val="TextBody"/>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intangible assets subject to amortization as of June 30, 2026 is summarized as below:</w:t>
      </w:r>
    </w:p>
    <w:tbl>
      <w:tblPr>
        <w:tblW w:w="3674" w:type="dxa"/>
        <w:jc w:val="left"/>
        <w:tblInd w:w="0" w:type="dxa"/>
        <w:tblLayout w:type="fixed"/>
        <w:tblCellMar>
          <w:top w:w="28" w:type="dxa"/>
          <w:left w:w="28" w:type="dxa"/>
          <w:bottom w:w="28" w:type="dxa"/>
          <w:right w:w="28" w:type="dxa"/>
        </w:tblCellMar>
      </w:tblPr>
      <w:tblGrid>
        <w:gridCol w:w="608"/>
        <w:gridCol w:w="534"/>
        <w:gridCol w:w="538"/>
        <w:gridCol w:w="386"/>
        <w:gridCol w:w="1324"/>
        <w:gridCol w:w="28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193" w:before="0" w:after="0"/>
              <w:jc w:val="center"/>
              <w:rPr>
                <w:rFonts w:ascii="Times New Roman;serif" w:hAnsi="Times New Roman;serif"/>
                <w:b/>
                <w:color w:val="000000"/>
                <w:sz w:val="19"/>
              </w:rPr>
            </w:pPr>
            <w:r>
              <w:rPr>
                <w:rFonts w:ascii="Times New Roman;serif" w:hAnsi="Times New Roman;serif"/>
                <w:b/>
                <w:color w:val="000000"/>
                <w:sz w:val="19"/>
              </w:rPr>
              <w:t>Amortization expense</w:t>
            </w:r>
          </w:p>
        </w:tc>
      </w:tr>
      <w:tr>
        <w:trPr/>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12" w:after="283"/>
              <w:jc w:val="both"/>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112"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112"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112" w:after="283"/>
              <w:jc w:val="both"/>
              <w:rPr/>
            </w:pPr>
            <w:r>
              <w:rPr/>
            </w:r>
          </w:p>
        </w:tc>
        <w:tc>
          <w:tcPr>
            <w:tcW w:w="38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35,599 </w:t>
            </w:r>
          </w:p>
        </w:tc>
        <w:tc>
          <w:tcPr>
            <w:tcW w:w="28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240" w:after="283"/>
        <w:ind w:left="0" w:right="0" w:hanging="353"/>
        <w:jc w:val="left"/>
        <w:rPr/>
      </w:pPr>
      <w:r>
        <w:rPr>
          <w:rFonts w:ascii="sans-serif" w:hAnsi="sans-serif"/>
          <w:b/>
          <w:color w:val="000000"/>
          <w:sz w:val="19"/>
        </w:rPr>
        <w:t>8.</w:t>
      </w:r>
      <w:r>
        <w:rPr>
          <w:rFonts w:ascii="Times New Roman;serif" w:hAnsi="Times New Roman;serif"/>
          <w:b/>
          <w:color w:val="000000"/>
          <w:sz w:val="20"/>
        </w:rPr>
        <w:t>WARRANTY AND RETURN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warranties relates mainly to products sold by the business during the twelve months ended June 30, 2026 and December 31, 2025. Warranty reserves are estimated based on historical warranty claim rates, cost of repair or replacement, and product failure trends. The Business expects the warranty obligations to be assumed by SiTime and settle as part of normal course operations over the course next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Return allowances are recognized as obligations under expected future inventory returns. Return allowance recorded in the Interim Combined Financial Statements using the Business specific distributor sales and historical return data specific to the Business’s products.</w:t>
      </w:r>
    </w:p>
    <w:p>
      <w:pPr>
        <w:pStyle w:val="TextBody"/>
        <w:bidi w:val="0"/>
        <w:spacing w:lineRule="auto" w:line="288" w:before="240" w:after="283"/>
        <w:ind w:left="0" w:right="0" w:hanging="353"/>
        <w:jc w:val="left"/>
        <w:rPr/>
      </w:pPr>
      <w:r>
        <w:rPr>
          <w:rFonts w:ascii="sans-serif" w:hAnsi="sans-serif"/>
          <w:b/>
          <w:color w:val="000000"/>
          <w:sz w:val="19"/>
        </w:rPr>
        <w:t>9.</w:t>
      </w:r>
      <w:r>
        <w:rPr>
          <w:rFonts w:ascii="Times New Roman;serif" w:hAnsi="Times New Roman;serif"/>
          <w:b/>
          <w:color w:val="000000"/>
          <w:sz w:val="20"/>
        </w:rPr>
        <w:t>PRODUCT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Business generates revenue primarily from the sale of timing products, including crystal oscillators, clock buffers, clock generators and jitter attenuators. Revenue from contracts with customers is disaggregated by primary geographical market, and timing of revenue recognition for the three and six months ended June 30, 2026 and 2025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25" w:after="283"/>
        <w:jc w:val="left"/>
        <w:rPr>
          <w:rFonts w:ascii="Times New Roman;serif" w:hAnsi="Times New Roman;serif"/>
          <w:b/>
          <w:color w:val="000000"/>
          <w:sz w:val="20"/>
        </w:rPr>
      </w:pPr>
      <w:r>
        <w:rPr>
          <w:rFonts w:ascii="Times New Roman;serif" w:hAnsi="Times New Roman;serif"/>
          <w:b/>
          <w:color w:val="000000"/>
          <w:sz w:val="20"/>
        </w:rPr>
        <w:t>Primary geographical markets:</w:t>
      </w:r>
    </w:p>
    <w:p>
      <w:pPr>
        <w:pStyle w:val="TextBody"/>
        <w:bidi w:val="0"/>
        <w:spacing w:before="60" w:after="283"/>
        <w:jc w:val="left"/>
        <w:rPr/>
      </w:pPr>
      <w:r>
        <w:rPr/>
      </w:r>
    </w:p>
    <w:p>
      <w:pPr>
        <w:pStyle w:val="TextBody"/>
        <w:bidi w:val="0"/>
        <w:spacing w:lineRule="auto" w:line="288" w:before="1" w:after="283"/>
        <w:jc w:val="left"/>
        <w:rPr/>
      </w:pPr>
      <w:r>
        <w:rPr>
          <w:color w:val="000000"/>
          <w:u w:val="single"/>
        </w:rPr>
        <w:t>    </w:t>
      </w:r>
      <w:r>
        <w:rPr>
          <w:rFonts w:ascii="Times New Roman;serif" w:hAnsi="Times New Roman;serif"/>
          <w:b/>
          <w:color w:val="000000"/>
          <w:sz w:val="20"/>
          <w:u w:val="single"/>
        </w:rPr>
        <w:t xml:space="preserve">Three Months Ended June 30, </w:t>
      </w:r>
      <w:r>
        <w:rPr>
          <w:color w:val="000000"/>
        </w:rPr>
        <w:t>    </w:t>
      </w:r>
      <w:r>
        <w:rPr>
          <w:color w:val="000000"/>
          <w:u w:val="single"/>
        </w:rPr>
        <w:t>    </w:t>
      </w:r>
      <w:r>
        <w:rPr>
          <w:rFonts w:ascii="Times New Roman;serif" w:hAnsi="Times New Roman;serif"/>
          <w:b/>
          <w:color w:val="000000"/>
          <w:sz w:val="20"/>
          <w:u w:val="single"/>
        </w:rPr>
        <w:t xml:space="preserve">Six Months Ended June 30, </w:t>
      </w:r>
    </w:p>
    <w:p>
      <w:pPr>
        <w:pStyle w:val="TextBody"/>
        <w:bidi w:val="0"/>
        <w:spacing w:lineRule="auto" w:line="288" w:before="70" w:after="19"/>
        <w:jc w:val="left"/>
        <w:rPr/>
      </w:pPr>
      <w:r>
        <w:rPr>
          <w:color w:val="000000"/>
          <w:u w:val="single"/>
        </w:rPr>
        <w:t>    </w:t>
      </w:r>
      <w:r>
        <w:rPr>
          <w:rFonts w:ascii="Times New Roman;serif" w:hAnsi="Times New Roman;serif"/>
          <w:b/>
          <w:color w:val="000000"/>
          <w:sz w:val="20"/>
          <w:u w:val="single"/>
        </w:rPr>
        <w:t xml:space="preserve">2026    2025 </w:t>
      </w:r>
      <w:r>
        <w:rPr>
          <w:color w:val="000000"/>
        </w:rPr>
        <w:t>    </w:t>
      </w:r>
      <w:r>
        <w:rPr>
          <w:color w:val="000000"/>
          <w:u w:val="single"/>
        </w:rPr>
        <w:t>    </w:t>
      </w:r>
      <w:r>
        <w:rPr>
          <w:rFonts w:ascii="Times New Roman;serif" w:hAnsi="Times New Roman;serif"/>
          <w:b/>
          <w:color w:val="000000"/>
          <w:sz w:val="20"/>
          <w:u w:val="single"/>
        </w:rPr>
        <w:t xml:space="preserve">2026    2025 </w:t>
      </w:r>
    </w:p>
    <w:tbl>
      <w:tblPr>
        <w:tblW w:w="7464" w:type="dxa"/>
        <w:jc w:val="left"/>
        <w:tblInd w:w="0" w:type="dxa"/>
        <w:tblLayout w:type="fixed"/>
        <w:tblCellMar>
          <w:top w:w="28" w:type="dxa"/>
          <w:left w:w="28" w:type="dxa"/>
          <w:bottom w:w="28" w:type="dxa"/>
          <w:right w:w="28" w:type="dxa"/>
        </w:tblCellMar>
      </w:tblPr>
      <w:tblGrid>
        <w:gridCol w:w="900"/>
        <w:gridCol w:w="789"/>
        <w:gridCol w:w="800"/>
        <w:gridCol w:w="320"/>
        <w:gridCol w:w="320"/>
        <w:gridCol w:w="321"/>
        <w:gridCol w:w="109"/>
        <w:gridCol w:w="109"/>
        <w:gridCol w:w="109"/>
        <w:gridCol w:w="320"/>
        <w:gridCol w:w="320"/>
        <w:gridCol w:w="321"/>
        <w:gridCol w:w="109"/>
        <w:gridCol w:w="109"/>
        <w:gridCol w:w="109"/>
        <w:gridCol w:w="354"/>
        <w:gridCol w:w="354"/>
        <w:gridCol w:w="358"/>
        <w:gridCol w:w="109"/>
        <w:gridCol w:w="109"/>
        <w:gridCol w:w="109"/>
        <w:gridCol w:w="294"/>
        <w:gridCol w:w="294"/>
        <w:gridCol w:w="418"/>
      </w:tblGrid>
      <w:tr>
        <w:trPr/>
        <w:tc>
          <w:tcPr>
            <w:tcW w:w="90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961"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40,419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24,198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75,224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45,141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14,841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26,262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21,987</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14,010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4,982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24,787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9,852</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113" w:after="283"/>
              <w:jc w:val="left"/>
              <w:rPr>
                <w:rFonts w:ascii="Times New Roman;serif" w:hAnsi="Times New Roman;serif"/>
                <w:b w:val="false"/>
                <w:color w:val="000000"/>
                <w:sz w:val="20"/>
              </w:rPr>
            </w:pPr>
            <w:r>
              <w:rPr>
                <w:rFonts w:ascii="Times New Roman;serif" w:hAnsi="Times New Roman;serif"/>
                <w:b w:val="false"/>
                <w:color w:val="000000"/>
                <w:sz w:val="20"/>
              </w:rPr>
              <w:t>The United States of America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16,425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9,531</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5,372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7,001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10,340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10,828</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83,732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50,323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153,038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97,339</w:t>
            </w:r>
          </w:p>
        </w:tc>
      </w:tr>
    </w:tbl>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countries with revenue individually greater than 10% presented in the ‘Others’ revenue in the table</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Timing of revenue recognition:</w:t>
      </w:r>
    </w:p>
    <w:p>
      <w:pPr>
        <w:pStyle w:val="TextBody"/>
        <w:bidi w:val="0"/>
        <w:spacing w:before="30" w:after="283"/>
        <w:jc w:val="left"/>
        <w:rPr/>
      </w:pPr>
      <w:r>
        <w:rPr/>
      </w:r>
    </w:p>
    <w:p>
      <w:pPr>
        <w:pStyle w:val="TextBody"/>
        <w:bidi w:val="0"/>
        <w:spacing w:lineRule="auto" w:line="288" w:before="0" w:after="34"/>
        <w:jc w:val="left"/>
        <w:rPr/>
      </w:pPr>
      <w:r>
        <w:rPr>
          <w:color w:val="000000"/>
          <w:u w:val="single"/>
        </w:rPr>
        <w:t>    </w:t>
      </w:r>
      <w:r>
        <w:rPr>
          <w:rFonts w:ascii="Times New Roman;serif" w:hAnsi="Times New Roman;serif"/>
          <w:b/>
          <w:color w:val="000000"/>
          <w:sz w:val="20"/>
          <w:u w:val="single"/>
        </w:rPr>
        <w:t xml:space="preserve">Three Months Ended June 30, </w:t>
      </w:r>
      <w:r>
        <w:rPr>
          <w:color w:val="000000"/>
        </w:rPr>
        <w:t>    </w:t>
      </w:r>
      <w:r>
        <w:rPr>
          <w:color w:val="000000"/>
          <w:u w:val="single"/>
        </w:rPr>
        <w:t>    </w:t>
      </w:r>
      <w:r>
        <w:rPr>
          <w:rFonts w:ascii="Times New Roman;serif" w:hAnsi="Times New Roman;serif"/>
          <w:b/>
          <w:color w:val="000000"/>
          <w:sz w:val="20"/>
          <w:u w:val="single"/>
        </w:rPr>
        <w:t xml:space="preserve">Six Months Ended June 30, </w:t>
      </w:r>
    </w:p>
    <w:tbl>
      <w:tblPr>
        <w:tblW w:w="6616" w:type="dxa"/>
        <w:jc w:val="left"/>
        <w:tblInd w:w="0" w:type="dxa"/>
        <w:tblLayout w:type="fixed"/>
        <w:tblCellMar>
          <w:top w:w="28" w:type="dxa"/>
          <w:left w:w="28" w:type="dxa"/>
          <w:bottom w:w="28" w:type="dxa"/>
          <w:right w:w="28" w:type="dxa"/>
        </w:tblCellMar>
      </w:tblPr>
      <w:tblGrid>
        <w:gridCol w:w="1090"/>
        <w:gridCol w:w="961"/>
        <w:gridCol w:w="964"/>
        <w:gridCol w:w="259"/>
        <w:gridCol w:w="259"/>
        <w:gridCol w:w="263"/>
        <w:gridCol w:w="259"/>
        <w:gridCol w:w="259"/>
        <w:gridCol w:w="263"/>
        <w:gridCol w:w="109"/>
        <w:gridCol w:w="109"/>
        <w:gridCol w:w="109"/>
        <w:gridCol w:w="294"/>
        <w:gridCol w:w="294"/>
        <w:gridCol w:w="298"/>
        <w:gridCol w:w="241"/>
        <w:gridCol w:w="241"/>
        <w:gridCol w:w="34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tLeast" w:line="217" w:before="0" w:after="0"/>
              <w:jc w:val="left"/>
              <w:rPr>
                <w:rFonts w:ascii="Times New Roman;serif" w:hAnsi="Times New Roman;serif"/>
                <w:b/>
                <w:color w:val="000000"/>
                <w:sz w:val="20"/>
              </w:rPr>
            </w:pPr>
            <w:r>
              <w:rPr>
                <w:rFonts w:ascii="Times New Roman;serif" w:hAnsi="Times New Roman;serif"/>
                <w:b/>
                <w:color w:val="000000"/>
                <w:sz w:val="20"/>
              </w:rPr>
              <w:t>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tLeast" w:line="217" w:before="0" w:after="0"/>
              <w:jc w:val="right"/>
              <w:rPr>
                <w:rFonts w:ascii="Times New Roman;serif" w:hAnsi="Times New Roman;serif"/>
                <w:b/>
                <w:color w:val="000000"/>
                <w:sz w:val="20"/>
              </w:rPr>
            </w:pPr>
            <w:r>
              <w:rPr>
                <w:rFonts w:ascii="Times New Roman;serif" w:hAnsi="Times New Roman;serif"/>
                <w:b/>
                <w:color w:val="000000"/>
                <w:sz w:val="20"/>
              </w:rPr>
              <w:t>2026</w:t>
            </w:r>
          </w:p>
        </w:tc>
        <w:tc>
          <w:tcPr>
            <w:tcW w:w="826" w:type="dxa"/>
            <w:gridSpan w:val="3"/>
            <w:tcBorders/>
            <w:tcMar>
              <w:top w:w="0" w:type="dxa"/>
              <w:left w:w="0" w:type="dxa"/>
              <w:bottom w:w="0" w:type="dxa"/>
              <w:right w:w="0" w:type="dxa"/>
            </w:tcMar>
            <w:vAlign w:val="center"/>
          </w:tcPr>
          <w:p>
            <w:pPr>
              <w:pStyle w:val="TableContents"/>
              <w:bidi w:val="0"/>
              <w:spacing w:lineRule="atLeast" w:line="217" w:before="0" w:after="0"/>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Products transferred at point in time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$83,732</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$153,038</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$97,339</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5"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$83,732</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$153,038</w:t>
            </w:r>
          </w:p>
        </w:tc>
        <w:tc>
          <w:tcPr>
            <w:tcW w:w="8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$97,339</w:t>
            </w:r>
          </w:p>
        </w:tc>
      </w:tr>
    </w:tbl>
    <w:p>
      <w:pPr>
        <w:pStyle w:val="TextBody"/>
        <w:bidi w:val="0"/>
        <w:spacing w:before="6"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Business primarily sells its products through third-party distributors. Three distributors directly accounted for 10% or more of the Business’s revenue for the three and six months ended June 30, 2026, and 2025. No other distributors or customers accounted for 10% or more of the Business’s consolidated revenue for the three and six months ended June 30, 2026, and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these distributors’ percentage of revenue for the respective periods</w:t>
      </w:r>
    </w:p>
    <w:p>
      <w:pPr>
        <w:pStyle w:val="TextBody"/>
        <w:bidi w:val="0"/>
        <w:spacing w:before="30" w:after="283"/>
        <w:jc w:val="left"/>
        <w:rPr/>
      </w:pPr>
      <w:r>
        <w:rPr/>
      </w:r>
    </w:p>
    <w:p>
      <w:pPr>
        <w:pStyle w:val="TextBody"/>
        <w:bidi w:val="0"/>
        <w:spacing w:lineRule="auto" w:line="288" w:before="0" w:after="34"/>
        <w:jc w:val="both"/>
        <w:rPr/>
      </w:pPr>
      <w:r>
        <w:rPr>
          <w:color w:val="000000"/>
          <w:u w:val="single"/>
        </w:rPr>
        <w:t>    </w:t>
      </w:r>
      <w:r>
        <w:rPr>
          <w:rFonts w:ascii="Times New Roman;serif" w:hAnsi="Times New Roman;serif"/>
          <w:b/>
          <w:color w:val="000000"/>
          <w:sz w:val="20"/>
          <w:u w:val="single"/>
        </w:rPr>
        <w:t xml:space="preserve">Three Months Ended June 30, Six Months Ended June 30, </w:t>
      </w:r>
    </w:p>
    <w:tbl>
      <w:tblPr>
        <w:tblW w:w="5437" w:type="dxa"/>
        <w:jc w:val="left"/>
        <w:tblInd w:w="0" w:type="dxa"/>
        <w:tblLayout w:type="fixed"/>
        <w:tblCellMar>
          <w:top w:w="28" w:type="dxa"/>
          <w:left w:w="28" w:type="dxa"/>
          <w:bottom w:w="28" w:type="dxa"/>
          <w:right w:w="28" w:type="dxa"/>
        </w:tblCellMar>
      </w:tblPr>
      <w:tblGrid>
        <w:gridCol w:w="922"/>
        <w:gridCol w:w="810"/>
        <w:gridCol w:w="817"/>
        <w:gridCol w:w="209"/>
        <w:gridCol w:w="209"/>
        <w:gridCol w:w="211"/>
        <w:gridCol w:w="209"/>
        <w:gridCol w:w="209"/>
        <w:gridCol w:w="211"/>
        <w:gridCol w:w="109"/>
        <w:gridCol w:w="109"/>
        <w:gridCol w:w="109"/>
        <w:gridCol w:w="209"/>
        <w:gridCol w:w="209"/>
        <w:gridCol w:w="211"/>
        <w:gridCol w:w="197"/>
        <w:gridCol w:w="197"/>
        <w:gridCol w:w="280"/>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tLeast" w:line="217" w:before="0" w:after="0"/>
              <w:jc w:val="left"/>
              <w:rPr>
                <w:rFonts w:ascii="Times New Roman;serif" w:hAnsi="Times New Roman;serif"/>
                <w:b/>
                <w:color w:val="000000"/>
                <w:sz w:val="20"/>
              </w:rPr>
            </w:pPr>
            <w:r>
              <w:rPr>
                <w:rFonts w:ascii="Times New Roman;serif" w:hAnsi="Times New Roman;serif"/>
                <w:b/>
                <w:color w:val="000000"/>
                <w:sz w:val="20"/>
              </w:rPr>
              <w:t>2026</w:t>
            </w:r>
          </w:p>
        </w:tc>
        <w:tc>
          <w:tcPr>
            <w:tcW w:w="629" w:type="dxa"/>
            <w:gridSpan w:val="3"/>
            <w:tcBorders/>
            <w:tcMar>
              <w:top w:w="0" w:type="dxa"/>
              <w:left w:w="0" w:type="dxa"/>
              <w:bottom w:w="0" w:type="dxa"/>
              <w:right w:w="0" w:type="dxa"/>
            </w:tcMar>
            <w:vAlign w:val="center"/>
          </w:tcPr>
          <w:p>
            <w:pPr>
              <w:pStyle w:val="TableContents"/>
              <w:bidi w:val="0"/>
              <w:spacing w:lineRule="atLeast" w:line="217" w:before="0" w:after="0"/>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tLeast" w:line="217" w:before="0" w:after="0"/>
              <w:jc w:val="left"/>
              <w:rPr>
                <w:rFonts w:ascii="Times New Roman;serif" w:hAnsi="Times New Roman;serif"/>
                <w:b/>
                <w:color w:val="000000"/>
                <w:sz w:val="20"/>
              </w:rPr>
            </w:pPr>
            <w:r>
              <w:rPr>
                <w:rFonts w:ascii="Times New Roman;serif" w:hAnsi="Times New Roman;serif"/>
                <w:b/>
                <w:color w:val="000000"/>
                <w:sz w:val="20"/>
              </w:rPr>
              <w:t>2026</w:t>
            </w:r>
          </w:p>
        </w:tc>
        <w:tc>
          <w:tcPr>
            <w:tcW w:w="674" w:type="dxa"/>
            <w:gridSpan w:val="3"/>
            <w:tcBorders/>
            <w:tcMar>
              <w:top w:w="0" w:type="dxa"/>
              <w:left w:w="0" w:type="dxa"/>
              <w:bottom w:w="0" w:type="dxa"/>
              <w:right w:w="0" w:type="dxa"/>
            </w:tcMar>
            <w:vAlign w:val="center"/>
          </w:tcPr>
          <w:p>
            <w:pPr>
              <w:pStyle w:val="TableContents"/>
              <w:bidi w:val="0"/>
              <w:spacing w:lineRule="atLeast" w:line="217" w:before="0" w:after="0"/>
              <w:jc w:val="left"/>
              <w:rPr>
                <w:rFonts w:ascii="Times New Roman;serif" w:hAnsi="Times New Roman;serif"/>
                <w:b/>
                <w:color w:val="000000"/>
                <w:sz w:val="20"/>
              </w:rPr>
            </w:pPr>
            <w:r>
              <w:rPr>
                <w:rFonts w:ascii="Times New Roman;serif" w:hAnsi="Times New Roman;serif"/>
                <w:b/>
                <w:color w:val="000000"/>
                <w:sz w:val="20"/>
              </w:rPr>
              <w:t>2025</w:t>
            </w:r>
          </w:p>
        </w:tc>
      </w:tr>
      <w:tr>
        <w:trPr/>
        <w:tc>
          <w:tcPr>
            <w:tcW w:w="25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tLeast" w:line="229" w:before="14" w:after="283"/>
              <w:jc w:val="left"/>
              <w:rPr>
                <w:rFonts w:ascii="Times New Roman;serif" w:hAnsi="Times New Roman;serif"/>
                <w:b/>
                <w:color w:val="000000"/>
                <w:sz w:val="20"/>
              </w:rPr>
            </w:pPr>
            <w:r>
              <w:rPr>
                <w:rFonts w:ascii="Times New Roman;serif" w:hAnsi="Times New Roman;serif"/>
                <w:b/>
                <w:color w:val="000000"/>
                <w:sz w:val="20"/>
              </w:rPr>
              <w:t>Distributors</w:t>
            </w:r>
          </w:p>
        </w:tc>
        <w:tc>
          <w:tcPr>
            <w:tcW w:w="6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tLeast" w:line="222" w:before="27" w:after="283"/>
              <w:jc w:val="left"/>
              <w:rPr>
                <w:rFonts w:ascii="Times New Roman;serif" w:hAnsi="Times New Roman;serif"/>
                <w:b w:val="false"/>
                <w:color w:val="000000"/>
                <w:sz w:val="20"/>
              </w:rPr>
            </w:pPr>
            <w:r>
              <w:rPr>
                <w:rFonts w:ascii="Times New Roman;serif" w:hAnsi="Times New Roman;serif"/>
                <w:b w:val="false"/>
                <w:color w:val="000000"/>
                <w:sz w:val="20"/>
              </w:rPr>
              <w:t>WT Microelectronics Co., Ltd</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51.6%</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50.9%</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tLeast" w:line="222" w:before="17" w:after="283"/>
              <w:jc w:val="left"/>
              <w:rPr>
                <w:rFonts w:ascii="Times New Roman;serif" w:hAnsi="Times New Roman;serif"/>
                <w:b w:val="false"/>
                <w:color w:val="000000"/>
                <w:sz w:val="20"/>
              </w:rPr>
            </w:pPr>
            <w:r>
              <w:rPr>
                <w:rFonts w:ascii="Times New Roman;serif" w:hAnsi="Times New Roman;serif"/>
                <w:b w:val="false"/>
                <w:color w:val="000000"/>
                <w:sz w:val="20"/>
              </w:rPr>
              <w:t>Macnica, Inc., Ltd.</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18.1%</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3"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3"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tLeast" w:line="210" w:before="17" w:after="283"/>
              <w:jc w:val="left"/>
              <w:rPr>
                <w:rFonts w:ascii="Times New Roman;serif" w:hAnsi="Times New Roman;serif"/>
                <w:b w:val="false"/>
                <w:color w:val="000000"/>
                <w:sz w:val="20"/>
              </w:rPr>
            </w:pPr>
            <w:r>
              <w:rPr>
                <w:rFonts w:ascii="Times New Roman;serif" w:hAnsi="Times New Roman;serif"/>
                <w:b w:val="false"/>
                <w:color w:val="000000"/>
                <w:sz w:val="20"/>
              </w:rPr>
              <w:t>Avnet, Inc.</w:t>
            </w:r>
          </w:p>
        </w:tc>
        <w:tc>
          <w:tcPr>
            <w:tcW w:w="629" w:type="dxa"/>
            <w:gridSpan w:val="3"/>
            <w:tcBorders/>
            <w:shd w:fill="FFFFFF" w:val="clear"/>
            <w:tcMar>
              <w:top w:w="0" w:type="dxa"/>
              <w:left w:w="0" w:type="dxa"/>
              <w:bottom w:w="0" w:type="dxa"/>
              <w:right w:w="0" w:type="dxa"/>
            </w:tcMar>
            <w:vAlign w:val="center"/>
          </w:tcPr>
          <w:p>
            <w:pPr>
              <w:pStyle w:val="TableContents"/>
              <w:bidi w:val="0"/>
              <w:spacing w:lineRule="atLeast" w:line="224" w:before="3" w:after="283"/>
              <w:jc w:val="left"/>
              <w:rPr>
                <w:rFonts w:ascii="Times New Roman;serif" w:hAnsi="Times New Roman;serif"/>
                <w:b w:val="false"/>
                <w:color w:val="000000"/>
                <w:sz w:val="20"/>
              </w:rPr>
            </w:pPr>
            <w:r>
              <w:rPr>
                <w:rFonts w:ascii="Times New Roman;serif" w:hAnsi="Times New Roman;serif"/>
                <w:b w:val="false"/>
                <w:color w:val="000000"/>
                <w:sz w:val="20"/>
              </w:rPr>
              <w:t>13.2%</w:t>
            </w:r>
          </w:p>
        </w:tc>
        <w:tc>
          <w:tcPr>
            <w:tcW w:w="629" w:type="dxa"/>
            <w:gridSpan w:val="3"/>
            <w:tcBorders/>
            <w:shd w:fill="FFFFFF" w:val="clear"/>
            <w:tcMar>
              <w:top w:w="0" w:type="dxa"/>
              <w:left w:w="0" w:type="dxa"/>
              <w:bottom w:w="0" w:type="dxa"/>
              <w:right w:w="0" w:type="dxa"/>
            </w:tcMar>
            <w:vAlign w:val="center"/>
          </w:tcPr>
          <w:p>
            <w:pPr>
              <w:pStyle w:val="TableContents"/>
              <w:bidi w:val="0"/>
              <w:spacing w:lineRule="atLeast" w:line="224" w:before="3"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tLeast" w:line="224" w:before="3" w:after="283"/>
              <w:jc w:val="left"/>
              <w:rPr>
                <w:rFonts w:ascii="Times New Roman;serif" w:hAnsi="Times New Roman;serif"/>
                <w:b w:val="false"/>
                <w:color w:val="000000"/>
                <w:sz w:val="20"/>
              </w:rPr>
            </w:pPr>
            <w:r>
              <w:rPr>
                <w:rFonts w:ascii="Times New Roman;serif" w:hAnsi="Times New Roman;serif"/>
                <w:b w:val="false"/>
                <w:color w:val="000000"/>
                <w:sz w:val="20"/>
              </w:rPr>
              <w:t>12.4%</w:t>
            </w:r>
          </w:p>
        </w:tc>
        <w:tc>
          <w:tcPr>
            <w:tcW w:w="674" w:type="dxa"/>
            <w:gridSpan w:val="3"/>
            <w:tcBorders/>
            <w:shd w:fill="FFFFFF" w:val="clear"/>
            <w:tcMar>
              <w:top w:w="0" w:type="dxa"/>
              <w:left w:w="0" w:type="dxa"/>
              <w:bottom w:w="0" w:type="dxa"/>
              <w:right w:w="0" w:type="dxa"/>
            </w:tcMar>
            <w:vAlign w:val="center"/>
          </w:tcPr>
          <w:p>
            <w:pPr>
              <w:pStyle w:val="TableContents"/>
              <w:bidi w:val="0"/>
              <w:spacing w:lineRule="atLeast" w:line="224" w:before="3"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r>
    </w:tbl>
    <w:p>
      <w:pPr>
        <w:pStyle w:val="TextBody"/>
        <w:bidi w:val="0"/>
        <w:spacing w:lineRule="auto" w:line="288" w:before="240" w:after="283"/>
        <w:ind w:left="0" w:right="0" w:hanging="350"/>
        <w:jc w:val="left"/>
        <w:rPr/>
      </w:pPr>
      <w:r>
        <w:rPr>
          <w:rFonts w:ascii="sans-serif" w:hAnsi="sans-serif"/>
          <w:b/>
          <w:color w:val="000000"/>
          <w:sz w:val="19"/>
        </w:rPr>
        <w:t>10.</w:t>
      </w:r>
      <w:r>
        <w:rPr>
          <w:rFonts w:ascii="Times New Roman;serif" w:hAnsi="Times New Roman;serif"/>
          <w:b/>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expenses include outsourcing costs, personnel expenses, depreciation, material costs relating to the discovery and development of new products and enhancement of existing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Personnel related expenses and other costs incurred by research and development functions directly attributable to the Timing Product Business are specifically identifiable and totaled $7,877 and $6,789 in the three months ended June 30, 2026 and 2025 and totaled $15,227 and $13,128 in the six months ended June 30, 2026 and 2025 respectively. Such other costs specifically identified to the Business include costs to maintain and repair assets used in research and development activities, tools and material costs such as costs for engineering and testing wafers, packaging and assembly consumables, as well as prototype costs. Research and development costs allocated to the Timing Product Business primarily represent shared costs associated with the licensing, implementation, and ongoing technology support for the design automation system. Research and development costs allocated from Renesas are $565 and $1,008 in the three months ended June 30, 2026 and 2025 and are $1,332 and $1,943 in the six months ended June 30, 2026 and 2025.</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350"/>
        <w:jc w:val="left"/>
        <w:rPr/>
      </w:pPr>
      <w:r>
        <w:rPr>
          <w:rFonts w:ascii="sans-serif" w:hAnsi="sans-serif"/>
          <w:b/>
          <w:color w:val="000000"/>
          <w:sz w:val="19"/>
        </w:rPr>
        <w:t>11.</w:t>
      </w:r>
      <w:r>
        <w:rPr>
          <w:rFonts w:ascii="Times New Roman;serif" w:hAnsi="Times New Roman;serif"/>
          <w:b/>
          <w:color w:val="000000"/>
          <w:sz w:val="20"/>
        </w:rPr>
        <w:t>SELLING, GENERAL AND ADMINISTRATIVE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represent personnel expenses, depreciation, and other division expenses that are directly attributable to the Timing Product Business. Costs for dedicated selling and marketing employees, rent and leases expenses for peripheral hardware and software equipment, depreciation expenses associated with Business specific fixed assets, and other operating expense incurred by sales and marketing functions dedicated to the Business are specifically identified to the Business and totaled $911 and $576 in the three months ended June 30, 2026 and 2025 and totaled $1,534 and $1,125 for the six months ended June 30, 2026 and 2025 respectively. Costs associated with comingled facilities shared by the Business and other Renesas businesses, and field application engineers within the global sales organization that directly support the Timing Product Business are allocated to the Business based on employee headcount, and totaled $999 and $947 in the three months ended June 30, 2026 and 2025 and totaled $2,045 and $1,847 in the six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selling, general and administrative expenses for the three and six months ended June 30, 2026 and 2025 are as follows.</w:t>
      </w:r>
    </w:p>
    <w:p>
      <w:pPr>
        <w:pStyle w:val="TextBody"/>
        <w:bidi w:val="0"/>
        <w:spacing w:before="68" w:after="283"/>
        <w:jc w:val="left"/>
        <w:rPr/>
      </w:pPr>
      <w:r>
        <w:rPr/>
      </w:r>
    </w:p>
    <w:p>
      <w:pPr>
        <w:pStyle w:val="TextBody"/>
        <w:bidi w:val="0"/>
        <w:spacing w:lineRule="auto" w:line="288" w:before="0" w:after="0"/>
        <w:jc w:val="both"/>
        <w:rPr/>
      </w:pPr>
      <w:r>
        <w:rPr>
          <w:color w:val="000000"/>
          <w:u w:val="single"/>
        </w:rPr>
        <w:t>    </w:t>
      </w:r>
      <w:r>
        <w:rPr>
          <w:rFonts w:ascii="Times New Roman;serif" w:hAnsi="Times New Roman;serif"/>
          <w:b/>
          <w:color w:val="000000"/>
          <w:sz w:val="20"/>
          <w:u w:val="single"/>
        </w:rPr>
        <w:t xml:space="preserve">Three Months Ended June 30, Six Months Ended June 30, </w:t>
      </w:r>
    </w:p>
    <w:p>
      <w:pPr>
        <w:pStyle w:val="TextBody"/>
        <w:bidi w:val="0"/>
        <w:spacing w:lineRule="auto" w:line="288" w:before="42" w:after="19"/>
        <w:jc w:val="both"/>
        <w:rPr/>
      </w:pPr>
      <w:r>
        <w:rPr>
          <w:color w:val="000000"/>
          <w:u w:val="single"/>
        </w:rPr>
        <w:t>    </w:t>
      </w:r>
      <w:r>
        <w:rPr>
          <w:rFonts w:ascii="Times New Roman;serif" w:hAnsi="Times New Roman;serif"/>
          <w:b/>
          <w:color w:val="000000"/>
          <w:sz w:val="20"/>
          <w:u w:val="single"/>
        </w:rPr>
        <w:t xml:space="preserve">2026    2025 </w:t>
      </w:r>
      <w:r>
        <w:rPr>
          <w:color w:val="000000"/>
          <w:u w:val="single"/>
        </w:rPr>
        <w:t>    </w:t>
      </w:r>
      <w:r>
        <w:rPr>
          <w:rFonts w:ascii="Times New Roman;serif" w:hAnsi="Times New Roman;serif"/>
          <w:b/>
          <w:color w:val="000000"/>
          <w:sz w:val="20"/>
          <w:u w:val="single"/>
        </w:rPr>
        <w:t xml:space="preserve">2026    2025 </w:t>
      </w:r>
    </w:p>
    <w:tbl>
      <w:tblPr>
        <w:tblW w:w="6865" w:type="dxa"/>
        <w:jc w:val="left"/>
        <w:tblInd w:w="0" w:type="dxa"/>
        <w:tblLayout w:type="fixed"/>
        <w:tblCellMar>
          <w:top w:w="28" w:type="dxa"/>
          <w:left w:w="28" w:type="dxa"/>
          <w:bottom w:w="28" w:type="dxa"/>
          <w:right w:w="28" w:type="dxa"/>
        </w:tblCellMar>
      </w:tblPr>
      <w:tblGrid>
        <w:gridCol w:w="875"/>
        <w:gridCol w:w="767"/>
        <w:gridCol w:w="773"/>
        <w:gridCol w:w="285"/>
        <w:gridCol w:w="285"/>
        <w:gridCol w:w="286"/>
        <w:gridCol w:w="109"/>
        <w:gridCol w:w="109"/>
        <w:gridCol w:w="109"/>
        <w:gridCol w:w="285"/>
        <w:gridCol w:w="285"/>
        <w:gridCol w:w="286"/>
        <w:gridCol w:w="109"/>
        <w:gridCol w:w="109"/>
        <w:gridCol w:w="109"/>
        <w:gridCol w:w="285"/>
        <w:gridCol w:w="285"/>
        <w:gridCol w:w="286"/>
        <w:gridCol w:w="109"/>
        <w:gridCol w:w="109"/>
        <w:gridCol w:w="109"/>
        <w:gridCol w:w="264"/>
        <w:gridCol w:w="264"/>
        <w:gridCol w:w="373"/>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1,138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tLeast" w:line="221" w:before="0" w:after="0"/>
              <w:jc w:val="right"/>
              <w:rPr>
                <w:rFonts w:ascii="Times New Roman;serif" w:hAnsi="Times New Roman;serif"/>
                <w:b w:val="false"/>
                <w:color w:val="000000"/>
                <w:sz w:val="20"/>
              </w:rPr>
            </w:pPr>
            <w:r>
              <w:rPr>
                <w:rFonts w:ascii="Times New Roman;serif" w:hAnsi="Times New Roman;serif"/>
                <w:b w:val="false"/>
                <w:color w:val="000000"/>
                <w:sz w:val="20"/>
              </w:rPr>
              <w:t>$    2,214</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2"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2"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2"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52"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 expenses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w:t>
            </w:r>
          </w:p>
          <w:p>
            <w:pPr>
              <w:pStyle w:val="TableContents"/>
              <w:bidi w:val="0"/>
              <w:spacing w:lineRule="auto" w:line="288" w:before="116"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115" w:after="283"/>
              <w:jc w:val="left"/>
              <w:rPr/>
            </w:pPr>
            <w:r>
              <w:rPr/>
            </w:r>
          </w:p>
          <w:p>
            <w:pPr>
              <w:pStyle w:val="TableContents"/>
              <w:bidi w:val="0"/>
              <w:spacing w:lineRule="auto" w:line="288" w:before="1" w:after="283"/>
              <w:jc w:val="right"/>
              <w:rPr>
                <w:rFonts w:ascii="Times New Roman;serif" w:hAnsi="Times New Roman;serif"/>
                <w:b w:val="false"/>
                <w:color w:val="000000"/>
                <w:sz w:val="20"/>
              </w:rPr>
            </w:pPr>
            <w:r>
              <w:rPr>
                <w:rFonts w:ascii="Times New Roman;serif" w:hAnsi="Times New Roman;serif"/>
                <w:b w:val="false"/>
                <w:color w:val="000000"/>
                <w:sz w:val="20"/>
              </w:rPr>
              <w:t>$    1,910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115" w:after="283"/>
              <w:jc w:val="left"/>
              <w:rPr/>
            </w:pPr>
            <w:r>
              <w:rPr/>
            </w:r>
          </w:p>
          <w:p>
            <w:pPr>
              <w:pStyle w:val="TableContents"/>
              <w:bidi w:val="0"/>
              <w:spacing w:lineRule="auto" w:line="288" w:before="1" w:after="283"/>
              <w:jc w:val="right"/>
              <w:rPr>
                <w:rFonts w:ascii="Times New Roman;serif" w:hAnsi="Times New Roman;serif"/>
                <w:b w:val="false"/>
                <w:color w:val="000000"/>
                <w:sz w:val="20"/>
              </w:rPr>
            </w:pPr>
            <w:r>
              <w:rPr>
                <w:rFonts w:ascii="Times New Roman;serif" w:hAnsi="Times New Roman;serif"/>
                <w:b w:val="false"/>
                <w:color w:val="000000"/>
                <w:sz w:val="20"/>
              </w:rPr>
              <w:t>$    1,523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115" w:after="283"/>
              <w:jc w:val="left"/>
              <w:rPr/>
            </w:pPr>
            <w:r>
              <w:rPr/>
            </w:r>
          </w:p>
          <w:p>
            <w:pPr>
              <w:pStyle w:val="TableContents"/>
              <w:bidi w:val="0"/>
              <w:spacing w:lineRule="auto" w:line="288" w:before="1" w:after="283"/>
              <w:jc w:val="right"/>
              <w:rPr>
                <w:rFonts w:ascii="Times New Roman;serif" w:hAnsi="Times New Roman;serif"/>
                <w:b w:val="false"/>
                <w:color w:val="000000"/>
                <w:sz w:val="20"/>
              </w:rPr>
            </w:pPr>
            <w:r>
              <w:rPr>
                <w:rFonts w:ascii="Times New Roman;serif" w:hAnsi="Times New Roman;serif"/>
                <w:b w:val="false"/>
                <w:color w:val="000000"/>
                <w:sz w:val="20"/>
              </w:rPr>
              <w:t>$    3,579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115" w:after="283"/>
              <w:jc w:val="left"/>
              <w:rPr/>
            </w:pPr>
            <w:r>
              <w:rPr/>
            </w:r>
          </w:p>
          <w:p>
            <w:pPr>
              <w:pStyle w:val="TableContents"/>
              <w:bidi w:val="0"/>
              <w:spacing w:lineRule="auto" w:line="288" w:before="1" w:after="283"/>
              <w:jc w:val="right"/>
              <w:rPr>
                <w:rFonts w:ascii="Times New Roman;serif" w:hAnsi="Times New Roman;serif"/>
                <w:b w:val="false"/>
                <w:color w:val="000000"/>
                <w:sz w:val="20"/>
              </w:rPr>
            </w:pPr>
            <w:r>
              <w:rPr>
                <w:rFonts w:ascii="Times New Roman;serif" w:hAnsi="Times New Roman;serif"/>
                <w:b w:val="false"/>
                <w:color w:val="000000"/>
                <w:sz w:val="20"/>
              </w:rPr>
              <w:t>$    2,972</w:t>
            </w:r>
          </w:p>
        </w:tc>
      </w:tr>
    </w:tbl>
    <w:p>
      <w:pPr>
        <w:pStyle w:val="TextBody"/>
        <w:bidi w:val="0"/>
        <w:spacing w:lineRule="auto" w:line="288" w:before="240" w:after="283"/>
        <w:ind w:left="0" w:right="0" w:hanging="350"/>
        <w:jc w:val="left"/>
        <w:rPr/>
      </w:pPr>
      <w:r>
        <w:rPr>
          <w:rFonts w:ascii="sans-serif" w:hAnsi="sans-serif"/>
          <w:b/>
          <w:color w:val="000000"/>
          <w:sz w:val="19"/>
        </w:rPr>
        <w:t>12.</w:t>
      </w:r>
      <w:r>
        <w:rPr>
          <w:rFonts w:ascii="Times New Roman;serif" w:hAnsi="Times New Roman;serif"/>
          <w:b/>
          <w:color w:val="000000"/>
          <w:sz w:val="20"/>
        </w:rPr>
        <w:t>SHARE 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the Timing Product Business’s employees have historically participated in Renesas’s share-based compensation plan that grants equity awards including restricted stock units. Share based payment expenses included in the Interim Statements of Revenue and Direct Expenses totaled $1,071 and $1,219 in “Research and development expenses” and $15 and $14 in “Selling, general and administrative expenses” in the three months ended June 30, 2026 and 2025, respectively, and $1,920 and $2,233 in “Research and development expenses”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$29 and $29 in “Selling, general and administrative expenses” in the six months ended June 30, 2026 and 2025, respectively. All share based compensation plans are managed on a consolidated basis by Renesas. Share based expenses recognized by the Business were specifically identified based on employees of Timing Product Business participating in Renesas’ share based compensation plan. All unvested Renesas’s equity awards held by transferring employees are forfeited upon the closing of the Transaction.</w:t>
      </w:r>
    </w:p>
    <w:p>
      <w:pPr>
        <w:pStyle w:val="TextBody"/>
        <w:bidi w:val="0"/>
        <w:spacing w:lineRule="auto" w:line="288" w:before="240" w:after="283"/>
        <w:ind w:left="0" w:right="0" w:hanging="350"/>
        <w:jc w:val="left"/>
        <w:rPr>
          <w:rFonts w:ascii="Times New Roman;serif" w:hAnsi="Times New Roman;serif"/>
          <w:b/>
          <w:color w:val="000000"/>
          <w:sz w:val="20"/>
        </w:rPr>
      </w:pPr>
      <w:r>
        <w:rPr>
          <w:rFonts w:ascii="Times New Roman;serif" w:hAnsi="Times New Roman;serif"/>
          <w:b/>
          <w:color w:val="000000"/>
          <w:sz w:val="20"/>
        </w:rPr>
        <w:t>13.RELATIONSHIP WITH PARENT AND RELATED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the Timing Product Business has been managed and operated in the normal course of business with other subsidiaries, business, and affiliates of Renesas. Accordingly, certain shared costs have been allocated to the Business and are reflected as expenses in the Interim Statements of Revenue and Direct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Timing Product Business products are not sold to other Renesas entities for further resale or combination into external customer solutions. All revenue presented in the Interim Combined Financial Statements represents third-party revenue from external customers only.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products are assembled, tested and stored at an affiliated entity in Malaysia. The products are then shipped directly from Malaysia to external customers, with the related sales invoiced by entities in Malaysia and the United States. Such arrangements are reflected as revenue in these Interim Combined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both"/>
        <w:rPr/>
      </w:pPr>
      <w:r>
        <w:rPr/>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Intercompany arrangements between Renesas entities are conducted for internal operational and legal entity purposes only and do not represent third-party transactions. Accordingly, such intercompany activities are not reflected in the Interim Statements of Revenue and Direct expenses. The expenses presented in the Interim Combined Financial Statements include only costs that are directly attributable to the Timing Product Business and do not include intercompany charges.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Functional costs incurred by Renesas for services that were provided to or on behalf of the Timing Product Business were historically recorded at division or corporate level. These include costs associated with comingled facilities shared by the Business and other Renesas businesses, costs for field application engineers within the global sales organization that directly supports the Business, and costs associated with licensing, implementation, ongoing technology support for design automation system, which are all directly associated with operating the Business. The costs are allocated to the Business using consistent and reasonable methods such as net sales and headcount. Functional costs allocated and recorded in the Interim Statements of Revenue and Direct Expenses for the three and six months ended June 30, 2026, and 2025 are as follows:</w:t>
      </w:r>
    </w:p>
    <w:p>
      <w:pPr>
        <w:pStyle w:val="TextBody"/>
        <w:bidi w:val="0"/>
        <w:spacing w:before="120" w:after="283"/>
        <w:jc w:val="left"/>
        <w:rPr/>
      </w:pPr>
      <w:r>
        <w:rPr/>
      </w:r>
    </w:p>
    <w:p>
      <w:pPr>
        <w:pStyle w:val="TextBody"/>
        <w:bidi w:val="0"/>
        <w:spacing w:lineRule="auto" w:line="288" w:before="120" w:after="283"/>
        <w:jc w:val="right"/>
        <w:rPr/>
      </w:pPr>
      <w:r>
        <w:rPr>
          <w:color w:val="000000"/>
          <w:u w:val="single"/>
        </w:rPr>
        <w:t>    </w:t>
      </w:r>
      <w:r>
        <w:rPr>
          <w:rFonts w:ascii="Times New Roman;serif" w:hAnsi="Times New Roman;serif"/>
          <w:b/>
          <w:color w:val="000000"/>
          <w:sz w:val="20"/>
          <w:u w:val="single"/>
        </w:rPr>
        <w:t xml:space="preserve">Three Months Ended June 30, </w:t>
      </w:r>
      <w:r>
        <w:rPr>
          <w:color w:val="000000"/>
        </w:rPr>
        <w:t>    </w:t>
      </w:r>
      <w:r>
        <w:rPr>
          <w:color w:val="000000"/>
          <w:u w:val="single"/>
        </w:rPr>
        <w:t>    </w:t>
      </w:r>
      <w:r>
        <w:rPr>
          <w:rFonts w:ascii="Times New Roman;serif" w:hAnsi="Times New Roman;serif"/>
          <w:b/>
          <w:color w:val="000000"/>
          <w:sz w:val="20"/>
          <w:u w:val="single"/>
        </w:rPr>
        <w:t xml:space="preserve">Six Months Ended June 30, </w:t>
      </w:r>
    </w:p>
    <w:p>
      <w:pPr>
        <w:pStyle w:val="TextBody"/>
        <w:bidi w:val="0"/>
        <w:spacing w:lineRule="auto" w:line="288" w:before="42" w:after="5"/>
        <w:jc w:val="right"/>
        <w:rPr/>
      </w:pPr>
      <w:r>
        <w:rPr>
          <w:rFonts w:ascii="Times New Roman;serif" w:hAnsi="Times New Roman;serif"/>
          <w:b/>
          <w:color w:val="000000"/>
          <w:sz w:val="20"/>
        </w:rPr>
        <w:t>2026    2025    </w:t>
      </w:r>
      <w:r>
        <w:rPr>
          <w:color w:val="000000"/>
          <w:u w:val="single"/>
        </w:rPr>
        <w:t>    </w:t>
      </w:r>
      <w:r>
        <w:rPr>
          <w:rFonts w:ascii="Times New Roman;serif" w:hAnsi="Times New Roman;serif"/>
          <w:b/>
          <w:color w:val="000000"/>
          <w:sz w:val="20"/>
          <w:u w:val="single"/>
        </w:rPr>
        <w:t xml:space="preserve">2026    2025 </w:t>
      </w:r>
    </w:p>
    <w:tbl>
      <w:tblPr>
        <w:tblW w:w="7404" w:type="dxa"/>
        <w:jc w:val="left"/>
        <w:tblInd w:w="0" w:type="dxa"/>
        <w:tblLayout w:type="fixed"/>
        <w:tblCellMar>
          <w:top w:w="28" w:type="dxa"/>
          <w:left w:w="28" w:type="dxa"/>
          <w:bottom w:w="28" w:type="dxa"/>
          <w:right w:w="28" w:type="dxa"/>
        </w:tblCellMar>
      </w:tblPr>
      <w:tblGrid>
        <w:gridCol w:w="1071"/>
        <w:gridCol w:w="939"/>
        <w:gridCol w:w="944"/>
        <w:gridCol w:w="284"/>
        <w:gridCol w:w="284"/>
        <w:gridCol w:w="288"/>
        <w:gridCol w:w="109"/>
        <w:gridCol w:w="109"/>
        <w:gridCol w:w="109"/>
        <w:gridCol w:w="285"/>
        <w:gridCol w:w="285"/>
        <w:gridCol w:w="286"/>
        <w:gridCol w:w="109"/>
        <w:gridCol w:w="109"/>
        <w:gridCol w:w="109"/>
        <w:gridCol w:w="285"/>
        <w:gridCol w:w="285"/>
        <w:gridCol w:w="286"/>
        <w:gridCol w:w="109"/>
        <w:gridCol w:w="109"/>
        <w:gridCol w:w="109"/>
        <w:gridCol w:w="264"/>
        <w:gridCol w:w="264"/>
        <w:gridCol w:w="373"/>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565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1,943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3,790</w:t>
            </w:r>
          </w:p>
        </w:tc>
      </w:tr>
    </w:tbl>
    <w:p>
      <w:pPr>
        <w:pStyle w:val="TextBody"/>
        <w:bidi w:val="0"/>
        <w:spacing w:lineRule="auto" w:line="288" w:before="240" w:after="283"/>
        <w:ind w:left="0" w:right="0" w:hanging="350"/>
        <w:jc w:val="left"/>
        <w:rPr/>
      </w:pPr>
      <w:r>
        <w:rPr>
          <w:rFonts w:ascii="sans-serif" w:hAnsi="sans-serif"/>
          <w:b/>
          <w:color w:val="000000"/>
          <w:sz w:val="19"/>
        </w:rPr>
        <w:t>14.</w:t>
      </w:r>
      <w:r>
        <w:rPr>
          <w:rFonts w:ascii="Times New Roman;serif" w:hAnsi="Times New Roman;serif"/>
          <w:b/>
          <w:color w:val="000000"/>
          <w:sz w:val="20"/>
        </w:rPr>
        <w:t>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the Timing Product Business conducts business worldwide, it is possible that the Business may become a party to lawsuits, arbitration, investigation by regulatory authorities and other legal proceedings in various countries (“Legal Matters”). Currently, the Business is not involved in any Legal Matters.</w:t>
      </w:r>
    </w:p>
    <w:p>
      <w:pPr>
        <w:pStyle w:val="TextBody"/>
        <w:bidi w:val="0"/>
        <w:spacing w:lineRule="auto" w:line="288" w:before="240" w:after="283"/>
        <w:ind w:left="0" w:right="0" w:hanging="350"/>
        <w:jc w:val="left"/>
        <w:rPr/>
      </w:pPr>
      <w:r>
        <w:rPr>
          <w:rFonts w:ascii="sans-serif" w:hAnsi="sans-serif"/>
          <w:b/>
          <w:color w:val="000000"/>
          <w:sz w:val="19"/>
        </w:rPr>
        <w:t>15.</w:t>
      </w:r>
      <w:r>
        <w:rPr>
          <w:rFonts w:ascii="Times New Roman;serif" w:hAnsi="Times New Roman;serif"/>
          <w:b/>
          <w:color w:val="000000"/>
          <w:sz w:val="20"/>
        </w:rPr>
        <w:t>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Interim Combined Financial Statements have been derived from historical information previously presented in Renesas’s consolidated financial statements. Subsequent events and transactions for disclosure purposes have been evaluated through July 30, 2026, the date on which the Interim Combined Financial Statements became available to be issued. Other than the closing of the Transaction described in Note 1. Description of the Transaction and Basis of Presentation, no other events or transactions were identified that would require disclosure in the Interim Combined Financial Statements.</w:t>
      </w:r>
    </w:p>
    <w:p>
      <w:pPr>
        <w:pStyle w:val="TextBody"/>
        <w:bidi w:val="0"/>
        <w:spacing w:before="0" w:after="0"/>
        <w:jc w:val="left"/>
        <w:rPr/>
      </w:pPr>
      <w:r>
        <w:rPr/>
      </w:r>
    </w:p>
    <w:p>
      <w:pPr>
        <w:pStyle w:val="TextBody"/>
        <w:bidi w:val="0"/>
        <w:spacing w:before="63"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17"/>
        </w:rPr>
      </w:pPr>
      <w:r>
        <w:rPr>
          <w:rFonts w:ascii="Times New Roman;serif" w:hAnsi="Times New Roman;serif"/>
          <w:b/>
          <w:color w:val="000000"/>
          <w:sz w:val="17"/>
        </w:rPr>
        <w:t>UNAUDITED PRO FORMA CONDENSED COMBINED FINANCIAL INFORMATION</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following unaudited pro forma condensed combined financial information presents the pro forma effects of the acquisition of certain net assets of the Timing Product Business of Renesas Electronics Corporation by SiTime Corporation on July 1, 2026, along with effects of other related transactions described below.</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Acquisition</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On February 4, 2026, SiTime Corporation, a Delaware corporation (“SiTime” or the “Company”), entered into an Asset Purchase Agreement (the “Asset Purchase Agreement”) with Renesas Electronics America Inc., a subsidiary of Renesas Electronics Corporation (“Renesas” or “Seller”), pursuant to which Renesas agreed to sell, and to cause certain of its affiliates to sell, transfer, assign and convey to SiTime all of their right, title and interest in, to and under certain assets related to the Timing Product Business of Renesas Electronics Corporation (the “Timing Product Business”) for an aggregate purchase price of approximately $1.5 billion in cash (“Cash Consideration”) and a number of shares of common stock, $0.0001 par value per share, of SiTime (“Common Stock” and such consideration, the “Stock Consideration”), subject to certain adjustments as set forth in the Asset Purchase Agreement (the “Acquisition”).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On July 1, 2026 (the “Closing Date”), SiTime completed the Acquisition (the “Closing”). At the Closing, SiTime paid Cash Consideration of approximately $1.5 billion and issued 3,558,691 shares of Common Stock as Stock Consideration.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Asset Purchase Agreement contains various representations and warranties and covenants by the parties to such agreement. SiTime and Renesas entered into related agreements ancillary to the Acquisition that became effective upon Closing, including certain documents related to intellectual property matters and resale registration rights.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On the Closing Date, SiTime and Renesas also entered into a Transition Services Agreement (“TSA”) pursuant to which, following the Closing, each of SiTime and Renesas has agreed to provide or cause to be provided to the other certain transitional services for specified periods following the Closing Date in connection with the operation of the Timing Product Business and Renesas’s operation of its remaining business. The TSA includes customary provisions regarding service fees, reimbursement of expenses, invoicing and payment, the standard of care applicable to the performance of services, intellectual property ownership and licensing, confidentiality, indemnification, limitation of liability, and termination, as well as a cap on the Company’s aggregate fees and out-of-pocket costs (other than amounts payable under purchase orders).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 xml:space="preserve">The Acquisition has been accounted for as a business combination using the acquisition method of accounting in accordance with Accounting Standards Codification (“ASC”) Topic 805, “Business Combinations” (“ASC 805”) under U.S. GAAP, with SiTime as the accounting acquirer. Under this method of accounting, the purchase price of the Acquisition has been allocated to the assets acquired and liabilities assumed based on their preliminary fair values as of the Closing Date. The excess purchase price over the fair values of identifiable assets acquired and liabilities assumed is recorded as goodwill. </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Financing</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In connection with the execution of the Asset Purchase Agreement, on February 4, 2026, SiTime entered into a debt financing commitment letter (the “Commitment Letter”) with Wells Fargo Securities, LLC and Wells Fargo Bank, National Association (collectively, “Wells Fargo”), pursuant to which Wells Fargo committed to provide debt financing of up to $900 million in the form of a 364-day senior secured bridge loan facility (the “Bridge Facility”) to fund a portion of the Cash Consideration. In lieu of the Bridge Facility, SiTime funded a portion of the Cash Consideration through the issuance of the Notes described below (the “Permanent Financing”). The commitments under the Bridge Facility were terminated in connection with the issuance of the Notes.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 xml:space="preserve">In May 2026, SiTime issued $1.35 billion aggregate principal amount of 0% Convertible Senior Notes due 2031 (the “Notes”), which included the full exercise of the initial purchasers’ option to purchase an additional $150 million principal amount of the Notes. The Notes are general unsecured obligations of SiTime and will mature on June 15, 2031, unless earlier converted, redeemed or repurchased. The Notes do not bear regular cash interest. The total net proceeds from the issuance of the Notes, after deducting initial purchasers’ discounts and commissions and debt issuance costs, were approximately $1.32 billion. </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In connection with the issuance of the Notes, SiTime entered into privately negotiated capped call transactions (the “Capped Call Transactions”). The Capped Call Transactions meet the conditions under the related accounting criteria for equity classification, with the premium paid recorded as a reduction to additional paid-in capital.</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Notes and the Capped Call Transactions were completed prior to June 30, 2026 and are reflected in SiTime’s historical unaudited condensed consolidated balance sheet as of June 30, 2026. Accordingly, no Financing Adjustments related to the Notes or the Capped Call Transactions are presented in the unaudited pro forma condensed combined balance sheet. Financing Adjustments related to the unaudited pro forma condensed combined balance sheet and income statements are further described in Note 7.</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At the Closing, the Cash Consideration was funded through cash on hand, including the net proceeds from the Notes. No borrowings were made under the Bridge Facility, and no such borrowings are reflected in the unaudited pro forma condensed combined financial information. Bridge Facility commitment fees of approximately $3.2 million were recorded in prepaid expenses and other current assets as of June 30, 2026 and became due upon the Closing on July 1, 2026. The unaudited pro forma condensed combined balance sheet reflects the elimination of the prepaid amount, with a corresponding adjustment to accumulated deficit. The commitment fees are recognized as interest expense in the unaudited pro forma condensed combined income statement for the year ended December 31, 2025, consistent with assuming the related financing occurred on January 1, 2025. Refer to Note 7 for further details.</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Other Considerations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balance sheet as of June 30, 2026 is prepared using SiTime’s unaudited condensed consolidated balance sheet as of June 30, 2026 and Timing Product Business’ unaudited statement of assets acquired and liabilities assumed as of June 30, 2026, giving effect to (i) the Acquisition as if it had been completed on June 30, 2026 and (ii) the assumptions and adjustments described in the accompanying notes to the unaudited pro forma condensed combined financial information.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income statement for the six months ended June 30, 2026 is prepared using SiTime’s unaudited condensed consolidated income statement for the six months ended June 30, 2026 and Timing Product Business’ unaudited statement of revenue and direct expenses for the six months ended June 30, 2026; the unaudited pro forma condensed combined income statement for the year ended December 31, 2025 is prepared using SiTime’s audited consolidated income statement for the year ended December 31, 2025 and Timing Product Business’ audited statement of revenue and direct expenses for the year ended December 31, 2025. The unaudited pro forma condensed combined income statements give effect to (i) the Acquisition and Permanent Financing as if they had been completed on January 1, 2025, the beginning of SiTime’s most recently completed fiscal year, and (ii) the assumptions and adjustments described in the accompanying notes to the unaudited pro forma condensed combined financial information.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financial information was derived from and should be read in conjunction with:</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17"/>
        </w:rPr>
        <w:t>the accompanying notes to the unaudited pro forma condensed combined financial information</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17"/>
        </w:rPr>
        <w:t>the separate historical unaudited condensed consolidated financial statements and accompanying notes as of and for the six months ended June 30, 2026, as included in SiTime’s Quarterly Report on Form 10-Q;</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17"/>
        </w:rPr>
        <w:t>the separate historical audited consolidated financial statements and accompanying notes for the year ended December 31, 2025, as included in SiTime’s Annual Report on Form 10-K;</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17"/>
        </w:rPr>
        <w:t>the Timing Product Business’ historical unaudited combined financial statements as of and for the six months ended June 30, 2026, derived from the underlying accounting records of Renesas’ Timing Product Business; and</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17"/>
        </w:rPr>
        <w:t>the Timing Product Business’ separate historical audited combined financial statements for the year ended December 31, 2025, derived from the underlying accounting records of Renesas’ Timing Product Business.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financial information is provided for informational purposes only and is not indicative of the operating results that would have occurred if the Acquisition and the Permanent Financing had been completed as of the dates set forth above, nor is it indicative of the future results of SiTime following the Acquisition.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In determining the preliminary estimates of the fair values of the assets acquired and liabilities assumed of the Timing Product Business in connection with the Acquisition, SiTime used a preliminary valuation analysis, along with other relevant assumptions, including market participant assumptions. The purchase price allocation relating to the Acquisition remains preliminary and is subject to change, as additional information becomes available and as additional analyses are performed. There can be no assurance that the final valuations will not result in material changes to the preliminary purchase price allocation. The unaudited pro forma condensed combined financial information does not give effect to the potential impact of any anticipated synergies or dis-synergies, operating efficiencies or inefficiencies, or any integration costs resulting from the Acquisition, and does not purport to project the future operating results or financial position of SiTime following the Acquisition.</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0"/>
        <w:gridCol w:w="295"/>
        <w:gridCol w:w="297"/>
        <w:gridCol w:w="195"/>
        <w:gridCol w:w="195"/>
        <w:gridCol w:w="195"/>
        <w:gridCol w:w="209"/>
        <w:gridCol w:w="116"/>
        <w:gridCol w:w="116"/>
        <w:gridCol w:w="209"/>
        <w:gridCol w:w="948"/>
        <w:gridCol w:w="116"/>
        <w:gridCol w:w="109"/>
        <w:gridCol w:w="109"/>
        <w:gridCol w:w="109"/>
        <w:gridCol w:w="238"/>
        <w:gridCol w:w="914"/>
        <w:gridCol w:w="132"/>
        <w:gridCol w:w="109"/>
        <w:gridCol w:w="109"/>
        <w:gridCol w:w="109"/>
        <w:gridCol w:w="259"/>
        <w:gridCol w:w="1210"/>
        <w:gridCol w:w="144"/>
        <w:gridCol w:w="172"/>
        <w:gridCol w:w="172"/>
        <w:gridCol w:w="173"/>
        <w:gridCol w:w="225"/>
        <w:gridCol w:w="655"/>
        <w:gridCol w:w="126"/>
        <w:gridCol w:w="170"/>
        <w:gridCol w:w="170"/>
        <w:gridCol w:w="171"/>
        <w:gridCol w:w="196"/>
        <w:gridCol w:w="886"/>
        <w:gridCol w:w="167"/>
      </w:tblGrid>
      <w:tr>
        <w:trPr/>
        <w:tc>
          <w:tcPr>
            <w:tcW w:w="4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PRO FORMA CONDENSED COMBINED BALANCE SHEET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SiTime Corporation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Timing Product Business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Reclassified</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Financing </w:t>
              <w:br/>
              <w:t>Adjustments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Pro Forma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Combined</w:t>
            </w:r>
          </w:p>
        </w:tc>
      </w:tr>
      <w:tr>
        <w:trPr/>
        <w:tc>
          <w:tcPr>
            <w:tcW w:w="1072"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Assets:</w:t>
            </w:r>
          </w:p>
        </w:tc>
        <w:tc>
          <w:tcPr>
            <w:tcW w:w="2299" w:type="dxa"/>
            <w:gridSpan w:val="9"/>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9"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9" w:type="dxa"/>
            <w:gridSpan w:val="4"/>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1,921,141 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(1,499,250)</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w:t>
            </w:r>
          </w:p>
        </w:tc>
        <w:tc>
          <w:tcPr>
            <w:tcW w:w="225"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0"/>
              <w:jc w:val="center"/>
              <w:rPr/>
            </w:pPr>
            <w:r>
              <w:rPr/>
            </w:r>
          </w:p>
        </w:tc>
        <w:tc>
          <w:tcPr>
            <w:tcW w:w="196"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389,264 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88,706 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88,706 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5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103,904 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106,644 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598" w:type="dxa"/>
            <w:gridSpan w:val="5"/>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20,114 </w:t>
            </w:r>
          </w:p>
        </w:tc>
        <w:tc>
          <w:tcPr>
            <w:tcW w:w="116"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17,033 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6"/>
              </w:rPr>
              <w:t>Total current assets</w:t>
            </w:r>
          </w:p>
        </w:tc>
        <w:tc>
          <w:tcPr>
            <w:tcW w:w="2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9"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2,133,865 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(1,530,438)</w:t>
            </w:r>
          </w:p>
        </w:tc>
        <w:tc>
          <w:tcPr>
            <w:tcW w:w="1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601,647 </w:t>
            </w:r>
          </w:p>
        </w:tc>
        <w:tc>
          <w:tcPr>
            <w:tcW w:w="16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5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114,387 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120,054 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136,023 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35,599 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2,084,427 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2,253,959 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11,101 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5(vi)</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Goodwill</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87,098 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382,299 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1,495,388 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5(vii)</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1,964,785 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598" w:type="dxa"/>
            <w:gridSpan w:val="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24,291 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16"/>
              </w:rPr>
              <w:t>Total assets</w:t>
            </w:r>
          </w:p>
        </w:tc>
        <w:tc>
          <w:tcPr>
            <w:tcW w:w="209"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89" w:type="dxa"/>
            <w:gridSpan w:val="4"/>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2,505,523</w:t>
            </w:r>
            <w:r>
              <w:rPr>
                <w:color w:val="000000"/>
              </w:rPr>
              <w:t> </w:t>
            </w:r>
          </w:p>
        </w:tc>
        <w:tc>
          <w:tcPr>
            <w:tcW w:w="11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426,184</w:t>
            </w:r>
            <w:r>
              <w:rPr>
                <w:color w:val="000000"/>
              </w:rPr>
              <w:t> </w:t>
            </w:r>
          </w:p>
        </w:tc>
        <w:tc>
          <w:tcPr>
            <w:tcW w:w="13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1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2,047,280</w:t>
            </w:r>
            <w:r>
              <w:rPr>
                <w:color w:val="000000"/>
              </w:rPr>
              <w:t> </w:t>
            </w:r>
          </w:p>
        </w:tc>
        <w:tc>
          <w:tcPr>
            <w:tcW w:w="14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(3,150)</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4,975,837</w:t>
            </w:r>
            <w:r>
              <w:rPr>
                <w:color w:val="000000"/>
              </w:rPr>
              <w:t> </w:t>
            </w:r>
          </w:p>
        </w:tc>
        <w:tc>
          <w:tcPr>
            <w:tcW w:w="167"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714" w:type="dxa"/>
            <w:gridSpan w:val="6"/>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714"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9"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80,841 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72,630 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5(vi)</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5(ii)</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6"/>
              </w:rPr>
              <w:t>Total current liabilities</w:t>
            </w:r>
          </w:p>
        </w:tc>
        <w:tc>
          <w:tcPr>
            <w:tcW w:w="20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9" w:type="dxa"/>
            <w:gridSpan w:val="4"/>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109,736 </w:t>
            </w:r>
          </w:p>
        </w:tc>
        <w:tc>
          <w:tcPr>
            <w:tcW w:w="11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3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w:t>
            </w:r>
          </w:p>
        </w:tc>
        <w:tc>
          <w:tcPr>
            <w:tcW w:w="14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101,525 </w:t>
            </w:r>
          </w:p>
        </w:tc>
        <w:tc>
          <w:tcPr>
            <w:tcW w:w="167"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Convertible senior notes, net</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1,317,556 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1,317,556 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5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53,179 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54,258 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5(vi)</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16"/>
              </w:rPr>
              <w:t>Total liabilities</w:t>
            </w:r>
          </w:p>
        </w:tc>
        <w:tc>
          <w:tcPr>
            <w:tcW w:w="2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9"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1,480,471 </w:t>
            </w:r>
          </w:p>
        </w:tc>
        <w:tc>
          <w:tcPr>
            <w:tcW w:w="1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(8,522)</w:t>
            </w:r>
          </w:p>
        </w:tc>
        <w:tc>
          <w:tcPr>
            <w:tcW w:w="1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1,473,339 </w:t>
            </w:r>
          </w:p>
        </w:tc>
        <w:tc>
          <w:tcPr>
            <w:tcW w:w="16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714" w:type="dxa"/>
            <w:gridSpan w:val="6"/>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598" w:type="dxa"/>
            <w:gridSpan w:val="5"/>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5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1,237,014 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424,794 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(424,794)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5(viii)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3,741,822 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2,504,808 </w:t>
            </w:r>
          </w:p>
        </w:tc>
        <w:tc>
          <w:tcPr>
            <w:tcW w:w="1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5(i)</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(211,965)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5(ii) </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(239,327)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9"/>
            <w:tcBorders/>
            <w:shd w:fill="CCECFF" w:val="clear"/>
            <w:tcMar>
              <w:top w:w="0" w:type="dxa"/>
              <w:left w:w="0" w:type="dxa"/>
              <w:bottom w:w="0" w:type="dxa"/>
              <w:right w:w="0" w:type="dxa"/>
            </w:tcMar>
            <w:vAlign w:val="center"/>
          </w:tcPr>
          <w:p>
            <w:pPr>
              <w:pStyle w:val="TableContents"/>
              <w:bidi w:val="0"/>
              <w:spacing w:lineRule="auto" w:line="288" w:before="0" w:after="0"/>
              <w:jc w:val="both"/>
              <w:rPr/>
            </w:pPr>
            <w:r>
              <w:rPr>
                <w:color w:val="000000"/>
              </w:rPr>
              <w:t>    </w:t>
            </w:r>
            <w:r>
              <w:rPr>
                <w:rFonts w:ascii="Times New Roman;serif" w:hAnsi="Times New Roman;serif"/>
                <w:b/>
                <w:color w:val="000000"/>
                <w:sz w:val="16"/>
              </w:rPr>
              <w:t>Total stockholders' equity</w:t>
            </w:r>
          </w:p>
        </w:tc>
        <w:tc>
          <w:tcPr>
            <w:tcW w:w="1157"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1,025,052 </w:t>
            </w:r>
          </w:p>
        </w:tc>
        <w:tc>
          <w:tcPr>
            <w:tcW w:w="11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424,794 </w:t>
            </w:r>
          </w:p>
        </w:tc>
        <w:tc>
          <w:tcPr>
            <w:tcW w:w="13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2,055,802 </w:t>
            </w:r>
          </w:p>
        </w:tc>
        <w:tc>
          <w:tcPr>
            <w:tcW w:w="14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3,502,498 </w:t>
            </w:r>
          </w:p>
        </w:tc>
        <w:tc>
          <w:tcPr>
            <w:tcW w:w="167"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16"/>
              </w:rPr>
              <w:t>Total liabilities and stockholders' equity</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2,505,523</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426,184</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2,047,280</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(3,150)</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4,975,837</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unaudited pro forma condensed combined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932"/>
        <w:gridCol w:w="473"/>
        <w:gridCol w:w="431"/>
        <w:gridCol w:w="280"/>
        <w:gridCol w:w="1052"/>
        <w:gridCol w:w="155"/>
        <w:gridCol w:w="109"/>
        <w:gridCol w:w="109"/>
        <w:gridCol w:w="109"/>
        <w:gridCol w:w="248"/>
        <w:gridCol w:w="934"/>
        <w:gridCol w:w="138"/>
        <w:gridCol w:w="109"/>
        <w:gridCol w:w="109"/>
        <w:gridCol w:w="109"/>
        <w:gridCol w:w="303"/>
        <w:gridCol w:w="1102"/>
        <w:gridCol w:w="168"/>
        <w:gridCol w:w="172"/>
        <w:gridCol w:w="172"/>
        <w:gridCol w:w="174"/>
        <w:gridCol w:w="225"/>
        <w:gridCol w:w="655"/>
        <w:gridCol w:w="126"/>
        <w:gridCol w:w="170"/>
        <w:gridCol w:w="170"/>
        <w:gridCol w:w="171"/>
        <w:gridCol w:w="233"/>
        <w:gridCol w:w="877"/>
        <w:gridCol w:w="190"/>
      </w:tblGrid>
      <w:tr>
        <w:trPr/>
        <w:tc>
          <w:tcPr>
            <w:tcW w:w="93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PRO FORMA CONDENSED COMBINED INCOME STATEMENT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SiTime Corporation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Timing Product Business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Reclassified</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Financing </w:t>
              <w:br/>
              <w:t>Adjustments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Revenue</w:t>
            </w:r>
          </w:p>
        </w:tc>
        <w:tc>
          <w:tcPr>
            <w:tcW w:w="28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270,999 </w:t>
            </w:r>
          </w:p>
        </w:tc>
        <w:tc>
          <w:tcPr>
            <w:tcW w:w="15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153,038 </w:t>
            </w:r>
          </w:p>
        </w:tc>
        <w:tc>
          <w:tcPr>
            <w:tcW w:w="13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6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w:t>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422,633 </w:t>
            </w:r>
          </w:p>
        </w:tc>
        <w:tc>
          <w:tcPr>
            <w:tcW w:w="19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229,506 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67,032 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6(ii)</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6(ix)</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33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166,097 </w:t>
            </w:r>
          </w:p>
        </w:tc>
        <w:tc>
          <w:tcPr>
            <w:tcW w:w="15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96,034 </w:t>
            </w:r>
          </w:p>
        </w:tc>
        <w:tc>
          <w:tcPr>
            <w:tcW w:w="13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(69,004)</w:t>
            </w:r>
          </w:p>
        </w:tc>
        <w:tc>
          <w:tcPr>
            <w:tcW w:w="16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193,127 </w:t>
            </w:r>
          </w:p>
        </w:tc>
        <w:tc>
          <w:tcPr>
            <w:tcW w:w="19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68,854 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16,559 </w:t>
            </w:r>
          </w:p>
        </w:tc>
        <w:tc>
          <w:tcPr>
            <w:tcW w:w="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5,169 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91,030 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6(ix)</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85,237 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3,595 </w:t>
            </w:r>
          </w:p>
        </w:tc>
        <w:tc>
          <w:tcPr>
            <w:tcW w:w="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89,244 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16,129 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16,129 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6"/>
              </w:rPr>
              <w:t>Total operating expenses</w:t>
            </w:r>
          </w:p>
        </w:tc>
        <w:tc>
          <w:tcPr>
            <w:tcW w:w="13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170,220 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20,154 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6,029 </w:t>
            </w:r>
          </w:p>
        </w:tc>
        <w:tc>
          <w:tcPr>
            <w:tcW w:w="16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196,403 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Income (loss) from operations</w:t>
            </w:r>
          </w:p>
        </w:tc>
        <w:tc>
          <w:tcPr>
            <w:tcW w:w="28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5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(4,123)</w:t>
            </w:r>
          </w:p>
        </w:tc>
        <w:tc>
          <w:tcPr>
            <w:tcW w:w="15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75,880</w:t>
            </w:r>
            <w:r>
              <w:rPr>
                <w:color w:val="000000"/>
              </w:rPr>
              <w:t> </w:t>
            </w:r>
          </w:p>
        </w:tc>
        <w:tc>
          <w:tcPr>
            <w:tcW w:w="13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(75,033)</w:t>
            </w:r>
          </w:p>
        </w:tc>
        <w:tc>
          <w:tcPr>
            <w:tcW w:w="16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w:t>
            </w:r>
            <w:r>
              <w:rPr>
                <w:color w:val="000000"/>
              </w:rPr>
              <w:t> </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7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(3,276)</w:t>
            </w:r>
          </w:p>
        </w:tc>
        <w:tc>
          <w:tcPr>
            <w:tcW w:w="19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7(ii)</w:t>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28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5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12,992</w:t>
            </w:r>
            <w:r>
              <w:rPr>
                <w:color w:val="000000"/>
              </w:rPr>
              <w:t> </w:t>
            </w:r>
          </w:p>
        </w:tc>
        <w:tc>
          <w:tcPr>
            <w:tcW w:w="15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75,880</w:t>
            </w:r>
            <w:r>
              <w:rPr>
                <w:color w:val="000000"/>
              </w:rPr>
              <w:t> </w:t>
            </w:r>
          </w:p>
        </w:tc>
        <w:tc>
          <w:tcPr>
            <w:tcW w:w="13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(78,569)</w:t>
            </w:r>
          </w:p>
        </w:tc>
        <w:tc>
          <w:tcPr>
            <w:tcW w:w="16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(2,523)</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7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7,780</w:t>
            </w:r>
            <w:r>
              <w:rPr>
                <w:color w:val="000000"/>
              </w:rPr>
              <w:t> </w:t>
            </w:r>
          </w:p>
        </w:tc>
        <w:tc>
          <w:tcPr>
            <w:tcW w:w="19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6(viii)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7(iii)</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Net income (loss)</w:t>
            </w:r>
          </w:p>
        </w:tc>
        <w:tc>
          <w:tcPr>
            <w:tcW w:w="28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5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12,939</w:t>
            </w:r>
            <w:r>
              <w:rPr>
                <w:color w:val="000000"/>
              </w:rPr>
              <w:t> </w:t>
            </w:r>
          </w:p>
        </w:tc>
        <w:tc>
          <w:tcPr>
            <w:tcW w:w="15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75,880</w:t>
            </w:r>
            <w:r>
              <w:rPr>
                <w:color w:val="000000"/>
              </w:rPr>
              <w:t> </w:t>
            </w:r>
          </w:p>
        </w:tc>
        <w:tc>
          <w:tcPr>
            <w:tcW w:w="13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(78,569)</w:t>
            </w:r>
          </w:p>
        </w:tc>
        <w:tc>
          <w:tcPr>
            <w:tcW w:w="16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(2,523)</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7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7,727</w:t>
            </w:r>
            <w:r>
              <w:rPr>
                <w:color w:val="000000"/>
              </w:rPr>
              <w:t> </w:t>
            </w:r>
          </w:p>
        </w:tc>
        <w:tc>
          <w:tcPr>
            <w:tcW w:w="19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Weighted average shares outstanding</w:t>
            </w:r>
          </w:p>
        </w:tc>
        <w:tc>
          <w:tcPr>
            <w:tcW w:w="148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Basic</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26,397 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29,956 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Diluted</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14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Basic</w:t>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Diluted</w:t>
            </w:r>
          </w:p>
        </w:tc>
        <w:tc>
          <w:tcPr>
            <w:tcW w:w="133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unaudited pro forma condensed combined financial information.</w:t>
            </w:r>
          </w:p>
        </w:tc>
      </w:tr>
    </w:tbl>
    <w:p>
      <w:pPr>
        <w:pStyle w:val="TextBody"/>
        <w:bidi w:val="0"/>
        <w:spacing w:before="0" w:after="160"/>
        <w:jc w:val="both"/>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747"/>
        <w:gridCol w:w="457"/>
        <w:gridCol w:w="453"/>
        <w:gridCol w:w="289"/>
        <w:gridCol w:w="1087"/>
        <w:gridCol w:w="160"/>
        <w:gridCol w:w="310"/>
        <w:gridCol w:w="1166"/>
        <w:gridCol w:w="172"/>
        <w:gridCol w:w="109"/>
        <w:gridCol w:w="109"/>
        <w:gridCol w:w="109"/>
        <w:gridCol w:w="299"/>
        <w:gridCol w:w="1202"/>
        <w:gridCol w:w="166"/>
        <w:gridCol w:w="173"/>
        <w:gridCol w:w="173"/>
        <w:gridCol w:w="174"/>
        <w:gridCol w:w="225"/>
        <w:gridCol w:w="655"/>
        <w:gridCol w:w="126"/>
        <w:gridCol w:w="170"/>
        <w:gridCol w:w="170"/>
        <w:gridCol w:w="171"/>
        <w:gridCol w:w="230"/>
        <w:gridCol w:w="915"/>
        <w:gridCol w:w="188"/>
      </w:tblGrid>
      <w:tr>
        <w:trPr/>
        <w:tc>
          <w:tcPr>
            <w:tcW w:w="7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PRO FORMA CONDENSED COMBINED INCOME STATEMENT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SiTime Corporation (Historical)</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Timing Product Business Reclassified</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Financing </w:t>
              <w:br/>
              <w:t>Adjustments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Revenue</w:t>
            </w:r>
          </w:p>
        </w:tc>
        <w:tc>
          <w:tcPr>
            <w:tcW w:w="2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326,660 </w:t>
            </w:r>
          </w:p>
        </w:tc>
        <w:tc>
          <w:tcPr>
            <w:tcW w:w="16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207,744 </w:t>
            </w:r>
          </w:p>
        </w:tc>
        <w:tc>
          <w:tcPr>
            <w:tcW w:w="17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w:t>
            </w:r>
          </w:p>
        </w:tc>
        <w:tc>
          <w:tcPr>
            <w:tcW w:w="16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w:t>
            </w:r>
          </w:p>
        </w:tc>
        <w:tc>
          <w:tcPr>
            <w:tcW w:w="22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532,815 </w:t>
            </w:r>
          </w:p>
        </w:tc>
        <w:tc>
          <w:tcPr>
            <w:tcW w:w="18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151,674 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434,223 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185,064 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6(ii)</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6(iii)</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6(ix)</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3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174,986 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111,658 </w:t>
            </w:r>
          </w:p>
        </w:tc>
        <w:tc>
          <w:tcPr>
            <w:tcW w:w="17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(188,052)</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98,592 </w:t>
            </w:r>
          </w:p>
        </w:tc>
        <w:tc>
          <w:tcPr>
            <w:tcW w:w="1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118,893 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6(iv)</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164,305 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6(ix)</w:t>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116,504 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6(iv)</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127,183 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6(ix)</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 related costs</w:t>
            </w:r>
          </w:p>
        </w:tc>
        <w:tc>
          <w:tcPr>
            <w:tcW w:w="13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6,567 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24,212 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6(vi)</w:t>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30,779 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6"/>
              </w:rPr>
              <w:t>Total operating expenses</w:t>
            </w:r>
          </w:p>
        </w:tc>
        <w:tc>
          <w:tcPr>
            <w:tcW w:w="13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241,964 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35,505 </w:t>
            </w:r>
          </w:p>
        </w:tc>
        <w:tc>
          <w:tcPr>
            <w:tcW w:w="17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44,798 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322,267 </w:t>
            </w:r>
          </w:p>
        </w:tc>
        <w:tc>
          <w:tcPr>
            <w:tcW w:w="1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Income (loss) from operations</w:t>
            </w:r>
          </w:p>
        </w:tc>
        <w:tc>
          <w:tcPr>
            <w:tcW w:w="28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(66,978)</w:t>
            </w:r>
          </w:p>
        </w:tc>
        <w:tc>
          <w:tcPr>
            <w:tcW w:w="16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6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76,153</w:t>
            </w:r>
            <w:r>
              <w:rPr>
                <w:color w:val="000000"/>
              </w:rPr>
              <w:t> </w:t>
            </w:r>
          </w:p>
        </w:tc>
        <w:tc>
          <w:tcPr>
            <w:tcW w:w="17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(232,850)</w:t>
            </w:r>
          </w:p>
        </w:tc>
        <w:tc>
          <w:tcPr>
            <w:tcW w:w="16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w:t>
            </w:r>
            <w:r>
              <w:rPr>
                <w:color w:val="000000"/>
              </w:rPr>
              <w:t> </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(223,675)</w:t>
            </w:r>
          </w:p>
        </w:tc>
        <w:tc>
          <w:tcPr>
            <w:tcW w:w="18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3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7(ii)</w:t>
            </w:r>
          </w:p>
        </w:tc>
        <w:tc>
          <w:tcPr>
            <w:tcW w:w="114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28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(42,305)</w:t>
            </w:r>
          </w:p>
        </w:tc>
        <w:tc>
          <w:tcPr>
            <w:tcW w:w="160"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6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76,153</w:t>
            </w:r>
            <w:r>
              <w:rPr>
                <w:color w:val="000000"/>
              </w:rPr>
              <w:t> </w:t>
            </w:r>
          </w:p>
        </w:tc>
        <w:tc>
          <w:tcPr>
            <w:tcW w:w="17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0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(240,711)</w:t>
            </w:r>
          </w:p>
        </w:tc>
        <w:tc>
          <w:tcPr>
            <w:tcW w:w="16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(9,608)</w:t>
            </w:r>
          </w:p>
        </w:tc>
        <w:tc>
          <w:tcPr>
            <w:tcW w:w="12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(216,471)</w:t>
            </w:r>
          </w:p>
        </w:tc>
        <w:tc>
          <w:tcPr>
            <w:tcW w:w="18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6(viii)</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7(iii)</w:t>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Net income (loss)</w:t>
            </w:r>
          </w:p>
        </w:tc>
        <w:tc>
          <w:tcPr>
            <w:tcW w:w="2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(42,903)</w:t>
            </w:r>
          </w:p>
        </w:tc>
        <w:tc>
          <w:tcPr>
            <w:tcW w:w="16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76,153</w:t>
            </w:r>
            <w:r>
              <w:rPr>
                <w:color w:val="000000"/>
              </w:rPr>
              <w:t> </w:t>
            </w:r>
          </w:p>
        </w:tc>
        <w:tc>
          <w:tcPr>
            <w:tcW w:w="17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0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(240,711)</w:t>
            </w:r>
          </w:p>
        </w:tc>
        <w:tc>
          <w:tcPr>
            <w:tcW w:w="16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(9,608)</w:t>
            </w:r>
          </w:p>
        </w:tc>
        <w:tc>
          <w:tcPr>
            <w:tcW w:w="12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(217,069)</w:t>
            </w:r>
          </w:p>
        </w:tc>
        <w:tc>
          <w:tcPr>
            <w:tcW w:w="18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Weighted average shares outstanding</w:t>
            </w:r>
          </w:p>
        </w:tc>
        <w:tc>
          <w:tcPr>
            <w:tcW w:w="153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Basic</w:t>
            </w:r>
          </w:p>
        </w:tc>
        <w:tc>
          <w:tcPr>
            <w:tcW w:w="13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24,967 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28,526 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Diluted</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15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Basic</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Diluted</w:t>
            </w:r>
          </w:p>
        </w:tc>
        <w:tc>
          <w:tcPr>
            <w:tcW w:w="137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unaudited pro forma condensed combined financial information.</w:t>
            </w:r>
          </w:p>
        </w:tc>
      </w:tr>
    </w:tbl>
    <w:p>
      <w:pPr>
        <w:pStyle w:val="TextBody"/>
        <w:bidi w:val="0"/>
        <w:spacing w:before="0" w:after="160"/>
        <w:jc w:val="both"/>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360" w:after="80"/>
        <w:jc w:val="left"/>
        <w:rPr>
          <w:rFonts w:ascii="Times New Roman;serif" w:hAnsi="Times New Roman;serif"/>
          <w:b/>
          <w:color w:val="000000"/>
          <w:sz w:val="17"/>
        </w:rPr>
      </w:pPr>
      <w:r>
        <w:rPr>
          <w:rFonts w:ascii="Times New Roman;serif" w:hAnsi="Times New Roman;serif"/>
          <w:b/>
          <w:color w:val="000000"/>
          <w:sz w:val="17"/>
        </w:rPr>
        <w:t>Notes to Unaudited Pro Forma Condensed Combined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1. Basis of Presentation</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financial information was prepared in accordance with Article 11 of Regulation S-X. The historical information of SiTime Corporation and Timing Product Business is presented in accordance with accounting principles generally accepted in the United States of America.</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balance sheet is presented as if the Acquisition had occurred on June 30, 2026, and the unaudited pro forma condensed combined income statements for the six months ended June 30, 2026, and for the year ended December 31, 2025, give effect to the Acquisition and Permanent Financing as if they had occurred on January 1, 2025.</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Notes and the Capped Call Transactions were completed prior to June 30, 2026 and are reflected in SiTime’s historical unaudited condensed consolidated balance sheet as of June 30, 2026. Accordingly, no Financing Adjustments related to the Notes or the Capped Call Transactions are presented in the unaudited pro forma condensed combined balance sheet. The unaudited pro forma condensed combined balance sheet includes a Financing Adjustment related to the elimination of Bridge Facility commitment fees recorded in prepaid expenses and other current assets as of June 30, 2026. Financing Adjustments to the unaudited pro forma condensed combined balance sheet and income statements are further described in Note 7.</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 xml:space="preserve">The unaudited pro forma condensed combined financial information is prepared using the acquisition method of accounting in accordance with the business combination accounting guidance in Accounting Standards Codification Topic 805, Business Combinations, with SiTime considered the accounting acquirer for the Acquisition. </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financial information does not give effect to the potential impact of any anticipated synergies or dis-synergies, operating efficiencies or inefficiencies, or integration costs that may result from the Acquisition. The pro forma adjustments represent the Company’s best estimates and are based on currently available information and assumptions that the Company believes are reasonable under the circumstances.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All terms defined in this section of the report are used solely for purposes of this section and do not apply to any other section of this Form 8-K/A.</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2. Significant Accounting Policies</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accounting policies used in the preparation of the unaudited pro forma condensed combined financial information are those set forth in SiTime’s audited financial statements as of and for the year ended December 31, 2025. Management is performing a comprehensive review of the accounting policies between the two entities. Management has not made any adjustments to the pro forma condensed combined financial information related to any potential policy differences other than the adjustments described in Note 3 below. Management may identify additional differences in accounting policies which, when conformed, could have a material impact on the consolidated financial statements of SiTime following the Acquisition.</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3. Reclassification and Accounting Policy Adjustments</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Certain reclassifications and accounting policy adjustments are reflected in the pro forma adjustments to conform Timing Product Business’ presentation to SiTime’s presentation in the unaudited pro forma condensed combined balance sheet and income statements. These reclassifications have no effect on the previously reported stockholders’ equity, or income from continuing operations of SiTime or Timing Product Business. The pro forma condensed combined information may not reflect all reclassifications necessary to conform Timing Product Business’ presentation to that of SiTime due to limitations on the availability of information as of the date of this Form 8-K/A. Additional accounting policy differences and reclassification adjustments may be identified as more information becomes available.</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Refer to the table below for a summary of reclassification adjustments made to conform the presentation of Timing Product Business’ Historical Statement of Assets Acquired and Liabilities Assumed with that of SiTime’s Historical Balance Sheet:</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832"/>
        <w:gridCol w:w="698"/>
        <w:gridCol w:w="701"/>
        <w:gridCol w:w="1015"/>
        <w:gridCol w:w="955"/>
        <w:gridCol w:w="959"/>
        <w:gridCol w:w="272"/>
        <w:gridCol w:w="994"/>
        <w:gridCol w:w="163"/>
        <w:gridCol w:w="304"/>
        <w:gridCol w:w="1114"/>
        <w:gridCol w:w="186"/>
        <w:gridCol w:w="176"/>
        <w:gridCol w:w="176"/>
        <w:gridCol w:w="177"/>
        <w:gridCol w:w="268"/>
        <w:gridCol w:w="979"/>
        <w:gridCol w:w="236"/>
      </w:tblGrid>
      <w:tr>
        <w:trPr/>
        <w:tc>
          <w:tcPr>
            <w:tcW w:w="83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SiTime Corporation</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Historical Balance Sheet</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line item</w:t>
            </w:r>
          </w:p>
        </w:tc>
        <w:tc>
          <w:tcPr>
            <w:tcW w:w="2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Timing Product Business</w:t>
              <w:br/>
              <w:t>Historical Statement of Assets Acquired and Liabilities Assumed</w:t>
              <w:br/>
              <w:t>line item</w:t>
            </w:r>
          </w:p>
        </w:tc>
        <w:tc>
          <w:tcPr>
            <w:tcW w:w="142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As of June 30, 2026</w:t>
            </w:r>
          </w:p>
        </w:tc>
        <w:tc>
          <w:tcPr>
            <w:tcW w:w="160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Reclassification Adjustments</w:t>
            </w:r>
          </w:p>
        </w:tc>
        <w:tc>
          <w:tcPr>
            <w:tcW w:w="52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Notes</w:t>
            </w:r>
          </w:p>
        </w:tc>
        <w:tc>
          <w:tcPr>
            <w:tcW w:w="1483"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Reclassified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As of June 30, 2026</w:t>
            </w:r>
          </w:p>
        </w:tc>
      </w:tr>
      <w:tr>
        <w:trPr/>
        <w:tc>
          <w:tcPr>
            <w:tcW w:w="2231"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5"/>
              </w:rPr>
            </w:pPr>
            <w:r>
              <w:rPr>
                <w:rFonts w:ascii="Times New Roman;serif" w:hAnsi="Times New Roman;serif"/>
                <w:b/>
                <w:color w:val="000000"/>
                <w:sz w:val="15"/>
              </w:rPr>
              <w:t>Assets</w:t>
            </w:r>
          </w:p>
        </w:tc>
        <w:tc>
          <w:tcPr>
            <w:tcW w:w="29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Current assets</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Inventory, net </w:t>
            </w:r>
          </w:p>
        </w:tc>
        <w:tc>
          <w:tcPr>
            <w:tcW w:w="272"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1,370 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1,370 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1,370</w:t>
            </w:r>
            <w:r>
              <w:rPr>
                <w:color w:val="000000"/>
              </w:rPr>
              <w:t> </w:t>
            </w:r>
          </w:p>
        </w:tc>
        <w:tc>
          <w:tcPr>
            <w:tcW w:w="1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1,370</w:t>
            </w: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2929"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Property, plant, and equipment, net </w:t>
            </w:r>
          </w:p>
        </w:tc>
        <w:tc>
          <w:tcPr>
            <w:tcW w:w="1266"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5,667 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5,667 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Intangible assets, net</w:t>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Intangible assets, net </w:t>
            </w:r>
          </w:p>
        </w:tc>
        <w:tc>
          <w:tcPr>
            <w:tcW w:w="1266"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35,599 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35,599 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Right-of-use assets, net</w:t>
            </w:r>
          </w:p>
        </w:tc>
        <w:tc>
          <w:tcPr>
            <w:tcW w:w="2929"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Right-of-use assets, net </w:t>
            </w:r>
          </w:p>
        </w:tc>
        <w:tc>
          <w:tcPr>
            <w:tcW w:w="1266"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1,249 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1,249 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Goodwill</w:t>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Goodwill </w:t>
            </w:r>
          </w:p>
        </w:tc>
        <w:tc>
          <w:tcPr>
            <w:tcW w:w="1266"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382,299 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382,299 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color w:val="000000"/>
              </w:rPr>
            </w:pPr>
            <w:r>
              <w:rPr>
                <w:color w:val="000000"/>
              </w:rPr>
              <w:t>     </w:t>
            </w:r>
            <w:r>
              <w:rPr>
                <w:rFonts w:ascii="Times New Roman;serif" w:hAnsi="Times New Roman;serif"/>
                <w:b/>
                <w:color w:val="000000"/>
                <w:sz w:val="15"/>
              </w:rPr>
              <w:t>Total assets</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9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426,184</w:t>
            </w:r>
            <w:r>
              <w:rPr>
                <w:color w:val="000000"/>
              </w:rPr>
              <w:t> </w:t>
            </w:r>
          </w:p>
        </w:tc>
        <w:tc>
          <w:tcPr>
            <w:tcW w:w="163"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111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18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7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426,184</w:t>
            </w:r>
            <w:r>
              <w:rPr>
                <w:color w:val="000000"/>
              </w:rPr>
              <w:t> </w:t>
            </w:r>
          </w:p>
        </w:tc>
        <w:tc>
          <w:tcPr>
            <w:tcW w:w="23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5"/>
              </w:rPr>
            </w:pPr>
            <w:r>
              <w:rPr>
                <w:rFonts w:ascii="Times New Roman;serif" w:hAnsi="Times New Roman;serif"/>
                <w:b/>
                <w:color w:val="000000"/>
                <w:sz w:val="15"/>
              </w:rPr>
              <w:t>Liabilities and Stockholders' Equity</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Current liabilities</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Accrued expenses and other current liabilities</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11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3(a), (b)</w:t>
            </w:r>
          </w:p>
        </w:tc>
        <w:tc>
          <w:tcPr>
            <w:tcW w:w="268"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Warranty and return liabilities </w:t>
            </w:r>
          </w:p>
        </w:tc>
        <w:tc>
          <w:tcPr>
            <w:tcW w:w="1266"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3(a)</w:t>
            </w:r>
          </w:p>
        </w:tc>
        <w:tc>
          <w:tcPr>
            <w:tcW w:w="124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r>
              <w:rPr>
                <w:rFonts w:ascii="Times New Roman;serif" w:hAnsi="Times New Roman;serif"/>
                <w:b w:val="false"/>
                <w:color w:val="000000"/>
                <w:sz w:val="15"/>
              </w:rPr>
              <w:t xml:space="preserve">Lease liability – current </w:t>
            </w:r>
          </w:p>
        </w:tc>
        <w:tc>
          <w:tcPr>
            <w:tcW w:w="1266"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222 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(222)</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3(b)</w:t>
            </w:r>
          </w:p>
        </w:tc>
        <w:tc>
          <w:tcPr>
            <w:tcW w:w="124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236</w:t>
            </w:r>
            <w:r>
              <w:rPr>
                <w:color w:val="000000"/>
              </w:rPr>
              <w:t> </w:t>
            </w:r>
          </w:p>
        </w:tc>
        <w:tc>
          <w:tcPr>
            <w:tcW w:w="1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236</w:t>
            </w: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Other non-current liabilities</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1,154 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3(b)</w:t>
            </w:r>
          </w:p>
        </w:tc>
        <w:tc>
          <w:tcPr>
            <w:tcW w:w="124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1,154 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Lease liability – non-current</w:t>
            </w:r>
          </w:p>
        </w:tc>
        <w:tc>
          <w:tcPr>
            <w:tcW w:w="1266"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1,154 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(1,154)</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3(b)</w:t>
            </w:r>
          </w:p>
        </w:tc>
        <w:tc>
          <w:tcPr>
            <w:tcW w:w="124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color w:val="000000"/>
              </w:rPr>
            </w:pPr>
            <w:r>
              <w:rPr>
                <w:color w:val="000000"/>
              </w:rPr>
              <w:t>     </w:t>
            </w:r>
            <w:r>
              <w:rPr>
                <w:rFonts w:ascii="Times New Roman;serif" w:hAnsi="Times New Roman;serif"/>
                <w:b/>
                <w:color w:val="000000"/>
                <w:sz w:val="15"/>
              </w:rPr>
              <w:t>Total liabilities</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1,390</w:t>
            </w:r>
            <w:r>
              <w:rPr>
                <w:color w:val="000000"/>
              </w:rPr>
              <w:t> </w:t>
            </w:r>
          </w:p>
        </w:tc>
        <w:tc>
          <w:tcPr>
            <w:tcW w:w="163"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18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1,390</w:t>
            </w:r>
            <w:r>
              <w:rPr>
                <w:color w:val="000000"/>
              </w:rPr>
              <w:t> </w:t>
            </w:r>
          </w:p>
        </w:tc>
        <w:tc>
          <w:tcPr>
            <w:tcW w:w="23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Commitments and contingencies</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Stockholders’ equity</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29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424,794 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3(c)</w:t>
            </w:r>
          </w:p>
        </w:tc>
        <w:tc>
          <w:tcPr>
            <w:tcW w:w="124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424,794 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     </w:t>
            </w:r>
            <w:r>
              <w:rPr>
                <w:rFonts w:ascii="Times New Roman;serif" w:hAnsi="Times New Roman;serif"/>
                <w:b w:val="false"/>
                <w:color w:val="000000"/>
                <w:sz w:val="15"/>
              </w:rPr>
              <w:t>Total stockholders’ equity</w:t>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424,794 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424,794 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color w:val="000000"/>
              </w:rPr>
            </w:pPr>
            <w:r>
              <w:rPr>
                <w:color w:val="000000"/>
              </w:rPr>
              <w:t>     </w:t>
            </w:r>
            <w:r>
              <w:rPr>
                <w:rFonts w:ascii="Times New Roman;serif" w:hAnsi="Times New Roman;serif"/>
                <w:b/>
                <w:color w:val="000000"/>
                <w:sz w:val="15"/>
              </w:rPr>
              <w:t>Total liabilities and stockholders' equity</w:t>
            </w:r>
          </w:p>
        </w:tc>
        <w:tc>
          <w:tcPr>
            <w:tcW w:w="29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Net assets acquired</w:t>
            </w:r>
          </w:p>
        </w:tc>
        <w:tc>
          <w:tcPr>
            <w:tcW w:w="272"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9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424,794</w:t>
            </w:r>
            <w:r>
              <w:rPr>
                <w:color w:val="000000"/>
              </w:rPr>
              <w:t> </w:t>
            </w:r>
          </w:p>
        </w:tc>
        <w:tc>
          <w:tcPr>
            <w:tcW w:w="163"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111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424,794</w:t>
            </w:r>
            <w:r>
              <w:rPr>
                <w:color w:val="000000"/>
              </w:rPr>
              <w:t> </w:t>
            </w:r>
          </w:p>
        </w:tc>
        <w:tc>
          <w:tcPr>
            <w:tcW w:w="18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79"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426,184</w:t>
            </w:r>
            <w:r>
              <w:rPr>
                <w:color w:val="000000"/>
              </w:rPr>
              <w:t> </w:t>
            </w:r>
          </w:p>
        </w:tc>
        <w:tc>
          <w:tcPr>
            <w:tcW w:w="23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(a)Reclassification of $14 thousand of warranty and return liabilities to accrued expenses and other current liabilities.</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(b)Reclassification of lease liabilities, including $0.2 million of current lease liabilities to accrued expenses and other current liabilities and $1.2 million of non-current lease liabilities to other non-current liabilities.</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(c)As the financial statements have been prepared to reflect the assets and liabilities attributable to Timing Product Business, the net assets acquired amount of $424.8 million has been recorded within Additional paid-in capital to address the difference arising from the net presentation. This amount is subsequently eliminated as part of the pro forma transaction accounting adjustments, as described in Note 5(viii).</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Refer to the table below for a summary of reclassifications made to conform the presentation of Timing Product Business Historical Statement of Revenue and Direct Expenses with that of SiTime Historical Income Statement for the six months ended June 30, 2026:</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593"/>
        <w:gridCol w:w="493"/>
        <w:gridCol w:w="496"/>
        <w:gridCol w:w="1091"/>
        <w:gridCol w:w="974"/>
        <w:gridCol w:w="978"/>
        <w:gridCol w:w="293"/>
        <w:gridCol w:w="1049"/>
        <w:gridCol w:w="176"/>
        <w:gridCol w:w="500"/>
        <w:gridCol w:w="500"/>
        <w:gridCol w:w="502"/>
        <w:gridCol w:w="185"/>
        <w:gridCol w:w="185"/>
        <w:gridCol w:w="186"/>
        <w:gridCol w:w="368"/>
        <w:gridCol w:w="1314"/>
        <w:gridCol w:w="322"/>
      </w:tblGrid>
      <w:tr>
        <w:trPr/>
        <w:tc>
          <w:tcPr>
            <w:tcW w:w="5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SiTime Corporation</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Historical Income Statement</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line item</w:t>
            </w:r>
          </w:p>
        </w:tc>
        <w:tc>
          <w:tcPr>
            <w:tcW w:w="3043"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Historical Statement of Revenue and Direct Expenses line item</w:t>
            </w:r>
          </w:p>
        </w:tc>
        <w:tc>
          <w:tcPr>
            <w:tcW w:w="151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for the six-month period ended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June 30, 2026</w:t>
            </w:r>
          </w:p>
        </w:tc>
        <w:tc>
          <w:tcPr>
            <w:tcW w:w="1502"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Reclassification Adjustments</w:t>
            </w:r>
          </w:p>
        </w:tc>
        <w:tc>
          <w:tcPr>
            <w:tcW w:w="55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Notes</w:t>
            </w:r>
          </w:p>
        </w:tc>
        <w:tc>
          <w:tcPr>
            <w:tcW w:w="200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Reclassified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for the six-month period ended June 30, 2026</w:t>
            </w:r>
          </w:p>
        </w:tc>
      </w:tr>
      <w:tr>
        <w:trPr/>
        <w:tc>
          <w:tcPr>
            <w:tcW w:w="1582"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Revenue</w:t>
            </w:r>
          </w:p>
        </w:tc>
        <w:tc>
          <w:tcPr>
            <w:tcW w:w="3043"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Product revenue</w:t>
            </w:r>
          </w:p>
        </w:tc>
        <w:tc>
          <w:tcPr>
            <w:tcW w:w="29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4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153,038 </w:t>
            </w:r>
          </w:p>
        </w:tc>
        <w:tc>
          <w:tcPr>
            <w:tcW w:w="176"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31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153,038 </w:t>
            </w:r>
          </w:p>
        </w:tc>
        <w:tc>
          <w:tcPr>
            <w:tcW w:w="32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Direct expenses:</w:t>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Cost of revenue</w:t>
            </w:r>
          </w:p>
        </w:tc>
        <w:tc>
          <w:tcPr>
            <w:tcW w:w="304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57,004 </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3(d), 3(g)</w:t>
            </w:r>
          </w:p>
        </w:tc>
        <w:tc>
          <w:tcPr>
            <w:tcW w:w="16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57,004 </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Cost of Sales (exclusive of amortization shown separately below)</w:t>
            </w:r>
          </w:p>
        </w:tc>
        <w:tc>
          <w:tcPr>
            <w:tcW w:w="134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34,192 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(34,192)</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3(d)</w:t>
            </w:r>
          </w:p>
        </w:tc>
        <w:tc>
          <w:tcPr>
            <w:tcW w:w="16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Gross profit</w:t>
            </w:r>
          </w:p>
        </w:tc>
        <w:tc>
          <w:tcPr>
            <w:tcW w:w="304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131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96,034</w:t>
            </w:r>
            <w:r>
              <w:rPr>
                <w:color w:val="000000"/>
              </w:rPr>
              <w:t> </w:t>
            </w:r>
          </w:p>
        </w:tc>
        <w:tc>
          <w:tcPr>
            <w:tcW w:w="32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Operating expense:</w:t>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Research and development</w:t>
            </w:r>
          </w:p>
        </w:tc>
        <w:tc>
          <w:tcPr>
            <w:tcW w:w="304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16,559 </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3(e)</w:t>
            </w:r>
          </w:p>
        </w:tc>
        <w:tc>
          <w:tcPr>
            <w:tcW w:w="16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16,559 </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Research and development (exclusive of amortization shown separately below)</w:t>
            </w:r>
          </w:p>
        </w:tc>
        <w:tc>
          <w:tcPr>
            <w:tcW w:w="134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16,559 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(16,559)</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3(e)</w:t>
            </w:r>
          </w:p>
        </w:tc>
        <w:tc>
          <w:tcPr>
            <w:tcW w:w="16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Selling, general and administrative</w:t>
            </w:r>
          </w:p>
        </w:tc>
        <w:tc>
          <w:tcPr>
            <w:tcW w:w="304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3,595 </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3(f), 3(g)</w:t>
            </w:r>
          </w:p>
        </w:tc>
        <w:tc>
          <w:tcPr>
            <w:tcW w:w="16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3,595 </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Selling, general and administrative (exclusive of amortization shown separately below)</w:t>
            </w:r>
          </w:p>
        </w:tc>
        <w:tc>
          <w:tcPr>
            <w:tcW w:w="134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(3,579)</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3(f)</w:t>
            </w:r>
          </w:p>
        </w:tc>
        <w:tc>
          <w:tcPr>
            <w:tcW w:w="16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Amortization of intangible assets</w:t>
            </w:r>
          </w:p>
        </w:tc>
        <w:tc>
          <w:tcPr>
            <w:tcW w:w="134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22,828 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(22,828)</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3(g)</w:t>
            </w:r>
          </w:p>
        </w:tc>
        <w:tc>
          <w:tcPr>
            <w:tcW w:w="16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Total operating expenses</w:t>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20,154 </w:t>
            </w:r>
          </w:p>
        </w:tc>
        <w:tc>
          <w:tcPr>
            <w:tcW w:w="3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Income (loss) from operations</w:t>
            </w:r>
          </w:p>
        </w:tc>
        <w:tc>
          <w:tcPr>
            <w:tcW w:w="304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75,880</w:t>
            </w:r>
            <w:r>
              <w:rPr>
                <w:color w:val="000000"/>
              </w:rPr>
              <w:t> </w:t>
            </w:r>
          </w:p>
        </w:tc>
        <w:tc>
          <w:tcPr>
            <w:tcW w:w="32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75,880</w:t>
            </w:r>
            <w:r>
              <w:rPr>
                <w:color w:val="000000"/>
              </w:rPr>
              <w:t> </w:t>
            </w:r>
          </w:p>
        </w:tc>
        <w:tc>
          <w:tcPr>
            <w:tcW w:w="3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Net income (loss)</w:t>
            </w:r>
          </w:p>
        </w:tc>
        <w:tc>
          <w:tcPr>
            <w:tcW w:w="3043"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Revenue less direct expenses</w:t>
            </w:r>
          </w:p>
        </w:tc>
        <w:tc>
          <w:tcPr>
            <w:tcW w:w="293"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1049"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75,880</w:t>
            </w:r>
            <w:r>
              <w:rPr>
                <w:color w:val="000000"/>
              </w:rPr>
              <w:t> </w:t>
            </w:r>
          </w:p>
        </w:tc>
        <w:tc>
          <w:tcPr>
            <w:tcW w:w="17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502"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131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75,880</w:t>
            </w:r>
            <w:r>
              <w:rPr>
                <w:color w:val="000000"/>
              </w:rPr>
              <w:t> </w:t>
            </w:r>
          </w:p>
        </w:tc>
        <w:tc>
          <w:tcPr>
            <w:tcW w:w="322"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306"/>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(d)Reflects the adjustment to reclassify $34.2 million of Cost of Sales (exclusive of amortization shown separately below) to Cost of revenue.</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(e)Reflects the adjustment to reclassify $16.6 million of Research and development (exclusive of amortization shown separately below) to Research and development.</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(f)Reflects the adjustment to reclassify $3.6 million of Selling, general and administrative (exclusive of amortization shown separately below) to Selling, general and administrative.</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(g)Reflects the adjustment to reclassify $22.8 million of amortization expense related to intangible assets based on the nature of the underlying assets, of which $22.7 million was reclassified to cost of revenue.</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Refer to the table below for a summary of reclassifications made to conform the presentation of Timing Product Business Historical Statement of Revenue and Direct Expenses with that of SiTime Historical Income Statement for the year ended December 31, 2025:</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5"/>
        <w:gridCol w:w="534"/>
        <w:gridCol w:w="537"/>
        <w:gridCol w:w="1218"/>
        <w:gridCol w:w="1122"/>
        <w:gridCol w:w="1128"/>
        <w:gridCol w:w="271"/>
        <w:gridCol w:w="970"/>
        <w:gridCol w:w="163"/>
        <w:gridCol w:w="394"/>
        <w:gridCol w:w="236"/>
        <w:gridCol w:w="236"/>
        <w:gridCol w:w="236"/>
        <w:gridCol w:w="236"/>
        <w:gridCol w:w="241"/>
        <w:gridCol w:w="192"/>
        <w:gridCol w:w="192"/>
        <w:gridCol w:w="194"/>
        <w:gridCol w:w="264"/>
        <w:gridCol w:w="967"/>
        <w:gridCol w:w="239"/>
      </w:tblGrid>
      <w:tr>
        <w:trPr/>
        <w:tc>
          <w:tcPr>
            <w:tcW w:w="63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SiTime Corporation</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Historical Income Statement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line item</w:t>
            </w:r>
          </w:p>
        </w:tc>
        <w:tc>
          <w:tcPr>
            <w:tcW w:w="346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Timing Product Business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Historical Statement of Revenue and Direct Expenses line item</w:t>
            </w:r>
          </w:p>
        </w:tc>
        <w:tc>
          <w:tcPr>
            <w:tcW w:w="140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for the year ended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December 31, 2025</w:t>
            </w:r>
          </w:p>
        </w:tc>
        <w:tc>
          <w:tcPr>
            <w:tcW w:w="157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Reclassification Adjustments</w:t>
            </w:r>
          </w:p>
        </w:tc>
        <w:tc>
          <w:tcPr>
            <w:tcW w:w="57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Notes</w:t>
            </w:r>
          </w:p>
        </w:tc>
        <w:tc>
          <w:tcPr>
            <w:tcW w:w="1470"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Timing Product Business</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Reclassified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 xml:space="preserve">for the year ended </w:t>
            </w:r>
          </w:p>
          <w:p>
            <w:pPr>
              <w:pStyle w:val="TableContents"/>
              <w:bidi w:val="0"/>
              <w:spacing w:lineRule="auto" w:line="321" w:before="0" w:after="160"/>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1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Revenue</w:t>
            </w:r>
          </w:p>
        </w:tc>
        <w:tc>
          <w:tcPr>
            <w:tcW w:w="346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Product revenue</w:t>
            </w:r>
          </w:p>
        </w:tc>
        <w:tc>
          <w:tcPr>
            <w:tcW w:w="271"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70"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207,744 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44" w:type="dxa"/>
            <w:gridSpan w:val="4"/>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967"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207,744 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Direct expenses:</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Cost of revenue</w:t>
            </w:r>
          </w:p>
        </w:tc>
        <w:tc>
          <w:tcPr>
            <w:tcW w:w="34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96,086 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3(h), 3(k)</w:t>
            </w:r>
          </w:p>
        </w:tc>
        <w:tc>
          <w:tcPr>
            <w:tcW w:w="123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96,086 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Cost of Sales (exclusive of amortization shown separately below)</w:t>
            </w:r>
          </w:p>
        </w:tc>
        <w:tc>
          <w:tcPr>
            <w:tcW w:w="124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50,461 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(50,461)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3(h)</w:t>
            </w:r>
          </w:p>
        </w:tc>
        <w:tc>
          <w:tcPr>
            <w:tcW w:w="123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Gross profit</w:t>
            </w:r>
          </w:p>
        </w:tc>
        <w:tc>
          <w:tcPr>
            <w:tcW w:w="34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6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111,658</w:t>
            </w:r>
            <w:r>
              <w:rPr>
                <w:color w:val="000000"/>
              </w:rPr>
              <w:t> </w:t>
            </w:r>
          </w:p>
        </w:tc>
        <w:tc>
          <w:tcPr>
            <w:tcW w:w="239"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Operating expense:</w:t>
            </w:r>
          </w:p>
        </w:tc>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Research and development</w:t>
            </w:r>
          </w:p>
        </w:tc>
        <w:tc>
          <w:tcPr>
            <w:tcW w:w="34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29,347 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3(i)</w:t>
            </w:r>
          </w:p>
        </w:tc>
        <w:tc>
          <w:tcPr>
            <w:tcW w:w="123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29,347 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Research and development (exclusive of amortization shown separately below)</w:t>
            </w:r>
          </w:p>
        </w:tc>
        <w:tc>
          <w:tcPr>
            <w:tcW w:w="124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29,347 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(29,347)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3(i)</w:t>
            </w:r>
          </w:p>
        </w:tc>
        <w:tc>
          <w:tcPr>
            <w:tcW w:w="123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Selling, general and administrative</w:t>
            </w:r>
          </w:p>
        </w:tc>
        <w:tc>
          <w:tcPr>
            <w:tcW w:w="34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6,158 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3(j), 3(k)</w:t>
            </w:r>
          </w:p>
        </w:tc>
        <w:tc>
          <w:tcPr>
            <w:tcW w:w="123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6,158 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Selling, general and administrative (exclusive of amortization shown separately below)</w:t>
            </w:r>
          </w:p>
        </w:tc>
        <w:tc>
          <w:tcPr>
            <w:tcW w:w="124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6,124 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(6,124)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3(j)</w:t>
            </w:r>
          </w:p>
        </w:tc>
        <w:tc>
          <w:tcPr>
            <w:tcW w:w="123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Amortization of intangible assets</w:t>
            </w:r>
          </w:p>
        </w:tc>
        <w:tc>
          <w:tcPr>
            <w:tcW w:w="124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45,659 </w:t>
            </w:r>
          </w:p>
        </w:tc>
        <w:tc>
          <w:tcPr>
            <w:tcW w:w="1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(45,659)</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5"/>
              </w:rPr>
            </w:pPr>
            <w:r>
              <w:rPr>
                <w:rFonts w:ascii="Times New Roman;serif" w:hAnsi="Times New Roman;serif"/>
                <w:b w:val="false"/>
                <w:color w:val="000000"/>
                <w:sz w:val="15"/>
              </w:rPr>
              <w:t>3(k)</w:t>
            </w:r>
          </w:p>
        </w:tc>
        <w:tc>
          <w:tcPr>
            <w:tcW w:w="123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5"/>
              </w:rPr>
            </w:pPr>
            <w:r>
              <w:rPr>
                <w:rFonts w:ascii="Times New Roman;serif" w:hAnsi="Times New Roman;serif"/>
                <w:b w:val="false"/>
                <w:color w:val="000000"/>
                <w:sz w:val="15"/>
              </w:rPr>
              <w:t>Total operating expenses</w:t>
            </w:r>
          </w:p>
        </w:tc>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5"/>
              </w:rPr>
            </w:pPr>
            <w:r>
              <w:rPr>
                <w:rFonts w:ascii="Times New Roman;serif" w:hAnsi="Times New Roman;serif"/>
                <w:b w:val="false"/>
                <w:color w:val="000000"/>
                <w:sz w:val="15"/>
              </w:rPr>
              <w:t>35,505 </w:t>
            </w:r>
          </w:p>
        </w:tc>
        <w:tc>
          <w:tcPr>
            <w:tcW w:w="23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Income (loss) from operations</w:t>
            </w:r>
          </w:p>
        </w:tc>
        <w:tc>
          <w:tcPr>
            <w:tcW w:w="34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76,153</w:t>
            </w:r>
            <w:r>
              <w:rPr>
                <w:color w:val="000000"/>
              </w:rPr>
              <w:t> </w:t>
            </w:r>
          </w:p>
        </w:tc>
        <w:tc>
          <w:tcPr>
            <w:tcW w:w="239"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76,153</w:t>
            </w:r>
            <w:r>
              <w:rPr>
                <w:color w:val="000000"/>
              </w:rPr>
              <w:t> </w:t>
            </w:r>
          </w:p>
        </w:tc>
        <w:tc>
          <w:tcPr>
            <w:tcW w:w="23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Net Income (loss)</w:t>
            </w:r>
          </w:p>
        </w:tc>
        <w:tc>
          <w:tcPr>
            <w:tcW w:w="3468"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5"/>
              </w:rPr>
            </w:pPr>
            <w:r>
              <w:rPr>
                <w:rFonts w:ascii="Times New Roman;serif" w:hAnsi="Times New Roman;serif"/>
                <w:b/>
                <w:color w:val="000000"/>
                <w:sz w:val="15"/>
              </w:rPr>
              <w:t>Revenue less direct expenses</w:t>
            </w:r>
          </w:p>
        </w:tc>
        <w:tc>
          <w:tcPr>
            <w:tcW w:w="271"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70"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76,153</w:t>
            </w:r>
            <w:r>
              <w:rPr>
                <w:color w:val="000000"/>
              </w:rPr>
              <w:t> </w:t>
            </w:r>
          </w:p>
        </w:tc>
        <w:tc>
          <w:tcPr>
            <w:tcW w:w="163"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8" w:type="dxa"/>
            <w:gridSpan w:val="5"/>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w:t>
            </w:r>
            <w:r>
              <w:rPr>
                <w:color w:val="000000"/>
              </w:rPr>
              <w:t> </w:t>
            </w:r>
          </w:p>
        </w:tc>
        <w:tc>
          <w:tcPr>
            <w:tcW w:w="241"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5"/>
              </w:rPr>
            </w:pPr>
            <w:r>
              <w:rPr>
                <w:rFonts w:ascii="Times New Roman;serif" w:hAnsi="Times New Roman;serif"/>
                <w:b/>
                <w:color w:val="000000"/>
                <w:sz w:val="15"/>
              </w:rPr>
              <w:t>$</w:t>
            </w:r>
          </w:p>
        </w:tc>
        <w:tc>
          <w:tcPr>
            <w:tcW w:w="967"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5"/>
              </w:rPr>
              <w:t>76,153</w:t>
            </w:r>
            <w:r>
              <w:rPr>
                <w:color w:val="000000"/>
              </w:rPr>
              <w:t> </w:t>
            </w:r>
          </w:p>
        </w:tc>
        <w:tc>
          <w:tcPr>
            <w:tcW w:w="239"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306"/>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(h)Reflects the adjustment to reclassify $50.5 million of Cost of Sales (exclusive of amortization shown separately below) to Cost of revenue.</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(i)Reflects the adjustment to reclassify $29.3 million of Research and development (exclusive of amortization shown separately below) to Research and development.</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(j)Reflects the adjustment to reclassify $6.1 million of Selling, general and administrative (exclusive of amortization shown separately below) to Selling, general and administrative.</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(k)Reflects the adjustment to reclassify $45.7 million of amortization expense related to intangible assets based on the nature of the underlying assets, of which $45.6 million was reclassified to cost of revenue and $0.1 million to selling, general and administrative expenses.</w:t>
      </w:r>
    </w:p>
    <w:p>
      <w:pPr>
        <w:pStyle w:val="TextBody"/>
        <w:bidi w:val="0"/>
        <w:spacing w:lineRule="auto" w:line="288" w:before="0" w:after="0"/>
        <w:jc w:val="both"/>
        <w:rPr>
          <w:rFonts w:ascii="Times New Roman;serif" w:hAnsi="Times New Roman;serif"/>
          <w:b/>
          <w:color w:val="010000"/>
          <w:sz w:val="17"/>
        </w:rPr>
      </w:pPr>
      <w:r>
        <w:rPr>
          <w:rFonts w:ascii="Times New Roman;serif" w:hAnsi="Times New Roman;serif"/>
          <w:b/>
          <w:color w:val="010000"/>
          <w:sz w:val="17"/>
        </w:rPr>
        <w:t>Note 4. Calculation of Acquisition Consideration and Preliminary Purchase Price Allocation</w:t>
      </w:r>
    </w:p>
    <w:p>
      <w:pPr>
        <w:pStyle w:val="TextBody"/>
        <w:bidi w:val="0"/>
        <w:spacing w:before="0" w:after="0"/>
        <w:jc w:val="both"/>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unaudited pro forma condensed combined financial information reflects the acquisition of Timing Product Business for a preliminary acquisition consideration of approximately $4.0 billion. The fair value of the acquisition consideration transferred on the Closing Date includes approximately $1.5 billion of cash consideration; the fair value of 3,558,691 shares of SiTime common stock transferred, valued using the closing price of SiTime common stock of $703.84 per share on July 1, 2026; the fair value of Timing Product Business replacement awards attributable to pre-combination services; the settlement of the pre-existing relationship between SiTime and Timing Product Business, and a reduction for SiTime transaction expenses borne by the Seller. The calculation of preliminary acquisition consideration is as follows:</w:t>
      </w:r>
    </w:p>
    <w:tbl>
      <w:tblPr>
        <w:tblW w:w="5825" w:type="dxa"/>
        <w:jc w:val="left"/>
        <w:tblInd w:w="0" w:type="dxa"/>
        <w:tblLayout w:type="fixed"/>
        <w:tblCellMar>
          <w:top w:w="28" w:type="dxa"/>
          <w:left w:w="28" w:type="dxa"/>
          <w:bottom w:w="28" w:type="dxa"/>
          <w:right w:w="28" w:type="dxa"/>
        </w:tblCellMar>
      </w:tblPr>
      <w:tblGrid>
        <w:gridCol w:w="1661"/>
        <w:gridCol w:w="1459"/>
        <w:gridCol w:w="1469"/>
        <w:gridCol w:w="196"/>
        <w:gridCol w:w="88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7"/>
              </w:rPr>
              <w:t>Consideration transferred</w:t>
              <w:br/>
            </w:r>
            <w:r>
              <w:rPr>
                <w:rFonts w:ascii="Times New Roman;serif" w:hAnsi="Times New Roman;serif"/>
                <w:b/>
                <w:i/>
                <w:color w:val="000000"/>
                <w:sz w:val="17"/>
              </w:rPr>
              <w:t>(In thousands)</w:t>
            </w:r>
          </w:p>
        </w:tc>
        <w:tc>
          <w:tcPr>
            <w:tcW w:w="12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Amounts</w:t>
            </w:r>
          </w:p>
        </w:tc>
      </w:tr>
      <w:tr>
        <w:trPr/>
        <w:tc>
          <w:tcPr>
            <w:tcW w:w="4589"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Cash consideration</w:t>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1,499,250 </w:t>
            </w:r>
          </w:p>
        </w:tc>
        <w:tc>
          <w:tcPr>
            <w:tcW w:w="15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Stock consideration, 3,558,691 shares at $703.84 per share</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2,504,749 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Pre-combination portion of replacement award arrangements (a)</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Settlement of pre-existing relationships (b)</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2,090 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Acquirer's transaction expenses borne by the Seller (c)</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7"/>
              </w:rPr>
            </w:pPr>
            <w:r>
              <w:rPr>
                <w:rFonts w:ascii="Times New Roman;serif" w:hAnsi="Times New Roman;serif"/>
                <w:b/>
                <w:color w:val="000000"/>
                <w:sz w:val="17"/>
              </w:rPr>
              <w:t xml:space="preserve">Fair value of purchase consideration transferred </w:t>
            </w:r>
          </w:p>
        </w:tc>
        <w:tc>
          <w:tcPr>
            <w:tcW w:w="19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4,006,106</w:t>
            </w:r>
            <w:r>
              <w:rPr>
                <w:color w:val="000000"/>
              </w:rPr>
              <w:t> </w:t>
            </w:r>
          </w:p>
        </w:tc>
        <w:tc>
          <w:tcPr>
            <w:tcW w:w="154"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21"/>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(a)Represents the estimated fair value of replacement awards attributable to pre-combination service, comprising approximately $59 thousand related to equity-settled awards and approximately $27 thousand related to cash-settled awards. In accordance with ASC 805, the portion attributable to pre-combination service is included in purchase consideration, while the portion attributable to post-combination service is recognized as compensation expense over the applicable requisite service periods, as described in Note 6(iv).</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(b)Represents the contract-based royalty intangible asset arising from a pre-existing arrangement between SiTime and Timing Product Business relating to intellectual property of Aura Semiconductor Pvt. Ltd. ("Aura"), which is settled as part of the business combination in accordance with ASC 805. The amount associated with this balance has been included in the determination of purchase consideration, with the corresponding derecognition of the related asset in Note 5(i). The Company has evaluated the underlying contractual terms of the royalty arrangement and concluded that they are consistent with prevailing market conditions. Accordingly, no off-market element has been identified, and no separate gain or loss has been recognized upon settlement.</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(c)Represents the portion of Malaysian stamp duty taxes contractually borne by Renesas under the Asset Purchase Agreement. As SiTime is legally obligated as transferee to remit the full amount, the entire stamp duty is recognized as an acquisition-related cost as part of Note 6(vi). Renesas’ share is recorded as a receivable within prepaid expenses and other current assets, with a corresponding reduction of the consideration transferred because the seller-funded payment is for the benefit of SiTime and is accounted for separately from the business combination in accordance with ASC 805.</w:t>
      </w:r>
    </w:p>
    <w:p>
      <w:pPr>
        <w:pStyle w:val="TextBody"/>
        <w:bidi w:val="0"/>
        <w:spacing w:lineRule="auto" w:line="321" w:before="0" w:after="160"/>
        <w:jc w:val="left"/>
        <w:rPr>
          <w:rFonts w:ascii="Times New Roman;serif" w:hAnsi="Times New Roman;serif"/>
          <w:b/>
          <w:color w:val="000000"/>
          <w:sz w:val="17"/>
        </w:rPr>
      </w:pPr>
      <w:r>
        <w:rPr>
          <w:rFonts w:ascii="Times New Roman;serif" w:hAnsi="Times New Roman;serif"/>
          <w:b/>
          <w:color w:val="000000"/>
          <w:sz w:val="17"/>
        </w:rPr>
        <w:t>Preliminary Purchase Price Allocation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Under the acquisition method of accounting, Timing Product Business’ identifiable assets acquired and liabilities assumed by SiTime have been recorded at their acquisition-date fair values. The excess of the purchase consideration over the fair value of the identifiable net assets acquired is recorded as goodwill. The pro forma adjustments are preliminary, are based on estimates of the fair values and useful lives of the assets acquired and liabilities assumed and are presented to illustrate the estimated effect of the Acquisition. The final determination of purchase price allocation will be completed within the measurement period, which will not exceed one year from the Closing Date. The final amounts allocated could differ significantly from those presented in the unaudited pro forma condensed combined financial information. Accordingly, the preliminary purchase price allocation is subject to adjustment as additional information becomes available and additional analyses and final valuations are completed. There can be no assurance that these analyses and valuations will not result in material changes to the preliminary fair values set forth below. The following table presents the preliminary allocation of the acquisition consideration to Timing Product Business’ identifiable tangible and intangible assets acquired and liabilities assumed by SiTime, as if the acquisition had been completed on June 30, 2026, based on Timing Product Business’ unaudited statement of assets acquired and liabilities assumed as of June 30, 2026, adjusted for the reclassifications and accounting policy adjustments discussed in Note 3, with the excess recorded as goodwill:</w:t>
      </w:r>
    </w:p>
    <w:tbl>
      <w:tblPr>
        <w:tblW w:w="5076" w:type="dxa"/>
        <w:jc w:val="left"/>
        <w:tblInd w:w="0" w:type="dxa"/>
        <w:tblLayout w:type="fixed"/>
        <w:tblCellMar>
          <w:top w:w="28" w:type="dxa"/>
          <w:left w:w="28" w:type="dxa"/>
          <w:bottom w:w="28" w:type="dxa"/>
          <w:right w:w="28" w:type="dxa"/>
        </w:tblCellMar>
      </w:tblPr>
      <w:tblGrid>
        <w:gridCol w:w="1391"/>
        <w:gridCol w:w="1223"/>
        <w:gridCol w:w="1226"/>
        <w:gridCol w:w="196"/>
        <w:gridCol w:w="88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Preliminary allocation of consideration transferred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i/>
                <w:color w:val="000000"/>
                <w:sz w:val="17"/>
              </w:rPr>
            </w:pPr>
            <w:r>
              <w:rPr>
                <w:rFonts w:ascii="Times New Roman;serif" w:hAnsi="Times New Roman;serif"/>
                <w:b/>
                <w:i/>
                <w:color w:val="000000"/>
                <w:sz w:val="17"/>
              </w:rPr>
              <w:t>(In thousands)</w:t>
            </w:r>
          </w:p>
        </w:tc>
        <w:tc>
          <w:tcPr>
            <w:tcW w:w="12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Fair value</w:t>
            </w:r>
          </w:p>
        </w:tc>
      </w:tr>
      <w:tr>
        <w:trPr/>
        <w:tc>
          <w:tcPr>
            <w:tcW w:w="3840"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2,740 </w:t>
            </w:r>
          </w:p>
        </w:tc>
        <w:tc>
          <w:tcPr>
            <w:tcW w:w="15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5,667 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2,120,026 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Right-of-use assets, net</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1,242 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Total assets</w:t>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2,129,675</w:t>
            </w:r>
            <w:r>
              <w:rPr>
                <w:color w:val="000000"/>
              </w:rPr>
              <w:t> </w:t>
            </w:r>
          </w:p>
        </w:tc>
        <w:tc>
          <w:tcPr>
            <w:tcW w:w="15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1,079 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Net assets acquired (a)</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2,128,419</w:t>
            </w: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Estimated purchase consideration (b)</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4,006,106 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Goodwill (b) – (a)</w:t>
            </w:r>
          </w:p>
        </w:tc>
        <w:tc>
          <w:tcPr>
            <w:tcW w:w="19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1,877,687</w:t>
            </w:r>
            <w:r>
              <w:rPr>
                <w:color w:val="000000"/>
              </w:rPr>
              <w:t> </w:t>
            </w:r>
          </w:p>
        </w:tc>
        <w:tc>
          <w:tcPr>
            <w:tcW w:w="154"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306"/>
        <w:jc w:val="both"/>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Goodwill represents the excess of the preliminary estimated purchase consideration over the estimated fair value of the underlying net assets acquired. Goodwill will not be amortized but instead will be reviewed for impairment annually on the first day of the fourth fiscal quarter, or more frequently if facts and circumstances warrant a review. Goodwill is attributable to the assembled workforce of Timing Product Business, and planned growth within existing and new markets, and customers. Goodwill recognized in the acquisition is expected to be deductible for tax purposes.</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SiTime has not reflected deferred tax assets or liabilities in connection with the Acquisition because the transaction was completed as an asset purchase for U.S. federal income tax purposes, and SiTime received a stepped-up tax basis in the assets acquired and liabilities assumed equal to their respective fair values as of the date of the Acquisition. Therefore, there is no material basis difference in the assets acquired and liabilities assumed. There is also no change to SiTime’s valuation allowance position in the U.S. due to the Acquisition. The final allocation of the purchase price for U.S. federal income tax purposes has not been completed.</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5. Transaction Accounting Adjustments to Unaudited Pro Forma Condensed Combined Balance Sheet</w:t>
      </w:r>
    </w:p>
    <w:p>
      <w:pPr>
        <w:pStyle w:val="TextBody"/>
        <w:bidi w:val="0"/>
        <w:spacing w:before="0" w:after="0"/>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(i)Represents the preliminary acquisition consideration of approximately $4.0 billion, consisting of (a) approximately $1.5 billion of cash consideration paid at Closing, (b) the fair value of 3,558,691 shares of SiTime common stock issued, calculated using the closing price of SiTime common stock on the Closing Date, (c) the fair value of replacement awards attributable to pre-combination services, comprising approximately $59 thousand of equity-settled awards recorded in additional paid-in capital and approximately $27 thousand of cash-settled awards recorded in accrued expenses and other current liabilities, (d) the effective settlement of the pre-existing relationship between SiTime and Timing Product Business, comprising a contract-based royalty intangible asset of approximately $2.1 million settled as part of the business combination, and (e) a reduction for the portion of Malaysian stamp duty taxes contractually borne by Renesas, which is recorded as a receivable within prepaid expenses and other current assets. Refer to Note 4 for further details.</w:t>
      </w:r>
    </w:p>
    <w:p>
      <w:pPr>
        <w:pStyle w:val="TextBody"/>
        <w:bidi w:val="0"/>
        <w:spacing w:lineRule="auto" w:line="321"/>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(ii)Reflects the assumed payment of approximately $32.6 million of unpaid non-recurring transaction-related expenses associated with the Acquisition. Of this amount, approximately $8.4 million had been accrued as of June 30, 2026 and is reflected as a reduction to accrued expenses and other current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liabilities. The remaining approximately $24.2 million had not been recognized in SiTime’s historical financial statements as of June 30, 2026 and is reflected as an adjustment to accumulated deficit. </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(iii)Reflects the adjustment to record the acquired inventory at its estimated fair value, determined based on the estimated selling price of the inventory in the ordinary course of business, less costs to sell, resulting in a fair value equal to historical inventory cost plus an estimated gross profit margin calculated on a cost basis.</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(iv)Represents the net adjustment to the estimated fair value of intangible assets acquired in the Acquisition. Preliminary identifiable intangible assets in the pro forma financial information are provided in the table below. The estimated fair values of developed technology and brand assets were determined using the relief-from-royalty method. The estimated fair values of customer contracts and related relationships and order backlog were determined using the multi-period excess earnings method. The amortization related to these identifiable intangible assets is reflected as a pro forma adjustment in the unaudited pro forma condensed combined income statement, as further described in Note 6(ii). The identifiable intangible assets are preliminary and subject to change upon finalization of the purchase price allocation.</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general categories of the acquired identifiable intangible assets are the following:</w:t>
      </w:r>
    </w:p>
    <w:tbl>
      <w:tblPr>
        <w:tblW w:w="6094" w:type="dxa"/>
        <w:jc w:val="left"/>
        <w:tblInd w:w="0" w:type="dxa"/>
        <w:tblLayout w:type="fixed"/>
        <w:tblCellMar>
          <w:top w:w="28" w:type="dxa"/>
          <w:left w:w="28" w:type="dxa"/>
          <w:bottom w:w="28" w:type="dxa"/>
          <w:right w:w="28" w:type="dxa"/>
        </w:tblCellMar>
      </w:tblPr>
      <w:tblGrid>
        <w:gridCol w:w="1146"/>
        <w:gridCol w:w="1008"/>
        <w:gridCol w:w="1010"/>
        <w:gridCol w:w="196"/>
        <w:gridCol w:w="886"/>
        <w:gridCol w:w="109"/>
        <w:gridCol w:w="509"/>
        <w:gridCol w:w="509"/>
        <w:gridCol w:w="721"/>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i/>
                <w:color w:val="000000"/>
                <w:sz w:val="17"/>
              </w:rPr>
            </w:pPr>
            <w:r>
              <w:rPr>
                <w:rFonts w:ascii="Times New Roman;serif" w:hAnsi="Times New Roman;serif"/>
                <w:b/>
                <w:i/>
                <w:color w:val="000000"/>
                <w:sz w:val="17"/>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Fair value</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 xml:space="preserve">Estimated Useful Life </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(in years)</w:t>
            </w:r>
          </w:p>
        </w:tc>
      </w:tr>
      <w:tr>
        <w:trPr/>
        <w:tc>
          <w:tcPr>
            <w:tcW w:w="3164"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Developed technology</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1,600,000 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7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Customer contracts and related relationships</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462,000 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Order backlog</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51,000 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Brand assets</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Software</w:t>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Total identifiable intangible assets</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2,120,026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Historical intangible assets carrying value</w:t>
            </w:r>
          </w:p>
        </w:tc>
        <w:tc>
          <w:tcPr>
            <w:tcW w:w="1082"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35,599 </w:t>
            </w:r>
          </w:p>
        </w:tc>
        <w:tc>
          <w:tcPr>
            <w:tcW w:w="109"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adjustment</w:t>
            </w:r>
          </w:p>
        </w:tc>
        <w:tc>
          <w:tcPr>
            <w:tcW w:w="19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2,084,427</w:t>
            </w:r>
            <w:r>
              <w:rPr>
                <w:color w:val="000000"/>
              </w:rPr>
              <w:t> </w:t>
            </w:r>
          </w:p>
        </w:tc>
        <w:tc>
          <w:tcPr>
            <w:tcW w:w="109" w:type="dxa"/>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(v)Reflects the elimination of Timing Product Business’ historical right-of-use asset and lease liabilities of approximately $1.2 million upon remeasurement of the lease balances in accordance with ASC 842.</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(vi)Reflects the recognition of a right-of-use asset of approximately $1.2 million and corresponding current and non-current lease liabilities upon remeasurement of the lease balances using SiTime’s incremental borrowing rate in accordance with ASC 842.</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(vii)Represents the adjustment to goodwill based on the purchase price allocation.</w:t>
      </w:r>
    </w:p>
    <w:tbl>
      <w:tblPr>
        <w:tblW w:w="4865" w:type="dxa"/>
        <w:jc w:val="left"/>
        <w:tblInd w:w="0" w:type="dxa"/>
        <w:tblLayout w:type="fixed"/>
        <w:tblCellMar>
          <w:top w:w="28" w:type="dxa"/>
          <w:left w:w="28" w:type="dxa"/>
          <w:bottom w:w="28" w:type="dxa"/>
          <w:right w:w="28" w:type="dxa"/>
        </w:tblCellMar>
      </w:tblPr>
      <w:tblGrid>
        <w:gridCol w:w="1315"/>
        <w:gridCol w:w="1156"/>
        <w:gridCol w:w="1158"/>
        <w:gridCol w:w="196"/>
        <w:gridCol w:w="88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i/>
                <w:color w:val="000000"/>
                <w:sz w:val="17"/>
              </w:rPr>
            </w:pPr>
            <w:r>
              <w:rPr>
                <w:rFonts w:ascii="Times New Roman;serif" w:hAnsi="Times New Roman;serif"/>
                <w:b/>
                <w:i/>
                <w:color w:val="000000"/>
                <w:sz w:val="17"/>
              </w:rPr>
              <w:t>(In thousands)</w:t>
            </w:r>
          </w:p>
        </w:tc>
        <w:tc>
          <w:tcPr>
            <w:tcW w:w="12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Amounts</w:t>
            </w:r>
          </w:p>
        </w:tc>
      </w:tr>
      <w:tr>
        <w:trPr/>
        <w:tc>
          <w:tcPr>
            <w:tcW w:w="3629"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Goodwill resulting from the Acquisition</w:t>
            </w:r>
          </w:p>
        </w:tc>
        <w:tc>
          <w:tcPr>
            <w:tcW w:w="19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1,877,687 </w:t>
            </w:r>
          </w:p>
        </w:tc>
        <w:tc>
          <w:tcPr>
            <w:tcW w:w="15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Less: Timing Product Business’ historical goodwill</w:t>
            </w:r>
          </w:p>
        </w:tc>
        <w:tc>
          <w:tcPr>
            <w:tcW w:w="108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(382,299)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adjustment</w:t>
            </w:r>
          </w:p>
        </w:tc>
        <w:tc>
          <w:tcPr>
            <w:tcW w:w="19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1,495,388</w:t>
            </w:r>
            <w:r>
              <w:rPr>
                <w:color w:val="000000"/>
              </w:rPr>
              <w:t> </w:t>
            </w:r>
          </w:p>
        </w:tc>
        <w:tc>
          <w:tcPr>
            <w:tcW w:w="15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471"/>
        <w:jc w:val="both"/>
        <w:rPr/>
      </w:pPr>
      <w:r>
        <w:rPr/>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(viii)Reflects the elimination of Timing Product Business’ historical equity as of the Closing Date.</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6. Transaction Accounting Adjustments to Unaudited Pro Forma Condensed Combined Income Statement</w:t>
      </w:r>
    </w:p>
    <w:p>
      <w:pPr>
        <w:pStyle w:val="TextBody"/>
        <w:bidi w:val="0"/>
        <w:spacing w:before="0" w:after="0"/>
        <w:jc w:val="left"/>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(i)Reflects the elimination of intercompany royalty revenue and expense arising from the licensing arrangement between Aura Semiconductor Pvt. Ltd. (“Aura”) and Timing Product Business following the settlement of the related contract-based royalty intangible asset recorded as a balance sheet adjustment in Note 5(i) above.</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(ii)Represents the adjustment to record elimination of historical amortization expense and recognition of new amortization expense related to acquired identifiable intangible assets based on the estimated fair value and the associated estimated useful life. Amortization expense is calculated based on the estimated fair value of each of the identifiable intangible assets and the associated estimated useful life as discussed in Note 5(iv). The amortization is based on the periods over which the economic benefits of the intangible assets are expected to be realized, which are subject to adjustment as additional information becomes available.</w:t>
      </w:r>
    </w:p>
    <w:tbl>
      <w:tblPr>
        <w:tblW w:w="6749" w:type="dxa"/>
        <w:jc w:val="left"/>
        <w:tblInd w:w="0" w:type="dxa"/>
        <w:tblLayout w:type="fixed"/>
        <w:tblCellMar>
          <w:top w:w="28" w:type="dxa"/>
          <w:left w:w="28" w:type="dxa"/>
          <w:bottom w:w="28" w:type="dxa"/>
          <w:right w:w="28" w:type="dxa"/>
        </w:tblCellMar>
      </w:tblPr>
      <w:tblGrid>
        <w:gridCol w:w="1147"/>
        <w:gridCol w:w="1007"/>
        <w:gridCol w:w="1011"/>
        <w:gridCol w:w="404"/>
        <w:gridCol w:w="1365"/>
        <w:gridCol w:w="225"/>
        <w:gridCol w:w="283"/>
        <w:gridCol w:w="1085"/>
        <w:gridCol w:w="222"/>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7"/>
              </w:rPr>
              <w:t>Amortization Expense</w:t>
            </w:r>
            <w:r>
              <w:rPr>
                <w:rFonts w:ascii="Times New Roman;serif" w:hAnsi="Times New Roman;serif"/>
                <w:b/>
                <w:i/>
                <w:color w:val="000000"/>
                <w:sz w:val="17"/>
              </w:rPr>
              <w:br/>
              <w:t>(In thousands)</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For the Six Months Ended</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June 30, 2026</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For the Year Ended</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165"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Developed technology</w:t>
            </w:r>
          </w:p>
        </w:tc>
        <w:tc>
          <w:tcPr>
            <w:tcW w:w="404"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36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70,000 </w:t>
            </w:r>
          </w:p>
        </w:tc>
        <w:tc>
          <w:tcPr>
            <w:tcW w:w="225"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85"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140,000 </w:t>
            </w:r>
          </w:p>
        </w:tc>
        <w:tc>
          <w:tcPr>
            <w:tcW w:w="22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Customer contracts and related relationships</w:t>
            </w:r>
          </w:p>
        </w:tc>
        <w:tc>
          <w:tcPr>
            <w:tcW w:w="1769"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19,261 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38,522 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Order backlog</w:t>
            </w:r>
          </w:p>
        </w:tc>
        <w:tc>
          <w:tcPr>
            <w:tcW w:w="1769"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51,000 </w:t>
            </w:r>
          </w:p>
        </w:tc>
        <w:tc>
          <w:tcPr>
            <w:tcW w:w="22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Brand assets</w:t>
            </w:r>
          </w:p>
        </w:tc>
        <w:tc>
          <w:tcPr>
            <w:tcW w:w="1769"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583 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1,167 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Total identifiable intangible assets</w:t>
            </w:r>
          </w:p>
        </w:tc>
        <w:tc>
          <w:tcPr>
            <w:tcW w:w="404"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1365"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89,844</w:t>
            </w:r>
            <w:r>
              <w:rPr>
                <w:color w:val="000000"/>
              </w:rPr>
              <w:t> </w:t>
            </w:r>
          </w:p>
        </w:tc>
        <w:tc>
          <w:tcPr>
            <w:tcW w:w="225"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1085"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230,689</w:t>
            </w:r>
            <w:r>
              <w:rPr>
                <w:color w:val="000000"/>
              </w:rPr>
              <w:t> </w:t>
            </w:r>
          </w:p>
        </w:tc>
        <w:tc>
          <w:tcPr>
            <w:tcW w:w="222" w:type="dxa"/>
            <w:tcBorders>
              <w:top w:val="single" w:sz="4" w:space="0" w:color="000000"/>
              <w:bottom w:val="single" w:sz="4"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87" w:type="dxa"/>
        <w:jc w:val="left"/>
        <w:tblInd w:w="0" w:type="dxa"/>
        <w:tblLayout w:type="fixed"/>
        <w:tblCellMar>
          <w:top w:w="28" w:type="dxa"/>
          <w:left w:w="28" w:type="dxa"/>
          <w:bottom w:w="28" w:type="dxa"/>
          <w:right w:w="28" w:type="dxa"/>
        </w:tblCellMar>
      </w:tblPr>
      <w:tblGrid>
        <w:gridCol w:w="1674"/>
        <w:gridCol w:w="1468"/>
        <w:gridCol w:w="1478"/>
        <w:gridCol w:w="196"/>
        <w:gridCol w:w="661"/>
        <w:gridCol w:w="109"/>
        <w:gridCol w:w="196"/>
        <w:gridCol w:w="75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Less: historical amortization expense classified in cost of revenue</w:t>
            </w:r>
          </w:p>
        </w:tc>
        <w:tc>
          <w:tcPr>
            <w:tcW w:w="85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22,812 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45,625 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adjustment for incremental amortization expense</w:t>
            </w:r>
          </w:p>
        </w:tc>
        <w:tc>
          <w:tcPr>
            <w:tcW w:w="19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67,032</w:t>
            </w:r>
            <w:r>
              <w:rPr>
                <w:color w:val="000000"/>
              </w:rPr>
              <w:t> </w:t>
            </w:r>
          </w:p>
        </w:tc>
        <w:tc>
          <w:tcPr>
            <w:tcW w:w="109"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7"/>
              </w:rPr>
              <w:t>185,064</w:t>
            </w:r>
            <w:r>
              <w:rPr>
                <w:color w:val="000000"/>
              </w:rPr>
              <w:t> </w:t>
            </w:r>
          </w:p>
        </w:tc>
        <w:tc>
          <w:tcPr>
            <w:tcW w:w="154" w:type="dxa"/>
            <w:tcBorders>
              <w:top w:val="single" w:sz="4" w:space="0" w:color="000000"/>
              <w:bottom w:val="double" w:sz="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471"/>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(iii)Reflects the adjustment to cost of revenue to recognize the incremental fair value step</w:t>
        <w:noBreakHyphen/>
        <w:t>up associated with acquired inventory as the inventory is consumed, based on the assumption that the inventory has a turnover period of less than one year and is sold in the ordinary course of business within the pro forma periods presented.</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(iv)Reflects the adjustment to recognize compensation expense of approximately $5.6 million for the six months ended June 30, 2026 and approximately $12.6 million for the year ended December 31, 2025 associated with equity-settled and cash-settled replacement awards, net of the reversal of expense previously recognized for the original Renesas awards.</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(v)Represents the pro forma adjustment to record incremental lease expense based on the remeasurement of lease liabilities and right-of-use assets using SiTime’s incremental borrowing rate, less historical lease expense.</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(vi)Reflects non-recurring transaction-related expenses of approximately $24.2 million incurred by SiTime, including legal, accounting, regulatory and other fees, and Malaysian stamp duty, directly associated with the Acquisition. These non-recurring expenses are not anticipated to affect the unaudited pro forma condensed combined income statement beyond twelve months after the Closing Date.</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(vii)Reflects the partial derecognition of interest income on the portion of short-term investments assumed to be utilized to fund the cash consideration. The eliminated portion represents interest income that would not have been earned had the Acquisition been completed on January 1, 2025.</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(viii)SiTime has historically determined that it is not more likely than not that its deferred tax assets will be realized in the United States and has maintained a full valuation allowance against its net U.S. deferred tax assets. For purposes of the unaudited pro forma condensed combined financial information, all revenue and expenses of Timing Product Business are reflected in SiTime’s U.S. operations. Due to SiTime’s net operating loss carryforwards and full valuation allowance, no preliminary income tax expense or benefit has been reflected for Timing Product Business’ revenue and expenses or the pro forma adjustments. </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(ix)Reflects the adjustment to recognize TSA fees associated with the Transition Services Agreement of approximately $2.4 million for the six months ended June 30, 2026, comprising approximately $2.0 million recorded in cost of revenue and $0.4 million recorded in research and development, and $9.6 million for the year ended December 31, 2025, comprising approximately $1.6 million recorded in cost of revenue, $4.4 million recorded in research and development, and $3.6 million recorded in selling, general, and administrative expenses.</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7. Financing Adjustments</w:t>
      </w:r>
    </w:p>
    <w:p>
      <w:pPr>
        <w:pStyle w:val="TextBody"/>
        <w:bidi w:val="0"/>
        <w:spacing w:before="0" w:after="0"/>
        <w:jc w:val="both"/>
        <w:rPr/>
      </w:pPr>
      <w:r>
        <w:rPr/>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(i)Reflects the elimination of approximately $3.2 million of commitment fees associated with the Bridge Facility that were recorded in prepaid expenses and other current assets as of June 30, 2026 and became due upon the Closing on July 1, 2026. The elimination of the prepaid amount is reflected as a Financing Adjustment to accumulated deficit in the unaudited pro forma condensed combined balance sheet. The commitment fees are recognized as interest expense in the unaudited pro forma condensed combined income statement for the year ended December 31, 2025, as described in Note 7(ii), consistent with assuming the related financing occurred on January 1, 2025. No related adjustment is reflected in the unaudited pro forma condensed combined income statement for the six months ended June 30, 2026.</w:t>
      </w:r>
    </w:p>
    <w:p>
      <w:pPr>
        <w:pStyle w:val="TextBody"/>
        <w:bidi w:val="0"/>
        <w:spacing w:lineRule="auto" w:line="321"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(ii)Reflects pro forma financing expense of $2.5 million for the six months ended June 30, 2026, representing interest expense on the convertible notes recognized using the effective interest method, net of amounts already recorded in SiTime’s historical results, and $9.6 million for the year ended December 31, 2025, comprising interest expense on the convertible notes and Bridge Facility commitment fees.</w:t>
      </w:r>
    </w:p>
    <w:p>
      <w:pPr>
        <w:pStyle w:val="TextBody"/>
        <w:bidi w:val="0"/>
        <w:spacing w:lineRule="auto" w:line="321" w:before="0" w:after="16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(iii)Due to SiTime’s sufficient net operating loss carryforwards and full valuation allowance, no preliminary tax expense or benefit has been recorded for the financing adjustments. See Note 6(viii) above for further details.</w:t>
      </w:r>
    </w:p>
    <w:p>
      <w:pPr>
        <w:pStyle w:val="TextBody"/>
        <w:bidi w:val="0"/>
        <w:spacing w:lineRule="auto" w:line="288" w:before="0" w:after="0"/>
        <w:jc w:val="left"/>
        <w:rPr>
          <w:rFonts w:ascii="Times New Roman;serif" w:hAnsi="Times New Roman;serif"/>
          <w:b/>
          <w:color w:val="010000"/>
          <w:sz w:val="17"/>
        </w:rPr>
      </w:pPr>
      <w:r>
        <w:rPr>
          <w:rFonts w:ascii="Times New Roman;serif" w:hAnsi="Times New Roman;serif"/>
          <w:b/>
          <w:color w:val="010000"/>
          <w:sz w:val="17"/>
        </w:rPr>
        <w:t>Note 8. Earnings Per Share</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Represents the pro forma basic and diluted net income (loss) per share attributable to common stockholders, calculated using SiTime’s historical weighted-average common shares outstanding, adjusted for the 3,558,691 shares of SiTime common stock issued as Stock Consideration in connection with the Acquisition and, for diluted earnings per share, the effect of potential common shares when dilutive.</w:t>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SiTime considered the potential dilutive effect of (a) SiTime's shares issuable under employee incentive plans, including shares issuable under employee incentive plans in connection with the Acquisition, (b) SiTime’s restricted stock units, and (c) shares issuable upon conversion of the Notes. For the six months ended June 30, 2026, the potential common shares described in (a) are included in the computation of pro forma diluted net income per share as their effect is dilutive, while the potential common shares described in (b) and (c) are excluded as their effect would be anti-dilutive. For the year ended December 31, 2025, all potential common shares described in (a), (b) and (c) are excluded from the computation of pro forma diluted net loss per share as their effect would be anti-dilutive. The following table sets forth the computation of pro forma basic and diluted net income (loss) per share attributable to common stockholders for the periods presented:</w:t>
      </w:r>
    </w:p>
    <w:tbl>
      <w:tblPr>
        <w:tblW w:w="8590" w:type="dxa"/>
        <w:jc w:val="left"/>
        <w:tblInd w:w="0" w:type="dxa"/>
        <w:tblLayout w:type="fixed"/>
        <w:tblCellMar>
          <w:top w:w="28" w:type="dxa"/>
          <w:left w:w="28" w:type="dxa"/>
          <w:bottom w:w="28" w:type="dxa"/>
          <w:right w:w="28" w:type="dxa"/>
        </w:tblCellMar>
      </w:tblPr>
      <w:tblGrid>
        <w:gridCol w:w="1676"/>
        <w:gridCol w:w="1474"/>
        <w:gridCol w:w="1484"/>
        <w:gridCol w:w="109"/>
        <w:gridCol w:w="109"/>
        <w:gridCol w:w="109"/>
        <w:gridCol w:w="464"/>
        <w:gridCol w:w="1317"/>
        <w:gridCol w:w="258"/>
        <w:gridCol w:w="268"/>
        <w:gridCol w:w="1111"/>
        <w:gridCol w:w="211"/>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i/>
                <w:color w:val="000000"/>
                <w:sz w:val="17"/>
              </w:rPr>
            </w:pPr>
            <w:r>
              <w:rPr>
                <w:rFonts w:ascii="Times New Roman;serif" w:hAnsi="Times New Roman;serif"/>
                <w:b/>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 xml:space="preserve">For the Six Months Ended </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June 30, 2026</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For the Year Ended</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634"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Numerator: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Pro forma net income (loss) attributable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317"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7,727 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111"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(217,069)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Denominator: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 xml:space="preserve">Historical SiTime weighted average shares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26,397 </w:t>
            </w:r>
          </w:p>
        </w:tc>
        <w:tc>
          <w:tcPr>
            <w:tcW w:w="258"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24,967 </w:t>
            </w:r>
          </w:p>
        </w:tc>
        <w:tc>
          <w:tcPr>
            <w:tcW w:w="211"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04" w:type="dxa"/>
        <w:jc w:val="left"/>
        <w:tblInd w:w="0" w:type="dxa"/>
        <w:tblLayout w:type="fixed"/>
        <w:tblCellMar>
          <w:top w:w="28" w:type="dxa"/>
          <w:left w:w="28" w:type="dxa"/>
          <w:bottom w:w="28" w:type="dxa"/>
          <w:right w:w="28" w:type="dxa"/>
        </w:tblCellMar>
      </w:tblPr>
      <w:tblGrid>
        <w:gridCol w:w="2831"/>
        <w:gridCol w:w="2487"/>
        <w:gridCol w:w="2497"/>
        <w:gridCol w:w="109"/>
        <w:gridCol w:w="109"/>
        <w:gridCol w:w="109"/>
        <w:gridCol w:w="196"/>
        <w:gridCol w:w="466"/>
        <w:gridCol w:w="109"/>
        <w:gridCol w:w="196"/>
        <w:gridCol w:w="541"/>
        <w:gridCol w:w="154"/>
      </w:tblGrid>
      <w:tr>
        <w:trPr/>
        <w:tc>
          <w:tcPr>
            <w:tcW w:w="2831"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Shares of SiTime common stock to be issued in connection with the acquisition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3,559 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3,559 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Pro forma weighted average shares used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29,956 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28,526 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6" w:space="0" w:color="000000"/>
            </w:tcBorders>
            <w:shd w:fill="CCECFF" w:val="clear"/>
            <w:tcMar>
              <w:left w:w="0" w:type="dxa"/>
              <w:bottom w:w="0" w:type="dxa"/>
              <w:right w:w="0" w:type="dxa"/>
            </w:tcMar>
            <w:vAlign w:val="center"/>
          </w:tcPr>
          <w:p>
            <w:pPr>
              <w:pStyle w:val="TableContents"/>
              <w:bidi w:val="0"/>
              <w:spacing w:before="0" w:after="0"/>
              <w:ind w:left="0" w:right="0" w:firstLine="180"/>
              <w:jc w:val="right"/>
              <w:rPr/>
            </w:pPr>
            <w:r>
              <w:rPr/>
            </w:r>
          </w:p>
        </w:tc>
        <w:tc>
          <w:tcPr>
            <w:tcW w:w="891" w:type="dxa"/>
            <w:gridSpan w:val="3"/>
            <w:tcBorders>
              <w:top w:val="doub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 xml:space="preserve">Historical SiTime weighted average shares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26,397 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24,967 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Shares of SiTime common stock to be issued in connection with the acquisition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3,559 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3,559 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Potentially dilutive impact of shares issuable under employee incentive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Potentially dilutive impact of shares issuable under employee incentive plans in connection with the acquisition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Pro forma weighted average shares used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30,963 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28,526 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shares used in computing pro forma net income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Basic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29,956 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28,526 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30,963 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28,526 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net income (loss) per share attributable to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Basic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0.26 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(7.61)</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21" w:before="0" w:after="160"/>
        <w:jc w:val="left"/>
        <w:rPr>
          <w:rFonts w:ascii="Times New Roman;serif" w:hAnsi="Times New Roman;serif"/>
          <w:b w:val="false"/>
          <w:color w:val="000000"/>
          <w:sz w:val="17"/>
        </w:rPr>
      </w:pPr>
      <w:r>
        <w:rPr>
          <w:rFonts w:ascii="Times New Roman;serif" w:hAnsi="Times New Roman;serif"/>
          <w:b w:val="false"/>
          <w:color w:val="000000"/>
          <w:sz w:val="17"/>
        </w:rPr>
        <w:t>The following table presents the potential common shares outstanding that were excluded from the computation of pro forma diluted net income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436"/>
        <w:gridCol w:w="2136"/>
        <w:gridCol w:w="2153"/>
        <w:gridCol w:w="109"/>
        <w:gridCol w:w="109"/>
        <w:gridCol w:w="109"/>
        <w:gridCol w:w="590"/>
        <w:gridCol w:w="561"/>
        <w:gridCol w:w="564"/>
        <w:gridCol w:w="427"/>
        <w:gridCol w:w="417"/>
        <w:gridCol w:w="594"/>
      </w:tblGrid>
      <w:tr>
        <w:trPr/>
        <w:tc>
          <w:tcPr>
            <w:tcW w:w="24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i/>
                <w:color w:val="000000"/>
                <w:sz w:val="17"/>
              </w:rPr>
            </w:pPr>
            <w:r>
              <w:rPr>
                <w:rFonts w:ascii="Times New Roman;serif" w:hAnsi="Times New Roman;serif"/>
                <w:b/>
                <w:i/>
                <w:color w:val="000000"/>
                <w:sz w:val="17"/>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For the Six Months Ended</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June 30, 2026</w:t>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For the Year Ended</w:t>
            </w:r>
          </w:p>
          <w:p>
            <w:pPr>
              <w:pStyle w:val="TableContents"/>
              <w:bidi w:val="0"/>
              <w:spacing w:lineRule="auto" w:line="288" w:before="0" w:after="0"/>
              <w:jc w:val="right"/>
              <w:rPr>
                <w:rFonts w:ascii="Times New Roman;serif" w:hAnsi="Times New Roman;serif"/>
                <w:b/>
                <w:color w:val="000000"/>
                <w:sz w:val="17"/>
              </w:rPr>
            </w:pPr>
            <w:r>
              <w:rPr>
                <w:rFonts w:ascii="Times New Roman;serif" w:hAnsi="Times New Roman;serif"/>
                <w:b/>
                <w:color w:val="000000"/>
                <w:sz w:val="17"/>
              </w:rPr>
              <w:t>December 31, 2025</w:t>
            </w:r>
          </w:p>
        </w:tc>
      </w:tr>
      <w:tr>
        <w:trPr/>
        <w:tc>
          <w:tcPr>
            <w:tcW w:w="6725"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Historical SiTime restricted stock units</w:t>
            </w:r>
          </w:p>
        </w:tc>
        <w:tc>
          <w:tcPr>
            <w:tcW w:w="327"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56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820 </w:t>
            </w:r>
          </w:p>
        </w:tc>
        <w:tc>
          <w:tcPr>
            <w:tcW w:w="594"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Restricted stock units to be issued in connection with the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CFF" w:val="clear"/>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17"/>
              </w:rPr>
            </w:pPr>
            <w:r>
              <w:rPr>
                <w:rFonts w:ascii="Times New Roman;serif" w:hAnsi="Times New Roman;serif"/>
                <w:b w:val="false"/>
                <w:color w:val="000000"/>
                <w:sz w:val="17"/>
              </w:rPr>
              <w:t>Shares of SiTime common stock to be issued upon conversion of the convertible debt in connection with the acquisition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1,297 </w:t>
            </w:r>
          </w:p>
        </w:tc>
        <w:tc>
          <w:tcPr>
            <w:tcW w:w="5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C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1,297 </w:t>
            </w:r>
          </w:p>
        </w:tc>
        <w:tc>
          <w:tcPr>
            <w:tcW w:w="59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17"/>
              </w:rPr>
            </w:pPr>
            <w:r>
              <w:rPr>
                <w:rFonts w:ascii="Times New Roman;serif" w:hAnsi="Times New Roman;serif"/>
                <w:b/>
                <w:color w:val="000000"/>
                <w:sz w:val="17"/>
              </w:rPr>
              <w:t>Pro forma potential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1,311 </w:t>
            </w:r>
          </w:p>
        </w:tc>
        <w:tc>
          <w:tcPr>
            <w:tcW w:w="564" w:type="dxa"/>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7"/>
              </w:rPr>
            </w:pPr>
            <w:r>
              <w:rPr>
                <w:rFonts w:ascii="Times New Roman;serif" w:hAnsi="Times New Roman;serif"/>
                <w:b w:val="false"/>
                <w:color w:val="000000"/>
                <w:sz w:val="17"/>
              </w:rPr>
              <w:t>2,187 </w:t>
            </w:r>
          </w:p>
        </w:tc>
        <w:tc>
          <w:tcPr>
            <w:tcW w:w="594" w:type="dxa"/>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45180926000045/ex991-renesastimingbusines.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12798</Words>
  <Characters>73882</Characters>
  <CharactersWithSpaces>85963</CharactersWithSpaces>
  <Paragraphs>1597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