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12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001-39135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tbl>
      <w:tblPr>
        <w:tblW w:w="3674" w:type="dxa"/>
        <w:jc w:val="left"/>
        <w:tblInd w:w="0" w:type="dxa"/>
        <w:tblLayout w:type="fixed"/>
        <w:tblCellMar>
          <w:top w:w="28" w:type="dxa"/>
          <w:left w:w="28" w:type="dxa"/>
          <w:bottom w:w="28" w:type="dxa"/>
          <w:right w:w="28" w:type="dxa"/>
        </w:tblCellMar>
      </w:tblPr>
      <w:tblGrid>
        <w:gridCol w:w="878"/>
        <w:gridCol w:w="771"/>
        <w:gridCol w:w="781"/>
        <w:gridCol w:w="363"/>
        <w:gridCol w:w="363"/>
        <w:gridCol w:w="518"/>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02-0713868</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b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5451 Patrick Henry Drive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Santa Clara, CA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95054</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(408) 328-4400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707" w:type="dxa"/>
        <w:jc w:val="left"/>
        <w:tblInd w:w="0" w:type="dxa"/>
        <w:tblLayout w:type="fixed"/>
        <w:tblCellMar>
          <w:top w:w="28" w:type="dxa"/>
          <w:left w:w="28" w:type="dxa"/>
          <w:bottom w:w="28" w:type="dxa"/>
          <w:right w:w="28" w:type="dxa"/>
        </w:tblCellMar>
      </w:tblPr>
      <w:tblGrid>
        <w:gridCol w:w="1188"/>
        <w:gridCol w:w="1041"/>
        <w:gridCol w:w="1056"/>
        <w:gridCol w:w="109"/>
        <w:gridCol w:w="109"/>
        <w:gridCol w:w="109"/>
        <w:gridCol w:w="484"/>
        <w:gridCol w:w="484"/>
        <w:gridCol w:w="486"/>
        <w:gridCol w:w="109"/>
        <w:gridCol w:w="109"/>
        <w:gridCol w:w="109"/>
        <w:gridCol w:w="970"/>
        <w:gridCol w:w="970"/>
        <w:gridCol w:w="1374"/>
      </w:tblGrid>
      <w:tr>
        <w:trPr/>
        <w:tc>
          <w:tcPr>
            <w:tcW w:w="118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80" w:after="283"/>
        <w:ind w:left="0" w:right="0" w:firstLine="153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153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153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78"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1530"/>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80" w:after="283"/>
        <w:ind w:left="0" w:right="0" w:firstLine="153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x</w:t>
      </w:r>
    </w:p>
    <w:p>
      <w:pPr>
        <w:pStyle w:val="TextBody"/>
        <w:bidi w:val="0"/>
        <w:spacing w:lineRule="auto" w:line="288" w:before="200" w:after="283"/>
        <w:ind w:left="0" w:right="0" w:firstLine="1530"/>
        <w:jc w:val="left"/>
        <w:rPr>
          <w:rFonts w:ascii="Times New Roman;sans-serif" w:hAnsi="Times New Roman;sans-serif"/>
          <w:b w:val="false"/>
          <w:color w:val="000000"/>
          <w:sz w:val="18"/>
        </w:rPr>
      </w:pPr>
      <w:r>
        <w:rPr>
          <w:rFonts w:ascii="Times New Roman;sans-serif" w:hAnsi="Times New Roman;sans-serif"/>
          <w:b w:val="false"/>
          <w:color w:val="000000"/>
          <w:sz w:val="18"/>
        </w:rPr>
        <w:t>As of May 1, 2024, the registrant had 22,871,540 shares of common stock, $0.0001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852" w:type="dxa"/>
        <w:jc w:val="left"/>
        <w:tblInd w:w="0" w:type="dxa"/>
        <w:tblLayout w:type="fixed"/>
        <w:tblCellMar>
          <w:top w:w="28" w:type="dxa"/>
          <w:left w:w="28" w:type="dxa"/>
          <w:bottom w:w="28" w:type="dxa"/>
          <w:right w:w="28" w:type="dxa"/>
        </w:tblCellMar>
      </w:tblPr>
      <w:tblGrid>
        <w:gridCol w:w="353"/>
        <w:gridCol w:w="309"/>
        <w:gridCol w:w="314"/>
        <w:gridCol w:w="2453"/>
        <w:gridCol w:w="2453"/>
        <w:gridCol w:w="2459"/>
        <w:gridCol w:w="149"/>
        <w:gridCol w:w="149"/>
        <w:gridCol w:w="213"/>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0">
              <w:r>
                <w:rPr>
                  <w:rStyle w:val="InternetLink"/>
                  <w:rFonts w:ascii="Times New Roman;sans-serif" w:hAnsi="Times New Roman;sans-serif"/>
                  <w:b w:val="false"/>
                  <w:color w:val="0000FF"/>
                  <w:sz w:val="20"/>
                  <w:u w:val="single"/>
                </w:rPr>
                <w:t xml:space="preserve">Risk Factor Summary </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ab58ec462c3043619da3703d3e987697_10">
              <w:r>
                <w:rPr>
                  <w:rStyle w:val="InternetLink"/>
                  <w:rFonts w:ascii="Times New Roman;sans-serif" w:hAnsi="Times New Roman;sans-serif"/>
                  <w:b w:val="false"/>
                  <w:strike w:val="false"/>
                  <w:dstrike w:val="false"/>
                  <w:color w:val="000000"/>
                  <w:sz w:val="20"/>
                  <w:u w:val="none"/>
                  <w:effect w:val="none"/>
                </w:rPr>
                <w:t>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3">
              <w:r>
                <w:rPr>
                  <w:rStyle w:val="InternetLink"/>
                  <w:rFonts w:ascii="Times New Roman;sans-serif" w:hAnsi="Times New Roman;sans-serif"/>
                  <w:b/>
                  <w:strike w:val="false"/>
                  <w:dstrike w:val="false"/>
                  <w:color w:val="000000"/>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3">
              <w:r>
                <w:rPr>
                  <w:rStyle w:val="InternetLink"/>
                  <w:rFonts w:ascii="Times New Roman;sans-serif" w:hAnsi="Times New Roman;sans-serif"/>
                  <w:b w:val="false"/>
                  <w:color w:val="0000FF"/>
                  <w:sz w:val="20"/>
                  <w:u w:val="singl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58ec462c3043619da3703d3e987697_13">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6">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6">
              <w:r>
                <w:rPr>
                  <w:rStyle w:val="InternetLink"/>
                  <w:rFonts w:ascii="Times New Roman;sans-serif" w:hAnsi="Times New Roman;sans-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58ec462c3043619da3703d3e987697_16">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9">
              <w:r>
                <w:rPr>
                  <w:rStyle w:val="InternetLink"/>
                  <w:rFonts w:ascii="Times New Roman;sans-serif" w:hAnsi="Times New Roman;sans-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58ec462c3043619da3703d3e987697_19">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22">
              <w:r>
                <w:rPr>
                  <w:rStyle w:val="InternetLink"/>
                  <w:rFonts w:ascii="Times New Roman;sans-serif" w:hAnsi="Times New Roman;sans-serif"/>
                  <w:b w:val="false"/>
                  <w:color w:val="0000FF"/>
                  <w:sz w:val="20"/>
                  <w:u w:val="single"/>
                </w:rPr>
                <w:t>Condensed Consolidated Statements of Operations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58ec462c3043619da3703d3e987697_22">
              <w:r>
                <w:rPr>
                  <w:rStyle w:val="InternetLink"/>
                  <w:rFonts w:ascii="Times New Roman;sans-serif" w:hAnsi="Times New Roman;sans-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25">
              <w:r>
                <w:rPr>
                  <w:rStyle w:val="InternetLink"/>
                  <w:rFonts w:ascii="Times New Roman;sans-serif" w:hAnsi="Times New Roman;sans-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58ec462c3043619da3703d3e987697_25">
              <w:r>
                <w:rPr>
                  <w:rStyle w:val="InternetLink"/>
                  <w:rFonts w:ascii="Times New Roman;sans-serif" w:hAnsi="Times New Roman;sans-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28">
              <w:r>
                <w:rPr>
                  <w:rStyle w:val="InternetLink"/>
                  <w:rFonts w:ascii="Times New Roman;sans-serif" w:hAnsi="Times New Roman;sans-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58ec462c3043619da3703d3e987697_28">
              <w:r>
                <w:rPr>
                  <w:rStyle w:val="InternetLink"/>
                  <w:rFonts w:ascii="Times New Roman;sans-serif" w:hAnsi="Times New Roman;sans-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31">
              <w:r>
                <w:rPr>
                  <w:rStyle w:val="InternetLink"/>
                  <w:rFonts w:ascii="Times New Roman;sans-serif" w:hAnsi="Times New Roman;sans-serif"/>
                  <w:b w:val="false"/>
                  <w:color w:val="0000FF"/>
                  <w:sz w:val="20"/>
                  <w:u w:val="single"/>
                </w:rPr>
                <w:t>Notes to Unaudited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58ec462c3043619da3703d3e987697_31">
              <w:r>
                <w:rPr>
                  <w:rStyle w:val="InternetLink"/>
                  <w:rFonts w:ascii="Times New Roman;sans-serif" w:hAnsi="Times New Roman;sans-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67">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58ec462c3043619da3703d3e987697_67">
              <w:r>
                <w:rPr>
                  <w:rStyle w:val="InternetLink"/>
                  <w:rFonts w:ascii="Times New Roman;sans-serif" w:hAnsi="Times New Roman;sans-serif"/>
                  <w:b w:val="false"/>
                  <w:strike w:val="false"/>
                  <w:dstrike w:val="false"/>
                  <w:color w:val="000000"/>
                  <w:sz w:val="20"/>
                  <w:u w:val="none"/>
                  <w:effect w:val="none"/>
                </w:rPr>
                <w:t>18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03">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03">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58ec462c3043619da3703d3e987697_103">
              <w:r>
                <w:rPr>
                  <w:rStyle w:val="InternetLink"/>
                  <w:rFonts w:ascii="Times New Roman;sans-serif" w:hAnsi="Times New Roman;sans-serif"/>
                  <w:b w:val="false"/>
                  <w:strike w:val="false"/>
                  <w:dstrike w:val="false"/>
                  <w:color w:val="000000"/>
                  <w:sz w:val="20"/>
                  <w:u w:val="none"/>
                  <w:effect w:val="none"/>
                </w:rPr>
                <w:t>25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06">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06">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58ec462c3043619da3703d3e987697_106">
              <w:r>
                <w:rPr>
                  <w:rStyle w:val="InternetLink"/>
                  <w:rFonts w:ascii="Times New Roman;sans-serif" w:hAnsi="Times New Roman;sans-serif"/>
                  <w:b w:val="false"/>
                  <w:strike w:val="false"/>
                  <w:dstrike w:val="false"/>
                  <w:color w:val="000000"/>
                  <w:sz w:val="20"/>
                  <w:u w:val="none"/>
                  <w:effect w:val="non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09">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09">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12">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12">
              <w:r>
                <w:rPr>
                  <w:rStyle w:val="InternetLink"/>
                  <w:rFonts w:ascii="Times New Roman;sans-serif" w:hAnsi="Times New Roman;sans-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58ec462c3043619da3703d3e987697_112">
              <w:r>
                <w:rPr>
                  <w:rStyle w:val="InternetLink"/>
                  <w:rFonts w:ascii="Times New Roman;sans-serif" w:hAnsi="Times New Roman;sans-serif"/>
                  <w:b w:val="false"/>
                  <w:strike w:val="false"/>
                  <w:dstrike w:val="false"/>
                  <w:color w:val="000000"/>
                  <w:sz w:val="20"/>
                  <w:u w:val="none"/>
                  <w:effect w:val="none"/>
                </w:rPr>
                <w:t>27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15">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15">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58ec462c3043619da3703d3e987697_115">
              <w:r>
                <w:rPr>
                  <w:rStyle w:val="InternetLink"/>
                  <w:rFonts w:ascii="Times New Roman;sans-serif" w:hAnsi="Times New Roman;sans-serif"/>
                  <w:b w:val="false"/>
                  <w:strike w:val="false"/>
                  <w:dstrike w:val="false"/>
                  <w:color w:val="000000"/>
                  <w:sz w:val="20"/>
                  <w:u w:val="none"/>
                  <w:effect w:val="none"/>
                </w:rPr>
                <w:t>27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18">
              <w:r>
                <w:rPr>
                  <w:rStyle w:val="InternetLink"/>
                  <w:rFonts w:ascii="Times New Roman;sans-serif" w:hAnsi="Times New Roman;sans-serif"/>
                  <w:b w:val="false"/>
                  <w:color w:val="000080"/>
                  <w:sz w:val="20"/>
                  <w:u w:val="single"/>
                </w:rPr>
                <w:t>O</w:t>
              </w:r>
            </w:hyperlink>
            <w:hyperlink w:anchor="iab58ec462c3043619da3703d3e987697_118">
              <w:r>
                <w:rPr>
                  <w:rStyle w:val="InternetLink"/>
                  <w:rFonts w:ascii="Times New Roman;sans-serif" w:hAnsi="Times New Roman;sans-serif"/>
                  <w:b w:val="false"/>
                  <w:color w:val="000080"/>
                  <w:sz w:val="20"/>
                  <w:u w:val="single"/>
                </w:rPr>
                <w:t>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58ec462c3043619da3703d3e987697_118">
              <w:r>
                <w:rPr>
                  <w:rStyle w:val="InternetLink"/>
                  <w:rFonts w:ascii="Times New Roman;sans-serif" w:hAnsi="Times New Roman;sans-serif"/>
                  <w:b w:val="false"/>
                  <w:strike w:val="false"/>
                  <w:dstrike w:val="false"/>
                  <w:color w:val="000000"/>
                  <w:sz w:val="20"/>
                  <w:u w:val="none"/>
                  <w:effect w:val="none"/>
                </w:rPr>
                <w:t>50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24">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24">
              <w:r>
                <w:rPr>
                  <w:rStyle w:val="InternetLink"/>
                  <w:rFonts w:ascii="Times New Roman;sans-serif" w:hAnsi="Times New Roman;sans-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58ec462c3043619da3703d3e987697_124">
              <w:r>
                <w:rPr>
                  <w:rStyle w:val="InternetLink"/>
                  <w:rFonts w:ascii="Times New Roman;sans-serif" w:hAnsi="Times New Roman;sans-serif"/>
                  <w:b w:val="false"/>
                  <w:strike w:val="false"/>
                  <w:dstrike w:val="false"/>
                  <w:color w:val="000000"/>
                  <w:sz w:val="20"/>
                  <w:u w:val="none"/>
                  <w:effect w:val="none"/>
                </w:rPr>
                <w:t>52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58ec462c3043619da3703d3e987697_127">
              <w:r>
                <w:rPr>
                  <w:rStyle w:val="InternetLink"/>
                  <w:rFonts w:ascii="Times New Roman;sans-serif" w:hAnsi="Times New Roman;sans-serif"/>
                  <w:b w:val="false"/>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58ec462c3043619da3703d3e987697_127">
              <w:r>
                <w:rPr>
                  <w:rStyle w:val="InternetLink"/>
                  <w:rFonts w:ascii="Times New Roman;sans-serif" w:hAnsi="Times New Roman;sans-serif"/>
                  <w:b w:val="false"/>
                  <w:strike w:val="false"/>
                  <w:dstrike w:val="false"/>
                  <w:color w:val="000000"/>
                  <w:sz w:val="20"/>
                  <w:u w:val="none"/>
                  <w:effect w:val="non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as more fully described in Part II, Item 1A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Global macroeconomic conditions have harmed and may continue to harm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are subject to the cyclical nature of the semiconductor industry;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revenue and operating results may fluctuate from period to period due to, among other factors, macroeconomic conditions, cyclical fluctuations in the semiconductor market, customer demand, product life cycles, fluctuations in inventories held by our distributors or end customers, the gain or loss of significant customers, the availability of capacity in our supply chain, research and development costs, the impact of any pandemic, epidemic, or outbreak of disease, including the emergence of new variants of COVID-19, on our business as well as our suppliers and customers, and product warranty claims. This in turn could cause our stock price to decline;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significant portion of our operations is located outside of the United States, which subjects us to additional risks, including increased complexity and costs of managing international operations and geopolitical instability;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target customer and product markets may not grow or develop as we currently expect, and if we fail to penetrate new markets and scale successfully within those markets, our revenue and financial condition would be harmed;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we are not able to successfully introduce and ship in volume new products in a timely manner, our business and revenue will suffer;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Pandemics, epidemics, or other outbreaks of disease have had and may in the future have an adverse impact upon our business, results of operations, and financial condition, as well as the businesses of our suppliers and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gross margins may fluctuate due to a variety of factors, which could negatively impact our results of operations and our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revenue in previous periods may not be indicative of future performance and our revenue may fluctuate over time;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provide a lifetime warranty on our products and may be subject to warranty or product liability claims, which could harm our reputation, result in unexpected expenses, and cause us to lose market share;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Defects in our products could harm our relationships with our customers and damage our reputation;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we fail to compete effectively, we may lose or fail to gain market share, which could negatively impact our operating results and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make acquisitions in the future that could disrupt our business, cause dilution to our stockholders, reduce our financial resources, and harm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not be able to accurately predict our future capital needs, and we may not be able to obtain additional financing to fund our operations;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seek, or be required to seek debt financing;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significant tariffs or other trade restrictions are placed on our products or third-party suppliers, our revenue and results of operations may be materially harmed;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Failure to comply with the laws associated with our activities outside of the United States could subject us to penalties and other adverse consequences;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are subject to government regulation, including import, export and economic sanctions laws and regulations that may expose us to liability and increase our costs;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New or future changes to U.S. and non-U.S. tax laws, or tax regulatory authorities disagreeing with our positions and conclusions regarding certain tax positions, could materially adversely affect us;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Breaches, cyberattacks, or other disruptions to our information technology systems owned or maintained by us or third parties could disrupt our operations, compromise confidentiality of private customer data or our intellectual property, and adversely affect our business, reputation, operations, and financial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be impacted by risks associated with MegaChips’ ownership of a significant portion of our stock, for instance as long as MegaChips holds a significant amount of our stock, our other shareholders’ ability to influence matters requiring stockholder approval will be limited, and there could be potential conflicts of interest between us and affiliates of MegaChips, which could impact our business and operating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Substantial future sales of our common stock could cause the market price of our common stock to decline;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Anti-takeover provisions in our charter documents and under Delaware law could make an acquisition of us more difficult, limit attempts by our stockholders to replace or remove our current management and limit the market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71"/>
        <w:gridCol w:w="2292"/>
        <w:gridCol w:w="2237"/>
        <w:gridCol w:w="221"/>
        <w:gridCol w:w="868"/>
        <w:gridCol w:w="114"/>
        <w:gridCol w:w="109"/>
        <w:gridCol w:w="109"/>
        <w:gridCol w:w="109"/>
        <w:gridCol w:w="243"/>
        <w:gridCol w:w="952"/>
        <w:gridCol w:w="180"/>
      </w:tblGrid>
      <w:tr>
        <w:trPr/>
        <w:tc>
          <w:tcPr>
            <w:tcW w:w="2771"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3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0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96,275 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in held-to-maturity securities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518,733 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16,774 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21,861 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9,744 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7,641 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618,175 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623,242 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53,394 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54,685 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942,623 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951,683 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0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119,397 </w:t>
            </w:r>
          </w:p>
        </w:tc>
        <w:tc>
          <w:tcPr>
            <w:tcW w:w="11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121,394 </w:t>
            </w:r>
          </w:p>
        </w:tc>
        <w:tc>
          <w:tcPr>
            <w:tcW w:w="18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246,413 </w:t>
            </w:r>
          </w:p>
        </w:tc>
        <w:tc>
          <w:tcPr>
            <w:tcW w:w="11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243,631 </w:t>
            </w:r>
          </w:p>
        </w:tc>
        <w:tc>
          <w:tcPr>
            <w:tcW w:w="18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0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58"/>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- 200,000 shares authorized; 22,872 and 22,692 shares issued and outstanding at March 31, 2024 and December 31, 2023</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813,312 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796,450 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(117,104)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8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696,210 </w:t>
            </w:r>
          </w:p>
        </w:tc>
        <w:tc>
          <w:tcPr>
            <w:tcW w:w="11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708,052 </w:t>
            </w:r>
          </w:p>
        </w:tc>
        <w:tc>
          <w:tcPr>
            <w:tcW w:w="18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942,623 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951,683 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814" w:type="dxa"/>
        <w:jc w:val="left"/>
        <w:tblInd w:w="0" w:type="dxa"/>
        <w:tblLayout w:type="fixed"/>
        <w:tblCellMar>
          <w:top w:w="28" w:type="dxa"/>
          <w:left w:w="28" w:type="dxa"/>
          <w:bottom w:w="28" w:type="dxa"/>
          <w:right w:w="28" w:type="dxa"/>
        </w:tblCellMar>
      </w:tblPr>
      <w:tblGrid>
        <w:gridCol w:w="2088"/>
        <w:gridCol w:w="1841"/>
        <w:gridCol w:w="1845"/>
        <w:gridCol w:w="211"/>
        <w:gridCol w:w="796"/>
        <w:gridCol w:w="109"/>
        <w:gridCol w:w="109"/>
        <w:gridCol w:w="109"/>
        <w:gridCol w:w="109"/>
        <w:gridCol w:w="211"/>
        <w:gridCol w:w="796"/>
        <w:gridCol w:w="109"/>
        <w:gridCol w:w="109"/>
        <w:gridCol w:w="109"/>
        <w:gridCol w:w="109"/>
        <w:gridCol w:w="154"/>
      </w:tblGrid>
      <w:tr>
        <w:trPr/>
        <w:tc>
          <w:tcPr>
            <w:tcW w:w="2088"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costs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and comprehensive loss</w:t>
            </w:r>
          </w:p>
        </w:tc>
        <w:tc>
          <w:tcPr>
            <w:tcW w:w="21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(28,704)</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(16,490)</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diluted</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basic net loss per share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diluted net loss per share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pPr>
      <w:r>
        <w:rPr>
          <w:rFonts w:ascii="Times New Roman;sans-serif" w:hAnsi="Times New Roman;sans-serif"/>
          <w:b/>
          <w:color w:val="000000"/>
          <w:sz w:val="20"/>
        </w:rPr>
        <w:t>(In thousands</w:t>
      </w:r>
      <w:r>
        <w:rPr>
          <w:rFonts w:ascii="Times New Roman;sans-serif" w:hAnsi="Times New Roman;sans-serif"/>
          <w:b w:val="false"/>
          <w:color w:val="000000"/>
          <w:sz w:val="20"/>
        </w:rPr>
        <w:t>)</w:t>
      </w:r>
    </w:p>
    <w:p>
      <w:pPr>
        <w:pStyle w:val="TextBody"/>
        <w:bidi w:val="0"/>
        <w:spacing w:lineRule="auto" w:line="288" w:before="0" w:after="0"/>
        <w:jc w:val="center"/>
        <w:rPr/>
      </w:pPr>
      <w:r>
        <w:rPr>
          <w:rFonts w:ascii="Times New Roman;sans-serif" w:hAnsi="Times New Roman;sans-serif"/>
          <w:b/>
          <w:color w:val="000000"/>
          <w:sz w:val="20"/>
        </w:rPr>
        <w:t>(Unaudited</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622"/>
        <w:gridCol w:w="1195"/>
        <w:gridCol w:w="1198"/>
        <w:gridCol w:w="224"/>
        <w:gridCol w:w="224"/>
        <w:gridCol w:w="228"/>
        <w:gridCol w:w="109"/>
        <w:gridCol w:w="109"/>
        <w:gridCol w:w="109"/>
        <w:gridCol w:w="253"/>
        <w:gridCol w:w="307"/>
        <w:gridCol w:w="131"/>
        <w:gridCol w:w="109"/>
        <w:gridCol w:w="109"/>
        <w:gridCol w:w="109"/>
        <w:gridCol w:w="211"/>
        <w:gridCol w:w="826"/>
        <w:gridCol w:w="109"/>
        <w:gridCol w:w="109"/>
        <w:gridCol w:w="109"/>
        <w:gridCol w:w="109"/>
        <w:gridCol w:w="211"/>
        <w:gridCol w:w="856"/>
        <w:gridCol w:w="109"/>
        <w:gridCol w:w="109"/>
        <w:gridCol w:w="109"/>
        <w:gridCol w:w="109"/>
        <w:gridCol w:w="211"/>
        <w:gridCol w:w="826"/>
        <w:gridCol w:w="156"/>
      </w:tblGrid>
      <w:tr>
        <w:trPr/>
        <w:tc>
          <w:tcPr>
            <w:tcW w:w="162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 xml:space="preserve">Equity </w:t>
            </w:r>
          </w:p>
        </w:tc>
      </w:tr>
      <w:tr>
        <w:trPr/>
        <w:tc>
          <w:tcPr>
            <w:tcW w:w="4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2023</w:t>
            </w:r>
          </w:p>
        </w:tc>
        <w:tc>
          <w:tcPr>
            <w:tcW w:w="67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796,450 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708,052 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At-The-Market offering net of underwriting discounts and commissions and other offering costs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restricted stock units, net of tax withholdings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2024</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708,480 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At-The-Market offering net of underwriting discounts and commissions and other offering costs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restricted stock units, net of tax withholdings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2023</w:t>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713,660 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pPr>
      <w:r>
        <w:rPr>
          <w:rFonts w:ascii="Times New Roman;sans-serif" w:hAnsi="Times New Roman;sans-serif"/>
          <w:b/>
          <w:color w:val="000000"/>
          <w:sz w:val="20"/>
        </w:rPr>
        <w:t>(In thousands</w:t>
      </w:r>
      <w:r>
        <w:rPr>
          <w:rFonts w:ascii="Times New Roman;sans-serif" w:hAnsi="Times New Roman;sans-serif"/>
          <w:b w:val="false"/>
          <w:color w:val="000000"/>
          <w:sz w:val="20"/>
        </w:rPr>
        <w:t>)</w:t>
      </w:r>
    </w:p>
    <w:p>
      <w:pPr>
        <w:pStyle w:val="TextBody"/>
        <w:bidi w:val="0"/>
        <w:spacing w:lineRule="auto" w:line="288" w:before="0" w:after="0"/>
        <w:jc w:val="center"/>
        <w:rPr/>
      </w:pPr>
      <w:r>
        <w:rPr>
          <w:rFonts w:ascii="Times New Roman;sans-serif" w:hAnsi="Times New Roman;sans-serif"/>
          <w:b/>
          <w:color w:val="000000"/>
          <w:sz w:val="20"/>
        </w:rPr>
        <w:t>(Unaudited</w:t>
      </w:r>
      <w:r>
        <w:rPr>
          <w:rFonts w:ascii="Times New Roman;sans-serif" w:hAnsi="Times New Roman;sans-serif"/>
          <w:b w:val="false"/>
          <w:color w:val="000000"/>
          <w:sz w:val="20"/>
        </w:rPr>
        <w:t>)</w:t>
      </w:r>
    </w:p>
    <w:tbl>
      <w:tblPr>
        <w:tblW w:w="8979" w:type="dxa"/>
        <w:jc w:val="left"/>
        <w:tblInd w:w="0" w:type="dxa"/>
        <w:tblLayout w:type="fixed"/>
        <w:tblCellMar>
          <w:top w:w="28" w:type="dxa"/>
          <w:left w:w="28" w:type="dxa"/>
          <w:bottom w:w="28" w:type="dxa"/>
          <w:right w:w="28" w:type="dxa"/>
        </w:tblCellMar>
      </w:tblPr>
      <w:tblGrid>
        <w:gridCol w:w="2305"/>
        <w:gridCol w:w="2028"/>
        <w:gridCol w:w="2042"/>
        <w:gridCol w:w="211"/>
        <w:gridCol w:w="796"/>
        <w:gridCol w:w="109"/>
        <w:gridCol w:w="109"/>
        <w:gridCol w:w="109"/>
        <w:gridCol w:w="109"/>
        <w:gridCol w:w="211"/>
        <w:gridCol w:w="796"/>
        <w:gridCol w:w="154"/>
      </w:tblGrid>
      <w:tr>
        <w:trPr/>
        <w:tc>
          <w:tcPr>
            <w:tcW w:w="2305"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23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unrealized interest on held to maturity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sales based earnout liability</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acquisition consideration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write-down</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held to maturity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maturity of held to maturity securities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371,007 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intangibles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paid on behalf of employees for net share settlement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public offering</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offering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96,275 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38,265 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and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property and equipment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Note 1.</w:t>
      </w:r>
      <w:r>
        <w:rPr>
          <w:color w:val="000000"/>
        </w:rPr>
        <w:t xml:space="preserve"> </w:t>
      </w:r>
      <w:r>
        <w:rPr>
          <w:rFonts w:ascii="Times New Roman;sans-serif" w:hAnsi="Times New Roman;sans-serif"/>
          <w:b/>
          <w:color w:val="000000"/>
          <w:sz w:val="20"/>
        </w:rPr>
        <w:t>The Company and Basis of Presentation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SiTime Corporation (the “Company”) was incorporated in the State of Delaware in December 2003. The Company is a leading provider of Precision Timing solutions to the global electronics industry, providing the timing functionality that is needed for electronics to operate reliably and correctly. The Company's products have been designed to address a wide range of applications across a broad array of end markets. The Company operates a fabless business model and leverages its global network of distributors to address the broad set of end markets that it serves.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financial statements have been prepared in conformity with United States (U.S.) generally accepted accounting principles (GAAP) for interim financial information and the instructions to Form 10-Q and Article 10 of Regulation S-X, and should be read in conjunction with the Company's audited consolidated financial statements and related notes thereto filed with the U.S. Securities and Exchange Commission (SEC) on Form 10-K for the fiscal year ended December 31, 2023. The interim financial statements are unaudited, but reflect all adjustments which are, in the opinion of management, of a normal, recurring nature necessary to provide a fair statement of results for the interim periods presented. The results of operations for the interim periods shown in this report are not necessarily indicative of the results that may be expected for the fiscal year ending December 31, 2024, for any future year, or for any other future interim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Actual results could differ from those estimates.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wholly-owned subsidiaries. All intercompany transactions and balances have been eliminated in consolidation.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accounting policies are disclosed in the Company’s audited consolidated financial statements and related notes thereto included in the Annual Report on Form 10-K for the year ended December 31, 2023. There have been no changes to these accounting policies through March 31, 2024.</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currently no new accounting pronouncements with a future effective date that are considered material, or could be material,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2. Acquisitions</w:t>
      </w:r>
    </w:p>
    <w:p>
      <w:pPr>
        <w:pStyle w:val="TextBody"/>
        <w:bidi w:val="0"/>
        <w:spacing w:lineRule="auto" w:line="288" w:before="120" w:after="283"/>
        <w:jc w:val="left"/>
        <w:rPr/>
      </w:pPr>
      <w:r>
        <w:rPr>
          <w:rFonts w:ascii="Times New Roman;sans-serif" w:hAnsi="Times New Roman;sans-serif"/>
          <w:b w:val="false"/>
          <w:color w:val="000000"/>
          <w:sz w:val="20"/>
        </w:rPr>
        <w:t xml:space="preserve">On December 1, 2023, we completed our acquisition of Aura's timing business and clock products, and an assembled workforce. The acquisition qualified as a business combination in accordance with ASC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and, accordingly, total consideration was first allocated to the fair value of assets acquired as of the date of acquisition, with the excess being recorded as goodwill. The acquisition date fair value of the purchase consideration was $259.2 million, which comprised the following:</w:t>
      </w:r>
    </w:p>
    <w:tbl>
      <w:tblPr>
        <w:tblW w:w="5144" w:type="dxa"/>
        <w:jc w:val="left"/>
        <w:tblInd w:w="0" w:type="dxa"/>
        <w:tblLayout w:type="fixed"/>
        <w:tblCellMar>
          <w:top w:w="28" w:type="dxa"/>
          <w:left w:w="28" w:type="dxa"/>
          <w:bottom w:w="28" w:type="dxa"/>
          <w:right w:w="28" w:type="dxa"/>
        </w:tblCellMar>
      </w:tblPr>
      <w:tblGrid>
        <w:gridCol w:w="1250"/>
        <w:gridCol w:w="1099"/>
        <w:gridCol w:w="1101"/>
        <w:gridCol w:w="296"/>
        <w:gridCol w:w="1182"/>
        <w:gridCol w:w="216"/>
      </w:tblGrid>
      <w:tr>
        <w:trPr/>
        <w:tc>
          <w:tcPr>
            <w:tcW w:w="125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consideration</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139,946 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sales based earnout liability</w:t>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pre-existing arrangement</w:t>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purchase consideration</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259,198</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preliminary purchase consideration allocation to the assets acquired based on their respective estimated fair values as of the date of acquisition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tbl>
      <w:tblPr>
        <w:tblW w:w="9778" w:type="dxa"/>
        <w:jc w:val="left"/>
        <w:tblInd w:w="0" w:type="dxa"/>
        <w:tblLayout w:type="fixed"/>
        <w:tblCellMar>
          <w:top w:w="28" w:type="dxa"/>
          <w:left w:w="28" w:type="dxa"/>
          <w:bottom w:w="28" w:type="dxa"/>
          <w:right w:w="28" w:type="dxa"/>
        </w:tblCellMar>
      </w:tblPr>
      <w:tblGrid>
        <w:gridCol w:w="1123"/>
        <w:gridCol w:w="989"/>
        <w:gridCol w:w="992"/>
        <w:gridCol w:w="488"/>
        <w:gridCol w:w="1945"/>
        <w:gridCol w:w="252"/>
        <w:gridCol w:w="549"/>
        <w:gridCol w:w="549"/>
        <w:gridCol w:w="551"/>
        <w:gridCol w:w="684"/>
        <w:gridCol w:w="684"/>
        <w:gridCol w:w="972"/>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(Preliminary)</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r>
          </w:p>
        </w:tc>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Line Item</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4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8 years</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4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customer agreements</w:t>
            </w:r>
          </w:p>
        </w:tc>
        <w:tc>
          <w:tcPr>
            <w:tcW w:w="24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 years</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4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acquired</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259,198</w:t>
            </w:r>
            <w:r>
              <w:rPr>
                <w:color w:val="000000"/>
              </w:rPr>
              <w:t>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Following are the supplemental consolidated financial results of the Company on an unaudited pro forma basis, as if the acquisition had been consummated on January 1, 2023:</w:t>
      </w:r>
    </w:p>
    <w:tbl>
      <w:tblPr>
        <w:tblW w:w="5574" w:type="dxa"/>
        <w:jc w:val="left"/>
        <w:tblInd w:w="0" w:type="dxa"/>
        <w:tblLayout w:type="fixed"/>
        <w:tblCellMar>
          <w:top w:w="28" w:type="dxa"/>
          <w:left w:w="28" w:type="dxa"/>
          <w:bottom w:w="28" w:type="dxa"/>
          <w:right w:w="28" w:type="dxa"/>
        </w:tblCellMar>
      </w:tblPr>
      <w:tblGrid>
        <w:gridCol w:w="1075"/>
        <w:gridCol w:w="945"/>
        <w:gridCol w:w="950"/>
        <w:gridCol w:w="211"/>
        <w:gridCol w:w="796"/>
        <w:gridCol w:w="109"/>
        <w:gridCol w:w="109"/>
        <w:gridCol w:w="109"/>
        <w:gridCol w:w="109"/>
        <w:gridCol w:w="211"/>
        <w:gridCol w:w="796"/>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Unaudited pro forma information</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supplemental pro forma information presents the combined results of operations for the three months ended March 31, 2024 and 2023, as if the acquisition was completed on January 1, 2023, the first day of the fiscal year of 2023. The supplemental pro forma financial information presented above is not necessarily indicative of the financial position or results of operations that would have been realized if the acquisition had been completed on the date indicated. The supplemental pro forma financial information does not reflect synergies that might have been achieved, nor is it indicative of future operating results or financial position. The proforma financial information includes a $6.5 million nonrecurring adjustment related to acquisition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3. Fair Value Measurements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equivalents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and December 31, 2023, highly liquid money market funds of $93.7 million and $0.4 million, respectively, were valued using Level 1 of the fair value hierarchy, quoted prices in active markets for identical assets, and are included in cash equivalents.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Short-term investments in held-to-maturity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the Company had purchased Treasury Bills with maturities ranging from 3 to 12 months, which the Company intends to hold until maturity and has classified as held-to-maturity securities. The held-to-maturity securities are recorded at amortized cost totaling $421.0 million including gross accrued interest of $5.3 million as of March 31, 2024. As of March 31, 2024, the fair value and gross unrealized loss on the held-to-maturity securities was $420.6 million and $0.4 million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amortized cost of the held-to-maturity securities totaled $518.7 million including gross accrued interest of $8.9 million. As of December 31, 2023, the fair value and gross unrealized loss on the held-to-maturity securities $519.0 million and $0.3 million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treasury bills were valued using Level 1 of the fair value hierarchy, quoted prices in active markets for identical assets, and are included in short-term investments. The carrying value of our investments is reviewed quarterly for changes in circumstances or the occurrence of events that suggests an investment may not be fully recoverable.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based earnout liability</w:t>
      </w:r>
    </w:p>
    <w:p>
      <w:pPr>
        <w:pStyle w:val="TextBody"/>
        <w:bidi w:val="0"/>
        <w:spacing w:lineRule="auto" w:line="288" w:before="120" w:after="283"/>
        <w:jc w:val="left"/>
        <w:rPr/>
      </w:pPr>
      <w:r>
        <w:rPr>
          <w:rFonts w:ascii="Times New Roman;sans-serif" w:hAnsi="Times New Roman;sans-serif"/>
          <w:b w:val="false"/>
          <w:color w:val="000000"/>
          <w:sz w:val="20"/>
        </w:rPr>
        <w:t>The estimated fair value of the sales based earnout liability is determined using a Monte Carlo simulation model using significant unobservable fair value inputs and is therefore classified as a Level 3 measurement.</w:t>
      </w:r>
      <w:r>
        <w:rPr>
          <w:color w:val="000000"/>
        </w:rPr>
        <w:t xml:space="preserve"> </w:t>
      </w:r>
      <w:r>
        <w:rPr>
          <w:rFonts w:ascii="Times New Roman;sans-serif" w:hAnsi="Times New Roman;sans-serif"/>
          <w:b w:val="false"/>
          <w:color w:val="000000"/>
          <w:sz w:val="20"/>
        </w:rPr>
        <w:t>The assumptions used in the calculation are based on the revenue projections over the term of the contingent earn-out period, expected volatility, and discount rate. The estimates of fair value are uncertain and changes in any of the estimated inputs used will result in significant adjustments to the fair value. As of March 31, 2024, the Company used a volatility rate of 20%, discount rate ranging from 4.2% to 5.4%, and an expected term ranging from 0.13 years to 4.63 years.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the changes in the fair value of the Company’s Level 3 financial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tbl>
      <w:tblPr>
        <w:tblW w:w="4536" w:type="dxa"/>
        <w:jc w:val="left"/>
        <w:tblInd w:w="0" w:type="dxa"/>
        <w:tblLayout w:type="fixed"/>
        <w:tblCellMar>
          <w:top w:w="28" w:type="dxa"/>
          <w:left w:w="28" w:type="dxa"/>
          <w:bottom w:w="28" w:type="dxa"/>
          <w:right w:w="28" w:type="dxa"/>
        </w:tblCellMar>
      </w:tblPr>
      <w:tblGrid>
        <w:gridCol w:w="1209"/>
        <w:gridCol w:w="1066"/>
        <w:gridCol w:w="1070"/>
        <w:gridCol w:w="211"/>
        <w:gridCol w:w="826"/>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as of January 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fair value during the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as of March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Level 2, and Level 3 categories during any of the periods presented.</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4. Balance Sheet Components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consisted of the following: </w:t>
      </w:r>
    </w:p>
    <w:tbl>
      <w:tblPr>
        <w:tblW w:w="7254" w:type="dxa"/>
        <w:jc w:val="left"/>
        <w:tblInd w:w="0" w:type="dxa"/>
        <w:tblLayout w:type="fixed"/>
        <w:tblCellMar>
          <w:top w:w="28" w:type="dxa"/>
          <w:left w:w="28" w:type="dxa"/>
          <w:bottom w:w="28" w:type="dxa"/>
          <w:right w:w="28" w:type="dxa"/>
        </w:tblCellMar>
      </w:tblPr>
      <w:tblGrid>
        <w:gridCol w:w="830"/>
        <w:gridCol w:w="730"/>
        <w:gridCol w:w="735"/>
        <w:gridCol w:w="255"/>
        <w:gridCol w:w="873"/>
        <w:gridCol w:w="132"/>
        <w:gridCol w:w="109"/>
        <w:gridCol w:w="109"/>
        <w:gridCol w:w="109"/>
        <w:gridCol w:w="304"/>
        <w:gridCol w:w="1039"/>
        <w:gridCol w:w="157"/>
        <w:gridCol w:w="109"/>
        <w:gridCol w:w="109"/>
        <w:gridCol w:w="109"/>
        <w:gridCol w:w="300"/>
        <w:gridCol w:w="1026"/>
        <w:gridCol w:w="219"/>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gross</w:t>
            </w:r>
          </w:p>
        </w:tc>
        <w:tc>
          <w:tcPr>
            <w:tcW w:w="25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16,824 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21,911 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16,774 </w:t>
            </w:r>
          </w:p>
        </w:tc>
        <w:tc>
          <w:tcPr>
            <w:tcW w:w="1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21,861 </w:t>
            </w:r>
          </w:p>
        </w:tc>
        <w:tc>
          <w:tcPr>
            <w:tcW w:w="1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w:t>
      </w:r>
    </w:p>
    <w:tbl>
      <w:tblPr>
        <w:tblW w:w="4647" w:type="dxa"/>
        <w:jc w:val="left"/>
        <w:tblInd w:w="0" w:type="dxa"/>
        <w:tblLayout w:type="fixed"/>
        <w:tblCellMar>
          <w:top w:w="28" w:type="dxa"/>
          <w:left w:w="28" w:type="dxa"/>
          <w:bottom w:w="28" w:type="dxa"/>
          <w:right w:w="28" w:type="dxa"/>
        </w:tblCellMar>
      </w:tblPr>
      <w:tblGrid>
        <w:gridCol w:w="549"/>
        <w:gridCol w:w="481"/>
        <w:gridCol w:w="485"/>
        <w:gridCol w:w="255"/>
        <w:gridCol w:w="873"/>
        <w:gridCol w:w="132"/>
        <w:gridCol w:w="109"/>
        <w:gridCol w:w="109"/>
        <w:gridCol w:w="109"/>
        <w:gridCol w:w="300"/>
        <w:gridCol w:w="1026"/>
        <w:gridCol w:w="219"/>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5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24,066 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17,550 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15,062 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12,796 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 Current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tbl>
      <w:tblPr>
        <w:tblW w:w="7059" w:type="dxa"/>
        <w:jc w:val="left"/>
        <w:tblInd w:w="0" w:type="dxa"/>
        <w:tblLayout w:type="fixed"/>
        <w:tblCellMar>
          <w:top w:w="28" w:type="dxa"/>
          <w:left w:w="28" w:type="dxa"/>
          <w:bottom w:w="28" w:type="dxa"/>
          <w:right w:w="28" w:type="dxa"/>
        </w:tblCellMar>
      </w:tblPr>
      <w:tblGrid>
        <w:gridCol w:w="1424"/>
        <w:gridCol w:w="1248"/>
        <w:gridCol w:w="1257"/>
        <w:gridCol w:w="284"/>
        <w:gridCol w:w="829"/>
        <w:gridCol w:w="146"/>
        <w:gridCol w:w="109"/>
        <w:gridCol w:w="109"/>
        <w:gridCol w:w="109"/>
        <w:gridCol w:w="332"/>
        <w:gridCol w:w="970"/>
        <w:gridCol w:w="242"/>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8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28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9,744 </w:t>
            </w:r>
          </w:p>
        </w:tc>
        <w:tc>
          <w:tcPr>
            <w:tcW w:w="1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7,641 </w:t>
            </w:r>
          </w:p>
        </w:tc>
        <w:tc>
          <w:tcPr>
            <w:tcW w:w="24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6057" w:type="dxa"/>
        <w:jc w:val="left"/>
        <w:tblInd w:w="0" w:type="dxa"/>
        <w:tblLayout w:type="fixed"/>
        <w:tblCellMar>
          <w:top w:w="28" w:type="dxa"/>
          <w:left w:w="28" w:type="dxa"/>
          <w:bottom w:w="28" w:type="dxa"/>
          <w:right w:w="28" w:type="dxa"/>
        </w:tblCellMar>
      </w:tblPr>
      <w:tblGrid>
        <w:gridCol w:w="1059"/>
        <w:gridCol w:w="932"/>
        <w:gridCol w:w="934"/>
        <w:gridCol w:w="255"/>
        <w:gridCol w:w="873"/>
        <w:gridCol w:w="132"/>
        <w:gridCol w:w="109"/>
        <w:gridCol w:w="109"/>
        <w:gridCol w:w="109"/>
        <w:gridCol w:w="300"/>
        <w:gridCol w:w="1026"/>
        <w:gridCol w:w="219"/>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and manufacturing equipment</w:t>
            </w:r>
          </w:p>
        </w:tc>
        <w:tc>
          <w:tcPr>
            <w:tcW w:w="25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85,422 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80,772 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101,263 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99,107 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1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(47,869)</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(44,422)</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property and equipment was $3.6 million and $3.2 million for the three months ended March 31, 2024 and 2023, respectively.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Intangible Assets,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w:t>
      </w:r>
    </w:p>
    <w:tbl>
      <w:tblPr>
        <w:tblW w:w="10205" w:type="dxa"/>
        <w:jc w:val="left"/>
        <w:tblInd w:w="0" w:type="dxa"/>
        <w:tblLayout w:type="fixed"/>
        <w:tblCellMar>
          <w:top w:w="28" w:type="dxa"/>
          <w:left w:w="28" w:type="dxa"/>
          <w:bottom w:w="28" w:type="dxa"/>
          <w:right w:w="28" w:type="dxa"/>
        </w:tblCellMar>
      </w:tblPr>
      <w:tblGrid>
        <w:gridCol w:w="606"/>
        <w:gridCol w:w="430"/>
        <w:gridCol w:w="433"/>
        <w:gridCol w:w="211"/>
        <w:gridCol w:w="826"/>
        <w:gridCol w:w="109"/>
        <w:gridCol w:w="109"/>
        <w:gridCol w:w="109"/>
        <w:gridCol w:w="109"/>
        <w:gridCol w:w="239"/>
        <w:gridCol w:w="872"/>
        <w:gridCol w:w="123"/>
        <w:gridCol w:w="109"/>
        <w:gridCol w:w="109"/>
        <w:gridCol w:w="109"/>
        <w:gridCol w:w="211"/>
        <w:gridCol w:w="826"/>
        <w:gridCol w:w="109"/>
        <w:gridCol w:w="109"/>
        <w:gridCol w:w="109"/>
        <w:gridCol w:w="109"/>
        <w:gridCol w:w="211"/>
        <w:gridCol w:w="826"/>
        <w:gridCol w:w="109"/>
        <w:gridCol w:w="109"/>
        <w:gridCol w:w="109"/>
        <w:gridCol w:w="109"/>
        <w:gridCol w:w="239"/>
        <w:gridCol w:w="872"/>
        <w:gridCol w:w="123"/>
        <w:gridCol w:w="109"/>
        <w:gridCol w:w="109"/>
        <w:gridCol w:w="109"/>
        <w:gridCol w:w="211"/>
        <w:gridCol w:w="826"/>
        <w:gridCol w:w="158"/>
      </w:tblGrid>
      <w:tr>
        <w:trPr/>
        <w:tc>
          <w:tcPr>
            <w:tcW w:w="60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Assets</w:t>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96,541 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based royalty asset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(9,334)</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(9,234)</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amortizable intangible assets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127,261 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w:t>
            </w:r>
          </w:p>
        </w:tc>
        <w:tc>
          <w:tcPr>
            <w:tcW w:w="12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105,736 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127,144 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(19,565)</w:t>
            </w:r>
          </w:p>
        </w:tc>
        <w:tc>
          <w:tcPr>
            <w:tcW w:w="12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107,579 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196,761 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w:t>
            </w:r>
          </w:p>
        </w:tc>
        <w:tc>
          <w:tcPr>
            <w:tcW w:w="12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175,236 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196,644 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(19,565)</w:t>
            </w:r>
          </w:p>
        </w:tc>
        <w:tc>
          <w:tcPr>
            <w:tcW w:w="12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177,079 </w:t>
            </w:r>
          </w:p>
        </w:tc>
        <w:tc>
          <w:tcPr>
            <w:tcW w:w="15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intangible assets was $2.0 million and $0.6 million for the three months ended March 31, 2024 and 2023,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aggregate future amortization expense for intangible assets subject to amortization as of March 31, 2024 is summarized as below:</w:t>
      </w:r>
    </w:p>
    <w:tbl>
      <w:tblPr>
        <w:tblW w:w="2736" w:type="dxa"/>
        <w:jc w:val="left"/>
        <w:tblInd w:w="0" w:type="dxa"/>
        <w:tblLayout w:type="fixed"/>
        <w:tblCellMar>
          <w:top w:w="28" w:type="dxa"/>
          <w:left w:w="28" w:type="dxa"/>
          <w:bottom w:w="28" w:type="dxa"/>
          <w:right w:w="28" w:type="dxa"/>
        </w:tblCellMar>
      </w:tblPr>
      <w:tblGrid>
        <w:gridCol w:w="560"/>
        <w:gridCol w:w="491"/>
        <w:gridCol w:w="494"/>
        <w:gridCol w:w="211"/>
        <w:gridCol w:w="82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beyond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105,736 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Accrued Expenses and Other Current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w:t>
      </w:r>
    </w:p>
    <w:tbl>
      <w:tblPr>
        <w:tblW w:w="7390" w:type="dxa"/>
        <w:jc w:val="left"/>
        <w:tblInd w:w="0" w:type="dxa"/>
        <w:tblLayout w:type="fixed"/>
        <w:tblCellMar>
          <w:top w:w="28" w:type="dxa"/>
          <w:left w:w="28" w:type="dxa"/>
          <w:bottom w:w="28" w:type="dxa"/>
          <w:right w:w="28" w:type="dxa"/>
        </w:tblCellMar>
      </w:tblPr>
      <w:tblGrid>
        <w:gridCol w:w="1542"/>
        <w:gridCol w:w="1354"/>
        <w:gridCol w:w="1364"/>
        <w:gridCol w:w="232"/>
        <w:gridCol w:w="908"/>
        <w:gridCol w:w="119"/>
        <w:gridCol w:w="109"/>
        <w:gridCol w:w="109"/>
        <w:gridCol w:w="109"/>
        <w:gridCol w:w="273"/>
        <w:gridCol w:w="1072"/>
        <w:gridCol w:w="199"/>
      </w:tblGrid>
      <w:tr>
        <w:trPr/>
        <w:tc>
          <w:tcPr>
            <w:tcW w:w="15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benefits</w:t>
            </w:r>
          </w:p>
        </w:tc>
        <w:tc>
          <w:tcPr>
            <w:tcW w:w="2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reserves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based earnout liability, current</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16,772 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19,733 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consideration payable, current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non-recurring engineering services</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term lease liability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customer rebates</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2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108,607 </w:t>
            </w:r>
          </w:p>
        </w:tc>
        <w:tc>
          <w:tcPr>
            <w:tcW w:w="1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112,704 </w:t>
            </w:r>
          </w:p>
        </w:tc>
        <w:tc>
          <w:tcPr>
            <w:tcW w:w="19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reductions to research and development expenses related to non-recurring engineering service arrangements in the condensed consolidated statements of operations of $0.4 million and $1.2 million during the three months ended March 31, 2024 and 2023, respectively.</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Other Non-current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 consisted of the following:</w:t>
      </w:r>
    </w:p>
    <w:tbl>
      <w:tblPr>
        <w:tblW w:w="7089" w:type="dxa"/>
        <w:jc w:val="left"/>
        <w:tblInd w:w="0" w:type="dxa"/>
        <w:tblLayout w:type="fixed"/>
        <w:tblCellMar>
          <w:top w:w="28" w:type="dxa"/>
          <w:left w:w="28" w:type="dxa"/>
          <w:bottom w:w="28" w:type="dxa"/>
          <w:right w:w="28" w:type="dxa"/>
        </w:tblCellMar>
      </w:tblPr>
      <w:tblGrid>
        <w:gridCol w:w="1434"/>
        <w:gridCol w:w="1260"/>
        <w:gridCol w:w="1265"/>
        <w:gridCol w:w="232"/>
        <w:gridCol w:w="908"/>
        <w:gridCol w:w="119"/>
        <w:gridCol w:w="109"/>
        <w:gridCol w:w="109"/>
        <w:gridCol w:w="109"/>
        <w:gridCol w:w="273"/>
        <w:gridCol w:w="1072"/>
        <w:gridCol w:w="199"/>
      </w:tblGrid>
      <w:tr>
        <w:trPr/>
        <w:tc>
          <w:tcPr>
            <w:tcW w:w="143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based earnout liability, non-current</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83,728 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consideration payable, non-current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lease liability</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liabilities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122,237 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Note 5. 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real estate property under operating leases. The Company leases office space in California, Michigan, Malaysia, Japan, Taiwan, the Netherlands, Finland, Ukraine, and India, all under non-cancellable operating leases with various expiration dates through May 2029.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lease terms vary from a few months to 6 years. For certain of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lease-related assets and liabilities recorded on the condensed consolidated balance sheets as of March 31, 2024 and December 31, 2023:</w:t>
      </w:r>
    </w:p>
    <w:tbl>
      <w:tblPr>
        <w:tblW w:w="9222" w:type="dxa"/>
        <w:jc w:val="left"/>
        <w:tblInd w:w="0" w:type="dxa"/>
        <w:tblLayout w:type="fixed"/>
        <w:tblCellMar>
          <w:top w:w="28" w:type="dxa"/>
          <w:left w:w="28" w:type="dxa"/>
          <w:bottom w:w="28" w:type="dxa"/>
          <w:right w:w="28" w:type="dxa"/>
        </w:tblCellMar>
      </w:tblPr>
      <w:tblGrid>
        <w:gridCol w:w="2203"/>
        <w:gridCol w:w="1938"/>
        <w:gridCol w:w="1949"/>
        <w:gridCol w:w="242"/>
        <w:gridCol w:w="707"/>
        <w:gridCol w:w="311"/>
        <w:gridCol w:w="109"/>
        <w:gridCol w:w="109"/>
        <w:gridCol w:w="109"/>
        <w:gridCol w:w="285"/>
        <w:gridCol w:w="833"/>
        <w:gridCol w:w="427"/>
      </w:tblGrid>
      <w:tr>
        <w:trPr/>
        <w:tc>
          <w:tcPr>
            <w:tcW w:w="220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60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4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included in accrued expenses and other current liabilities</w:t>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included in other non-current liabilities</w:t>
            </w:r>
          </w:p>
        </w:tc>
        <w:tc>
          <w:tcPr>
            <w:tcW w:w="9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8,024 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260"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certain information related to the lease costs for operating leases for the three months ended March 31, 2024 and 2023:</w:t>
      </w:r>
    </w:p>
    <w:tbl>
      <w:tblPr>
        <w:tblW w:w="4479" w:type="dxa"/>
        <w:jc w:val="left"/>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09"/>
        <w:gridCol w:w="109"/>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7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operating lease liabilities was $0.8 million and $0.7 million for the three months ended March 31, 2024 and 2023, respectively.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Operating Lease Cash Flows</w:t>
      </w:r>
    </w:p>
    <w:p>
      <w:pPr>
        <w:pStyle w:val="TextBody"/>
        <w:bidi w:val="0"/>
        <w:spacing w:lineRule="auto" w:line="288" w:before="120" w:after="283"/>
        <w:jc w:val="left"/>
        <w:rPr/>
      </w:pPr>
      <w:r>
        <w:rPr>
          <w:rFonts w:ascii="Times New Roman;sans-serif" w:hAnsi="Times New Roman;sans-serif"/>
          <w:b w:val="false"/>
          <w:color w:val="000000"/>
          <w:sz w:val="20"/>
        </w:rPr>
        <w:t>The table below reconciles the undiscounted cash flows for each of the first five years and total of the remaining years to the operating lease liabilities recorded on the condensed consolidated balance sheet as of March 31, 2024:</w:t>
      </w:r>
      <w:r>
        <w:rPr>
          <w:color w:val="000000"/>
        </w:rPr>
        <w:t xml:space="preserve"> </w:t>
      </w:r>
    </w:p>
    <w:tbl>
      <w:tblPr>
        <w:tblW w:w="5593" w:type="dxa"/>
        <w:jc w:val="left"/>
        <w:tblInd w:w="0" w:type="dxa"/>
        <w:tblLayout w:type="fixed"/>
        <w:tblCellMar>
          <w:top w:w="28" w:type="dxa"/>
          <w:left w:w="28" w:type="dxa"/>
          <w:bottom w:w="28" w:type="dxa"/>
          <w:right w:w="28" w:type="dxa"/>
        </w:tblCellMar>
      </w:tblPr>
      <w:tblGrid>
        <w:gridCol w:w="1585"/>
        <w:gridCol w:w="1392"/>
        <w:gridCol w:w="1402"/>
        <w:gridCol w:w="261"/>
        <w:gridCol w:w="763"/>
        <w:gridCol w:w="190"/>
      </w:tblGrid>
      <w:tr>
        <w:trPr/>
        <w:tc>
          <w:tcPr>
            <w:tcW w:w="158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6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2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2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beyond</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02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7,822 </w:t>
            </w:r>
          </w:p>
        </w:tc>
        <w:tc>
          <w:tcPr>
            <w:tcW w:w="19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of lease payments representing interest</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minimum lease payments</w:t>
            </w:r>
          </w:p>
        </w:tc>
        <w:tc>
          <w:tcPr>
            <w:tcW w:w="102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7,317 </w:t>
            </w:r>
          </w:p>
        </w:tc>
        <w:tc>
          <w:tcPr>
            <w:tcW w:w="19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obligations under leases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26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4,786 </w:t>
            </w:r>
          </w:p>
        </w:tc>
        <w:tc>
          <w:tcPr>
            <w:tcW w:w="19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6. Stockholders’ Equity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At-The-Market offering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2024, the Company entered into a Sales Agreement ("Sales Agreement"), with Stifel, Nicolaus &amp; Company, Incorporated ("Stifel"), under which the Company may offer and sell from time to time at its sole discretion, up to an aggregate of 1,200,000 shares of its common stock, par value $0.0001 per share, through Stifel acting as its sales agent. The Company used the net proceeds from the shares of common stock offered and sold to replenish funds expended to satisfy anticipated tax withholding and remittance obligations related to the net settlement upon vesting of restricted stock unit awards (“RSU”) granted to employees under the equity incentive plans. The Company has filed a prospectus supplement pursuant to the Sales Agreement for the offer and sale of up to an aggregate of 1,200,000 shares of its common stock. Subject to the terms and conditions of the Sales Agreement, Stifel will sell the common stock from time to time, based upon instructions from the Company. The Company agreed to pay Stifel a commission of up to 3% of the gross sales proceeds of any common stock sold through Stifel under the Sales Agreement.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sold 32,500 shares of its common stock through Stifel under the Sales Agreement at a weighted average price of $92.57 per share resulting in net proceeds to the Company of $2.7 million, after deducting underwriting discounts and commissions of $0.1 million and offering costs of $0.2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performance based restricted stock units ("PRSU"), and multi-year performance restricted stock units ("MYPSU") activity for the three months ended March 31, 2024:</w:t>
      </w:r>
    </w:p>
    <w:tbl>
      <w:tblPr>
        <w:tblW w:w="9780" w:type="dxa"/>
        <w:jc w:val="left"/>
        <w:tblInd w:w="0" w:type="dxa"/>
        <w:tblLayout w:type="fixed"/>
        <w:tblCellMar>
          <w:top w:w="28" w:type="dxa"/>
          <w:left w:w="28" w:type="dxa"/>
          <w:bottom w:w="28" w:type="dxa"/>
          <w:right w:w="28" w:type="dxa"/>
        </w:tblCellMar>
      </w:tblPr>
      <w:tblGrid>
        <w:gridCol w:w="998"/>
        <w:gridCol w:w="879"/>
        <w:gridCol w:w="882"/>
        <w:gridCol w:w="309"/>
        <w:gridCol w:w="309"/>
        <w:gridCol w:w="313"/>
        <w:gridCol w:w="109"/>
        <w:gridCol w:w="109"/>
        <w:gridCol w:w="109"/>
        <w:gridCol w:w="213"/>
        <w:gridCol w:w="622"/>
        <w:gridCol w:w="110"/>
        <w:gridCol w:w="109"/>
        <w:gridCol w:w="109"/>
        <w:gridCol w:w="109"/>
        <w:gridCol w:w="263"/>
        <w:gridCol w:w="263"/>
        <w:gridCol w:w="268"/>
        <w:gridCol w:w="109"/>
        <w:gridCol w:w="109"/>
        <w:gridCol w:w="109"/>
        <w:gridCol w:w="213"/>
        <w:gridCol w:w="622"/>
        <w:gridCol w:w="110"/>
        <w:gridCol w:w="109"/>
        <w:gridCol w:w="109"/>
        <w:gridCol w:w="109"/>
        <w:gridCol w:w="259"/>
        <w:gridCol w:w="259"/>
        <w:gridCol w:w="263"/>
        <w:gridCol w:w="109"/>
        <w:gridCol w:w="109"/>
        <w:gridCol w:w="109"/>
        <w:gridCol w:w="238"/>
        <w:gridCol w:w="578"/>
        <w:gridCol w:w="174"/>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w:t>
              <w:br/>
              <w:t>Number</w:t>
              <w:br/>
              <w:t>of</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br/>
              <w:t>Fair</w:t>
              <w:br/>
              <w:t>Value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PRSU</w:t>
              <w:br/>
              <w:t>Number</w:t>
              <w:br/>
              <w:t>of</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br/>
              <w:t>Fair</w:t>
              <w:br/>
              <w:t>Value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MYPSU</w:t>
              <w:b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br/>
              <w:t>Fair</w:t>
              <w:br/>
              <w:t>Value</w:t>
              <w:br/>
              <w:t>per share</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December 31, 2023</w:t>
            </w:r>
          </w:p>
        </w:tc>
        <w:tc>
          <w:tcPr>
            <w:tcW w:w="9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1,238,417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285,880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(229,644)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March 31, 2024</w:t>
            </w:r>
          </w:p>
        </w:tc>
        <w:tc>
          <w:tcPr>
            <w:tcW w:w="931"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1,387,272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199,206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285,880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the Compensation Committee approved target bonus amounts based on the achievement of revenue and individual performance goals for the fiscal year 2024 (the "2024 Goals"). The awards for the actual payouts are granted in the quarter following the end of the performance period.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condensed consolidated cash flow statements. The liability of $0.1 million for 2024 Goals was recorded as accrued expenses and other current liabilities in the condensed consolidated balance sheet as of March 31,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Compensation Committee of the Company approved PRSUs for the fiscal year 2024 with performance goals based on the achievement of relative total stockholder return with a three year performance period (the "2024 TSR PRSU Goals"). The grant-date fair value of each PRSU was determined using Monte Carlo simulation model. The assumptions used in the Monte Carlo simulation included expected volatility of 74.7%, risk free rate of 4.5%, no expected dividend yield and expected term of 2.8 years. The Company recognizes the expense related to the 2024 TSR PRSU Goals on a graded-vesting method over the requisite performance period. These grants are included in the PRSU awards granted in the table above.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operates a bonus plan for certain employees which are based on a fixed dollar amount to be settled in RSUs. These awards are categorized as liability-based awards until settled. Once settled, these awards are reflected as RSU granted in the above table. Such expense is included in the non-cash adjustment within stock-based compensation expense on the condensed consolidated cash flow statements. The liability of $0.9 million was recorded as accrued expenses and other current liabilities in the condensed consolidated balance sheet as of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stock-based compensation expense amounts included in the condensed consolidated statement of operations for each of the periods presented:</w:t>
      </w:r>
    </w:p>
    <w:tbl>
      <w:tblPr>
        <w:tblW w:w="9415" w:type="dxa"/>
        <w:jc w:val="left"/>
        <w:tblInd w:w="0" w:type="dxa"/>
        <w:tblLayout w:type="fixed"/>
        <w:tblCellMar>
          <w:top w:w="28" w:type="dxa"/>
          <w:left w:w="28" w:type="dxa"/>
          <w:bottom w:w="28" w:type="dxa"/>
          <w:right w:w="28" w:type="dxa"/>
        </w:tblCellMar>
      </w:tblPr>
      <w:tblGrid>
        <w:gridCol w:w="2360"/>
        <w:gridCol w:w="2074"/>
        <w:gridCol w:w="2091"/>
        <w:gridCol w:w="211"/>
        <w:gridCol w:w="721"/>
        <w:gridCol w:w="109"/>
        <w:gridCol w:w="109"/>
        <w:gridCol w:w="109"/>
        <w:gridCol w:w="109"/>
        <w:gridCol w:w="211"/>
        <w:gridCol w:w="721"/>
        <w:gridCol w:w="109"/>
        <w:gridCol w:w="109"/>
        <w:gridCol w:w="109"/>
        <w:gridCol w:w="109"/>
        <w:gridCol w:w="154"/>
      </w:tblGrid>
      <w:tr>
        <w:trPr/>
        <w:tc>
          <w:tcPr>
            <w:tcW w:w="2360"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Equity based awards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Liability based awards - to be settled in equity</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 equity and liability based</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recorded to additional paid-in capital</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based awards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based awards - settled in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 capitalized to inventory</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recorded to additional paid-in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unrecognized compensation costs and related weighted average period of recognition as of March 31, 2024:</w:t>
      </w:r>
    </w:p>
    <w:tbl>
      <w:tblPr>
        <w:tblW w:w="9669" w:type="dxa"/>
        <w:jc w:val="left"/>
        <w:tblInd w:w="0" w:type="dxa"/>
        <w:tblLayout w:type="fixed"/>
        <w:tblCellMar>
          <w:top w:w="28" w:type="dxa"/>
          <w:left w:w="28" w:type="dxa"/>
          <w:bottom w:w="28" w:type="dxa"/>
          <w:right w:w="28" w:type="dxa"/>
        </w:tblCellMar>
      </w:tblPr>
      <w:tblGrid>
        <w:gridCol w:w="710"/>
        <w:gridCol w:w="618"/>
        <w:gridCol w:w="636"/>
        <w:gridCol w:w="790"/>
        <w:gridCol w:w="2307"/>
        <w:gridCol w:w="412"/>
        <w:gridCol w:w="109"/>
        <w:gridCol w:w="109"/>
        <w:gridCol w:w="109"/>
        <w:gridCol w:w="1133"/>
        <w:gridCol w:w="1133"/>
        <w:gridCol w:w="1603"/>
      </w:tblGrid>
      <w:tr>
        <w:trPr/>
        <w:tc>
          <w:tcPr>
            <w:tcW w:w="71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Compensation Costs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Period of Recognition (in years)</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7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19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w:t>
            </w:r>
          </w:p>
        </w:tc>
        <w:tc>
          <w:tcPr>
            <w:tcW w:w="79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MYPSUs</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9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Liability-based awards</w:t>
            </w:r>
          </w:p>
        </w:tc>
        <w:tc>
          <w:tcPr>
            <w:tcW w:w="79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quarterly provision for income taxes is based on applying the estimated annual effective tax rate to the year to date pre-tax income, plus any discrete items. The Company updates its estimate of its annual effective tax rate at the end of each quarterly period. The estimate takes into account annual forecasted income before income taxes, the geographic mix of income before income taxes and any significant permanent tax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provision for income taxes and the effective tax rates for the three months ended March 31, 2024 and 2023:</w:t>
      </w:r>
    </w:p>
    <w:tbl>
      <w:tblPr>
        <w:tblW w:w="6109" w:type="dxa"/>
        <w:jc w:val="left"/>
        <w:tblInd w:w="0" w:type="dxa"/>
        <w:tblLayout w:type="fixed"/>
        <w:tblCellMar>
          <w:top w:w="28" w:type="dxa"/>
          <w:left w:w="28" w:type="dxa"/>
          <w:bottom w:w="28" w:type="dxa"/>
          <w:right w:w="28" w:type="dxa"/>
        </w:tblCellMar>
      </w:tblPr>
      <w:tblGrid>
        <w:gridCol w:w="994"/>
        <w:gridCol w:w="872"/>
        <w:gridCol w:w="879"/>
        <w:gridCol w:w="211"/>
        <w:gridCol w:w="796"/>
        <w:gridCol w:w="271"/>
        <w:gridCol w:w="109"/>
        <w:gridCol w:w="109"/>
        <w:gridCol w:w="109"/>
        <w:gridCol w:w="211"/>
        <w:gridCol w:w="796"/>
        <w:gridCol w:w="271"/>
        <w:gridCol w:w="109"/>
        <w:gridCol w:w="109"/>
        <w:gridCol w:w="109"/>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20"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20"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c>
          <w:tcPr>
            <w:tcW w:w="481" w:type="dxa"/>
            <w:gridSpan w:val="4"/>
            <w:tcBorders/>
          </w:tcPr>
          <w:p>
            <w:pPr>
              <w:pStyle w:val="TableContents"/>
              <w:bidi w:val="0"/>
              <w:spacing w:before="0" w:after="283"/>
              <w:jc w:val="left"/>
              <w:rPr>
                <w:sz w:val="4"/>
                <w:szCs w:val="4"/>
              </w:rPr>
            </w:pPr>
            <w:r>
              <w:rPr>
                <w:sz w:val="4"/>
                <w:szCs w:val="4"/>
              </w:rPr>
            </w:r>
          </w:p>
        </w:tc>
      </w:tr>
      <w:tr>
        <w:trPr/>
        <w:tc>
          <w:tcPr>
            <w:tcW w:w="27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before income taxes and taxable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 Company continues to maintain a full valuation reserve on its deferred tax assets as of March 31,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was less than $0.1 million for both the three months ended March 31, 2024 and 2023. The effective tax rate was less than 1% for both the three months ended March 31, 2024 and 2023. The provision for income taxes is primarily related to the foreign subsidiaries’ local country obligations. The U.S. effective tax rate is less than 1% and is due to minimum state tax. There is no federal provision for income taxes as the Company has sufficient carryforward of net operating losses to offset any operating income earned since inception and has projected an operating loss in the current year.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December 31, 2023, the Company had $2.3 million and $2.3 million, respectively, of total unrecognized tax benefits. If the Company is able to eventually recognize these uncertain tax positions, none of the unrecognized benefits would reduce the Company’s effective tax rate due to the full valuation allowance on the Company’s deferred tax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policy is to record interest and penalties related to unrecognized tax benefits as income tax expense. For the three months ended March 31, 2024 and 2023, the Company recorded immaterial amounts related to the accrual of interest and penalties.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8. Segment, Geographic and Customer Information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in one reportable segment related to the sale of Precision Timing solutions to the global electronics industry.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by geographic area is presented based upon the ship-to location of the customers who purchased the Company’s products which may be different from the geographic locations of the ultimate end customers. The following table sets forth revenue by country for countries with 10% or more of the Company’s revenue during any of the periods presented: </w:t>
      </w:r>
    </w:p>
    <w:tbl>
      <w:tblPr>
        <w:tblW w:w="4089" w:type="dxa"/>
        <w:jc w:val="left"/>
        <w:tblInd w:w="0" w:type="dxa"/>
        <w:tblLayout w:type="fixed"/>
        <w:tblCellMar>
          <w:top w:w="28" w:type="dxa"/>
          <w:left w:w="28" w:type="dxa"/>
          <w:bottom w:w="28" w:type="dxa"/>
          <w:right w:w="28" w:type="dxa"/>
        </w:tblCellMar>
      </w:tblPr>
      <w:tblGrid>
        <w:gridCol w:w="434"/>
        <w:gridCol w:w="381"/>
        <w:gridCol w:w="384"/>
        <w:gridCol w:w="211"/>
        <w:gridCol w:w="721"/>
        <w:gridCol w:w="109"/>
        <w:gridCol w:w="109"/>
        <w:gridCol w:w="109"/>
        <w:gridCol w:w="109"/>
        <w:gridCol w:w="211"/>
        <w:gridCol w:w="721"/>
        <w:gridCol w:w="109"/>
        <w:gridCol w:w="109"/>
        <w:gridCol w:w="109"/>
        <w:gridCol w:w="109"/>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total property and equipment attributable to operations by country as of the periods presented:</w:t>
      </w:r>
    </w:p>
    <w:tbl>
      <w:tblPr>
        <w:tblW w:w="4331" w:type="dxa"/>
        <w:jc w:val="left"/>
        <w:tblInd w:w="0" w:type="dxa"/>
        <w:tblLayout w:type="fixed"/>
        <w:tblCellMar>
          <w:top w:w="28" w:type="dxa"/>
          <w:left w:w="28" w:type="dxa"/>
          <w:bottom w:w="28" w:type="dxa"/>
          <w:right w:w="28" w:type="dxa"/>
        </w:tblCellMar>
      </w:tblPr>
      <w:tblGrid>
        <w:gridCol w:w="435"/>
        <w:gridCol w:w="381"/>
        <w:gridCol w:w="383"/>
        <w:gridCol w:w="255"/>
        <w:gridCol w:w="873"/>
        <w:gridCol w:w="132"/>
        <w:gridCol w:w="109"/>
        <w:gridCol w:w="109"/>
        <w:gridCol w:w="109"/>
        <w:gridCol w:w="300"/>
        <w:gridCol w:w="1026"/>
        <w:gridCol w:w="21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5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22,540 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c>
          <w:tcPr>
            <w:tcW w:w="11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15,163 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14,471 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10,855 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11,154 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9. Commitments and Contingencies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and specified environmental matters.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10. Related Party Transactions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MegaChips Corporation is the largest stockholder of the Company and held approximately 18.6% and 20.7% of the Company’s outstanding common stock as of March 31, 2024 and December 31, 2023,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transactions with related parties during the three months ended March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11. Net Loss Per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computation of basic and diluted net loss per share attributable to common stockholders of the Company:</w:t>
      </w:r>
    </w:p>
    <w:tbl>
      <w:tblPr>
        <w:tblW w:w="8818" w:type="dxa"/>
        <w:jc w:val="left"/>
        <w:tblInd w:w="0" w:type="dxa"/>
        <w:tblLayout w:type="fixed"/>
        <w:tblCellMar>
          <w:top w:w="28" w:type="dxa"/>
          <w:left w:w="28" w:type="dxa"/>
          <w:bottom w:w="28" w:type="dxa"/>
          <w:right w:w="28" w:type="dxa"/>
        </w:tblCellMar>
      </w:tblPr>
      <w:tblGrid>
        <w:gridCol w:w="2017"/>
        <w:gridCol w:w="1772"/>
        <w:gridCol w:w="1776"/>
        <w:gridCol w:w="228"/>
        <w:gridCol w:w="863"/>
        <w:gridCol w:w="118"/>
        <w:gridCol w:w="118"/>
        <w:gridCol w:w="118"/>
        <w:gridCol w:w="118"/>
        <w:gridCol w:w="228"/>
        <w:gridCol w:w="863"/>
        <w:gridCol w:w="118"/>
        <w:gridCol w:w="109"/>
        <w:gridCol w:w="109"/>
        <w:gridCol w:w="109"/>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55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(28,704)</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(16,490)</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basic net loss per share</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22,765 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21,794 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employee equity incentive plans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diluted net loss per share</w:t>
            </w:r>
          </w:p>
        </w:tc>
        <w:tc>
          <w:tcPr>
            <w:tcW w:w="109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22,765 </w:t>
            </w:r>
          </w:p>
        </w:tc>
        <w:tc>
          <w:tcPr>
            <w:tcW w:w="1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21,794 </w:t>
            </w:r>
          </w:p>
        </w:tc>
        <w:tc>
          <w:tcPr>
            <w:tcW w:w="1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per share, basic</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per share, diluted</w:t>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dilutive securities include dilutive common shares from share-based awards attributable to the assumed exercise of restricted stock unit awards using the treasury stock method. Under the treasury stock method, potential common shares outstanding are not included in the computation of diluted net income per share if their effect is anti-dilutive.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three months ended March 31, 2024 and 2023, the Company had 932,535 and 415,017 potential shares from share-based awards that are anti-dilutive,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the Condensed Consolidated Financial Statements and the related notes that appear elsewhere in this document.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this Quarterly Report on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We may, in some cases, use words such as “anticipate,” “believe,” “could,” “estimate,” “expect,” “intend,” “may,” “objective,”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report include, but are not limited to, statements about: </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plans to focus on oscillators, clock ICs, resonators and timing synchronization solutions and to aggressively expand our presence in these markets;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our ability to address market and customer demands and to timely develop new or enhanced solutions to meet those demands;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anticipated trends, challenges and growth in our business and the markets in which we operate, including pricing expectations;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our revenue, average selling prices, gross margin, and expenses;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the effects of macroeconomic events in 2024;</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dependence on a limited number of customers and end customers;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customer relationships and our ability to retain and expand our customer relationships and to achieve design wins;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the success, cost, and timing of new products;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the size and growth potential of the markets for our solutions, and our ability to serve and expand our presence in those markets;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plans to expand sales and marketing efforts through increased collaboration with our distributors and contracted sales representatives, and our plans to grow direct online sales through our self-service online store;</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to identify new customers and deliver differentiated Precision Timing solutions to them through digital marketing strategies;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goal to become the leading provider of Precision Timing solutions for advanced and challenging applications;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positioning of being designed into current systems as well as future products;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belief that our advanced packaging designs can enable the smallest footprints in the industry;</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competition in our existing and future markets;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of the success of our acquisitions and how we integrate and generate revenue;</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the impact a pandemic, epidemic, or other outbreak of disease may in the future have on our business, results of operations and financial condition, as well as the businesses of our suppliers and customers;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regulatory developments in the United States and foreign countries;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the performance of, and our relationships with, our third-party suppliers and manufacturers;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our and our customers’ ability to respond successfully to technological or industry developments;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our ability to attract and retain key personnel;</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intellectual property and related litigation;</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belief as to the sufficiency of our existing cash and cash equivalents and short-term investments funds to meet our cash needs for at least the next 12 months and our future capital requirements over the longer term;</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the adequacy and availability of our leased facilities;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the accuracy of our estimates regarding capital requirements and needs for additional financing.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reflect our management’s beliefs and views with respect to future events and are based on estimates and assumptions as of the date of this report and are subject to risks and uncertainties. We discuss many of these risks in greater detail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jc w:val="left"/>
        <w:rPr/>
      </w:pPr>
      <w:r>
        <w:rPr>
          <w:rFonts w:ascii="Times New Roman;sans-serif" w:hAnsi="Times New Roman;sans-serif"/>
          <w:b w:val="false"/>
          <w:color w:val="000000"/>
          <w:sz w:val="20"/>
        </w:rPr>
        <w:t>The ability to accurately measure and reference time has been essential to humankind’s greatest inventions and technological advances. Timing technology has continued to evolve over centuries, forming a critical aspect of broader technological evolution. Timing is the heartbeat of digital electronic systems, ensuring that the system runs smoothly and reliably by providing and distributing clock signals to various critical components such as central processing units, communication and interface ICs, and radio frequency components. As electronics evolve to deliver higher performance levels, even in increasingly challenging environments, while also being more complex and size-constrained, we believe they will require more sophisticated semiconductor-based timing solutions that cannot be developed in legacy quartz crystal-based technologies.</w:t>
      </w:r>
      <w:r>
        <w:rPr>
          <w:color w:val="000000"/>
        </w:rPr>
        <w:t xml:space="preserve"> </w:t>
      </w:r>
      <w:r>
        <w:rPr>
          <w:rFonts w:ascii="Times New Roman;sans-serif" w:hAnsi="Times New Roman;sans-serif"/>
          <w:b w:val="false"/>
          <w:color w:val="000000"/>
          <w:sz w:val="20"/>
        </w:rPr>
        <w:t>Precision timing ("Precision Timing"), fills this need with the performance, power, size, and cost that is required by these new applications.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provider of Precision Timing solutions to the global electronics industry. Our Precision Timing solutions are the heartbeat of our customers’ electronic systems, providing the timing functionality that is needed for electronics to operate reliably and correctly. We provide Precision Timing solutions that are differentiated by high performance, high resilience, and high reliability, along with programmability, small size, and low power consumption. Our products have been designed into over 300 applications across our target markets, including communications, datacenter and enterprise, automotive, industrial, aerospace, mobile, Internet of Things (“IoT”), and consumer. Our current solutions include various types of oscillators, as well as clock integrated circuits (“ICs”) and resonators.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all-silicon solutions are based on three fundamental areas of expertise: micro-electro-mechanical systems (“MEMS”), analog mixed-signal design capabilities, and advanced system-level integration expertise. These areas of expertise enable us to design silicon MEMS resonators, analog circuits, as well as systems and packaging, and put these all together to deliver a system-level solution that solves customers’ complex timing problems. In this aspect, we believe we are different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than quartz-based providers, who typically have expertise in designing and manufacturing resonator components, but usually outsource the analog and packaging. We also have a deep understanding of mechanical, electrical, and thermal properties of materials, which is a key requirement for developing our proprietary MEMS processes. To maximize MEMS first-silicon success, we have also developed our own MEMS simulation tools. We are also different in that our MEMS resonators are made using semiconductor technology which has significant benefits in features, performance, manufacturing, and cost, while the quartz suppliers use quartz crystal material. Compared to traditional clock IC suppliers, we are different in that we design the resonator in-house and can integrate it into the clock IC package. Our analog/mixed-signal die are developed using industry-standard processes and deliver high levels of performance using programmable phase-locked loops ("PLLs"), temperature sensors, regulators, data converters, drivers and other building blocks. Unlike most clock IC vendors, we do not rely on quartz vendors to provide the quartz resonator clock reference that is required for their clock ICs to function. Our expertise creates supply chain advantages for us and most importantly, enables us to design and build complete timing systems that result in performance advantages, providing a complete solution to the customer.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Precision Timing solutions are designed to be resilient to harsh environmental stressors. For the communications, datacenter and enterprise market, our products provide high performance and resilience in dense, less-controlled environments that experience extreme conditions. The resilience of our products becomes an increasing advantage as equipment is placed in dense, harsh environments and moves closer to the customer with the rollout of 5G, the rapid expansion in cloudification, and deployment of hyperscale datacenters. For the automotive market, our solutions can be utilized in automotive electronics, including advanced driver assistance systems (“ADAS”) for self-driving cars, which require increased timing accuracy. For the industrial market, our products offer programmability and high reliability for the diverse operating conditions of industrial equipment, including high temperatures, mechanical shock, and vibration. For the aerospace market, our solutions provide lower acceleration sensitivity for end products that operate in rugged conditions. For the mobile, IoT and consumer market, our timing solutions have the advantage of offering high performance at optimal power consumption and size, as our customers fit more functionality into smaller devices. </w:t>
      </w:r>
    </w:p>
    <w:p>
      <w:pPr>
        <w:pStyle w:val="TextBody"/>
        <w:bidi w:val="0"/>
        <w:spacing w:lineRule="auto" w:line="288" w:before="120" w:after="283"/>
        <w:jc w:val="left"/>
        <w:rPr/>
      </w:pPr>
      <w:r>
        <w:rPr>
          <w:rFonts w:ascii="Times New Roman;sans-serif" w:hAnsi="Times New Roman;sans-serif"/>
          <w:b w:val="false"/>
          <w:color w:val="000000"/>
          <w:sz w:val="20"/>
        </w:rPr>
        <w:t>We believe that the total timing market is approximately $10 billion in size.</w:t>
      </w:r>
      <w:r>
        <w:rPr>
          <w:color w:val="000000"/>
        </w:rPr>
        <w:t xml:space="preserve"> </w:t>
      </w:r>
      <w:r>
        <w:rPr>
          <w:rFonts w:ascii="Times New Roman;sans-serif" w:hAnsi="Times New Roman;sans-serif"/>
          <w:b w:val="false"/>
          <w:color w:val="000000"/>
          <w:sz w:val="20"/>
        </w:rPr>
        <w:t xml:space="preserve">Since our founding, we have focused on transforming this market with compelling solutions that solve difficult timing problems. Historically, our revenue has been substantially delivered from sales of oscillator systems across our target end markets. Since our initial public offering ("IPO") in November 2019, we’ve grown from 60 to 150 unique products and the price of our highest-value oscillator has grown manyfold. In addition to oscillators, we have expanded our product portfolio to include clock IC and timing synchronization solutions. </w:t>
      </w:r>
    </w:p>
    <w:p>
      <w:pPr>
        <w:pStyle w:val="TextBody"/>
        <w:bidi w:val="0"/>
        <w:spacing w:lineRule="auto" w:line="288" w:before="120" w:after="283"/>
        <w:jc w:val="left"/>
        <w:rPr/>
      </w:pPr>
      <w:r>
        <w:rPr>
          <w:rFonts w:ascii="Times New Roman;sans-serif" w:hAnsi="Times New Roman;sans-serif"/>
          <w:b w:val="false"/>
          <w:color w:val="000000"/>
          <w:sz w:val="20"/>
        </w:rPr>
        <w:t>In December 2023, we closed the acquisition of certain assets and the exclusive license to certain intellectual property from Aura Semiconductor Pvt. Ltd. and certain of its affiliated entities (together, "Aura") relating to Aura's timing business and clock products, subject to certain covenants and restrictions. With this acquisition, we bring our expertise to the category of clocks, adding 20 best-in-class clocks at the close of the acquisition, and approximately an additional 20 products, starting at the second half of 2024 and through 2025. With the addition of all four categories of clock products including network synchronizers, jitter cleaners, clock generators, and buffers, we now offer a comprehensive portfolio of timing solutions. By pairing the new SiTime clocking products with our MEMS oscillators and/or our resonators, we expect to be able to offer a more complete clock tree that is simpler to design with higher performance, and more resilient to environmental stressors with better reliability.</w:t>
      </w:r>
      <w:r>
        <w:rPr>
          <w:color w:val="000000"/>
        </w:rPr>
        <w:t xml:space="preserve"> </w:t>
      </w:r>
      <w:r>
        <w:rPr>
          <w:rFonts w:ascii="Times New Roman;sans-serif" w:hAnsi="Times New Roman;sans-serif"/>
          <w:b w:val="false"/>
          <w:color w:val="000000"/>
          <w:sz w:val="20"/>
        </w:rPr>
        <w:t>SiTime is now a key provider of all differentiated products in timing – oscillators, clocks, and resonators combined with depth in engineering expertise in Precision Timing solutions.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primarily through distributors, who in turn sell to our end customers. We also sell products directly to some of our end customers.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sales personnel or distributors or by shopping on our online store, SiTimeDirect™.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 fabless business model, where we outsource manufacturing to semiconductor industry suppliers, which allows us to focus on, and excel in, the design, marketing, and sales of our products. This model also allows us to operate with lower capital expenditure investment than other semiconductor companies that own fabs. A fabless infrastructure gives us production flexibility and the ability to scale capacity up and down quickly to meet demand. Our programmable architecture also plays a key role in ensuring optimal production flexibility, as it allows us to offer shorter lead times and the ability to meet custom requirements more easily.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IPO in November 2019, while our revenue has grown, gross margins have improved, and new opportunities for growth for our business have emerged, adverse macroeconomic events including geopolitical tensions and conflicts have substantially increased. In 2020 and 2021, there were a number of industry-wide supply constraints affecting the supply of analog circuits manufactured by certain foundries, including Taiwan Semiconductor Manufacturing Company ("TSMC"), and affecting outsourced semiconductor assembly and test providers. We believe that the effects of the industry-wide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supply constraints on other timing device suppliers contributed in part to our revenue and gross margin growth in 2021 and the first half of 2022. In 2022 and 2023 macroeconomic events such as rising inflation, fear of recession, equity market volatility, geopolitical tensions, war, decreased consumer spending, lower demand for electronic products following a period of strong demand during the COVID-19 pandemic, supply chain disruptions, and the COVID-19 pandemic measures implemented in China, harmed sales of our products and results of operations. We believe that some of our customers built up inventory of our products in 2022 to overcome the industry-wide supply constraints that occurred in the previous periods and that the macroeconomic events in the second half of 2022 and through 2023 led to reduced demand for our customers' products, which led to an inventory buildup at some of our customers and their affiliates, partners and contract manufacturers, which has adversely affected sales of our products. We believe that while this inventory buildup has reduced through the second half of 2023 and in 2024, any further increase could negatively impact the sales of our products and could result in decreases in our sales and margins, and could materially harm our results of operations. The future effects of macroeconomic events on our business and results of operations, including inventory levels at our customer and their affiliates, partners, and contract manufacturers as well as demand for our products, are uncertain and difficult to predict. For additional discussion please see Part II, Item 1A "Risk Factors" of this report, especially the risk factor titled “Global macroeconomic conditions have harmed and may continue to harm our business” and “Our revenue and operating results may fluctuate from period to period, which could cause our stock price to fluctuate.”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employees in Finland, France, Germany, Japan, Korea, Malaysia, the Netherlands, Taiwan, Ukraine, India, and the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derive revenue primarily from sales of Precision Timing solutions to distributors who in turn sell to our end customers. We also sell products directly to some of our end customers.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tbl>
      <w:tblPr>
        <w:tblW w:w="6179" w:type="dxa"/>
        <w:jc w:val="left"/>
        <w:tblInd w:w="0" w:type="dxa"/>
        <w:tblLayout w:type="fixed"/>
        <w:tblCellMar>
          <w:top w:w="28" w:type="dxa"/>
          <w:left w:w="28" w:type="dxa"/>
          <w:bottom w:w="28" w:type="dxa"/>
          <w:right w:w="28" w:type="dxa"/>
        </w:tblCellMar>
      </w:tblPr>
      <w:tblGrid>
        <w:gridCol w:w="266"/>
        <w:gridCol w:w="234"/>
        <w:gridCol w:w="236"/>
        <w:gridCol w:w="196"/>
        <w:gridCol w:w="646"/>
        <w:gridCol w:w="109"/>
        <w:gridCol w:w="109"/>
        <w:gridCol w:w="109"/>
        <w:gridCol w:w="109"/>
        <w:gridCol w:w="196"/>
        <w:gridCol w:w="646"/>
        <w:gridCol w:w="109"/>
        <w:gridCol w:w="109"/>
        <w:gridCol w:w="109"/>
        <w:gridCol w:w="109"/>
        <w:gridCol w:w="196"/>
        <w:gridCol w:w="631"/>
        <w:gridCol w:w="109"/>
        <w:gridCol w:w="109"/>
        <w:gridCol w:w="109"/>
        <w:gridCol w:w="109"/>
        <w:gridCol w:w="195"/>
        <w:gridCol w:w="196"/>
        <w:gridCol w:w="316"/>
        <w:gridCol w:w="109"/>
        <w:gridCol w:w="109"/>
        <w:gridCol w:w="109"/>
        <w:gridCol w:w="109"/>
        <w:gridCol w:w="109"/>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decreased by $5.3 million, or 14%, for the three months ended March 31, 2024 compared to the same period in the prior year. The decrease was primarily related to a decrease in average selling prices ("ASPs") of our products primarily due to change in mix of the products we shipped, partially offset by an increase in sales volume. Lower sales volume in the prior year was driven by excess inventory buildup at many of our customers, including our largest end customer, distributors and their affiliates, partners, and contract manufacturers, and lower demand for our products due to macroeconomic conditions.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attributable to our largest end customer through multiple distributors accounted for 19% and 3% of our revenue for the three months ended March 31, 2024 and 2023, respectively. Our end customers predominantly purchase our products from distributors. Our top three customers by revenue, which are distributors, together accounted for approximately 55% and 45% of our revenue for the three months ended March 31, 2024 and 2023, respectively. Revenue attributable to our largest ten end customers accounted for 52% and 43% for the three months ended March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Cost of Revenue, Gross Profit, and Gross Margin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of wafers acquired from third-party foundries, assembly, packaging, and test cost of our products paid to third-party contract manufacturers, amortization of acquired intangibles and personnel and other costs associated with our manufacturing operations. Cost of revenue also includes depreciation of production equipment, inventory write-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downs, amortization of internally developed software, shipping and handling costs, and allocation of overhead and facility costs. We also include credits for rebates received from foundries to cost of revenue.</w:t>
      </w:r>
    </w:p>
    <w:tbl>
      <w:tblPr>
        <w:tblW w:w="7042" w:type="dxa"/>
        <w:jc w:val="left"/>
        <w:tblInd w:w="0" w:type="dxa"/>
        <w:tblLayout w:type="fixed"/>
        <w:tblCellMar>
          <w:top w:w="28" w:type="dxa"/>
          <w:left w:w="28" w:type="dxa"/>
          <w:bottom w:w="28" w:type="dxa"/>
          <w:right w:w="28" w:type="dxa"/>
        </w:tblCellMar>
      </w:tblPr>
      <w:tblGrid>
        <w:gridCol w:w="472"/>
        <w:gridCol w:w="415"/>
        <w:gridCol w:w="418"/>
        <w:gridCol w:w="196"/>
        <w:gridCol w:w="646"/>
        <w:gridCol w:w="256"/>
        <w:gridCol w:w="109"/>
        <w:gridCol w:w="109"/>
        <w:gridCol w:w="109"/>
        <w:gridCol w:w="196"/>
        <w:gridCol w:w="646"/>
        <w:gridCol w:w="256"/>
        <w:gridCol w:w="109"/>
        <w:gridCol w:w="109"/>
        <w:gridCol w:w="109"/>
        <w:gridCol w:w="196"/>
        <w:gridCol w:w="631"/>
        <w:gridCol w:w="109"/>
        <w:gridCol w:w="109"/>
        <w:gridCol w:w="109"/>
        <w:gridCol w:w="109"/>
        <w:gridCol w:w="195"/>
        <w:gridCol w:w="196"/>
        <w:gridCol w:w="316"/>
        <w:gridCol w:w="109"/>
        <w:gridCol w:w="109"/>
        <w:gridCol w:w="109"/>
        <w:gridCol w:w="109"/>
        <w:gridCol w:w="109"/>
        <w:gridCol w:w="109"/>
        <w:gridCol w:w="109"/>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3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15,361 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15,302 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decreased by $5.4 million in the three months ended March 31, 2024 compared to the same period in the prior year. Gross profit decreased $4.5 million mainly from lower revenue and $1.2 million due to higher stock-based compensation expense. This decrease was partially offset by lower other manufacturing and overhead costs of $0.3 million.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was lower by 7% in the three months ended March 31, 2024 compared to the same period in the prior year. Of the decrease, 5.2% was mainly due to lower sales causing an unfavorable absorption of our manufacturing overhead costs and the additional 1.4% decline was contributed by lower ASP for the quarter due to change in mix of products shipped.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may fluctuate from time to time due to a variety of factors. For additional discussion please see Part II, Item 1A "Risk Factors" of this report, especially the risk factor titled “Our gross margins may fluctuate due to a variety of factors, which could negatively impact our results of operations and our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consist of research and development, sales and marketing, general and administrative expenses, and acquisition related costs.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 </w:t>
      </w:r>
    </w:p>
    <w:tbl>
      <w:tblPr>
        <w:tblW w:w="7798" w:type="dxa"/>
        <w:jc w:val="left"/>
        <w:tblInd w:w="0" w:type="dxa"/>
        <w:tblLayout w:type="fixed"/>
        <w:tblCellMar>
          <w:top w:w="28" w:type="dxa"/>
          <w:left w:w="28" w:type="dxa"/>
          <w:bottom w:w="28" w:type="dxa"/>
          <w:right w:w="28" w:type="dxa"/>
        </w:tblCellMar>
      </w:tblPr>
      <w:tblGrid>
        <w:gridCol w:w="923"/>
        <w:gridCol w:w="812"/>
        <w:gridCol w:w="815"/>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64"/>
        <w:gridCol w:w="167"/>
        <w:gridCol w:w="256"/>
        <w:gridCol w:w="109"/>
        <w:gridCol w:w="109"/>
        <w:gridCol w:w="109"/>
        <w:gridCol w:w="109"/>
        <w:gridCol w:w="109"/>
        <w:gridCol w:w="109"/>
        <w:gridCol w:w="109"/>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percentage)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related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52,699 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efforts are focused on the design and development of Precision Timing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which may be offset by non-recurring engineering contra-expenses recorded in certain periods. There is no assurance that we will have non-recurring engineering contra-expense from period to period.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expenses to fluctuate as a percentage of revenue from period to period depending on the timing of these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$1.1 million, or 4%, for the three months ended March 31, 2024 compared to the same period in the prior year, primarily due to a decrease in non-recurring engineering contra-expense recognized of $0.9 million, an increase in depreciation and amortization of lab equipment and licenses of $0.2 million, and an increase in stock-based compensation expense of $1.1 million, offset by lower engineering spend towards ongoing new product development of $0.6 million and lower other personnel costs of $0.5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guarantee we will enter into a non-recurring engineering arrangement or recognize such contra-expense in any future period.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Sales, General and Administrative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expenses to continue to increase in absolute dollars as we increase our personnel and grow our operations, although it may fluctuate as a percentage of revenue from period to period depending on the timing of these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increased by $3.2 million, or 15%, for the three months ended March 31, 2024 compared to the same period in the prior year, primarily due to higher stock-based compensation expense of $2.5 million, higher other personnel costs of $0.5 million, and higher advertising costs of $0.4 million, partially offset by reduction in sales commission payouts by $0.3 million due to lower sales, and lower consulting fees of $0.3 million.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Acquisition related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costs include legal, regulatory, consulting, and other costs incurred towards the acquisition closed during the year ended December 31, 2023 and changes in the fair value of the sales based earnout liability and acquisition consideration payable. We expect these costs to be dependent on the occurrence of future acquisitions and to be non-recurring. The acquisition related costs incurred for the three months ended March 31, 2024 were related to the completion of the Aura transaction. We may incur incremental costs in 2024 and beyond related to the Aura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primarily of interest income on short term investments.</w:t>
      </w:r>
    </w:p>
    <w:tbl>
      <w:tblPr>
        <w:tblW w:w="6147" w:type="dxa"/>
        <w:jc w:val="left"/>
        <w:tblInd w:w="0" w:type="dxa"/>
        <w:tblLayout w:type="fixed"/>
        <w:tblCellMar>
          <w:top w:w="28" w:type="dxa"/>
          <w:left w:w="28" w:type="dxa"/>
          <w:bottom w:w="28" w:type="dxa"/>
          <w:right w:w="28" w:type="dxa"/>
        </w:tblCellMar>
      </w:tblPr>
      <w:tblGrid>
        <w:gridCol w:w="440"/>
        <w:gridCol w:w="385"/>
        <w:gridCol w:w="38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65"/>
        <w:gridCol w:w="166"/>
        <w:gridCol w:w="256"/>
        <w:gridCol w:w="109"/>
        <w:gridCol w:w="109"/>
        <w:gridCol w:w="109"/>
        <w:gridCol w:w="109"/>
        <w:gridCol w:w="109"/>
        <w:gridCol w:w="109"/>
        <w:gridCol w:w="109"/>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2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$0.9 million for the three months ended March 31, 2024, compared to the same period in the prior year due to an increase in interest rates in the current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consists primarily of foreign exchange gains and losses.</w:t>
      </w:r>
    </w:p>
    <w:tbl>
      <w:tblPr>
        <w:tblW w:w="7138" w:type="dxa"/>
        <w:jc w:val="left"/>
        <w:tblInd w:w="0" w:type="dxa"/>
        <w:tblLayout w:type="fixed"/>
        <w:tblCellMar>
          <w:top w:w="28" w:type="dxa"/>
          <w:left w:w="28" w:type="dxa"/>
          <w:bottom w:w="28" w:type="dxa"/>
          <w:right w:w="28" w:type="dxa"/>
        </w:tblCellMar>
      </w:tblPr>
      <w:tblGrid>
        <w:gridCol w:w="767"/>
        <w:gridCol w:w="673"/>
        <w:gridCol w:w="675"/>
        <w:gridCol w:w="196"/>
        <w:gridCol w:w="496"/>
        <w:gridCol w:w="109"/>
        <w:gridCol w:w="109"/>
        <w:gridCol w:w="109"/>
        <w:gridCol w:w="109"/>
        <w:gridCol w:w="196"/>
        <w:gridCol w:w="421"/>
        <w:gridCol w:w="109"/>
        <w:gridCol w:w="109"/>
        <w:gridCol w:w="109"/>
        <w:gridCol w:w="109"/>
        <w:gridCol w:w="196"/>
        <w:gridCol w:w="496"/>
        <w:gridCol w:w="109"/>
        <w:gridCol w:w="109"/>
        <w:gridCol w:w="109"/>
        <w:gridCol w:w="109"/>
        <w:gridCol w:w="240"/>
        <w:gridCol w:w="241"/>
        <w:gridCol w:w="316"/>
        <w:gridCol w:w="109"/>
        <w:gridCol w:w="109"/>
        <w:gridCol w:w="109"/>
        <w:gridCol w:w="109"/>
        <w:gridCol w:w="109"/>
        <w:gridCol w:w="109"/>
        <w:gridCol w:w="109"/>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1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increased by $0.3 million or 314% for the three months ended March 31, 2024, compared to the same period in the prior year primarily due to an increase in net unrealized loss on foreign exchange rates due to increased activities in our foreign subsidiaries and unfavorable exchange rate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NOL carryforwards, and tax credits related primarily to research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development. We expect to maintain this full valuation allowance until realization of the deferred tax assets becomes more likely than not. </w:t>
      </w:r>
    </w:p>
    <w:tbl>
      <w:tblPr>
        <w:tblW w:w="6177" w:type="dxa"/>
        <w:jc w:val="left"/>
        <w:tblInd w:w="0" w:type="dxa"/>
        <w:tblLayout w:type="fixed"/>
        <w:tblCellMar>
          <w:top w:w="28" w:type="dxa"/>
          <w:left w:w="28" w:type="dxa"/>
          <w:bottom w:w="28" w:type="dxa"/>
          <w:right w:w="28" w:type="dxa"/>
        </w:tblCellMar>
      </w:tblPr>
      <w:tblGrid>
        <w:gridCol w:w="548"/>
        <w:gridCol w:w="482"/>
        <w:gridCol w:w="484"/>
        <w:gridCol w:w="196"/>
        <w:gridCol w:w="406"/>
        <w:gridCol w:w="109"/>
        <w:gridCol w:w="109"/>
        <w:gridCol w:w="109"/>
        <w:gridCol w:w="109"/>
        <w:gridCol w:w="196"/>
        <w:gridCol w:w="406"/>
        <w:gridCol w:w="109"/>
        <w:gridCol w:w="109"/>
        <w:gridCol w:w="109"/>
        <w:gridCol w:w="109"/>
        <w:gridCol w:w="196"/>
        <w:gridCol w:w="331"/>
        <w:gridCol w:w="109"/>
        <w:gridCol w:w="109"/>
        <w:gridCol w:w="109"/>
        <w:gridCol w:w="109"/>
        <w:gridCol w:w="195"/>
        <w:gridCol w:w="196"/>
        <w:gridCol w:w="316"/>
        <w:gridCol w:w="109"/>
        <w:gridCol w:w="109"/>
        <w:gridCol w:w="109"/>
        <w:gridCol w:w="109"/>
        <w:gridCol w:w="109"/>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5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December 31, 2023, we had cash and cash equivalents of $96.3 million and $9.5 million, respectively. As of March 31, 2024 and December 31, 2023 we also held $421.0 million and $518.7 million of short-term investments, respectively in held-to-maturity securities which consisted of treasury bills. Our principal use of cash is to fund our operations, to support growth through capital investments, and to acquire complementary businesses, products, services or technologies in the future.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we entered into a Sales Agreement ("Sales Agreement") with Stifel, Nicolaus &amp; Company, Incorporated ("Stifel"), under which we may offer and sell from time to time at our sole discretion, up to an aggregate of 1,200,000 shares of our common stock, par value $0.0001 per share, through Stifel as our sales agent. During the three months ended March 31, 2024, we sold 32,500 shares of our common stock under the Sales Agreement at a weighted average price of $92.57 per share resulting in net proceeds to us of $2.7 million, after deducting underwriting discounts and commissions and offering costs. The Company used the net proceeds from the shares of common stock offered and sold to replenish funds expended to satisfy anticipated tax withholding and remittance obligations related to the net settlement upon vesting of restricted stock unit awards (“RSU”) granted to employees under the equity incentive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purchase obligations primarily include design and simulation licenses and non-cancelable purchase commitments from agreements with our contract manufacturers as well as a multi-year purchase agreement with commitment to purchase minimum quantities of MEMS wafers and research and development, tooling and sample cost under the agreement. For information about our contractual obligations refer to "Note 5 - Lease" of the Notes to Condensed Consolidated Financial Statements for the period ending March 31, 2024 and "Note 6 - Commitments and Contingencies" of the Notes to the Consolidated Financial Statements filed in the Company's Annual Report on Form 10-K for the year ended December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our investing activities to support growth, primarily through the purchase of property and equipment, intellectual property licenses, and capitalized software, to support research and development, sales and marketing, product support, and administrative staff.</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and our short-term investments will be sufficient to meet our cash needs for at least the next 12 months. Over the longer term, our future capital requirements will depend on many factors, including our growth rate, the timing and extent of our sales and marketing and research and development expenditures, costs to acquire or invest in complementary businesses and technologies, payment obligations associated with our completed acquisitions based on achievement of certain milestones, and the continuing market acceptance of our solutions. 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flows for the periods indicated:</w:t>
      </w:r>
    </w:p>
    <w:tbl>
      <w:tblPr>
        <w:tblW w:w="6669" w:type="dxa"/>
        <w:jc w:val="left"/>
        <w:tblInd w:w="0" w:type="dxa"/>
        <w:tblLayout w:type="fixed"/>
        <w:tblCellMar>
          <w:top w:w="28" w:type="dxa"/>
          <w:left w:w="28" w:type="dxa"/>
          <w:bottom w:w="28" w:type="dxa"/>
          <w:right w:w="28" w:type="dxa"/>
        </w:tblCellMar>
      </w:tblPr>
      <w:tblGrid>
        <w:gridCol w:w="1525"/>
        <w:gridCol w:w="1343"/>
        <w:gridCol w:w="1347"/>
        <w:gridCol w:w="211"/>
        <w:gridCol w:w="721"/>
        <w:gridCol w:w="109"/>
        <w:gridCol w:w="109"/>
        <w:gridCol w:w="109"/>
        <w:gridCol w:w="109"/>
        <w:gridCol w:w="211"/>
        <w:gridCol w:w="72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three months ended March 31, 2024, net cash provided by operating activities of $1.7 million was primarily due to a net loss of $28.7 million and a change in operating assets and liabilities of $3.9 million, offset by non-cash expenses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$34.3 million. Non-cash expenses were mainly related to depreciation and amortization, stock-based compensation expense, change in fair value of sales based earnout liability and acquisition consideration payable, and net change in unrealized interest on held to maturity investments. The changes in operating assets and liabilities resulted in cash used primarily due to an increase in inventories as we built our wafer inventory levels, and an increase in prepaid expenses and other assets due to timing of payments, partially offset by lower accounts receivable due to timing of payments and lower revenue, and higher accounts payable and accrued expenses primarily due to timing of accrued payroll and related benefit payments.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consist primarily of purchase and maturities of short-term investments and capital expenditures for property and equipment purchases. Our short-term investments were primarily in treasury bills to earn interest. Our capital expenditures for property and equipment have primarily been for general business purposes, including machinery and equipment, leasehold improvements, acquired software, computer equipment used internally, and production masks to manufacture our products.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net cash provided by investing activities was $91.1 million. We paid $294.4 million to purchase short-term investments in held-to-maturity securities. We paid $3.0 million largely to purchase test and other manufacturing equipment and intangibles to support the general business operations. All such payments were offset by $388.5 million proceeds from the maturity of held to maturity investments.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have primarily consisted of proceeds from issuance of shares and payments of withholding taxes on restricted stock units. During the three months ended March 31, 2024, we sold 32,500 shares of our common stock under the Sales Agreement resulting in net proceeds to us of $2.7 million, after deducting underwriting discounts and commissions of $0.1 million and offering costs of $0.2 million. The net proceeds from the Sales Agreement were offset by tax withholdings paid on behalf of employees for net share settlement of $8.7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have been prepared in accordance with GAAP. The preparation of these financial statements and accompanying disclosures requires us to make estimates and assumptions that affect the reported amounts of assets, liabilities, revenues and expenses, and related disclosures of contingent assets and liabilities in the consolidated financial statements and the accompanying notes. The Securities and Exchange Commission (the "SEC"), has defined a company’s critical accounting estimates as estimates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estimates to be as follows: (1) revenue recognition; (2) business combinations; and (3) inventory.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 estimates in Management’s Discussion and Analysis of Financial Condition and Results of Operations, in our Annual Report on Form 10-K for the year ended December 31, 2023 filed with the SEC on February 26,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50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revenue is denominated in U.S. dollars. Our expenses are generally denominated in the currencies in which our operations are located, which is primarily in the United States and, to a lesser extent, in Finland, France, Japan, Germany, Korea, Malaysia, the Netherlands, Taiwan, Ukraine, and India.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$96.3 million and $9.5 million as of March 31, 2024 and December 31, 2023, respectively, consisting of bank deposits, money market funds and treasury bills. We also had short-term investments in held-to-maturity securities of $421.0 million and $518.7 million consisting of treasury bills as of March 31, 2024 and December 31, 2023. Such interest-earning instruments carry a degree of interest rate risk. During the three months ended March 31, 2024 we have generated $6.6 million in interest income due to higher investment balance and rising interest rates.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enter into investments for trading or speculative purposes and have not used any derivative financial instruments to manage our interest rate risk exposure. As of March 31, 2024, a hypothetical 10% increase or decrease in market interest rates would change the fair value and related interest income on our interest-earning instruments of $421.0 million, by an increase or decrease of approximately $0.7 million for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as such term is defined in Rules 13a-15(e)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SiTime have been detected.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their evaluation as of the end of the period covered by this Quarterly Report on Form 10-Q, our Chief Executive Officer and Chief Financial Officer have concluded that, as of such date, our disclosure controls and procedures were effective.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Remediation of Previously Disclosed Material Weakness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Management previously identified a material weakness in our internal control over financial reporting due to a deficiency in our review control over the classification of cash flows from investments within the statements of cash flows in accordance with applicable accounting guidance for the periods ended March 31, 2023, June 30, 2023, and September 30,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the fourth fiscal quarter of 2023, we implemented changes to our processes to improve our internal control over financial reporting to remediate the control deficiency that gave rise to the material weakness.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Specifically, we implemented the following changes and improvements: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Implemented a cash flow review checklist to assist in appropriate classification of items within the cash flow statements;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Strengthened the internal review process to ensure additional layer of review of the quarterly cash flow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Upon completion of our testing of the design and operating effectiveness of these new control procedures, management concluded that the previously-identified material weakness was remediated as of March 31, 2024.</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for the remediation of material weakness discussed before, there have been no changes in our internal control over financial reporting during the three months ended March 31,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Note 9 of the Notes to Condensed Consolidated Financial Statements in Part I, Item 1 of this Quarterly Report on Form 10-Q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Global macroeconomic conditions have harmed and may continue to harm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global company and therefore our business, results of operations, and financial condition are impacted by global macroeconomic conditions. Macroeconomic events such as rising inflation, recession, equity market volatility, geopolitical tensions, war, declines in income or asset values, decreased spending, changes to fuel and other energy costs, public health crises, supply chain disruptions, trade restrictions and sanctions, and global banking concerns have caused economic volatility, which has and may continue to harm our business, financial condition, and results of operations, and may cause an extended downturn in the worldwide economy, which would further harm our business, financial condition and results of operations. Economic volatility and adverse economic conditions have affected and may continue to affect the demand for our products and our customers’ products. Reduced demand for our customers’ products has led to a buildup of inventory at many of our customers, including distributors, and their affiliates, partners, and contract manufacturers, which has and may continue to adversely affect demand for our products. Reduced demand for our products could result in significant decreases in our sales and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deterioration in credit markets as a result of macroeconomic events could also limit our ability to obtain external financing to fund our operations and capital expenditures. We may experience losses on our holdings of cash and investments due to failures of financial institutions and other parties. Further, adverse economic conditions may also result in a higher rate of losses on our accounts receivable due to credit defaults. As a result, global macroeconomic conditions have had and may continue to have a material adverse effect on our business, results of operations,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the cyclical nature of the semiconductor industry.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is highly cyclical and is characterized by constant and rapid technological change, rapid product obsolescence, price erosion, evolving standards, short product life cycles, and wide fluctuations in product supply and demand. From time to time, these factors, together with changes in macroeconomic conditions, can cause significant upturns and downturns in the semiconductor industry, and in our business. Downturns in the semiconductor industry have been characterized by diminished product demand, production overcapacity, high inventory levels for us and our customers, and erosion of average selling prices. For example, in 2023 we experienced, and we may in the future experience, customer inventory adjustments that may adversely affect our results of operations. Any downturns in the semiconductor industry could harm our business, financial condition, and results of operations.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derived a significant portion of our revenue from a limited number of customers. We sell our products primarily through distributors, who in turn sell to our end customers. We also sell directly to our end customers. Our top three distributors by revenue together accounted for approximately 55% and 45% of our revenue for the three months ended March 31, 2024 and 2023, respectively. Based on our shipment information, we believe that revenue attributable to our ten largest end customers accounted for 52% and 43% of our revenue for the three months ended March 31, 2024 and 2023, respectively. Sales attributable to Apple Inc., our largest end customer accounted for approximately 19% and 3% of our revenue for the three months ended March 31, 2024 and 2023 respectively. We anticipate revenue attributable to this customer will fluctuate from period to period. Although we sell our products to this customer through distributors on a purchase order basis, including Pernas Electronics Co., Ltd. (“Pernas”), Arrow Electronics, Inc. (“Arrow”), and Quantek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Technology Corporation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operating results for the foreseeable future will continue to depend to a significant extent on sales attributable to a limited number of customers and end customers. If we are unable to expand or further diversify our customer base, it could harm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our end customers were to choose to work with other manufacturers or our relationships with our customers are disrupted for any reason, it could have a significant negative impact on our business. Any reduction in sales attributable to our larger customers and end customers, including our largest end customer, would have a significant and disproportionate impact on our business, financial condition, and results of operations. Geopolitical tensions are leading to an increasing trend of customers seeking domestically produced products or reducing the dependence upon or use of products from certain countries, which could limit our ability to make sales to these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Further,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primarily through distributors, usually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forecasts provided by customers, end customers, or their affiliates or contract manufacturers may change or may later prove to have been inaccurate which could make demand for our products difficult for us to predict and could expose us to the risks of inventory shortages or excess inventory and materially harm our results of operations. As we no longer intend to acquire inventory to pre-build custom products, we may not be able to fulfill increased demand in the short term. Any of the foregoing events could materially and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revenue and operating results may fluctuate from period to period, which could cause our stock price to fluctuate.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("ASP") changes. Factors relating to our business that may contribute to fluctuations in our operating results include the following factors, as well as other factors described elsewhere in this report:</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macroeconomic conditions;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cyclical fluctuations in the semiconductor market;</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customer demand and product life cycles;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receipt, reduction, or cancellation of, or changes in the forecasts or timing of, orders by customers;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fluctuations in the levels of inventories held by our distributors or end customers;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gain or loss of significant customers;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changes in our pricing, product cost, and product mix;</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supply chain disruptions, delays, shortages, and capacity limitations;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market acceptance of our products and our customers’ products;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develop, introduce, and market new products and technologies on a timely basis;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timing and extent of product development costs;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new product announcements and introductions by us or our competitors;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research and development costs and related new product expenditures and our ability to achieve cost reductions in a timely or predictable manner;</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seasonality and fluctuations in sales by product manufacturers that incorporate our Precision Timing solutions into their products;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end-market demand into which we have limited insight, including cyclicality, seasonality, and the competitive landscape;</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socioeconomic or political conditions in the countries where we operate or where our products are sold or used;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 xml:space="preserve">the impact of any pandemic, epidemic, or outbreak of disease, including the emergence of new variants of the COVID-19 pandemic, on our business, suppliers, and customers; </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fluctuations in our manufacturing yields;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significant warranty claims, including those not covered by our suppliers;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new accounting pronouncements or changes in existing accounting standards; and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loss of one or more of our executive officers or other key employees;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depend on third parties for our wafer fabrication, assembly, packaging, and testing operations, which exposes us to certain risks that may harm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an outsourced manufacturing business model. As a result, we rely on third parties for all of our manufacturing operations, including wafer fabrication, assembly, packaging, and testing.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that are procured or subcontracted by our third-party suppliers for manufacturing of our products are procured or subcontracted on a single or sole-source basis.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The initial term of this supply agreement is through February 2027 and automatically renews. We currently rely on Bosch for our MEMS fabrication, and primarily on TSMC for our analog circuits fabrication, and any disruption in the supply of wafers or any increases in the wafer or materials prices could adversely affect our gross margins and our ability to meet customer demands in a timely manner, or at all, and lead to reduced revenue. In 2021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first half of 2022 there were a number of industry-wide supply constraints affecting the supply of analog circuits manufactured by certain foundries, including TSMC, and affecting outsourced semiconductor assembly and test providers (“OSATs”), which limited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incur additional costs and encounter difficulties and/or delays in qualifying the supply sources. For example, we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primarily rely on Advanced Semiconductor Engineering, Inc. (“ASE”), Carsem (M) Sdn. Bhd. (“Carsem”), and United Test and Assembly Center Ltd. (“UTAC”) for assembly and testing, as well as Daishinku Corp. (“Daishinku”), UTAC, Hana Semiconductor (Ayutthaya) Co., Ltd, and ASE for ceramic packaging for some of our products. We enter into capacity agreements with certain of our OSATs from time to time which may adversely impact our gross margins and results of operations if we do not purchase required minimum quantities.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 significant portion of our operations is located outside of the United States, which subjects us to additional risks, including increased complexity and costs of managing international operations and geopolitical instability.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outsource the fabrication and assembly of all of our products to third parties that are primarily located in Germany and Asia. In addition, we conduct research and development activities in locations including the United States, Japan, the Netherlands, Taiwan, Ukraine, Finland, and India. We also conduct marketing and administrative functions in the United States, Japan, the Netherlands, China, Taiwan, Malaysia, Ukraine, and India. Members of our sales force are located in various locations outside of the United States. Certain of the critical functions for our business are performed in locations outside of the United States. In addition, approximately 89% and 80% of our revenue for the three months ended March 31, 2024 and 2023, respectively was from distributors with ship-to locations outside the United States, although we believe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end customers are based in the U.S. based on sell-through information provided by these distributors. As a result of our international focus, we face numerous challenges and risks, including:</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complexity and costs of managing international operations, including manufacturing, assembly, and testing of our products and associated costs;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geopolitical and military conflicts, including the effects of Russia’s invasion of Ukraine;</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economic instability, including the effects of rising inflation and increased interest rates;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limited protection for, and vulnerability to theft of, our intellectual property rights, including our trade secrets;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compliance with local laws and regulations and unanticipated changes in local laws and regulations, including tax laws and regulations;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trade and foreign exchange restrictions and higher tariffs, including the ongoing trade tensions between the U.S. and China that has resulted in higher tariffs on certain semiconductor products and increased trade restrictions;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timing and availability of import and export licenses and other governmental approvals, permits, and licenses, including export classification requirements;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foreign currency fluctuations and exchange losses relating to our international operating activities;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restrictions imposed by the U.S. government or foreign governments on our ability to do business with certain companies or in certain countries as a result of international political conflicts and the complexity of complying with those restrictions;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transportation delays and other consequences of limited local infrastructure, and disruptions, such as large scale outages or interruptions of service from utilities or telecommunications providers;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difficulties in staffing international operations;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changes in immigration policies which may impact our ability to hire personnel;</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local business and cultural factors that differ from our normal standards and practices;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differing employment practices and labor relations;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requirements in foreign countries which may impact availability of personnel, such as mandatory military service in countries such as Ukraine, Taiwan, and Finland;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heightened risk of terrorist acts;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regional health issues and the impact of public health epidemics on employees and the global economy, such as the worldwide COVID-19 pandemic;</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 xml:space="preserve">power outages and natural disasters; and </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travel, work-from-home or other restrictions or stoppages, like those imposed by governments around the world as a result of pandemics.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engineering personnel in Taiwan and sales force personnel in China. If political tensions between China and Taiwan were to increase further, it could disrupt our business and adversely affect our financial condition and results of operations. In addition, given the current political and military situation in Russia and Ukraine, if the relationship between Russia and the United States worsens further, or we are restricted or precluded from continuing our operations in Ukraine, it could disrupt our business, our costs could increase, and our product development efforts, business, financial condition, and results of operations could be significantly harmed. Further, the COVID-19 pandemic led to travel, work-from-home, and other restrictions, which significantly impacted our domestic and international operations and the operations of our suppliers, distributors, partners, and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Precision Timing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may deteriorate.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anticipate or respond to technological shifts or market demands, or to develop new or enhanced products or technologies in response to the same in a timely manner,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manner, and our designs do not gain acceptance, we will lose market share and our competitive position.</w:t>
      </w:r>
    </w:p>
    <w:p>
      <w:pPr>
        <w:pStyle w:val="TextBody"/>
        <w:bidi w:val="0"/>
        <w:spacing w:lineRule="auto" w:line="288" w:before="120" w:after="283"/>
        <w:jc w:val="left"/>
        <w:rPr/>
      </w:pPr>
      <w:r>
        <w:rPr>
          <w:rFonts w:ascii="Times New Roman;sans-serif" w:hAnsi="Times New Roman;sans-serif"/>
          <w:b w:val="false"/>
          <w:color w:val="000000"/>
          <w:sz w:val="20"/>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Times New Roman;sans-serif" w:hAnsi="Times New Roman;sans-serif"/>
          <w:b/>
          <w:i/>
          <w:color w:val="000000"/>
          <w:sz w:val="20"/>
        </w:rPr>
        <w: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experience difficulties demonstrating the value to customers of newer solutions if they believe existing solutions are adequate to meet end customer expectations. If we are unable to sell new generations of our product, our business would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develop commercially successful products under such arrangements in a timely manner as a result of any of these and other challenges could have a material adverse effect on our business, results of operations,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 success of our products is dependent on our customers’ ability to develop products that achieve market acceptance, and our customers’ failure to do so could negatively affect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of our Precision Timing solutions is heavily dependent on the timely introduction, quality, and market acceptance of our customers’ products incorporating our solutions, which are impacted by factors beyond our control.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target customer and product markets may not grow or develop as we currently expect, and if we fail to penetrate new markets and scale successfully within those markets, our revenue and financial condition would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target markets include the communications, datacenter, and enterprise, automotive, industrial, aerospace, and mobile, IoT, and consumer markets. Substantially all of our revenue to date has been attributable to sales of MEMS oscillators. We have expanded our products to include clock IC and timing sync solutions. Any deterioration in our target customer or product markets or reduction in capital spending to support these markets could lead to a reduction in demand for our products, which would adversely affect our revenue and results of operations. Further, if our target customer markets do not grow or develop in ways that we currently expect, demand for our technology may not materialize as expected, which would also negatively impact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future revenue growth, if any, will depend in part on our ability to expand within our existing markets and our ability to enter into new markets. Each of our end markets presents distinct and substantial challenges and risks and, in many cases, requires us to develop new customized solutions to address the particular requirements of that market. Meeting the technical requirements and securing future design wins in any of these new markets will require a substantial investment of our time and resources. We cannot assure you that we will secure future design wins from these or other new markets, or that we will achieve meaningful revenue from sales in these markets. If new markets do not develop as we currently anticipate or if we are unable to penetrate them and scale in them successfully, our revenue could decline.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Fluctuations in exchange rates between and among the currencies of the countries in which we do business could adversely affect our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have been historically denominated in U.S. dollars, even when sold to customers located outside of the U.S. An increase in the value of the U.S. dollar relative to the currencies of the countries in which our customers operate could increase the real cost to our customers of our products and impair the ability of our customers to cost-effectively purchase or integrate our solutions into their product offerings, which may materially affect the demand for our solutions and cause these customers to reduce their orders, or may increase pressure on us to lower our product prices, which in each case would adversely affect our revenue and business.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increase operations in other currencies in the future, we may experience foreign exchange gains or losses due to the volatility of other currencies compared to the U.S. dollar. Certain of our employees are located in Malaysia, the Netherlands, Taiwan, Japan, Korea, Germany, Finland, France, Ukraine, and India.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 average selling prices of our individual products have fluctuated historically over time and may do so in the future, which could harm our revenue and gross margins.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on average selling prices of our products have increased over time as we introduce higher end products, the average selling prices of our individual products generally decrease over time.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are not able to successfully introduce and ship in volume new products in a timely manner, our business and revenue will suffer.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consistently introduce new products that ship in volume, or if our transition to these new products does not successfully occur prior to any decrease in revenue from our prior products, our revenue will likely decline significantly and rapidly.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Pandemics, epidemics, or other outbreaks of disease have had and may in the future have an adverse impact upon our business,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future pandemic, epidemic, health crisis, or other outbreak of disease, including the emergence of new COVID-19 variants, may negatively and materially impact our business, results of operations, and financial condition, due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global economic recession or depression that could significantly reduce demand and/or prices for our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reduced productivity in our product development, operations, marketing, sales, and other activities;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government mandates, guidance, or recommendations regarding shutdown, closures, or other restrictions;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disruptions to our supply chain;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higher rate of losses on our accounts receivable due to credit defaults; 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volatility in our stock price.</w:t>
      </w:r>
    </w:p>
    <w:p>
      <w:pPr>
        <w:pStyle w:val="TextBody"/>
        <w:bidi w:val="0"/>
        <w:spacing w:lineRule="auto" w:line="288" w:before="120" w:after="283"/>
        <w:jc w:val="left"/>
        <w:rPr/>
      </w:pPr>
      <w:r>
        <w:rPr>
          <w:rFonts w:ascii="Times New Roman;sans-serif" w:hAnsi="Times New Roman;sans-serif"/>
          <w:b w:val="false"/>
          <w:color w:val="000000"/>
          <w:sz w:val="20"/>
        </w:rPr>
        <w:t>The COVID-19 pandemic created worldwide uncertainty and significantly and negatively impacted the global economy which caused significant uncertainty and volatility in global financial markets and the trading prices for the common stock of technology companies, including ours. As a result of the COVID-19 pandemic, from time to time government authorities imposed lockdowns and other restrictions.</w:t>
      </w:r>
      <w:r>
        <w:rPr>
          <w:color w:val="000000"/>
        </w:rPr>
        <w:t xml:space="preserve"> </w:t>
      </w:r>
      <w:r>
        <w:rPr>
          <w:rFonts w:ascii="Times New Roman;sans-serif" w:hAnsi="Times New Roman;sans-serif"/>
          <w:b w:val="false"/>
          <w:color w:val="000000"/>
          <w:sz w:val="20"/>
        </w:rPr>
        <w:t>The COVID-19 pandemic impacted our workforce and the operations of our customers and suppliers.</w:t>
      </w:r>
      <w:r>
        <w:rPr>
          <w:color w:val="000000"/>
        </w:rPr>
        <w:t xml:space="preserve"> </w:t>
      </w:r>
      <w:r>
        <w:rPr>
          <w:rFonts w:ascii="Times New Roman;sans-serif" w:hAnsi="Times New Roman;sans-serif"/>
          <w:b w:val="false"/>
          <w:color w:val="000000"/>
          <w:sz w:val="20"/>
        </w:rPr>
        <w:t>In response to the COVID-19 pandemic and related government measures, we implemented safety measures to protect our employees and contractors at our locations around the world.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potential impact that a future pandemic, epidemic, health crisis, or other outbreak of disease, including the emergence of new COVID-19 variants could have on our business, results of operations, and financial condition, and on the other risk factors described in this “Risk Factors” section, remain unclear and difficult to predict.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gross margins may fluctuate due to a variety of factors, which could negatively impact our results of operations and our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gross margins may fluctuate due to a number of factors, including customer and product mix, market acceptance of our new products, timing and seasonality of the end-market demand, yield, wafer pricing, packaging, and testing costs, competitive pricing dynamics, and geographic and market pricing strategies.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do not operate our own manufacturing, assembly, or testing facilities, we may not be able to reduce our costs as rapidly as companies that operate their own facilities, and our costs may even increase, which could further reduce our gross margins. For instance, we continued to see increases in our manufacturing costs in fiscal year 2023 due to industry wide increases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margins. To the extent that such cost reductions or revenue increases do not occur at a sufficient level and in a timely manner, our business, financial condition, and results of operations could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revenue in previous periods may not be indicative of future performance and our revenue may fluctuate over time.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has fluctuated over time. Our revenue was $33.0 million and $38.3 million for the three months ended March 31, 2024 and 2023, respectively. You should not rely on our revenue for any previous quarterly or annual periods as any indication of our revenue for future fiscal periods. As we grow our business, our revenue may fluctuate in future periods due to a number of reasons, which may include macroeconomic conditions, slowing demand for our products, increasing competition, a decrease in the growth of our overall market or market saturation, or our failure to capitalize on growth opportunities.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manage our growth effectively, we may not be able to execute our business plan and our operating results could suffer.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provide a lifetime warranty on our products and may be subject to warranty or product liability claims, which could result in unexpected expenses and loss of market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a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Defects in our products or failures to meet product specifications could harm our relationships with our customers and damage our reputation.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fail to accurately anticipate and respond to rapid technological change in the industries in which we operate, our ability to attract and retain customers could be impaired and our competitive position could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industries characterized by rapidly changing technologies as well as technological obsolescence. The introduction of new products by our competitors, the delay or cancellation of any of our customers’ product offerings for 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develop new or enhanced products or technologies in a timely manner in response to changing market demand, whether due to technological shifts or otherwise, could result in the loss of customers and decreased revenue and have an adverse effect on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our products do not conform to, or are not compatible with, existing or emerging industry standards, demand for our existing solutions may decrease, which in turn would harm our business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design certain of our products to conform to current industry standards. Some industry standards may not be widely adopted or implemented uniformly and competing standards may emerge that may be preferred by our distributors or our end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make the substantial investments that are required to remain competitive in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fail to compete effectively, we may lose or fail to gain market share, which could negatively impact our operating results and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global semiconductor market in general, and the timing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timing products to smaller companies, including start-ups, specializing in narrow market verticals. Companies that we primarily compete with include, but are not limited to, Abracon LLC, Daishinku Corporation, Diodes Incorporated, Kyocera Corporation, Microchip Technology Inc., Murata Manufacturing Co., Ltd., Nihon Dempa Kogyo Co., Ltd., Rakon Limited, Renesas Electronics Corporation, Seiko Epson Corporation, Skyworks Solutions, Inc., Texas Instruments Incorporated, and TXC Corporation.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Our ability to compete successfully will depend on a number of factors, including:</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define, design, and regularly introduce new products that anticipate the functionality and integration needs of our customers’ next-generation products and applications;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build strong and long-lasting relationships with our customers and other industry participants;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capitalize on, and prevent losses due to, vertical integration by significant customers;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solutions’ performance and cost-effectiveness relative to those of competing products;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achieve design wins;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effectiveness and success of our customers’ products utilizing our solutions within their competitive end markets;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research and development capabilities to provide innovative solutions and maintain our product roadmap;</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strength of our sales and marketing efforts, including those of our distributors, and our brand awareness and reputation;</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secure capacity with our foundry and assembly partners to manufacture and assemble our products;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deliver products in volume on a timely basis at competitive prices;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withstand or respond to significant price competition;</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build and expand international operations in a cost-effective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obtain, maintain, protect, and enforce our intellectual property rights, including obtaining intellectual property rights from third-parties that may be necessary to meet the evolving demands of the market;</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defend potential patent infringement claims arising from third-parties;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promote and support our customers’ incorporation of our solutions into their products; and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retain high-level talent, including our management team and engineers.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depend on our executive officers and other key employees, and the loss of one or more of these employees or an inability to attract or retain highly skilled employees could adversely affect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largely upon the continued services of our executive officers and other highly skilled key employees, including in engineering, product development, operations, sales, and marketing.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including due to adverse business conditions, could have an adverse effect on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execute our growth plan, we must attract and retain highly qualified personnel. Competition for these personnel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company culture has contributed to our success and if we cannot maintain this culture, our business could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company culture, which promotes innovation, open communication, and teamwork, has been critical to our success. We face a number of challenges that may affect our ability to sustain our corporate culture, including:</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potential failure to identify, attract, reward, and retain people in leadership positions in our organization who share and further our culture, values, and mission;</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increasing size and geographic diversity of our workforce;</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competitive pressures to move in directions that may divert us from our mission, vision, and values;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continued challenges of a rapidly-evolving industry; and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increasing need to develop expertise in new areas of business that affect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able to maintain our culture, our business, financial condition, and results of operations could be adversely affected.</w:t>
      </w:r>
    </w:p>
    <w:p>
      <w:pPr>
        <w:pStyle w:val="TextBody"/>
        <w:bidi w:val="0"/>
        <w:spacing w:lineRule="auto" w:line="288" w:before="120" w:after="283"/>
        <w:jc w:val="left"/>
        <w:rPr/>
      </w:pPr>
      <w:r>
        <w:rPr>
          <w:rFonts w:ascii="Times New Roman;sans-serif" w:hAnsi="Times New Roman;sans-serif"/>
          <w:b/>
          <w:i/>
          <w:color w:val="000000"/>
          <w:sz w:val="20"/>
        </w:rPr>
        <w:t>Our acquisition of certain assets and an exclusive license to certain intellectual property of Aura involves a number of risks</w:t>
      </w:r>
      <w:r>
        <w:rPr>
          <w:rFonts w:ascii="Times New Roman;sans-serif" w:hAnsi="Times New Roman;sans-serif"/>
          <w:b w:val="false"/>
          <w:color w:val="000000"/>
          <w:sz w:val="2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 2023, we closed the acquisition of certain assets and an exclusive license to certain intellectual property of Aura. The payment obligations in connection with the acquisition have and will continue to reduce our liquidity, and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 our flexibility in responding to other business opportunities, as well as increase our vulnerability to adverse economic and industry conditions.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entered into the transaction with Aura with the expectation that the transaction would result in various benefits to us, including the expansion of our product portfolio, and growth of our business. To realize the anticipated benefits of the acquisition, the products of Aura must be successfully completed, delivered to us, and then integrated. Product completion can be complex and time consuming, and Aura may not be able to deliver the products on time or deliver products that meet the agreed specified criteria. Further, we may face significant challenges in integrating the technologies and products. If the products are not successfully completed and integrated, the anticipated benefits of the transactions may not be realized fully or may take longer to realize than expected. The acquisition may not further our business strategy as we expected and we may experience unanticipated costs or liabilities associated with the acquisition, which could adversely affect our business or operating results and potentially cause impairment to assets that we recorded as a part of the acquisition including intangible assets and goodwill. In addition, if we are unable to integrate and retain personnel that joined us as part of the transaction with Aura, we may not be able to fully capitalize on the benefits. Any of the above could decrease the benefits we expect to receive from the agreement with Aura and adversely affect our financial condition and operating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make acquisitions in the future that could disrupt our business, cause dilution to our stockholders, reduce our financial resources, and harm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strategic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cause us to forgo other potential transactions or internal projects,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 Further, acquisitions may result in charges such as acquisition-related expenses, write-offs, restructuring charges, or future impairment of goodwill, as well as contingent liabilities, adverse tax consequences, additional share-based compensation expense, and other charges that could adversely affect our results of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enter into an agreement for an acquisition, the transaction, or parts of the transaction, may fail to be completed due to factors such as: failure to obtain regulatory or other required approvals, disputes or litigation, or difficulties obtaining financing for the transaction. Even if we fail to complete an acquisition, we may have incurred significant expenses in connection with such transaction and the failure to complete a pending acquisition may result in negative publicity and a negative perception of us among the investment community.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foregoing reasons, pursuit of an acquisition of other businesses, products, or technologies could adversely impact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the foundries with which we contract do not achieve satisfactory yields or quality, our reputation and customer relationships could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Raw material and engineered material availability and price fluctuations have in the past and may in the future increase the cost of our products, impact our ability to meet customer commitments, and may adversely affect our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limited or delayed availability,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rely on our relationships with industry and technology leaders to enhance our product offerings and our inability to continue to develop or maintain such relationships in the future would harm our ability to remain competitive.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receive timely payments from, or the deterioration of the financial conditions of, our distributors or our end customers could adversely affect our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Based on our review of our customers annually and as of March 31, 2024, substantially all of which are large distributors, OEMs, and system manufacturers, we had $0.1 million and $0.1 million in allowance for credit losses as of March 31, 2024 and December 31, 2023, respectively. If our credit losses, however, were to exceed our current or future allowance for credit losses, our business, financial condition, and results of operations would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accurately predict our future capital needs, and we may not be able to obtain additional financing to fund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cash and cash equivalents could be adversely affected if the financial institutions in which we hold our cash and cash equivalents fail.</w:t>
      </w:r>
    </w:p>
    <w:p>
      <w:pPr>
        <w:pStyle w:val="TextBody"/>
        <w:bidi w:val="0"/>
        <w:spacing w:lineRule="auto" w:line="288" w:before="120" w:after="283"/>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maintain cash balances at third-party financial institutions in excess of the Federal Deposit Insurance Corporation (“FDIC”) insurance limit. If a depository institution fails to return our deposits or if a depository institution is subject to other adverse conditions in the financial or credit markets, there is no guarantee that the U.S. Department of Treasury, FDIC or Federal Reserve Board will provide access to uninsured deposits, which could restrict access to our cash or cash equivalents and could adversely impact our operating liquidity, financial condition, and results of operations. As of March 31, 2024, a majority of our cash and short-term investment balances were maintained with Wells Fargo &amp; Co., Morgan Stanley and U.S. Bancorp.</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seek, or be required to seek, debt financing.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significant tariffs or other trade restrictions are placed on our products or third-party suppliers, our revenue and results of operations may be materially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revenue has been from sales of products to distributors with ship-to locations outside of the United States. Many of our third-party suppliers are located outside of the United States. If significant tariffs or other restrictions are placed on certain goods, existing tariffs are increased, or any related counter-measures are taken by other countries, our revenue and results of operations may be materially and adversely affected. For example, beginning in July 2018, the U.S. Trade Representative imposed tariffs on products from China and China then imposed certain retaliatory tariffs. It is uncertain what further alterations to trade terms between China and the United States may occur, including limiting trade with China and imposing additional tariffs on imports from China. In the event that future tariffs are imposed on imports of our products or on our third-party suppliers, or that China or other countries take retaliatory trade measures in response to existing or future tariffs or other trade restrictions, or that the United States imposes further restrictions on trade with China, our business may be impacted, and we may be required to raise prices or make changes to our operations, or we may not be able to sell our products to customers in China, any of which could materially harm our revenue or operating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Failure to comply with the laws associated with our activities outside of the United States could subject us to penalties and other adverse consequences.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government regulation, including import, export and economic sanctions laws and regulations that may expose us to liability and increase our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identified a material weakness in our internal control over financial reporting, and we may identify additional material weaknesses in the future that may cause us to fail to meet our reporting obligations or result in material misstatements of our financial statements. If we fail to remediate any material weaknesses or if we otherwise fail to establish and maintain effective control over financial reporting, our ability to accurately and timely report our financial results could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elsewhere in our Annual Report on Form 10-K for the year ended December 31, 2023 filed with the SEC on February 26, 2024, we identified a material weakness in our internal control over financial reporting related to the misclassification of “interest received upon maturity of held-to-maturity securities” as an investing activity instead of as an operating activity in the respective condensed consolidated statements of cash flows for the periods ended March 31, 2023, June 30, 2023, and September 30, 2023.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Effective internal controls are necessary for us to provide reliable financial reports and prevent fraud. Management, under the oversight from the Audit Committee, implemented additional review procedures to enhance our internal control over financial reporting with respect to the statement of cash flows in order to remediate the material weakness. These review procedures include the development of a review checklist to ensure that we will apply the applicable accounting guidance under Accounting Standards Codification ("ASC") 230, Statement of Cash Flows.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material weakness described above or any in future periods, we face potential for adverse regulatory consequences, including investigations, penalties or suspensions by the SEC or Nasdaq, litigation or other disputes which may include, among others, claims invoking the federal and state securities laws, contractual claims, or other claims arising from the restatement and material weakness in our internal control over financial reporting and the preparation of our consolidated financial statements. Any such regulatory consequences, litigation, claim, or dispute, whether successful or not, could subject us to additional costs, divert the attention of our management, or impair our reputation. Each of these consequences could have a material adverse effect on our business,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identify future material weaknesses in our internal controls over financial reporting or fail to meet the demands that will be placed upon us as a public company, including the requirements of the Sarbanes-Oxley Act of 2002, and we may be unable to accurately report our financial results, or report them within the timeframes required by law or stock exchange regulations. We cannot assure that our existing material weakness will be remediated or that additional material weaknesses will not exist or otherwise be discovered, any of which could adversely affect our reputation,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internal control over financial reporting may not prevent or detect misstatements because of its inherent limitations, including the possibility of human error, failure or interruption of information technology systems, the circumvention or overriding of controls, or fraud.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Changes in environmental laws or regulations, as well as environmental, social, and governance initiatives, could impose substantial costs and may adversely affect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or manufacturing standards could be impacted by new or revised environmental rules and regulations or other social initiatives. For example, a significant portion of our revenue comes from international sales. Environmental laws or regulations in those countries or in the countries of our end customers may increase our cost of doing business and adversely affect our business and results of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Increasingly customers, regulators, investors, employees, and other stakeholders are focusing on environmental, social, and governance ("ESG") matters. While we have certain ESG initiatives, there is no assurance that customers, regulators, investors, and employees will determine that these programs are sufficient. Any actual or perceived shortcomings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respect to our ESG initiatives and reporting can impact our ability to retain certain customers or increase our customer base, reelect our board of directors, attract and retain certain types of investors, or hire and retain employees. Collecting, measuring, and reporting ESG information and metrics can be costly, difficult and time consuming, is subject to evolving reporting standards, and can present numerous operational, reputational, financial, legal, and other risks, any of which could adversely affect our business as well as on our reputation and stock price.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New or future changes to U.S. and non-U.S. tax laws could materially adversely affect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(“OECD”),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government contracting regulations, we could suffer a loss of revenue or other penalties.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Tax regulatory authorities may disagree with our positions and conclusions regarding certain tax positions resulting in unanticipated costs or non-realization of expected benefits.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Catastrophic events may disrupt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including with respect to climate change, such as fire, power loss, telecommunications failure, cyber-attack, war, terrorist attack, political, social, or economic unrest, pandemic, epidemic, health crisis, or disease outbreak, such as the COVID-19 pandemic, we may be unable to continue our operations and may endure system interruptions, reputational harm, delays in our product development, breaches of data security, or loss of critical data, any of which could have an adverse effect on our future results of operations.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State, federal, and foreign laws and regulations and other legal obligations related to privacy, data protection, and data security could adversely affect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 variety of laws and regulations worldwide related to privacy, data protection, and data security, such as the European Union’s General Data Protection Regulation (GDPR) or California’s Consumer Privacy Act of 2018 and Privacy Rights Act of 2020. These laws and regulations are continuously and rapidly evolving, and the scope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interpretation of the laws and regulations that are or may be applicable to us are often uncertain and may be conflicting. As a result, these laws and regulations may be interpreted and applied in a manner inconsistent with our practices or policies and we could face fines, lawsuits, regulatory investigations, and other claims and penalties, and we could be required to fundamentally change our practices, which could adversely affect our business and operating results. Complying with such laws and regulations may be time-consuming and require additional resources, and could therefore adversely affect our business and results of operations. Any failure or perceived failure by us or our third-party service providers to comply with our privacy, data protection, or data security policies, or legal or contractual obligations, even if unfounded, may result in governmental enforcement actions, litigation, liability, or negative publicity, and could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Security breaches, cyberattacks, and other disruptions to information technology systems owned or maintained by us or third parties, such as vendors or suppliers, could disrupt our operations, compromise the confidentiality of private customer data or our intellectual property, and adversely affect our business, reputation, operations, and financial results.</w:t>
      </w:r>
    </w:p>
    <w:p>
      <w:pPr>
        <w:pStyle w:val="TextBody"/>
        <w:bidi w:val="0"/>
        <w:spacing w:lineRule="auto" w:line="288" w:before="120" w:after="283"/>
        <w:jc w:val="left"/>
        <w:rPr/>
      </w:pPr>
      <w:r>
        <w:rPr>
          <w:rFonts w:ascii="Times New Roman;sans-serif" w:hAnsi="Times New Roman;sans-serif"/>
          <w:b w:val="false"/>
          <w:color w:val="000000"/>
          <w:sz w:val="20"/>
        </w:rPr>
        <w:t>We rely on our information technology systems, and those of our vendors, suppliers, and customers, including hardware, software, cloud services, infrastructure, networks, and systems, for the effective operation of our business and for secure maintenance and storage of confidential data relating to our business. Additionally, in the ordinary course of business we collect and store sensitive data, including intellectual property and proprietary business information as well as personal information of our customers and employees, in data centers and on information technology systems, including systems that may be controlled or maintained by third parties. The secure operation of these information technology systems, and the processing and maintenance of the information processed by these systems, is critical to our business operations. While we and others have implemented various controls and defenses, cybersecurity attacks and threats have continued to become more prevalent and sophisticated. These threats are constantly evolving, making it increasingly difficult to successfully defend against or implement adequate preventive measures. Geopolitical tensions or conflicts have in the past led to, and may in the future lead to, increased risk of cybersecurity attacks. Notwithstanding defensive measures, experienced programmers, hackers, state actors, or others may be able to penetrate our security controls, or those of our vendors, suppliers, or customers, through attacks such as, but not limited to, phishing or other forms of social engineering, impersonating authorized users, ransomware, spyware, viruses, worms and other malicious software programs, software supply chain attacks, exploitation of compromised commercial software, bugs and other security weaknesses</w:t>
      </w:r>
      <w:r>
        <w:rPr>
          <w:color w:val="000000"/>
        </w:rPr>
        <w:t xml:space="preserve"> </w:t>
      </w:r>
      <w:r>
        <w:rPr>
          <w:rFonts w:ascii="Times New Roman;sans-serif" w:hAnsi="Times New Roman;sans-serif"/>
          <w:b w:val="false"/>
          <w:color w:val="000000"/>
          <w:sz w:val="20"/>
        </w:rPr>
        <w:t>and vulnerabilities, covert introduction of malware to computers and networks. Any attack on the information technology systems of us or one of our vendors, suppliers, or customers may be difficult to detect, designed to remain dormant until a triggering event, or may continue undetected for an extended period of time. In addition, our information technology systems and those of our vendors, suppliers, and customers may be vulnerable to damage, disruptions, or shutdowns due to errors, negligence or malfeasance by employees, contractors, or others who have access to these systems.</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Security breaches, cyberattacks, and other disruptions to our information technology systems or those of our vendors, suppliers, or customers could compromise the confidentiality, operational integrity, and accessibility of our information technology systems, or those of our vendors, suppliers, or customers, which could result in the compromise, unauthorized publication, or loss of proprietary data, intellectual property, or personal information, as well as interruptions or delays in our business operations, loss of existing or future customers, and damage to our reputation, which could adversely affect our business, reputation, and financial results. In addition, such events could result in violations of privacy or other laws, increase the risk of litigation or regulatory investigation, or cause us to incur direct losses if attackers initiate wire transfers or access our bank or investment accounts. We expect ongoing and increasing costs related to investments in technology, controls, processes, and practices, however these investments may not be sufficient to shield us from significant losses or liability in the event of security breaches, cyberattacks, or other disruptions to our information technology systems.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business may be impacted by information technology system failures or network disruptions, and lack of redundancy.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Our systems are not fully redundant and depending on the severity of the damage or interruption, our disaster recovery plans may be inadequate or ineffective. These events could also damage our reputation, and result in increased costs or loss of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might not be able to utilize a significant portion of our net operating loss carryforwards and research and development tax credit carryforwards.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U.S. federal, state and foreign net operating loss (“NOL”), carryforwards of approximately $213.3 million, $65.3 million and $1.7 million, respectively, and U.S. federal and state research and development tax credit carryforwards of approximately $3.9 million and $3.6 million, respectively. The U.S. federal, state, and the foreign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updated the Section 382 analysis through December 31, 2023 and concluded there have not been any additional ownership changes as defined under Section 382 since the June 16, 2020 follow-on offering.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Coronavirus Aid, Relief, and Economic Security Act, which was signed into law in 2020, an NOL from a tax year beginning in 2018, 2019 or 2020 can be carried back five years and would not be subject to the 80%-of-income limitation if they are exhausted during the five-year carryback period or during 2018, 2019 or 2020. The Company will not carry back any NOLs as they did not have taxable income in prior years.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failure to adequately protect our intellectual property rights could impair our ability to compete effectively or defend ourselves from litigation, which could harm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March 31, 2024, we had 125 issued U.S. patents, expiring generally between 2026 and 2040 and 40 pending U.S. patent applications (including 13 provisional applications). We also had four foreign issued patents expiring in 2036 and four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competitive prices may be adversely affected and our business, financial condition, and results of operations could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We do not believe there will be any significant impact upon expiration of these patents.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announcements of the results of hearings, motions, or other interim proceedings or developments and if securities analysts or investors perceive these results to be negative, it could have a substantial adverse effect on the price of our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cease the manufacture, use or sale of the applicable products, processes, or technology;</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pay substantial damages for infringement by us or our customers;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expend significant resources to develop non-infringing products, processes, or technology, which may not be successful;</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license technology from the third-party claiming infringement, which license may not be available on commercially reasonable terms, or at all;</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cross-license our technology to a competitor to resolve an infringement claim, which could weaken our ability to compete with that competitor;</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lose the opportunity to license our technology to others or to collect royalty payments based upon successful protection and assertion of our intellectual property rights against others; or</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pay substantial damages to our customers or end users to discontinue their use of or to replace infringing technology sold to them with non-infringing technology, if available.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of the foregoing results could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Any potential dispute involving patents or other intellectual property could affect our customers, which could trigger our indemnification obligations to them and result in substantial expense to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MegaChips Corporation’s Ownership Position in Our Common Stock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As long as MegaChips holds a significant amount of our stock, our other shareholders’ ability to influence matters requiring stockholder approval will be limited.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MegaChips owns 4,250,000 shares of our common stock, representing approximately 18.6% of our outstanding common stock as of March 31, 2024. For so long as MegaChips or its successors in interest continue to hold the largest ownership position in our outstanding common stock, we expect MegaChips to continue to hold at least one out of eight seats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 and to be influential in electing members of our board of directors. As long as MegaChips continues to be our largest stockholder, it will continue to have significant influence over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as long as MegaChips continues to hold a significant or the largest ownership position in our outstanding common stock, MegaChips may have the ability to affect the outcome of any stockholder vote during this period. As a result, MegaChips will have the ability to exert significant influence over many matters affecting us, either through its board representative or as a stockholder, including:</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determinations with respect to our business plans and policies, including the appointment and removal of our officers;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any determinations with respect to mergers and other business combinations;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our acquisition or disposition of assets;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our financing activities;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the allocation of business opportunities that may be suitable for us and MegaChips;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the payment of dividends on our common stock; 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the number of shares available for issuance under our stock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MegaChips’ significant ownership position may discourage transactions involving a change of control of us, including transactions in which other holders of our common stock might otherwise receive a premium for their shares over the then current market price. In addition, as a result of this voting control and representations on our board of directors, persons who we would like to invite to join our board of directors may decline to do so.</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inability to resolve any disputes that arise between us and MegaChips with respect to our past and ongoing relationships may adversely affect our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Disputes may arise between MegaChips and us in a number of areas relating to our past and ongoing relationships, including:</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sales or distributions by MegaChips of all or any portion of its ownership interest in us; 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business opportunities that may be attractive to both MegaChips and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resolve any potential conflicts, and even if we do, the resolution may be less favorable than if we were dealing with an unaffiliated party.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an integration and purchase agreement with MegaChips for the sale of resonators by us to MegaChips. The agreements we entered into with MegaChips may be amended upon agreement between the parties. Because MegaChips is a major stockholder with representatives on our board of directors, we may not have the leverage to negotiate amendments to these agreements on terms as favorable to us compared to those we would negotiate with an unaffiliated third party.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There could be potential conflicts of interest between us and affiliates of MegaChips, which could impact our business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directors have or had affiliations with MegaChips. Affiliations of directors with MegaChips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Our Board has adopted a Related Persons Transactions Policy to address actual or perceived conflicts of interest of directors, officers and greater than 5% stockholders on a case-by-case basis. If any corporate opportunity arises and if our directors and officers do not pursue it on our behalf, we may not become aware of, and may potentially lose, a significant business opportunity.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Substantial future sales of our common stock could cause the market price of our common stock to decline.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could decline as a result of substantial sales of our common stock, particularly sales by our directors, executive officers, and significant stockholders, including MegaChips, or the perception in the market that holders of a large number of shares intend to sell their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Anti-takeover provisions in our charter documents and under Delaware law could make an acquisition of us more difficult, limit attempts by our stockholders to replace or remove our current management and limit the market price of our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 in our certificate of incorporation and bylaws may have the effect of delaying or preventing a change of control or changes in our management. Our amended and restated certificate of incorporation and bylaws include provisions that:</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authorize our board of directors to issue, without further action by the stockholders, shares of undesignated preferred stock with terms, rights, and preferences determined by our board of directors that may be senior to our common stock;</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specify that special meetings of our stockholders can be called only by our board of directors, the Chairman of our board of directors, or our Chief Executive Officer;</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establish that our board of directors is divided into three classes, with each class serving three-year staggered terms;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prohibit cumulative voting in the election of directors;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provide that our directors may be removed only for cause;</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provide that vacancies on our board of directors may be filled by a majority of directors then in office, even if less than a quorum; 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require the approval of our board of directors or the holders of at least 66 2/3% of our outstanding shares of capital stock to amend our bylaws and certain provisions of our certificate of incorporation.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pStyle w:val="TextBody"/>
        <w:bidi w:val="0"/>
        <w:spacing w:lineRule="auto" w:line="288" w:before="120" w:after="283"/>
        <w:ind w:left="0" w:right="0" w:firstLine="86"/>
        <w:jc w:val="left"/>
        <w:rPr>
          <w:rFonts w:ascii="Times New Roman;sans-serif" w:hAnsi="Times New Roman;sans-serif"/>
          <w:b/>
          <w:i/>
          <w:color w:val="000000"/>
          <w:sz w:val="20"/>
        </w:rPr>
      </w:pPr>
      <w:r>
        <w:rPr>
          <w:rFonts w:ascii="Times New Roman;sans-serif" w:hAnsi="Times New Roman;sans-serif"/>
          <w:b/>
          <w:i/>
          <w:color w:val="000000"/>
          <w:sz w:val="20"/>
        </w:rPr>
        <w:t>Our stock price may be volatile and may decline, resulting in a loss of some or all of our stockholder investment.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and volume of our common stock is likely to be volatile and could fluctuate significantly in response to numerous factors, many of which are beyond our control, including:</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macroeconomic conditions,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actual or anticipated fluctuations in our results of operations due to, among other things, changes in customer demand, product life cycles, pricing, ordering patterns, and unforeseen operating costs;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the financial projections we may provide to the public, any changes in these projections, or our failure to meet these projections;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failure of securities analysts to initiate or maintain coverage of us, changes in financial estimates or ratings by any securities analysts who follow us, or our failure to meet these estimates or the expectations of investors;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announcements by our significant customers of changes to their product offerings, business plans, or strategies;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announcements by us or our competitors of significant technical innovations, acquisitions, strategic partnerships, joint ventures, or capital commitments;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the semiconductor industry;</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timing and seasonality of the end-market demand;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cyclical fluctuations in the semiconductor market;</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price and volume fluctuations in the overall stock market from time to time, including as a result of trends in the economy as a whole;</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actual or anticipated developments in our business or our competitors’ businesses or the competitive landscape generally;</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any major change in our management;</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lawsuits threatened or filed against us; 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other events or factors, including those resulting from geopolitical activities, war, incidents of terrorism, natural disasters, pandemics, or responses to these events.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Trading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2024, the Company’s following officer (as defined in Rule 16a-1(f) under the Exchange Act) adopted or terminated a “Rule 10b5-1 trading arrangement” (as defined in Item 408(a) of Regulation S-K of the Exchange Act) described below: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15, 2024, Samsheer Ahmad, Senior Vice President, Finance and Chief Accounting Officer, adopted a trading arrangement intended to satisfy the affirmative defense conditions of Rule 10b5-1(c) of the Exchange Act. Mr. Ahmad's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trading arrangement provides for the sale through December 31, 2024 of upto 12,000 shares of common stock of the Company. Mr. Ahmad's trading arrangement terminates on the earlier of: (i) December 31, 2024, (ii) the first date on which all trades set forth in the trading arrangement have been executed, or (iii) such date the trading arrangement is otherwise terminated according to its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documents listed below are filed (or furnished, as noted) as exhibits to this Quarterly Report on Form 10-Q:</w:t>
      </w:r>
    </w:p>
    <w:tbl>
      <w:tblPr>
        <w:tblW w:w="10205" w:type="dxa"/>
        <w:jc w:val="left"/>
        <w:tblInd w:w="0" w:type="dxa"/>
        <w:tblLayout w:type="fixed"/>
        <w:tblCellMar>
          <w:top w:w="28" w:type="dxa"/>
          <w:left w:w="28" w:type="dxa"/>
          <w:bottom w:w="28" w:type="dxa"/>
          <w:right w:w="28" w:type="dxa"/>
        </w:tblCellMar>
      </w:tblPr>
      <w:tblGrid>
        <w:gridCol w:w="298"/>
        <w:gridCol w:w="263"/>
        <w:gridCol w:w="264"/>
        <w:gridCol w:w="109"/>
        <w:gridCol w:w="109"/>
        <w:gridCol w:w="109"/>
        <w:gridCol w:w="2668"/>
        <w:gridCol w:w="2627"/>
        <w:gridCol w:w="3758"/>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Restated Certificate of Incorporation of SiTime Corporation (the “Company”) (incorporated by reference to Exhibit 3.1 to the Company’s Current Report on Form 8-K filed November 26, 2019).</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Amended and Restated Bylaws of the Company (incorporated by reference to Exhibit 3.2 to the Company’s Current Report on Form 8-K filed June 29, 2021).</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80"/>
                  <w:sz w:val="20"/>
                  <w:u w:val="single"/>
                </w:rPr>
                <w:t xml:space="preserve">Form of Common Stock Certificate of the Company </w:t>
              </w:r>
            </w:hyperlink>
            <w:hyperlink r:id="rId5">
              <w:r>
                <w:rPr>
                  <w:rStyle w:val="InternetLink"/>
                  <w:rFonts w:ascii="Times New Roman;sans-serif" w:hAnsi="Times New Roman;sans-serif"/>
                  <w:b w:val="false"/>
                  <w:color w:val="000080"/>
                  <w:sz w:val="20"/>
                  <w:u w:val="single"/>
                </w:rPr>
                <w:t>(incorporated by reference to Exhibit 4.1 to the Company’s Registration Statement on Form S-1 (File No. 333-234305)</w:t>
              </w:r>
            </w:hyperlink>
            <w:hyperlink r:id="rId6">
              <w:r>
                <w:rPr>
                  <w:rStyle w:val="InternetLink"/>
                  <w:rFonts w:ascii="Times New Roman;sans-serif" w:hAnsi="Times New Roman;sans-serif"/>
                  <w:b w:val="false"/>
                  <w:color w:val="000080"/>
                  <w:sz w:val="20"/>
                  <w:u w:val="single"/>
                </w:rPr>
                <w:t>)</w:t>
              </w:r>
            </w:hyperlink>
            <w:hyperlink r:id="rId7">
              <w:r>
                <w:rPr>
                  <w:rStyle w:val="InternetLink"/>
                  <w:rFonts w:ascii="Times New Roman;sans-serif" w:hAnsi="Times New Roman;sans-serif"/>
                  <w:b w:val="false"/>
                  <w:color w:val="000080"/>
                  <w:sz w:val="20"/>
                  <w:u w:val="single"/>
                </w:rPr>
                <w:t>.</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20"/>
                  <w:u w:val="single"/>
                </w:rPr>
                <w:t>Description of Securities Registered Pursuant to Section 12 of the Securities Exchange Act of 1934 (incorporated by reference to the Company’s Annual Report on Form 10-K filed February 16, 2021).</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FF"/>
                  <w:sz w:val="20"/>
                  <w:u w:val="single"/>
                </w:rPr>
                <w:t>Sales Agreement dated February 27, 2024 between the Company and Stifel, Nicolaus &amp; Company, Incorporated (incorporated by reference to Exhibit 1.1 to the Company’s Current Report on Form 8-K filed February 27, 2024).</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q124xexx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q124xexx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q124xex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q124xex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 the instance document does not appear in the Interactive Data File because its XBRL tags are embedded within the Inline XBRL document.</w:t>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6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12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Item 601(b)(32)(ii) of Regulation S</w:t>
        <w:noBreakHyphen/>
        <w:t>K and SEC Release No. 34</w:t>
        <w:noBreakHyphen/>
        <w:t>47986, the certifications furnished in Exhibits 32.1 and 32.2 hereto are deemed to accompany this Form 10</w:t>
        <w:noBreakHyphen/>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b58ec462c3043619da3703d3e9876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226" w:type="dxa"/>
        <w:jc w:val="left"/>
        <w:tblInd w:w="0" w:type="dxa"/>
        <w:tblLayout w:type="fixed"/>
        <w:tblCellMar>
          <w:top w:w="28" w:type="dxa"/>
          <w:left w:w="28" w:type="dxa"/>
          <w:bottom w:w="28" w:type="dxa"/>
          <w:right w:w="28" w:type="dxa"/>
        </w:tblCellMar>
      </w:tblPr>
      <w:tblGrid>
        <w:gridCol w:w="591"/>
        <w:gridCol w:w="520"/>
        <w:gridCol w:w="523"/>
        <w:gridCol w:w="274"/>
        <w:gridCol w:w="274"/>
        <w:gridCol w:w="274"/>
        <w:gridCol w:w="1383"/>
        <w:gridCol w:w="1383"/>
        <w:gridCol w:w="200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SiTime Corporation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Elizabeth A. Howe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Elizabeth A. Howe</w:t>
              <w:br/>
              <w:t>Executive Vice President, 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(Duly Authorized Officer and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Rajesh Vashist, certify that: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SiTime Corporation.;</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3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3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763" w:type="dxa"/>
        <w:jc w:val="left"/>
        <w:tblInd w:w="0" w:type="dxa"/>
        <w:tblLayout w:type="fixed"/>
        <w:tblCellMar>
          <w:top w:w="28" w:type="dxa"/>
          <w:left w:w="28" w:type="dxa"/>
          <w:bottom w:w="28" w:type="dxa"/>
          <w:right w:w="28" w:type="dxa"/>
        </w:tblCellMar>
      </w:tblPr>
      <w:tblGrid>
        <w:gridCol w:w="591"/>
        <w:gridCol w:w="520"/>
        <w:gridCol w:w="523"/>
        <w:gridCol w:w="624"/>
        <w:gridCol w:w="624"/>
        <w:gridCol w:w="88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Rajesh Vashist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Rajesh Vashist</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Elizabeth A. Howe, certify that: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SiTime Corporation.;</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36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924" w:type="dxa"/>
        <w:jc w:val="left"/>
        <w:tblInd w:w="0" w:type="dxa"/>
        <w:tblLayout w:type="fixed"/>
        <w:tblCellMar>
          <w:top w:w="28" w:type="dxa"/>
          <w:left w:w="28" w:type="dxa"/>
          <w:bottom w:w="28" w:type="dxa"/>
          <w:right w:w="28" w:type="dxa"/>
        </w:tblCellMar>
      </w:tblPr>
      <w:tblGrid>
        <w:gridCol w:w="591"/>
        <w:gridCol w:w="520"/>
        <w:gridCol w:w="523"/>
        <w:gridCol w:w="1253"/>
        <w:gridCol w:w="1253"/>
        <w:gridCol w:w="178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Elizabeth A. Howe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Elizabeth A. Howe</w:t>
              <w:br/>
              <w:t>Executive Vice President,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03860"/>
                <wp:effectExtent l="0" t="0" r="0" b="0"/>
                <wp:wrapNone/>
                <wp:docPr id="57" name="Frame5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SiTime Corporation. (the “Company”) on Form 10-Q for the period ended March 31, 2024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763" w:type="dxa"/>
        <w:jc w:val="left"/>
        <w:tblInd w:w="0" w:type="dxa"/>
        <w:tblLayout w:type="fixed"/>
        <w:tblCellMar>
          <w:top w:w="28" w:type="dxa"/>
          <w:left w:w="28" w:type="dxa"/>
          <w:bottom w:w="28" w:type="dxa"/>
          <w:right w:w="28" w:type="dxa"/>
        </w:tblCellMar>
      </w:tblPr>
      <w:tblGrid>
        <w:gridCol w:w="591"/>
        <w:gridCol w:w="520"/>
        <w:gridCol w:w="523"/>
        <w:gridCol w:w="624"/>
        <w:gridCol w:w="624"/>
        <w:gridCol w:w="88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Rajesh Vashist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Rajesh Vashist</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SiTime Corporation. (the “Company”) on Form 10-Q for the period ended March 31, 2024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924" w:type="dxa"/>
        <w:jc w:val="left"/>
        <w:tblInd w:w="0" w:type="dxa"/>
        <w:tblLayout w:type="fixed"/>
        <w:tblCellMar>
          <w:top w:w="28" w:type="dxa"/>
          <w:left w:w="28" w:type="dxa"/>
          <w:bottom w:w="28" w:type="dxa"/>
          <w:right w:w="28" w:type="dxa"/>
        </w:tblCellMar>
      </w:tblPr>
      <w:tblGrid>
        <w:gridCol w:w="591"/>
        <w:gridCol w:w="520"/>
        <w:gridCol w:w="523"/>
        <w:gridCol w:w="1253"/>
        <w:gridCol w:w="1253"/>
        <w:gridCol w:w="178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Elizabeth A. Howe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Elizabeth A. Howe</w:t>
              <w:br/>
              <w:t>Executive Vice President,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51809/000119312519301287/d630610dex31.htm" TargetMode="External"/><Relationship Id="rId3" Type="http://schemas.openxmlformats.org/officeDocument/2006/relationships/hyperlink" Target="https://www.sec.gov/Archives/edgar/data/1451809/000156459021035069/sitm-ex32_6.htm" TargetMode="External"/><Relationship Id="rId4" Type="http://schemas.openxmlformats.org/officeDocument/2006/relationships/hyperlink" Target="https://www.sec.gov/Archives/edgar/data/0001451809/000119312519272678/d701682dex41.htm" TargetMode="External"/><Relationship Id="rId5" Type="http://schemas.openxmlformats.org/officeDocument/2006/relationships/hyperlink" Target="https://www.sec.gov/Archives/edgar/data/0001451809/000119312519272678/d701682dex41.htm" TargetMode="External"/><Relationship Id="rId6" Type="http://schemas.openxmlformats.org/officeDocument/2006/relationships/hyperlink" Target="https://www.sec.gov/Archives/edgar/data/0001451809/000119312519272678/d701682dex41.htm" TargetMode="External"/><Relationship Id="rId7" Type="http://schemas.openxmlformats.org/officeDocument/2006/relationships/hyperlink" Target="https://www.sec.gov/Archives/edgar/data/0001451809/000119312519272678/d701682dex41.htm" TargetMode="External"/><Relationship Id="rId8" Type="http://schemas.openxmlformats.org/officeDocument/2006/relationships/hyperlink" Target="https://www.sec.gov/Archives/edgar/data/1451809/000156459021005867/sitm-ex42_644.htm" TargetMode="External"/><Relationship Id="rId9" Type="http://schemas.openxmlformats.org/officeDocument/2006/relationships/hyperlink" Target="https://www.sec.gov/Archives/edgar/data/0001451809/000119312524048025/d777098dex1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34270</Words>
  <Characters>191550</Characters>
  <CharactersWithSpaces>224368</CharactersWithSpaces>
  <Paragraphs>1987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