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13, 2024</w:t>
      </w:r>
    </w:p>
    <w:p>
      <w:pPr>
        <w:spacing w:after="0" w:line="10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SiTime Corporation</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6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7"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001-39135</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02-0713868</w:t>
            </w:r>
          </w:p>
        </w:tc>
      </w:tr>
      <w:tr>
        <w:trPr>
          <w:trHeight w:val="19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5"/>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5451 Patrick Henry Drive</w:t>
            </w:r>
          </w:p>
        </w:tc>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6"/>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Santa Clara, California</w:t>
            </w:r>
          </w:p>
        </w:tc>
        <w:tc>
          <w:tcPr>
            <w:tcW w:w="3700" w:type="dxa"/>
            <w:vAlign w:val="bottom"/>
          </w:tcPr>
          <w:p>
            <w:pPr>
              <w:spacing w:after="0"/>
              <w:rPr>
                <w:sz w:val="22"/>
                <w:szCs w:val="22"/>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0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7"/>
                <w:szCs w:val="17"/>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(408) 328-4400</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1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1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00" w:hanging="392"/>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Wingdings" w:cs="Wingdings" w:eastAsia="Wingdings" w:hAnsi="Wingdings"/>
          <w:sz w:val="18"/>
          <w:szCs w:val="18"/>
          <w:b w:val="1"/>
          <w:bCs w:val="1"/>
          <w:color w:val="auto"/>
        </w:rPr>
      </w:pPr>
    </w:p>
    <w:p>
      <w:pPr>
        <w:ind w:left="342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spacing w:after="0"/>
              <w:rPr>
                <w:sz w:val="18"/>
                <w:szCs w:val="18"/>
                <w:color w:val="auto"/>
              </w:rPr>
            </w:pPr>
          </w:p>
        </w:tc>
      </w:tr>
      <w:tr>
        <w:trPr>
          <w:trHeight w:val="259"/>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80" w:type="dxa"/>
            <w:vAlign w:val="bottom"/>
          </w:tcPr>
          <w:p>
            <w:pPr>
              <w:spacing w:after="0"/>
              <w:rPr>
                <w:sz w:val="22"/>
                <w:szCs w:val="22"/>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SITM</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13, 2024, SiTime Corporation ("the Company") issued a press release announcing its financial results for the fourth quarter and fiscal year ended December 31, 2023. A copy of the press release is furnished as Exhibit 99.1 to this report.</w:t>
      </w:r>
    </w:p>
    <w:p>
      <w:pPr>
        <w:spacing w:after="0" w:line="162" w:lineRule="exact"/>
        <w:rPr>
          <w:sz w:val="24"/>
          <w:szCs w:val="24"/>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information under Item 2.02 of this report, including Exhibit 99.1 hereto, shall not be deemed to be "filed" for purposes of Section 18 of the Securities Exchange Act of 1934, as amended, or otherwise subject to the liabilities of that section or Sections 11 and 12(a)(2) of the Securities Act of 1933, as amended. The information and the accompanying exhibit shall not be incorporated by reference into filings with the U.S. Securities and Exchange Commission (the "SEC") made by the Company, except as shall be expressly set forth by specific reference in such a filing.</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20"/>
          </w:cols>
          <w:pgMar w:left="320" w:top="1440" w:right="359" w:bottom="0" w:gutter="0" w:footer="0" w:header="0"/>
        </w:sectPr>
      </w:pPr>
    </w:p>
    <w:bookmarkStart w:id="1" w:name="page2"/>
    <w:bookmarkEnd w:id="1"/>
    <w:p>
      <w:pPr>
        <w:ind w:left="580" w:hanging="554"/>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0"/>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4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SiTime Corporation dated February 13, 2024</w:t>
            </w:r>
          </w:p>
        </w:tc>
        <w:tc>
          <w:tcPr>
            <w:tcW w:w="5500" w:type="dxa"/>
            <w:vAlign w:val="bottom"/>
          </w:tcPr>
          <w:p>
            <w:pPr>
              <w:spacing w:after="0"/>
              <w:rPr>
                <w:sz w:val="21"/>
                <w:szCs w:val="21"/>
                <w:color w:val="auto"/>
              </w:rPr>
            </w:pPr>
          </w:p>
        </w:tc>
      </w:tr>
      <w:tr>
        <w:trPr>
          <w:trHeight w:val="338"/>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9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93" w:lineRule="exact"/>
        <w:rPr>
          <w:sz w:val="20"/>
          <w:szCs w:val="20"/>
          <w:color w:val="auto"/>
        </w:rPr>
      </w:pPr>
    </w:p>
    <w:p>
      <w:pPr>
        <w:ind w:left="20"/>
        <w:spacing w:after="0"/>
        <w:tabs>
          <w:tab w:leader="none" w:pos="620" w:val="left"/>
          <w:tab w:leader="none" w:pos="5160" w:val="left"/>
          <w:tab w:leader="none" w:pos="7660" w:val="left"/>
        </w:tabs>
        <w:rPr>
          <w:sz w:val="20"/>
          <w:szCs w:val="20"/>
          <w:color w:val="auto"/>
        </w:rPr>
      </w:pPr>
      <w:r>
        <w:rPr>
          <w:rFonts w:ascii="Times New Roman" w:cs="Times New Roman" w:eastAsia="Times New Roman" w:hAnsi="Times New Roman"/>
          <w:sz w:val="18"/>
          <w:szCs w:val="18"/>
          <w:color w:val="auto"/>
        </w:rPr>
        <w:t>Date:</w:t>
        <w:tab/>
        <w:t>February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A.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2"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Elizabeth A. Howe</w:t>
      </w:r>
    </w:p>
    <w:p>
      <w:pPr>
        <w:spacing w:after="0" w:line="3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ectPr>
          <w:pgSz w:w="11900" w:h="16838" w:orient="portrait"/>
          <w:cols w:equalWidth="0" w:num="1">
            <w:col w:w="11200"/>
          </w:cols>
          <w:pgMar w:left="320" w:top="114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SiTime Reports Fourth Quarter 2023 Financial Results</w:t>
      </w:r>
    </w:p>
    <w:p>
      <w:pPr>
        <w:spacing w:after="0" w:line="3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SANTA CLARA, Calif., February 13, 2024 </w:t>
      </w:r>
      <w:r>
        <w:rPr>
          <w:rFonts w:ascii="Times New Roman" w:cs="Times New Roman" w:eastAsia="Times New Roman" w:hAnsi="Times New Roman"/>
          <w:sz w:val="18"/>
          <w:szCs w:val="18"/>
          <w:color w:val="auto"/>
        </w:rPr>
        <w:t>– SiTime Corporation, (Nasdaq: SITM), the precision timing company, today announced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fourth quarter ended December 31, 2023.</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 in the fourth quarter was $42.4 million, a 19% increase from the $35.5 million in the prior quarter. Net revenue for fiscal year 2023 was $144.0 million compared with $283.6 million in fiscal year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Generally Accepted Accounting Principles (GAAP) Results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GAAP gross profit was $23.7 million, or 55.9% of revenue, GAAP operating expenses were $51.2 million, GAAP loss from operations was $27.5 million, and GAAP net loss was $20.0 million, or $0.89 per basic share.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 2023, GAAP gross profit was $82.1 million, or 57.0% of revenue, GAAP operating expenses were $189.3 million, GAAP loss from operations was $107.2 million, and GAAP net loss was $80.5 million, or $3.63 per basic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cash equivalents and short-term investments were $528.2 million on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Results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press release and its attachments include certain non-GAAP supplemental performance measures. The presentation of this financial information is not intended to be considered in isolation or as a substitute for the financial information prepared and presented in accordance with GAAP.</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non-GAAP gross profit was $24.7 million, or 58.3% of revenue, non-GAAP operating expenses were $26.6 million, non-GAAP loss from operations was $1.9 million and non-GAAP net income was $5.5 million, or $0.24 per diluted share.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fiscal year 2023, non-GAAP gross profit was $85.2 million, or 59.2% of revenue, non-GAAP operating expenses were $107.6 million, non-GAAP loss from operations was $22.4 million and non-GAAP net income was $4.2 million, or $0.18 per diluted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between GAAP and non-GAAP financial results is provided in the financial statements portion of this release.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SiTime believes that the presentation of non-GAAP financial measures provides important supplemental information to management and investors regarding financial and business trends relating to SiTime’s financial condition and results of operations. SiTime believes that these non-GAAP financial measures provide additional insight into SiTime’s ongoing performance and core operational activities and has chosen to provide these measures for more consistent and meaningful comparison between periods. These measures should only be used to evaluate SiTime’s results of operations in conjunction with the corresponding GAAP measures. The non-GAAP financial measures exclude stock based compensation expense, amortization of acquired intangibles, and acquisition-related expenses which include transaction and certain other cash costs associated with business acquisition as well as changes in the estimated fair value of contingent consideration and earn out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Related Accounting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SiTime closed the acquisition of certain assets and an exclusive license to certain intellectual property from Aura Semiconductor Pvt. Ltd. and certain of its affiliates. The purchase price has been allocated to the fair value of the intangible assets acquired based on estimates and assumptions made by management at the time of the acquisition. If additional information becomes available, the Company may revise its initial purchase price allocation and such revisions or changes may be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 Grants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SiTime granted restricted stock unit awards (“RSUs”) on February 12, 2024 that were approved by the Compensation Committee of its Board of Directors under SiTime’s Amended and Restated 2022 Inducement Award Plan, as a material inducement to employment to 29 newly hired non-executive individuals globally. The RSUs were approved in accordance with Nasdaq Listing Rule 5635(c)(4). The inducement grants consisted of an aggregate of 61,464 RSUs. For 48,178 RSUs, one-fourth of the RSUs will vest on the first February 20, May 20, August 20, or November 20 falling in the one-year anniversary quarter of the applicable vesting start date, and then 1/16th of the RSUs vest in equal quarterly installments on</w:t>
      </w:r>
    </w:p>
    <w:p>
      <w:pPr>
        <w:sectPr>
          <w:pgSz w:w="11900" w:h="16838" w:orient="portrait"/>
          <w:cols w:equalWidth="0" w:num="1">
            <w:col w:w="11240"/>
          </w:cols>
          <w:pgMar w:left="320" w:top="1035"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each February 20, May 20, August 20, and November 20, thereafter, subject to each such employee’s continued service on each vesting date. For 13,286 RSUs, 1/16th of the RSUs vest in equal quarterly installments on each February 20, May 20, August 20, and November 20, subject to each such employee’s continued service on each vesting date. The inducement grants are subject to the terms and conditions of award agreements covering the grants and SiTime’s Amended and Restated 2022 Inducement Award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SiTime will broadcast the financial results for its fourth quarter of 2023 via conference call today, February 13, 2024, at 2:00 p.m. Pacific Time (5:00 p.m. Eastern Time). To join the conference call via phone, participants are required to complete the following registration form to receive a dial-in number and dedicated PIN for accessing the conference call. The conference call will also be available via a live audio webcast on the investor relations section of the SiTime website at investor.sitime.com. Please access the website at least a few minutes prior to the start of the call to download and install any necessary audio software. An archived webcast replay of the call will be available on the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SiTime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SiTime Corporation is the precision timing company. Our semiconductor MEMS programmable solutions offer a rich feature set that enables customers to differentiate their products with higher performance, smaller size, lower power, and better reliability. With more than 3 billion devices shipped, SiTime is changing the timing industry. For more information, visit www.sitime.com.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Security Exchange Act of 1934, as amended. These forward-looking statements involve risks, uncertainties, assumptions, and other factors that may cause actual results or outcomes to differ materially from those anticipated in such forward-looking statements. The risks, uncertainties, assumptions, and other factors include, but not limited to the impact of acquisitions. More information about these and other risks, uncertainties, and other factors that may cause actual outcomes and results to differ materially from those included in the forward-looking statements contained in this release are included under the caption “Risk Factors” and elsewhere in our most recent Form 10-Q filed with the Securities and Exchange Commission and other filings SiTime makes with the Securities and Exchange Commission from time to time, including the Form 10-K that will be filed for the fiscal year ended December 31, 2023. The financial information set forth in this release reflects estimates based on information available at this time. While SiTime believes these estimates to be reasonable, these amounts could differ materially from reported amounts in SiTime’s Annual Report on Form 10-K for the fiscal years ending December 31, 2023 and SiTime’s other filings with the Securities and Exchange Commission. Forward-looking statements speak only as of the date the statements are made and are based on information available to SiTime at the time those statements are made and/or management's good faith belief as of that time with respect to future events. Except as required by law, SiTime undertakes no obligation, and does not intend, to update these forward-looking statements.</w:t>
      </w:r>
    </w:p>
    <w:p>
      <w:pPr>
        <w:sectPr>
          <w:pgSz w:w="11900" w:h="16838" w:orient="portrait"/>
          <w:cols w:equalWidth="0" w:num="1">
            <w:col w:w="11240"/>
          </w:cols>
          <w:pgMar w:left="320" w:top="103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GAAP Condensed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04"/>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7"/>
                <w:szCs w:val="17"/>
                <w:color w:val="auto"/>
              </w:rPr>
            </w:pPr>
          </w:p>
        </w:tc>
        <w:tc>
          <w:tcPr>
            <w:tcW w:w="14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3"/>
        </w:trPr>
        <w:tc>
          <w:tcPr>
            <w:tcW w:w="7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3"/>
        </w:trPr>
        <w:tc>
          <w:tcPr>
            <w:tcW w:w="7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143,993</w:t>
            </w:r>
          </w:p>
        </w:tc>
      </w:tr>
      <w:tr>
        <w:trPr>
          <w:trHeight w:val="250"/>
        </w:trPr>
        <w:tc>
          <w:tcPr>
            <w:tcW w:w="7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61,905</w:t>
            </w:r>
          </w:p>
        </w:tc>
      </w:tr>
      <w:tr>
        <w:trPr>
          <w:trHeight w:val="25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82,088</w:t>
            </w:r>
          </w:p>
        </w:tc>
      </w:tr>
      <w:tr>
        <w:trPr>
          <w:trHeight w:val="25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97,589</w:t>
            </w:r>
          </w:p>
        </w:tc>
      </w:tr>
      <w:tr>
        <w:trPr>
          <w:trHeight w:val="250"/>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83,971</w:t>
            </w:r>
          </w:p>
        </w:tc>
      </w:tr>
      <w:tr>
        <w:trPr>
          <w:trHeight w:val="25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4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r>
      <w:tr>
        <w:trPr>
          <w:trHeight w:val="250"/>
        </w:trPr>
        <w:tc>
          <w:tcPr>
            <w:tcW w:w="782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189,288</w:t>
            </w:r>
          </w:p>
        </w:tc>
      </w:tr>
      <w:tr>
        <w:trPr>
          <w:trHeight w:val="25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r>
      <w:tr>
        <w:trPr>
          <w:trHeight w:val="250"/>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26,958</w:t>
            </w:r>
          </w:p>
        </w:tc>
      </w:tr>
      <w:tr>
        <w:trPr>
          <w:trHeight w:val="25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5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(80,383)</w:t>
            </w:r>
          </w:p>
        </w:tc>
      </w:tr>
      <w:tr>
        <w:trPr>
          <w:trHeight w:val="25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5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(80,535)</w:t>
            </w:r>
          </w:p>
        </w:tc>
      </w:tr>
      <w:tr>
        <w:trPr>
          <w:trHeight w:val="20"/>
        </w:trPr>
        <w:tc>
          <w:tcPr>
            <w:tcW w:w="78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6"/>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and comprehensive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(80,535)</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78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5"/>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diluted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net loss per share</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w:t>
            </w:r>
          </w:p>
        </w:tc>
      </w:tr>
      <w:tr>
        <w:trPr>
          <w:trHeight w:val="20"/>
        </w:trPr>
        <w:tc>
          <w:tcPr>
            <w:tcW w:w="78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5"/>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loss per share</w:t>
            </w:r>
          </w:p>
        </w:tc>
        <w:tc>
          <w:tcPr>
            <w:tcW w:w="140" w:type="dxa"/>
            <w:vAlign w:val="bottom"/>
            <w:tcBorders>
              <w:bottom w:val="single" w:sz="8" w:color="auto"/>
            </w:tcBorders>
            <w:shd w:val="clear" w:color="auto" w:fill="CFF0FC"/>
          </w:tcPr>
          <w:p>
            <w:pPr>
              <w:spacing w:after="0"/>
              <w:rPr>
                <w:sz w:val="23"/>
                <w:szCs w:val="2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22,188</w:t>
            </w: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Reconciliation of Non-GAAP Adjustments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204"/>
        </w:trPr>
        <w:tc>
          <w:tcPr>
            <w:tcW w:w="7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7"/>
                <w:szCs w:val="17"/>
                <w:color w:val="auto"/>
              </w:rPr>
            </w:pPr>
          </w:p>
        </w:tc>
        <w:tc>
          <w:tcPr>
            <w:tcW w:w="15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23"/>
        </w:trPr>
        <w:tc>
          <w:tcPr>
            <w:tcW w:w="7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3"/>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
        </w:trPr>
        <w:tc>
          <w:tcPr>
            <w:tcW w:w="7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gross profit and margin to non-GAAP</w:t>
            </w:r>
          </w:p>
        </w:tc>
        <w:tc>
          <w:tcPr>
            <w:tcW w:w="160" w:type="dxa"/>
            <w:vAlign w:val="bottom"/>
            <w:shd w:val="clear" w:color="auto" w:fill="CFF0FC"/>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42,403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143,993</w:t>
            </w:r>
          </w:p>
        </w:tc>
      </w:tr>
      <w:tr>
        <w:trPr>
          <w:trHeight w:val="26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23,693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82,088</w:t>
            </w:r>
          </w:p>
        </w:tc>
      </w:tr>
      <w:tr>
        <w:trPr>
          <w:trHeight w:val="25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gross margin</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63"/>
        </w:trPr>
        <w:tc>
          <w:tcPr>
            <w:tcW w:w="7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6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r>
      <w:tr>
        <w:trPr>
          <w:trHeight w:val="250"/>
        </w:trPr>
        <w:tc>
          <w:tcPr>
            <w:tcW w:w="75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2,840</w:t>
            </w:r>
          </w:p>
        </w:tc>
      </w:tr>
      <w:tr>
        <w:trPr>
          <w:trHeight w:val="281"/>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24,713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85,208</w:t>
            </w:r>
          </w:p>
        </w:tc>
      </w:tr>
      <w:tr>
        <w:trPr>
          <w:trHeight w:val="20"/>
        </w:trPr>
        <w:tc>
          <w:tcPr>
            <w:tcW w:w="7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r>
      <w:tr>
        <w:trPr>
          <w:trHeight w:val="22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r>
      <w:tr>
        <w:trPr>
          <w:trHeight w:val="277"/>
        </w:trPr>
        <w:tc>
          <w:tcPr>
            <w:tcW w:w="75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r>
      <w:tr>
        <w:trPr>
          <w:trHeight w:val="25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operating expenses to non-GAAP</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7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97,589</w:t>
            </w:r>
          </w:p>
        </w:tc>
      </w:tr>
      <w:tr>
        <w:trPr>
          <w:trHeight w:val="250"/>
        </w:trPr>
        <w:tc>
          <w:tcPr>
            <w:tcW w:w="75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(32,909)</w:t>
            </w:r>
          </w:p>
        </w:tc>
      </w:tr>
      <w:tr>
        <w:trPr>
          <w:trHeight w:val="25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64,680</w:t>
            </w:r>
          </w:p>
        </w:tc>
      </w:tr>
      <w:tr>
        <w:trPr>
          <w:trHeight w:val="256"/>
        </w:trPr>
        <w:tc>
          <w:tcPr>
            <w:tcW w:w="7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7"/>
        </w:trPr>
        <w:tc>
          <w:tcPr>
            <w:tcW w:w="7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GAAP sales, general and administrative expenses</w:t>
            </w:r>
          </w:p>
        </w:tc>
        <w:tc>
          <w:tcPr>
            <w:tcW w:w="16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20,514</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83,971</w:t>
            </w:r>
          </w:p>
        </w:tc>
      </w:tr>
      <w:tr>
        <w:trPr>
          <w:trHeight w:val="250"/>
        </w:trPr>
        <w:tc>
          <w:tcPr>
            <w:tcW w:w="75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(41,005)</w:t>
            </w:r>
          </w:p>
        </w:tc>
      </w:tr>
      <w:tr>
        <w:trPr>
          <w:trHeight w:val="25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sales,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42,966</w:t>
            </w:r>
          </w:p>
        </w:tc>
      </w:tr>
      <w:tr>
        <w:trPr>
          <w:trHeight w:val="257"/>
        </w:trPr>
        <w:tc>
          <w:tcPr>
            <w:tcW w:w="7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acquisition 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r>
      <w:tr>
        <w:trPr>
          <w:trHeight w:val="250"/>
        </w:trPr>
        <w:tc>
          <w:tcPr>
            <w:tcW w:w="75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(7,728)</w:t>
            </w:r>
          </w:p>
        </w:tc>
      </w:tr>
      <w:tr>
        <w:trPr>
          <w:trHeight w:val="25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acquisition 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Non-GAAP operating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26,644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107,646</w:t>
            </w:r>
          </w:p>
        </w:tc>
      </w:tr>
      <w:tr>
        <w:trPr>
          <w:trHeight w:val="20"/>
        </w:trPr>
        <w:tc>
          <w:tcPr>
            <w:tcW w:w="756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5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loss from operations to non-GAAP loss from operations</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(27,468)</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(107,200)</w:t>
            </w:r>
          </w:p>
        </w:tc>
      </w:tr>
      <w:tr>
        <w:trPr>
          <w:trHeight w:val="250"/>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r>
      <w:tr>
        <w:trPr>
          <w:trHeight w:val="263"/>
        </w:trPr>
        <w:tc>
          <w:tcPr>
            <w:tcW w:w="7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6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r>
      <w:tr>
        <w:trPr>
          <w:trHeight w:val="250"/>
        </w:trPr>
        <w:tc>
          <w:tcPr>
            <w:tcW w:w="756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76,754</w:t>
            </w:r>
          </w:p>
        </w:tc>
      </w:tr>
      <w:tr>
        <w:trPr>
          <w:trHeight w:val="281"/>
        </w:trPr>
        <w:tc>
          <w:tcPr>
            <w:tcW w:w="7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(22,438)</w:t>
            </w:r>
          </w:p>
        </w:tc>
      </w:tr>
      <w:tr>
        <w:trPr>
          <w:trHeight w:val="20"/>
        </w:trPr>
        <w:tc>
          <w:tcPr>
            <w:tcW w:w="75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r>
      <w:tr>
        <w:trPr>
          <w:trHeight w:val="22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 as a percentage of revenue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77"/>
        </w:trPr>
        <w:tc>
          <w:tcPr>
            <w:tcW w:w="75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r>
      <w:tr>
        <w:trPr>
          <w:trHeight w:val="25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net loss to non-GAAP net income</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(80,535)</w:t>
            </w:r>
          </w:p>
        </w:tc>
      </w:tr>
      <w:tr>
        <w:trPr>
          <w:trHeight w:val="250"/>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60" w:type="dxa"/>
            <w:vAlign w:val="bottom"/>
          </w:tcPr>
          <w:p>
            <w:pPr>
              <w:spacing w:after="0"/>
              <w:rPr>
                <w:sz w:val="21"/>
                <w:szCs w:val="21"/>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r>
      <w:tr>
        <w:trPr>
          <w:trHeight w:val="263"/>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7,728</w:t>
            </w:r>
          </w:p>
        </w:tc>
      </w:tr>
      <w:tr>
        <w:trPr>
          <w:trHeight w:val="250"/>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76,754</w:t>
            </w:r>
          </w:p>
        </w:tc>
      </w:tr>
      <w:tr>
        <w:trPr>
          <w:trHeight w:val="281"/>
        </w:trPr>
        <w:tc>
          <w:tcPr>
            <w:tcW w:w="7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4,227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160" w:type="dxa"/>
            <w:vAlign w:val="bottom"/>
          </w:tcPr>
          <w:p>
            <w:pPr>
              <w:spacing w:after="0"/>
              <w:rPr>
                <w:sz w:val="18"/>
                <w:szCs w:val="18"/>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22,967</w:t>
            </w:r>
          </w:p>
        </w:tc>
      </w:tr>
    </w:tbl>
    <w:p>
      <w:pPr>
        <w:sectPr>
          <w:pgSz w:w="11900" w:h="16838" w:orient="portrait"/>
          <w:cols w:equalWidth="0" w:num="1">
            <w:col w:w="11220"/>
          </w:cols>
          <w:pgMar w:left="320" w:top="1305" w:right="359" w:bottom="1440" w:gutter="0" w:footer="0" w:header="0"/>
        </w:sectPr>
      </w:pPr>
    </w:p>
    <w:bookmarkStart w:id="7" w:name="page8"/>
    <w:bookmarkEnd w:id="7"/>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 per share diluted</w:t>
            </w:r>
          </w:p>
        </w:tc>
        <w:tc>
          <w:tcPr>
            <w:tcW w:w="3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(0.89)</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6"/>
              </w:rPr>
              <w:t>(3.63)</w:t>
            </w:r>
          </w:p>
        </w:tc>
      </w:tr>
      <w:tr>
        <w:trPr>
          <w:trHeight w:val="263"/>
        </w:trPr>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Non-GAAP adjustments detailed above</w:t>
            </w:r>
          </w:p>
        </w:tc>
        <w:tc>
          <w:tcPr>
            <w:tcW w:w="3060" w:type="dxa"/>
            <w:vAlign w:val="bottom"/>
            <w:shd w:val="clear" w:color="auto" w:fill="CCEEFF"/>
          </w:tcPr>
          <w:p>
            <w:pPr>
              <w:spacing w:after="0"/>
              <w:rPr>
                <w:sz w:val="22"/>
                <w:szCs w:val="22"/>
                <w:color w:val="auto"/>
              </w:rPr>
            </w:pPr>
          </w:p>
        </w:tc>
        <w:tc>
          <w:tcPr>
            <w:tcW w:w="10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1.13</w:t>
            </w:r>
          </w:p>
        </w:tc>
        <w:tc>
          <w:tcPr>
            <w:tcW w:w="7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diluted</w:t>
            </w:r>
          </w:p>
        </w:tc>
        <w:tc>
          <w:tcPr>
            <w:tcW w:w="3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0.24</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0.18</w:t>
            </w:r>
          </w:p>
        </w:tc>
      </w:tr>
    </w:tbl>
    <w:p>
      <w:pPr>
        <w:sectPr>
          <w:pgSz w:w="11900" w:h="16838" w:orient="portrait"/>
          <w:cols w:equalWidth="0" w:num="1">
            <w:col w:w="11220"/>
          </w:cols>
          <w:pgMar w:left="320" w:top="1440"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GAAP Condensed Consolidated Balance Sheets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3"/>
        </w:trPr>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4"/>
          </w:tcPr>
          <w:p>
            <w:pPr>
              <w:jc w:val="right"/>
              <w:ind w:right="119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34,603</w:t>
            </w:r>
          </w:p>
        </w:tc>
      </w:tr>
      <w:tr>
        <w:trPr>
          <w:trHeight w:val="250"/>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 in held-to-maturity securities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529,494</w:t>
            </w:r>
          </w:p>
        </w:tc>
      </w:tr>
      <w:tr>
        <w:trPr>
          <w:trHeight w:val="263"/>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41,229</w:t>
            </w:r>
          </w:p>
        </w:tc>
      </w:tr>
      <w:tr>
        <w:trPr>
          <w:trHeight w:val="250"/>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57,650</w:t>
            </w:r>
          </w:p>
        </w:tc>
      </w:tr>
      <w:tr>
        <w:trPr>
          <w:trHeight w:val="257"/>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50"/>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669,067</w:t>
            </w:r>
          </w:p>
        </w:tc>
      </w:tr>
      <w:tr>
        <w:trPr>
          <w:trHeight w:val="26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54,685</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58,772</w:t>
            </w:r>
          </w:p>
        </w:tc>
      </w:tr>
      <w:tr>
        <w:trPr>
          <w:trHeight w:val="25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6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10,848</w:t>
            </w:r>
          </w:p>
        </w:tc>
      </w:tr>
      <w:tr>
        <w:trPr>
          <w:trHeight w:val="25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r>
      <w:tr>
        <w:trPr>
          <w:trHeight w:val="257"/>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951,683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750,616</w:t>
            </w:r>
          </w:p>
        </w:tc>
      </w:tr>
      <w:tr>
        <w:trPr>
          <w:trHeight w:val="20"/>
        </w:trPr>
        <w:tc>
          <w:tcPr>
            <w:tcW w:w="78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5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14,881</w:t>
            </w:r>
          </w:p>
        </w:tc>
      </w:tr>
      <w:tr>
        <w:trPr>
          <w:trHeight w:val="250"/>
        </w:trPr>
        <w:tc>
          <w:tcPr>
            <w:tcW w:w="780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112,704</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18,913</w:t>
            </w:r>
          </w:p>
        </w:tc>
      </w:tr>
      <w:tr>
        <w:trPr>
          <w:trHeight w:val="256"/>
        </w:trPr>
        <w:tc>
          <w:tcPr>
            <w:tcW w:w="7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121,394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33,794</w:t>
            </w:r>
          </w:p>
        </w:tc>
      </w:tr>
      <w:tr>
        <w:trPr>
          <w:trHeight w:val="250"/>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122,237</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w:t>
            </w:r>
          </w:p>
        </w:tc>
      </w:tr>
      <w:tr>
        <w:trPr>
          <w:trHeight w:val="257"/>
        </w:trPr>
        <w:tc>
          <w:tcPr>
            <w:tcW w:w="7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243,631</w:t>
            </w:r>
          </w:p>
        </w:tc>
        <w:tc>
          <w:tcPr>
            <w:tcW w:w="100" w:type="dxa"/>
            <w:vAlign w:val="bottom"/>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6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r>
      <w:tr>
        <w:trPr>
          <w:trHeight w:val="250"/>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716,343</w:t>
            </w:r>
          </w:p>
        </w:tc>
      </w:tr>
      <w:tr>
        <w:trPr>
          <w:trHeight w:val="250"/>
        </w:trPr>
        <w:tc>
          <w:tcPr>
            <w:tcW w:w="7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w:t>
            </w:r>
          </w:p>
        </w:tc>
      </w:tr>
      <w:tr>
        <w:trPr>
          <w:trHeight w:val="250"/>
        </w:trPr>
        <w:tc>
          <w:tcPr>
            <w:tcW w:w="78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708,480</w:t>
            </w:r>
          </w:p>
        </w:tc>
      </w:tr>
      <w:tr>
        <w:trPr>
          <w:trHeight w:val="257"/>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951,683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750,616</w:t>
            </w: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Leanne Sievers | Brett Perry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1-949-224-3874 | 1-214-272-0070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sheltonir@sheltongroup.com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SiTime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 Howe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investor.relations@sitime.com</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2024-02-13T15:21:36Z</dcterms:created>
  <dcterms:modified xsi:type="dcterms:W3CDTF">2024-02-13T15:21:36Z</dcterms:modified>
</cp:coreProperties>
</file>