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20" w:right="1620" w:hanging="3812"/>
        <w:spacing w:after="0" w:line="344" w:lineRule="auto"/>
        <w:tabs>
          <w:tab w:leader="none" w:pos="47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-358140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-86995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7" w:lineRule="exact"/>
        <w:rPr>
          <w:sz w:val="24"/>
          <w:szCs w:val="24"/>
          <w:color w:val="auto"/>
        </w:rPr>
      </w:pPr>
    </w:p>
    <w:p>
      <w:pPr>
        <w:ind w:left="410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001-39135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SiTime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color w:val="auto"/>
                <w:w w:val="89"/>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02-0713868</w:t>
            </w:r>
          </w:p>
        </w:tc>
      </w:tr>
      <w:tr>
        <w:trPr>
          <w:trHeight w:val="135"/>
        </w:trPr>
        <w:tc>
          <w:tcPr>
            <w:tcW w:w="4120" w:type="dxa"/>
            <w:vAlign w:val="bottom"/>
          </w:tcPr>
          <w:p>
            <w:pPr>
              <w:jc w:val="center"/>
              <w:ind w:right="1964"/>
              <w:spacing w:after="0" w:line="135" w:lineRule="exact"/>
              <w:rPr>
                <w:sz w:val="20"/>
                <w:szCs w:val="20"/>
                <w:color w:val="auto"/>
              </w:rPr>
            </w:pPr>
            <w:r>
              <w:rPr>
                <w:rFonts w:ascii="Arial" w:cs="Arial" w:eastAsia="Arial" w:hAnsi="Arial"/>
                <w:sz w:val="13"/>
                <w:szCs w:val="13"/>
                <w:b w:val="1"/>
                <w:bCs w:val="1"/>
                <w:color w:val="auto"/>
                <w:w w:val="87"/>
              </w:rPr>
              <w:t>( State or other jurisdiction of</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120" w:type="dxa"/>
            <w:vAlign w:val="bottom"/>
          </w:tcPr>
          <w:p>
            <w:pPr>
              <w:jc w:val="center"/>
              <w:ind w:right="196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120" w:type="dxa"/>
            <w:vAlign w:val="bottom"/>
          </w:tcPr>
          <w:p>
            <w:pPr>
              <w:jc w:val="center"/>
              <w:ind w:right="1984"/>
              <w:spacing w:after="0"/>
              <w:rPr>
                <w:sz w:val="20"/>
                <w:szCs w:val="20"/>
                <w:color w:val="auto"/>
              </w:rPr>
            </w:pPr>
            <w:r>
              <w:rPr>
                <w:rFonts w:ascii="Arial" w:cs="Arial" w:eastAsia="Arial" w:hAnsi="Arial"/>
                <w:sz w:val="18"/>
                <w:szCs w:val="18"/>
                <w:b w:val="1"/>
                <w:bCs w:val="1"/>
                <w:color w:val="auto"/>
                <w:w w:val="93"/>
              </w:rPr>
              <w:t>5451 Patrick Henry Drive</w:t>
            </w:r>
          </w:p>
        </w:tc>
        <w:tc>
          <w:tcPr>
            <w:tcW w:w="3020" w:type="dxa"/>
            <w:vAlign w:val="bottom"/>
          </w:tcPr>
          <w:p>
            <w:pPr>
              <w:spacing w:after="0"/>
              <w:rPr>
                <w:sz w:val="18"/>
                <w:szCs w:val="18"/>
                <w:color w:val="auto"/>
              </w:rPr>
            </w:pPr>
          </w:p>
        </w:tc>
      </w:t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4"/>
              </w:rPr>
              <w:t>Santa Clara, CA</w:t>
            </w:r>
          </w:p>
        </w:tc>
        <w:tc>
          <w:tcPr>
            <w:tcW w:w="3020" w:type="dxa"/>
            <w:vAlign w:val="bottom"/>
          </w:tcPr>
          <w:p>
            <w:pPr>
              <w:jc w:val="right"/>
              <w:ind w:right="186"/>
              <w:spacing w:after="0"/>
              <w:rPr>
                <w:sz w:val="20"/>
                <w:szCs w:val="20"/>
                <w:color w:val="auto"/>
              </w:rPr>
            </w:pPr>
            <w:r>
              <w:rPr>
                <w:rFonts w:ascii="Arial" w:cs="Arial" w:eastAsia="Arial" w:hAnsi="Arial"/>
                <w:sz w:val="18"/>
                <w:szCs w:val="18"/>
                <w:b w:val="1"/>
                <w:bCs w:val="1"/>
                <w:color w:val="auto"/>
              </w:rPr>
              <w:t>95054</w:t>
            </w:r>
          </w:p>
        </w:tc>
      </w:tr>
      <w:tr>
        <w:trPr>
          <w:trHeight w:val="16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(408) 328-4400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$0.0001 par value per share</w:t>
            </w:r>
          </w:p>
        </w:tc>
        <w:tc>
          <w:tcPr>
            <w:tcW w:w="120" w:type="dxa"/>
            <w:vAlign w:val="bottom"/>
          </w:tcPr>
          <w:p>
            <w:pPr>
              <w:spacing w:after="0"/>
              <w:rPr>
                <w:sz w:val="17"/>
                <w:szCs w:val="17"/>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SITM</w:t>
            </w:r>
          </w:p>
        </w:tc>
        <w:tc>
          <w:tcPr>
            <w:tcW w:w="120" w:type="dxa"/>
            <w:vAlign w:val="bottom"/>
          </w:tcPr>
          <w:p>
            <w:pPr>
              <w:spacing w:after="0"/>
              <w:rPr>
                <w:sz w:val="17"/>
                <w:szCs w:val="17"/>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54"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59"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right="2020"/>
        <w:spacing w:after="0" w:line="27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April 30, 2020, the registrant had </w:t>
      </w:r>
      <w:r>
        <w:rPr>
          <w:rFonts w:ascii="Arial" w:cs="Arial" w:eastAsia="Arial" w:hAnsi="Arial"/>
          <w:sz w:val="16"/>
          <w:szCs w:val="16"/>
          <w:color w:val="auto"/>
        </w:rPr>
        <w:t>15</w:t>
      </w:r>
      <w:r>
        <w:rPr>
          <w:rFonts w:ascii="Arial" w:cs="Arial" w:eastAsia="Arial" w:hAnsi="Arial"/>
          <w:sz w:val="15"/>
          <w:szCs w:val="15"/>
          <w:color w:val="auto"/>
        </w:rPr>
        <w:t>,060,619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500" w:type="dxa"/>
            <w:vAlign w:val="bottom"/>
            <w:vMerge w:val="restart"/>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60" w:type="dxa"/>
            <w:vAlign w:val="bottom"/>
            <w:vMerge w:val="continue"/>
          </w:tcPr>
          <w:p>
            <w:pPr>
              <w:spacing w:after="0"/>
              <w:rPr>
                <w:sz w:val="19"/>
                <w:szCs w:val="19"/>
                <w:color w:val="auto"/>
              </w:rPr>
            </w:pPr>
          </w:p>
        </w:tc>
        <w:tc>
          <w:tcPr>
            <w:tcW w:w="95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9500" w:type="dxa"/>
            <w:vAlign w:val="bottom"/>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9500" w:type="dxa"/>
            <w:vAlign w:val="bottom"/>
          </w:tcPr>
          <w:p>
            <w:pPr>
              <w:ind w:left="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and Comprehensive Loss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9500" w:type="dxa"/>
            <w:vAlign w:val="bottom"/>
          </w:tcPr>
          <w:p>
            <w:pPr>
              <w:ind w:left="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Stockholders’ Equity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9500" w:type="dxa"/>
            <w:vAlign w:val="bottom"/>
          </w:tcPr>
          <w:p>
            <w:pPr>
              <w:ind w:left="2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9500" w:type="dxa"/>
            <w:vAlign w:val="bottom"/>
          </w:tcPr>
          <w:p>
            <w:pPr>
              <w:ind w:left="2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tcPr>
          <w:p>
            <w:pPr>
              <w:ind w:left="20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500" w:type="dxa"/>
            <w:vAlign w:val="bottom"/>
          </w:tcPr>
          <w:p>
            <w:pPr>
              <w:ind w:left="20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tcPr>
          <w:p>
            <w:pPr>
              <w:ind w:left="20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3"/>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00" w:type="dxa"/>
            <w:vAlign w:val="bottom"/>
          </w:tcPr>
          <w:p>
            <w:pPr>
              <w:ind w:left="2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OTHER INFORMATION</w:t>
              </w:r>
            </w:hyperlink>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tcPr>
          <w:p>
            <w:pPr>
              <w:ind w:left="2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500" w:type="dxa"/>
            <w:vAlign w:val="bottom"/>
          </w:tcPr>
          <w:p>
            <w:pPr>
              <w:ind w:left="2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500" w:type="dxa"/>
            <w:vAlign w:val="bottom"/>
          </w:tcPr>
          <w:p>
            <w:pPr>
              <w:ind w:left="20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96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Signatures</w:t>
              </w:r>
            </w:hyperlink>
          </w:p>
        </w:tc>
        <w:tc>
          <w:tcPr>
            <w:tcW w:w="95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3"/>
                <w:szCs w:val="13"/>
                <w:color w:val="auto"/>
              </w:rPr>
            </w:pPr>
          </w:p>
        </w:tc>
        <w:tc>
          <w:tcPr>
            <w:tcW w:w="142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w w:val="95"/>
              </w:rPr>
              <w:t>December 31,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7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313"/>
              <w:spacing w:after="0" w:line="147"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gridSpan w:val="5"/>
          </w:tcPr>
          <w:p>
            <w:pPr>
              <w:jc w:val="right"/>
              <w:ind w:right="13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71,248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15,820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accounts receivable</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14,159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3,179</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104,971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99,662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3,663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128,214</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123,391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4,315</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Loan obligations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62,335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7,865</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70,200</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$0.0001 par value - 200,000 shares authorized;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15,061 and 14,968 shares issued and outstanding at</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March 31, 2020 and December 31, 2019</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117,129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(59,117)</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(54,024)</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58,014</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62,140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128,214</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286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FF0FC"/>
          </w:tcPr>
          <w:p>
            <w:pPr>
              <w:jc w:val="right"/>
              <w:ind w:right="79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21,742</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14,817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11,766</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9,976</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7,808</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14,832</w:t>
            </w:r>
          </w:p>
        </w:tc>
        <w:tc>
          <w:tcPr>
            <w:tcW w:w="2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10,011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Loss from operations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(4,856)</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(2,422)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(303)</w:t>
            </w: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(5,091)</w:t>
            </w:r>
          </w:p>
        </w:tc>
        <w:tc>
          <w:tcPr>
            <w:tcW w:w="2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(2,870)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980" w:type="dxa"/>
            <w:vAlign w:val="bottom"/>
            <w:tcBorders>
              <w:top w:val="single" w:sz="8" w:color="auto"/>
              <w:bottom w:val="single" w:sz="8" w:color="auto"/>
            </w:tcBorders>
            <w:shd w:val="clear" w:color="auto" w:fill="CFF0FC"/>
          </w:tcPr>
          <w:p>
            <w:pPr>
              <w:jc w:val="right"/>
              <w:ind w:right="798"/>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(5,093)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3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(2,870)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 and</w:t>
            </w: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720" w:type="dxa"/>
            <w:vAlign w:val="bottom"/>
          </w:tcPr>
          <w:p>
            <w:pPr>
              <w:ind w:left="140"/>
              <w:spacing w:after="0"/>
              <w:rPr>
                <w:sz w:val="20"/>
                <w:szCs w:val="20"/>
                <w:color w:val="auto"/>
              </w:rPr>
            </w:pPr>
            <w:r>
              <w:rPr>
                <w:rFonts w:ascii="Arial" w:cs="Arial" w:eastAsia="Arial" w:hAnsi="Arial"/>
                <w:sz w:val="18"/>
                <w:szCs w:val="18"/>
                <w:color w:val="auto"/>
              </w:rPr>
              <w:t>comprehensive loss</w:t>
            </w:r>
          </w:p>
        </w:tc>
        <w:tc>
          <w:tcPr>
            <w:tcW w:w="980" w:type="dxa"/>
            <w:vAlign w:val="bottom"/>
          </w:tcPr>
          <w:p>
            <w:pPr>
              <w:jc w:val="right"/>
              <w:ind w:right="798"/>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(5,093)</w:t>
            </w: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196"/>
        </w:trPr>
        <w:tc>
          <w:tcPr>
            <w:tcW w:w="77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basic and diluted</w:t>
            </w:r>
          </w:p>
        </w:tc>
        <w:tc>
          <w:tcPr>
            <w:tcW w:w="980" w:type="dxa"/>
            <w:vAlign w:val="bottom"/>
            <w:shd w:val="clear" w:color="auto" w:fill="CFF0FC"/>
          </w:tcPr>
          <w:p>
            <w:pPr>
              <w:jc w:val="right"/>
              <w:ind w:right="798"/>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(0.34)</w:t>
            </w:r>
          </w:p>
        </w:tc>
        <w:tc>
          <w:tcPr>
            <w:tcW w:w="1020" w:type="dxa"/>
            <w:vAlign w:val="bottom"/>
            <w:shd w:val="clear" w:color="auto" w:fill="CFF0FC"/>
          </w:tcPr>
          <w:p>
            <w:pPr>
              <w:jc w:val="right"/>
              <w:ind w:right="834"/>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used to compute basic and diluted</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net loss per share</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15,010</w:t>
            </w:r>
          </w:p>
        </w:tc>
        <w:tc>
          <w:tcPr>
            <w:tcW w:w="2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r>
      <w:tr>
        <w:trPr>
          <w:trHeight w:val="171"/>
        </w:trPr>
        <w:tc>
          <w:tcPr>
            <w:tcW w:w="5200" w:type="dxa"/>
            <w:vAlign w:val="bottom"/>
          </w:tcPr>
          <w:p>
            <w:pPr>
              <w:spacing w:after="0"/>
              <w:rPr>
                <w:sz w:val="14"/>
                <w:szCs w:val="14"/>
                <w:color w:val="auto"/>
              </w:rPr>
            </w:pPr>
          </w:p>
        </w:tc>
        <w:tc>
          <w:tcPr>
            <w:tcW w:w="200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5200" w:type="dxa"/>
            <w:vAlign w:val="bottom"/>
          </w:tcPr>
          <w:p>
            <w:pPr>
              <w:spacing w:after="0"/>
              <w:rPr>
                <w:sz w:val="13"/>
                <w:szCs w:val="13"/>
                <w:color w:val="auto"/>
              </w:rPr>
            </w:pPr>
          </w:p>
        </w:tc>
        <w:tc>
          <w:tcPr>
            <w:tcW w:w="100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155"/>
        </w:trPr>
        <w:tc>
          <w:tcPr>
            <w:tcW w:w="52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14,968</w:t>
            </w:r>
          </w:p>
        </w:tc>
        <w:tc>
          <w:tcPr>
            <w:tcW w:w="220" w:type="dxa"/>
            <w:vAlign w:val="bottom"/>
            <w:shd w:val="clear" w:color="auto" w:fill="CFF0FC"/>
          </w:tcPr>
          <w:p>
            <w:pPr>
              <w:spacing w:after="0"/>
              <w:rPr>
                <w:sz w:val="19"/>
                <w:szCs w:val="19"/>
                <w:color w:val="auto"/>
              </w:rPr>
            </w:pPr>
          </w:p>
        </w:tc>
        <w:tc>
          <w:tcPr>
            <w:tcW w:w="78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116,162</w:t>
            </w:r>
          </w:p>
        </w:tc>
        <w:tc>
          <w:tcPr>
            <w:tcW w:w="1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(54,024)</w:t>
            </w:r>
          </w:p>
        </w:tc>
        <w:tc>
          <w:tcPr>
            <w:tcW w:w="100" w:type="dxa"/>
            <w:vAlign w:val="bottom"/>
            <w:shd w:val="clear" w:color="auto" w:fill="CFF0FC"/>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62,140</w:t>
            </w:r>
          </w:p>
        </w:tc>
        <w:tc>
          <w:tcPr>
            <w:tcW w:w="100" w:type="dxa"/>
            <w:vAlign w:val="bottom"/>
            <w:shd w:val="clear" w:color="auto" w:fill="CCEEFF"/>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(5,093)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(5,093)</w:t>
            </w:r>
          </w:p>
        </w:tc>
      </w:tr>
      <w:tr>
        <w:trPr>
          <w:trHeight w:val="215"/>
        </w:trPr>
        <w:tc>
          <w:tcPr>
            <w:tcW w:w="5200" w:type="dxa"/>
            <w:vAlign w:val="bottom"/>
          </w:tcPr>
          <w:p>
            <w:pPr>
              <w:spacing w:after="0"/>
              <w:rPr>
                <w:sz w:val="20"/>
                <w:szCs w:val="20"/>
                <w:color w:val="auto"/>
              </w:rPr>
            </w:pPr>
            <w:r>
              <w:rPr>
                <w:rFonts w:ascii="Arial" w:cs="Arial" w:eastAsia="Arial" w:hAnsi="Arial"/>
                <w:sz w:val="18"/>
                <w:szCs w:val="18"/>
                <w:color w:val="auto"/>
              </w:rPr>
              <w:t>Tax withholdings related to net share settlement of</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(1,788)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(1,788)</w:t>
            </w: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March 31,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117,129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2018</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(47,417)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11,015</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(2,870)</w:t>
            </w: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March 31, 2019</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58,431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40" w:type="dxa"/>
            <w:vAlign w:val="bottom"/>
            <w:gridSpan w:val="3"/>
          </w:tcPr>
          <w:p>
            <w:pPr>
              <w:jc w:val="right"/>
              <w:ind w:right="619"/>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Net loss</w:t>
            </w:r>
          </w:p>
        </w:tc>
        <w:tc>
          <w:tcPr>
            <w:tcW w:w="1000" w:type="dxa"/>
            <w:vAlign w:val="bottom"/>
          </w:tcPr>
          <w:p>
            <w:pPr>
              <w:jc w:val="right"/>
              <w:ind w:right="821"/>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(5,093)</w:t>
            </w:r>
          </w:p>
        </w:tc>
        <w:tc>
          <w:tcPr>
            <w:tcW w:w="1000" w:type="dxa"/>
            <w:vAlign w:val="bottom"/>
          </w:tcPr>
          <w:p>
            <w:pPr>
              <w:jc w:val="right"/>
              <w:ind w:right="819"/>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(2,870)</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loss to net cash provided by</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operating activities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Depreciation and amortization expense</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1,964</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500"/>
              <w:spacing w:after="0"/>
              <w:rPr>
                <w:sz w:val="20"/>
                <w:szCs w:val="20"/>
                <w:color w:val="auto"/>
              </w:rPr>
            </w:pPr>
            <w:r>
              <w:rPr>
                <w:rFonts w:ascii="Arial" w:cs="Arial" w:eastAsia="Arial" w:hAnsi="Arial"/>
                <w:sz w:val="17"/>
                <w:szCs w:val="17"/>
                <w:color w:val="auto"/>
              </w:rPr>
              <w:t>Non-cash operating lease cost and other</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409</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Stock-based compensation expense</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2,755</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500"/>
              <w:spacing w:after="0"/>
              <w:rPr>
                <w:sz w:val="20"/>
                <w:szCs w:val="20"/>
                <w:color w:val="auto"/>
              </w:rPr>
            </w:pPr>
            <w:r>
              <w:rPr>
                <w:rFonts w:ascii="Arial" w:cs="Arial" w:eastAsia="Arial" w:hAnsi="Arial"/>
                <w:sz w:val="17"/>
                <w:szCs w:val="17"/>
                <w:color w:val="auto"/>
              </w:rPr>
              <w:t>Changes in assets and liabilities: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Accounts receivable, net</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1,839</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740"/>
              <w:spacing w:after="0"/>
              <w:rPr>
                <w:sz w:val="20"/>
                <w:szCs w:val="20"/>
                <w:color w:val="auto"/>
              </w:rPr>
            </w:pPr>
            <w:r>
              <w:rPr>
                <w:rFonts w:ascii="Arial" w:cs="Arial" w:eastAsia="Arial" w:hAnsi="Arial"/>
                <w:sz w:val="17"/>
                <w:szCs w:val="17"/>
                <w:color w:val="auto"/>
              </w:rPr>
              <w:t>Related party accounts receivable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508</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Inventories</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(2,433)</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740"/>
              <w:spacing w:after="0"/>
              <w:rPr>
                <w:sz w:val="20"/>
                <w:szCs w:val="20"/>
                <w:color w:val="auto"/>
              </w:rPr>
            </w:pPr>
            <w:r>
              <w:rPr>
                <w:rFonts w:ascii="Arial" w:cs="Arial" w:eastAsia="Arial" w:hAnsi="Arial"/>
                <w:sz w:val="17"/>
                <w:szCs w:val="17"/>
                <w:color w:val="auto"/>
              </w:rPr>
              <w:t>Prepaid expenses and other assets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2,410</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Accounts payable</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371</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(2,596)</w:t>
            </w:r>
          </w:p>
        </w:tc>
        <w:tc>
          <w:tcPr>
            <w:tcW w:w="0" w:type="dxa"/>
            <w:vAlign w:val="bottom"/>
          </w:tcPr>
          <w:p>
            <w:pPr>
              <w:spacing w:after="0"/>
              <w:rPr>
                <w:sz w:val="1"/>
                <w:szCs w:val="1"/>
                <w:color w:val="auto"/>
              </w:rPr>
            </w:pPr>
          </w:p>
        </w:tc>
      </w:tr>
      <w:tr>
        <w:trPr>
          <w:trHeight w:val="216"/>
        </w:trPr>
        <w:tc>
          <w:tcPr>
            <w:tcW w:w="7720" w:type="dxa"/>
            <w:vAlign w:val="bottom"/>
          </w:tcPr>
          <w:p>
            <w:pPr>
              <w:ind w:left="740"/>
              <w:spacing w:after="0"/>
              <w:rPr>
                <w:sz w:val="20"/>
                <w:szCs w:val="20"/>
                <w:color w:val="auto"/>
              </w:rPr>
            </w:pPr>
            <w:r>
              <w:rPr>
                <w:rFonts w:ascii="Arial" w:cs="Arial" w:eastAsia="Arial" w:hAnsi="Arial"/>
                <w:sz w:val="17"/>
                <w:szCs w:val="17"/>
                <w:color w:val="auto"/>
              </w:rPr>
              <w:t>Accrued expenses and other liabilities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476</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Lease liabilities</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(1,171)</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(479)</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7"/>
                <w:szCs w:val="17"/>
                <w:color w:val="auto"/>
              </w:rPr>
              <w:t>Net cash provided by operating activities</w:t>
            </w:r>
          </w:p>
        </w:tc>
        <w:tc>
          <w:tcPr>
            <w:tcW w:w="10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2,035</w:t>
            </w:r>
          </w:p>
        </w:tc>
        <w:tc>
          <w:tcPr>
            <w:tcW w:w="28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5,026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Purchase of property and equipment</w:t>
            </w:r>
          </w:p>
        </w:tc>
        <w:tc>
          <w:tcPr>
            <w:tcW w:w="10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(1,138)</w:t>
            </w: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paid for intangibles</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(279)</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7"/>
                <w:szCs w:val="17"/>
                <w:color w:val="auto"/>
              </w:rPr>
              <w:t>Net cash used in investing activities</w:t>
            </w:r>
          </w:p>
        </w:tc>
        <w:tc>
          <w:tcPr>
            <w:tcW w:w="10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(1,417)</w:t>
            </w:r>
          </w:p>
        </w:tc>
        <w:tc>
          <w:tcPr>
            <w:tcW w:w="28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Tax withholding paid on behalf of employees for net share settlement</w:t>
            </w:r>
          </w:p>
        </w:tc>
        <w:tc>
          <w:tcPr>
            <w:tcW w:w="10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(1,788)</w:t>
            </w:r>
          </w:p>
        </w:tc>
        <w:tc>
          <w:tcPr>
            <w:tcW w:w="10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loans from financial institutions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9"/>
              </w:rPr>
              <w:t>12,000</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Principal payments on loan to financial institutions</w:t>
            </w:r>
          </w:p>
        </w:tc>
        <w:tc>
          <w:tcPr>
            <w:tcW w:w="10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(3,000)</w:t>
            </w:r>
          </w:p>
        </w:tc>
        <w:tc>
          <w:tcPr>
            <w:tcW w:w="10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7"/>
                <w:szCs w:val="17"/>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7,212</w:t>
            </w: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1000"/>
              <w:spacing w:after="0"/>
              <w:rPr>
                <w:sz w:val="20"/>
                <w:szCs w:val="20"/>
                <w:color w:val="auto"/>
              </w:rPr>
            </w:pPr>
            <w:r>
              <w:rPr>
                <w:rFonts w:ascii="Arial" w:cs="Arial" w:eastAsia="Arial" w:hAnsi="Arial"/>
                <w:sz w:val="17"/>
                <w:szCs w:val="17"/>
                <w:color w:val="auto"/>
              </w:rPr>
              <w:t>Net increase in cash and cash equivalents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7,830</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and cash equivalents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Beginning of period</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63,418</w:t>
            </w:r>
          </w:p>
        </w:tc>
        <w:tc>
          <w:tcPr>
            <w:tcW w:w="2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7,889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End of period</w:t>
            </w:r>
          </w:p>
        </w:tc>
        <w:tc>
          <w:tcPr>
            <w:tcW w:w="1000" w:type="dxa"/>
            <w:vAlign w:val="bottom"/>
            <w:tcBorders>
              <w:bottom w:val="single" w:sz="8" w:color="auto"/>
            </w:tcBorders>
            <w:shd w:val="clear" w:color="auto" w:fill="CFF0FC"/>
          </w:tcPr>
          <w:p>
            <w:pPr>
              <w:jc w:val="right"/>
              <w:ind w:right="821"/>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9"/>
              </w:rPr>
              <w:t>71,248</w:t>
            </w:r>
          </w:p>
        </w:tc>
        <w:tc>
          <w:tcPr>
            <w:tcW w:w="2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9"/>
              </w:rPr>
              <w:t>12,537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2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Interest paid during the period</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Income taxes paid</w:t>
            </w:r>
          </w:p>
        </w:tc>
        <w:tc>
          <w:tcPr>
            <w:tcW w:w="10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Supplemental disclosure of noncash flow information</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Unpaid property and equipment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153</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Unpaid deferred offering costs</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Right-of-use assets acquired under operating leases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300</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7,585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SiTime Corporation (the “Company”), was incorporated in the State of Delaware in December 2003. The Company is a provider of silicon timing systems. The Company primarily supplies oscillator products that are comprised of a MEMS resonator and clock IC that is integrated into a package, as well as standalone resonators. The Company has also started to sample clock ICs. The Company’s products are designed to address a wide range of applications across a broad array of end markets. The Company operates a fabless business model and leverages its global network of distributors and resellers to address the broad set of end markets that it serves.</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was a wholly-owned subsidiary of MegaChips Corporation (“MegaChips”), a fabless semiconductor company based in Japan and traded on the Tokyo Stock Exchange until the Company completed its initial public offering in November 2019. MegaChips is now the largest stockholder of the Company and held approximately 66.4% of the Company’s outstanding common stock as of March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Outbreak of Coronavirus Disease 2019 (“the COVID-19 pandemic”)</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March 11, 2020, the World Health Organization characterized the outbreak of the coronavirus disease known as COVID-19 as a global pandemic and recommended containment and mitigation measures. On March 13, 2020, the United States declared a national emergency concerning the outbreak, and several states and municipalities have declared public health emergencies. To combat the spread of the COVID-19 pandemic, the United States and other foreign countries in which the Company operates have imposed measures such as quarantines and “shelter-in-place” orders that are restricting business operations and travel and requiring individuals to work from home (“WFH”), which has impacted all aspects of the Company’s business as well as those of the third-parties we rely upon for our manufacturing, assembly, testing, shipping and other operations.</w:t>
      </w:r>
    </w:p>
    <w:p>
      <w:pPr>
        <w:spacing w:after="0" w:line="17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 anticipates the global health crisis caused by the COVID-19 pandemic will negatively impact business activity across the globe and the Company's results of operations. The inputs into the Company’s judgments and estimates consider the economic implications of the COVID-19 pandemic, as the Company knows them, on the Company’s critical and significant accounting estimates. The extent to which the COVID-19 pandemic may impact the Company’s business will depend on future developments, which are highly uncertain and cannot be predicted with confidence.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Calendar</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fiscal year begins on January 1 of the year stated and ends on December 31 of the same year. The Company reports its results on a calendar year basis.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intercompany transactions and balances have been eliminated in consolidation.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significant accounting policies are disclosed in the Company’s Annual Report on Form 10-K for the year ended December 31, 2019. There had been no changes to these accounting policies except for the recently adopted accounting guidance as discussed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Guidance</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August 2018, the Financial Accounting Standard Board (“FASB”) issued Accounting Standard Update (“ASU”) 2018-15, Intangibles-Goodwill and Other-Internal-Use Software (Subtopic 350-40): Customer’s Accounting for Implementation Costs Incurred in a Cloud Computing Arrangement That Is a Service Contract, which aligns the requirements for capitalizing implementation costs incurred in a cloud computing arrangement that is a service contract with the requirements for capitalizing implementation costs incurred to develop or obtain internal-use-software. The adoption of this standard did not have any impact on the Company's consolidated financial position, results of operations and cash flows.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ind w:right="180"/>
        <w:spacing w:after="0" w:line="263" w:lineRule="auto"/>
        <w:rPr>
          <w:sz w:val="20"/>
          <w:szCs w:val="20"/>
          <w:color w:val="auto"/>
        </w:rPr>
      </w:pPr>
      <w:r>
        <w:rPr>
          <w:rFonts w:ascii="Arial" w:cs="Arial" w:eastAsia="Arial" w:hAnsi="Arial"/>
          <w:sz w:val="18"/>
          <w:szCs w:val="18"/>
          <w:color w:val="auto"/>
        </w:rPr>
        <w:t>In August 2018, the FASB issued ASU 2018-13, Fair Value Measurement (Topic 820): Disclosure Framework—Changes to the Disclosure Requirements for Fair Value Measurement, which modifies the disclosure requirements in Topic 820. The adoption of this standard did not have any impact on the Company's disclosures.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which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The new standard will be effective for fiscal years beginning after December 15, 2020. The Company is currently evaluating the impact of the adoption of this standard on its consolidated financial position, results of operations and cash flows.</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which changes the credit loss model from an incurred loss approach to an expected loss approach. It requires the application of a current expected credit loss (“CECL”) impairment model to financial assets measured at amortized cost (including trade accounts receivable) and certain off-balance-sheet credit exposures. Under the CECL model, lifetime expected credit losses on such financial assets are measured and recognized at each reporting date based on historical, current, and forecasted information. The standard also changes the impairment model for available-for-sale debt securities, eliminating the concept of other than temporary impairment and requiring credit losses to be recorded through an allowance for credit losses. The amount of the allowance for credit losses for available-for-sale debt securities is limited to the amount by which fair value is below amortized cost. The standard is effective for interim and annual periods beginning after December 15, 2022. A modified retrospective adoption method is required, with a cumulative-effect adjustment to the opening retained earnings balance in the period of adoption. The adoption of this standard is not expected to have a material impact on the Company's consolidated financial position, results of operations and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computation of basic and diluted net income (loss) per share attributable to common stockholder of the Company:</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300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40" w:type="dxa"/>
            <w:vAlign w:val="bottom"/>
          </w:tcPr>
          <w:p>
            <w:pPr>
              <w:spacing w:after="0"/>
              <w:rPr>
                <w:sz w:val="13"/>
                <w:szCs w:val="13"/>
                <w:color w:val="auto"/>
              </w:rPr>
            </w:pPr>
          </w:p>
        </w:tc>
        <w:tc>
          <w:tcPr>
            <w:tcW w:w="1060" w:type="dxa"/>
            <w:vAlign w:val="bottom"/>
            <w:tcBorders>
              <w:bottom w:val="single" w:sz="8" w:color="auto"/>
            </w:tcBorders>
          </w:tcPr>
          <w:p>
            <w:pPr>
              <w:jc w:val="right"/>
              <w:ind w:right="21"/>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40" w:type="dxa"/>
            <w:vAlign w:val="bottom"/>
          </w:tcPr>
          <w:p>
            <w:pPr>
              <w:spacing w:after="0"/>
              <w:rPr>
                <w:sz w:val="13"/>
                <w:szCs w:val="13"/>
                <w:color w:val="auto"/>
              </w:rPr>
            </w:pPr>
          </w:p>
        </w:tc>
        <w:tc>
          <w:tcPr>
            <w:tcW w:w="3000" w:type="dxa"/>
            <w:vAlign w:val="bottom"/>
            <w:gridSpan w:val="4"/>
          </w:tcPr>
          <w:p>
            <w:pPr>
              <w:jc w:val="right"/>
              <w:ind w:right="7"/>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1060" w:type="dxa"/>
            <w:vAlign w:val="bottom"/>
            <w:shd w:val="clear" w:color="auto" w:fill="CFF0FC"/>
          </w:tcPr>
          <w:p>
            <w:pPr>
              <w:jc w:val="right"/>
              <w:ind w:right="881"/>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(5,093)</w:t>
            </w:r>
          </w:p>
        </w:tc>
        <w:tc>
          <w:tcPr>
            <w:tcW w:w="1060" w:type="dxa"/>
            <w:vAlign w:val="bottom"/>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0"/>
        </w:trPr>
        <w:tc>
          <w:tcPr>
            <w:tcW w:w="75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FF0FC"/>
            </w:tcBorders>
            <w:vMerge w:val="continue"/>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15,010</w:t>
            </w:r>
          </w:p>
        </w:tc>
        <w:tc>
          <w:tcPr>
            <w:tcW w:w="300" w:type="dxa"/>
            <w:vAlign w:val="bottom"/>
            <w:tcBorders>
              <w:bottom w:val="single" w:sz="8" w:color="CFF0FC"/>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54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Weighted average shares used to</w:t>
            </w:r>
          </w:p>
        </w:tc>
        <w:tc>
          <w:tcPr>
            <w:tcW w:w="10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compute basic and diluted net</w:t>
            </w:r>
          </w:p>
        </w:tc>
        <w:tc>
          <w:tcPr>
            <w:tcW w:w="10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loss per share</w:t>
            </w:r>
          </w:p>
        </w:tc>
        <w:tc>
          <w:tcPr>
            <w:tcW w:w="10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15,010</w:t>
            </w:r>
          </w:p>
        </w:tc>
        <w:tc>
          <w:tcPr>
            <w:tcW w:w="3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260"/>
              <w:spacing w:after="0"/>
              <w:rPr>
                <w:sz w:val="20"/>
                <w:szCs w:val="20"/>
                <w:color w:val="auto"/>
              </w:rPr>
            </w:pPr>
            <w:r>
              <w:rPr>
                <w:rFonts w:ascii="Arial" w:cs="Arial" w:eastAsia="Arial" w:hAnsi="Arial"/>
                <w:sz w:val="18"/>
                <w:szCs w:val="18"/>
                <w:color w:val="auto"/>
              </w:rPr>
              <w:t>Net loss attributable to common</w:t>
            </w: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80"/>
              <w:spacing w:after="0"/>
              <w:rPr>
                <w:sz w:val="20"/>
                <w:szCs w:val="20"/>
                <w:color w:val="auto"/>
              </w:rPr>
            </w:pPr>
            <w:r>
              <w:rPr>
                <w:rFonts w:ascii="Arial" w:cs="Arial" w:eastAsia="Arial" w:hAnsi="Arial"/>
                <w:sz w:val="18"/>
                <w:szCs w:val="18"/>
                <w:color w:val="auto"/>
              </w:rPr>
              <w:t>stockholders per share,</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060" w:type="dxa"/>
            <w:vAlign w:val="bottom"/>
          </w:tcPr>
          <w:p>
            <w:pPr>
              <w:jc w:val="right"/>
              <w:ind w:right="881"/>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(0.34)</w:t>
            </w:r>
          </w:p>
        </w:tc>
        <w:tc>
          <w:tcPr>
            <w:tcW w:w="1060" w:type="dxa"/>
            <w:vAlign w:val="bottom"/>
          </w:tcPr>
          <w:p>
            <w:pPr>
              <w:jc w:val="right"/>
              <w:ind w:right="90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carrying amounts of the Company’s financial instruments, which include cash equivalents, accounts receivable, accounts payable, accrued liabilities, short-term debt obligations, and other current liabilities, approximate their fair values due to their short maturities.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March 31, 2020 and December 31, 2019, cash balances in bank checking and savings accounts of $5.2 million and $28.4 million, respectively were valued using Level 1 of the fair value hierarchy. At March 31, 2020 and December 31, 2019, highly liquid money market funds of $66.1 million and $35.0 million, respectively were valued using Level 1, of the fair value hierarchy, quoted prices in active markets for identical assets and are included in cash equivalents.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left="118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60"/>
              <w:spacing w:after="0" w:line="155" w:lineRule="exact"/>
              <w:rPr>
                <w:sz w:val="20"/>
                <w:szCs w:val="20"/>
                <w:color w:val="auto"/>
              </w:rPr>
            </w:pPr>
            <w:r>
              <w:rPr>
                <w:rFonts w:ascii="Arial" w:cs="Arial" w:eastAsia="Arial" w:hAnsi="Arial"/>
                <w:sz w:val="14"/>
                <w:szCs w:val="14"/>
                <w:b w:val="1"/>
                <w:bCs w:val="1"/>
                <w:color w:val="auto"/>
              </w:rPr>
              <w:t>March 31, 2020</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w w:val="96"/>
              </w:rPr>
              <w:t>December 31, 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4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Work in progress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9,582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3,721</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14,159</w:t>
            </w:r>
          </w:p>
        </w:tc>
        <w:tc>
          <w:tcPr>
            <w:tcW w:w="3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tcPr>
          <w:p>
            <w:pPr>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118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60"/>
              <w:spacing w:after="0" w:line="155" w:lineRule="exact"/>
              <w:rPr>
                <w:sz w:val="20"/>
                <w:szCs w:val="20"/>
                <w:color w:val="auto"/>
              </w:rPr>
            </w:pPr>
            <w:r>
              <w:rPr>
                <w:rFonts w:ascii="Arial" w:cs="Arial" w:eastAsia="Arial" w:hAnsi="Arial"/>
                <w:sz w:val="14"/>
                <w:szCs w:val="14"/>
                <w:b w:val="1"/>
                <w:bCs w:val="1"/>
                <w:color w:val="auto"/>
              </w:rPr>
              <w:t>March 31, 2020</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w w:val="96"/>
              </w:rPr>
              <w:t>December 31, 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ectPr>
          <w:pgSz w:w="11900" w:h="16838" w:orient="portrait"/>
          <w:cols w:equalWidth="0" w:num="1">
            <w:col w:w="11260"/>
          </w:cols>
          <w:pgMar w:left="320" w:top="661" w:right="31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Advance to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prepaid and other current assets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 consisted of the following: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2040" w:type="dxa"/>
            <w:vAlign w:val="bottom"/>
            <w:gridSpan w:val="4"/>
          </w:tcPr>
          <w:p>
            <w:pPr>
              <w:jc w:val="right"/>
              <w:ind w:right="429"/>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4"/>
                <w:szCs w:val="14"/>
                <w:color w:val="auto"/>
              </w:rPr>
            </w:pPr>
          </w:p>
        </w:tc>
      </w:tr>
      <w:tr>
        <w:trPr>
          <w:trHeight w:val="230"/>
        </w:trPr>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1,271</w:t>
            </w:r>
          </w:p>
        </w:tc>
        <w:tc>
          <w:tcPr>
            <w:tcW w:w="300" w:type="dxa"/>
            <w:vAlign w:val="bottom"/>
          </w:tcPr>
          <w:p>
            <w:pPr>
              <w:spacing w:after="0"/>
              <w:rPr>
                <w:sz w:val="19"/>
                <w:szCs w:val="19"/>
                <w:color w:val="auto"/>
              </w:rPr>
            </w:pPr>
          </w:p>
        </w:tc>
        <w:tc>
          <w:tcPr>
            <w:tcW w:w="760" w:type="dxa"/>
            <w:vAlign w:val="bottom"/>
            <w:gridSpan w:val="2"/>
          </w:tcPr>
          <w:p>
            <w:pPr>
              <w:jc w:val="right"/>
              <w:ind w:right="62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3,338</w:t>
            </w:r>
          </w:p>
        </w:tc>
      </w:tr>
      <w:tr>
        <w:trPr>
          <w:trHeight w:val="229"/>
        </w:trPr>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1,279</w:t>
            </w:r>
          </w:p>
        </w:tc>
      </w:tr>
      <w:tr>
        <w:trPr>
          <w:trHeight w:val="230"/>
        </w:trPr>
        <w:tc>
          <w:tcPr>
            <w:tcW w:w="6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r>
      <w:tr>
        <w:trPr>
          <w:trHeight w:val="223"/>
        </w:trPr>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5,601</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2802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5" w:lineRule="exact"/>
        <w:rPr>
          <w:sz w:val="20"/>
          <w:szCs w:val="20"/>
          <w:color w:val="auto"/>
        </w:rPr>
      </w:pPr>
    </w:p>
    <w:p>
      <w:pPr>
        <w:ind w:left="340"/>
        <w:spacing w:after="0"/>
        <w:tabs>
          <w:tab w:leader="none" w:pos="2160" w:val="left"/>
        </w:tabs>
        <w:rPr>
          <w:sz w:val="20"/>
          <w:szCs w:val="20"/>
          <w:color w:val="auto"/>
        </w:rPr>
      </w:pPr>
      <w:r>
        <w:rPr>
          <w:rFonts w:ascii="Arial" w:cs="Arial" w:eastAsia="Arial" w:hAnsi="Arial"/>
          <w:sz w:val="14"/>
          <w:szCs w:val="14"/>
          <w:b w:val="1"/>
          <w:bCs w:val="1"/>
          <w:color w:val="auto"/>
        </w:rPr>
        <w:t>March 31, 2020</w:t>
      </w:r>
      <w:r>
        <w:rPr>
          <w:sz w:val="20"/>
          <w:szCs w:val="20"/>
          <w:color w:val="auto"/>
        </w:rPr>
        <w:tab/>
      </w:r>
      <w:r>
        <w:rPr>
          <w:rFonts w:ascii="Arial" w:cs="Arial" w:eastAsia="Arial" w:hAnsi="Arial"/>
          <w:sz w:val="12"/>
          <w:szCs w:val="12"/>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22802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6820" w:space="720"/>
            <w:col w:w="3720"/>
          </w:cols>
          <w:pgMar w:left="320" w:top="661"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gridSpan w:val="4"/>
          </w:tcPr>
          <w:p>
            <w:pPr>
              <w:jc w:val="right"/>
              <w:ind w:right="349"/>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18,040</w:t>
            </w:r>
          </w:p>
        </w:tc>
        <w:tc>
          <w:tcPr>
            <w:tcW w:w="3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549"/>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17,376</w:t>
            </w:r>
          </w:p>
        </w:tc>
        <w:tc>
          <w:tcPr>
            <w:tcW w:w="10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Computer Equipment</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5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5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4,074</w:t>
            </w:r>
          </w:p>
        </w:tc>
        <w:tc>
          <w:tcPr>
            <w:tcW w:w="100" w:type="dxa"/>
            <w:vAlign w:val="bottom"/>
            <w:shd w:val="clear" w:color="auto" w:fill="CFF0FC"/>
          </w:tcPr>
          <w:p>
            <w:pPr>
              <w:spacing w:after="0"/>
              <w:rPr>
                <w:sz w:val="19"/>
                <w:szCs w:val="19"/>
                <w:color w:val="auto"/>
              </w:rPr>
            </w:pPr>
          </w:p>
        </w:tc>
      </w:tr>
      <w:tr>
        <w:trPr>
          <w:trHeight w:val="223"/>
        </w:trPr>
        <w:tc>
          <w:tcPr>
            <w:tcW w:w="7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23,918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22,712</w:t>
            </w:r>
          </w:p>
        </w:tc>
        <w:tc>
          <w:tcPr>
            <w:tcW w:w="10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5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(14,291)</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(13,424)</w:t>
            </w: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9,288</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Depreciation expense related to property and equipment was $0.9 million and $0.6 million for the three months ended March 31, 2020 and 2019,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As of</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3760" w:type="dxa"/>
            <w:vAlign w:val="bottom"/>
          </w:tcPr>
          <w:p>
            <w:pPr>
              <w:spacing w:after="0"/>
              <w:rPr>
                <w:sz w:val="4"/>
                <w:szCs w:val="4"/>
                <w:color w:val="auto"/>
              </w:rPr>
            </w:pPr>
          </w:p>
        </w:tc>
        <w:tc>
          <w:tcPr>
            <w:tcW w:w="37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December 31, 2019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gridSpan w:val="6"/>
          </w:tcPr>
          <w:p>
            <w:pPr>
              <w:jc w:val="right"/>
              <w:ind w:right="14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Internal use software</w:t>
            </w:r>
          </w:p>
        </w:tc>
        <w:tc>
          <w:tcPr>
            <w:tcW w:w="40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10,084</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Purchased intangibles</w:t>
            </w:r>
          </w:p>
        </w:tc>
        <w:tc>
          <w:tcPr>
            <w:tcW w:w="3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1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spacing w:after="0"/>
              <w:rPr>
                <w:sz w:val="19"/>
                <w:szCs w:val="19"/>
                <w:color w:val="auto"/>
              </w:rPr>
            </w:pPr>
          </w:p>
        </w:tc>
        <w:tc>
          <w:tcPr>
            <w:tcW w:w="3780" w:type="dxa"/>
            <w:vAlign w:val="bottom"/>
            <w:shd w:val="clear" w:color="auto" w:fill="CFF0FC"/>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15,056</w:t>
            </w:r>
          </w:p>
        </w:tc>
        <w:tc>
          <w:tcPr>
            <w:tcW w:w="120" w:type="dxa"/>
            <w:vAlign w:val="bottom"/>
            <w:shd w:val="clear" w:color="auto" w:fill="CCEEFF"/>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14,815</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(11,393)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(10,326)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37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780" w:type="dxa"/>
            <w:vAlign w:val="bottom"/>
            <w:vMerge w:val="restart"/>
          </w:tcPr>
          <w:p>
            <w:pPr>
              <w:jc w:val="right"/>
              <w:ind w:right="179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7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color w:val="auto"/>
        </w:rPr>
        <w:t>Amortization expense for intangible assets was $1.1 million and $1.3 million for the three months ended March 31, 2020 and 2019, respectively.</w:t>
      </w:r>
    </w:p>
    <w:p>
      <w:pPr>
        <w:spacing w:after="0" w:line="237"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As of March 31, 2020, the Company had $1.6 million of intangibles that were still in development stage and were not being amortized. The estimated aggregate future amortization expense for intangible assets in development stage and subject to amortization as of March 31, 2020 is summarized as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53"/>
        </w:trPr>
        <w:tc>
          <w:tcPr>
            <w:tcW w:w="7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2020 (remainder)</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18"/>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2024 and beyond</w:t>
            </w: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4"/>
                <w:szCs w:val="4"/>
                <w:color w:val="auto"/>
                <w:w w:val="87"/>
              </w:rPr>
              <w:t>$</w:t>
            </w: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center"/>
              <w:ind w:left="1177"/>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w w:val="96"/>
              </w:rPr>
              <w:t>December 31, 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related benefits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w:t>
            </w:r>
          </w:p>
        </w:tc>
        <w:tc>
          <w:tcPr>
            <w:tcW w:w="46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Price adjustment and other revenue reserves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Short term lease liability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8,020</w:t>
            </w:r>
          </w:p>
        </w:tc>
        <w:tc>
          <w:tcPr>
            <w:tcW w:w="30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12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Company leases real estate property under operating leases. The Company was also a lessee and a sublessor from an accounting perspective for its Santa Clara lease through March 31, 2019. As of March 31, 2020, the Company did not have any leases that had not yet commenced.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lease-related assets and liabilities recorded on the consolidated balance sheet as of March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3"/>
        </w:trPr>
        <w:tc>
          <w:tcPr>
            <w:tcW w:w="45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45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December 31, 2019</w:t>
            </w:r>
          </w:p>
        </w:tc>
        <w:tc>
          <w:tcPr>
            <w:tcW w:w="20" w:type="dxa"/>
            <w:vAlign w:val="bottom"/>
          </w:tcPr>
          <w:p>
            <w:pPr>
              <w:spacing w:after="0"/>
              <w:rPr>
                <w:sz w:val="19"/>
                <w:szCs w:val="19"/>
                <w:color w:val="auto"/>
              </w:rPr>
            </w:pPr>
          </w:p>
        </w:tc>
      </w:tr>
      <w:tr>
        <w:trPr>
          <w:trHeight w:val="156"/>
        </w:trPr>
        <w:tc>
          <w:tcPr>
            <w:tcW w:w="45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420" w:type="dxa"/>
            <w:vAlign w:val="bottom"/>
            <w:tcBorders>
              <w:top w:val="single" w:sz="8" w:color="auto"/>
            </w:tcBorders>
            <w:gridSpan w:val="5"/>
          </w:tcPr>
          <w:p>
            <w:pPr>
              <w:jc w:val="right"/>
              <w:ind w:right="1293"/>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w:t>
            </w:r>
          </w:p>
        </w:tc>
        <w:tc>
          <w:tcPr>
            <w:tcW w:w="31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9,780</w:t>
            </w:r>
          </w:p>
        </w:tc>
        <w:tc>
          <w:tcPr>
            <w:tcW w:w="3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4500" w:type="dxa"/>
            <w:vAlign w:val="bottom"/>
          </w:tcPr>
          <w:p>
            <w:pPr>
              <w:spacing w:after="0"/>
              <w:rPr>
                <w:sz w:val="20"/>
                <w:szCs w:val="20"/>
                <w:color w:val="auto"/>
              </w:rPr>
            </w:pPr>
            <w:r>
              <w:rPr>
                <w:rFonts w:ascii="Arial" w:cs="Arial" w:eastAsia="Arial" w:hAnsi="Arial"/>
                <w:sz w:val="18"/>
                <w:szCs w:val="18"/>
                <w:color w:val="auto"/>
              </w:rPr>
              <w:t>Lease liabilities included in accrued expenses</w:t>
            </w:r>
          </w:p>
        </w:tc>
        <w:tc>
          <w:tcPr>
            <w:tcW w:w="29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and other current liabilities</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1,177</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1,874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2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7,865</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lease liabilities</w:t>
            </w:r>
          </w:p>
        </w:tc>
        <w:tc>
          <w:tcPr>
            <w:tcW w:w="29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9,042</w:t>
            </w:r>
          </w:p>
        </w:tc>
        <w:tc>
          <w:tcPr>
            <w:tcW w:w="3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9,814</w:t>
            </w:r>
          </w:p>
        </w:tc>
        <w:tc>
          <w:tcPr>
            <w:tcW w:w="18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2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jc w:val="right"/>
              <w:ind w:right="108"/>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r>
      <w:tr>
        <w:trPr>
          <w:trHeight w:val="742"/>
        </w:trPr>
        <w:tc>
          <w:tcPr>
            <w:tcW w:w="4500" w:type="dxa"/>
            <w:vAlign w:val="bottom"/>
          </w:tcPr>
          <w:p>
            <w:pPr>
              <w:spacing w:after="0"/>
              <w:rPr>
                <w:sz w:val="24"/>
                <w:szCs w:val="24"/>
                <w:color w:val="auto"/>
              </w:rPr>
            </w:pPr>
          </w:p>
        </w:tc>
        <w:tc>
          <w:tcPr>
            <w:tcW w:w="2920" w:type="dxa"/>
            <w:vAlign w:val="bottom"/>
          </w:tcPr>
          <w:p>
            <w:pPr>
              <w:jc w:val="right"/>
              <w:ind w:right="167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84"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table below presents certain information related to the lease costs for operating leases three months ended March 31,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3100" w:type="dxa"/>
            <w:vAlign w:val="bottom"/>
            <w:tcBorders>
              <w:bottom w:val="single" w:sz="8" w:color="auto"/>
            </w:tcBorders>
            <w:gridSpan w:val="5"/>
          </w:tcPr>
          <w:p>
            <w:pPr>
              <w:jc w:val="right"/>
              <w:ind w:right="269"/>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540" w:type="dxa"/>
            <w:vAlign w:val="bottom"/>
          </w:tcPr>
          <w:p>
            <w:pPr>
              <w:spacing w:after="0"/>
              <w:rPr>
                <w:sz w:val="19"/>
                <w:szCs w:val="19"/>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49"/>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940" w:type="dxa"/>
            <w:vAlign w:val="bottom"/>
            <w:gridSpan w:val="4"/>
          </w:tcPr>
          <w:p>
            <w:pPr>
              <w:jc w:val="right"/>
              <w:ind w:right="829"/>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160" w:type="dxa"/>
            <w:vAlign w:val="bottom"/>
            <w:shd w:val="clear" w:color="auto" w:fill="CFF0FC"/>
          </w:tcPr>
          <w:p>
            <w:pPr>
              <w:jc w:val="right"/>
              <w:ind w:right="97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29"/>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Short-term lease cost</w:t>
            </w: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11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19"/>
                <w:szCs w:val="19"/>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Total lease cost</w:t>
            </w: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2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Cash paid for operating lease liabilities was $1.2 million and $0.4 million, respectively for the three months ended March 31, 2020 and 2019. The Company sub-leased a portion of its Santa Clara facility through March 31, 2019 and received $0.1 million in sub-lease income for the three months ended March 31, 2019, which was included in the short-term lease cost above.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Undiscounted Cash Flows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consolidated balance sheet as of March 31,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6"/>
        </w:trPr>
        <w:tc>
          <w:tcPr>
            <w:tcW w:w="8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beyond</w:t>
            </w:r>
          </w:p>
        </w:tc>
        <w:tc>
          <w:tcPr>
            <w:tcW w:w="4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4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640" w:type="dxa"/>
            <w:vAlign w:val="bottom"/>
          </w:tcPr>
          <w:p>
            <w:pPr>
              <w:spacing w:after="0"/>
              <w:rPr>
                <w:sz w:val="20"/>
                <w:szCs w:val="20"/>
                <w:color w:val="auto"/>
              </w:rPr>
            </w:pPr>
            <w:r>
              <w:rPr>
                <w:rFonts w:ascii="Arial" w:cs="Arial" w:eastAsia="Arial" w:hAnsi="Arial"/>
                <w:sz w:val="18"/>
                <w:szCs w:val="18"/>
                <w:color w:val="auto"/>
              </w:rPr>
              <w:t>Less: amount of lease payments representing</w:t>
            </w:r>
          </w:p>
        </w:tc>
        <w:tc>
          <w:tcPr>
            <w:tcW w:w="440" w:type="dxa"/>
            <w:vAlign w:val="bottom"/>
          </w:tcPr>
          <w:p>
            <w:pPr>
              <w:spacing w:after="0"/>
              <w:rPr>
                <w:sz w:val="18"/>
                <w:szCs w:val="18"/>
                <w:color w:val="auto"/>
              </w:rPr>
            </w:pPr>
          </w:p>
        </w:tc>
        <w:tc>
          <w:tcPr>
            <w:tcW w:w="2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122"/>
        </w:trPr>
        <w:tc>
          <w:tcPr>
            <w:tcW w:w="8640" w:type="dxa"/>
            <w:vAlign w:val="bottom"/>
            <w:vMerge w:val="restart"/>
          </w:tcPr>
          <w:p>
            <w:pPr>
              <w:ind w:left="140"/>
              <w:spacing w:after="0"/>
              <w:rPr>
                <w:sz w:val="20"/>
                <w:szCs w:val="20"/>
                <w:color w:val="auto"/>
              </w:rPr>
            </w:pPr>
            <w:r>
              <w:rPr>
                <w:rFonts w:ascii="Arial" w:cs="Arial" w:eastAsia="Arial" w:hAnsi="Arial"/>
                <w:sz w:val="18"/>
                <w:szCs w:val="18"/>
                <w:color w:val="auto"/>
              </w:rPr>
              <w:t>interest</w:t>
            </w:r>
          </w:p>
        </w:tc>
        <w:tc>
          <w:tcPr>
            <w:tcW w:w="440" w:type="dxa"/>
            <w:vAlign w:val="bottom"/>
          </w:tcPr>
          <w:p>
            <w:pPr>
              <w:spacing w:after="0"/>
              <w:rPr>
                <w:sz w:val="10"/>
                <w:szCs w:val="10"/>
                <w:color w:val="auto"/>
              </w:rPr>
            </w:pP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40" w:type="dxa"/>
            <w:vAlign w:val="bottom"/>
            <w:tcBorders>
              <w:bottom w:val="single" w:sz="8" w:color="CFF0FC"/>
            </w:tcBorders>
            <w:vMerge w:val="continue"/>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Present value of future minimum lease payments</w:t>
            </w:r>
          </w:p>
        </w:tc>
        <w:tc>
          <w:tcPr>
            <w:tcW w:w="4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Less: current obligations under leases</w:t>
            </w:r>
          </w:p>
        </w:tc>
        <w:tc>
          <w:tcPr>
            <w:tcW w:w="440" w:type="dxa"/>
            <w:vAlign w:val="bottom"/>
          </w:tcPr>
          <w:p>
            <w:pPr>
              <w:spacing w:after="0"/>
              <w:rPr>
                <w:sz w:val="19"/>
                <w:szCs w:val="19"/>
                <w:color w:val="auto"/>
              </w:rPr>
            </w:pP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23"/>
        </w:trPr>
        <w:tc>
          <w:tcPr>
            <w:tcW w:w="8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lease liabilities</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consolidated balance sheet as of December 31,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52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2021</w:t>
            </w:r>
          </w:p>
        </w:tc>
        <w:tc>
          <w:tcPr>
            <w:tcW w:w="4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0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2023</w:t>
            </w:r>
          </w:p>
        </w:tc>
        <w:tc>
          <w:tcPr>
            <w:tcW w:w="4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0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beyond</w:t>
            </w:r>
          </w:p>
        </w:tc>
        <w:tc>
          <w:tcPr>
            <w:tcW w:w="40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40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8"/>
                <w:szCs w:val="18"/>
                <w:color w:val="auto"/>
              </w:rPr>
              <w:t>Less: amount of lease payments representing</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560" w:type="dxa"/>
            <w:vAlign w:val="bottom"/>
            <w:vMerge w:val="restart"/>
          </w:tcPr>
          <w:p>
            <w:pPr>
              <w:ind w:left="140"/>
              <w:spacing w:after="0"/>
              <w:rPr>
                <w:sz w:val="20"/>
                <w:szCs w:val="20"/>
                <w:color w:val="auto"/>
              </w:rPr>
            </w:pPr>
            <w:r>
              <w:rPr>
                <w:rFonts w:ascii="Arial" w:cs="Arial" w:eastAsia="Arial" w:hAnsi="Arial"/>
                <w:sz w:val="18"/>
                <w:szCs w:val="18"/>
                <w:color w:val="auto"/>
              </w:rPr>
              <w:t>interest</w:t>
            </w:r>
          </w:p>
        </w:tc>
        <w:tc>
          <w:tcPr>
            <w:tcW w:w="40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1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60" w:type="dxa"/>
            <w:vAlign w:val="bottom"/>
            <w:tcBorders>
              <w:bottom w:val="single" w:sz="8" w:color="CFF0FC"/>
            </w:tcBorders>
            <w:vMerge w:val="continue"/>
          </w:tcPr>
          <w:p>
            <w:pPr>
              <w:spacing w:after="0"/>
              <w:rPr>
                <w:sz w:val="9"/>
                <w:szCs w:val="9"/>
                <w:color w:val="auto"/>
              </w:rPr>
            </w:pPr>
          </w:p>
        </w:tc>
        <w:tc>
          <w:tcPr>
            <w:tcW w:w="4080" w:type="dxa"/>
            <w:vAlign w:val="bottom"/>
            <w:tcBorders>
              <w:bottom w:val="single" w:sz="8" w:color="CFF0FC"/>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Present value of future minimum lease payments</w:t>
            </w:r>
          </w:p>
        </w:tc>
        <w:tc>
          <w:tcPr>
            <w:tcW w:w="40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Less: current obligations under leases</w:t>
            </w:r>
          </w:p>
        </w:tc>
        <w:tc>
          <w:tcPr>
            <w:tcW w:w="4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(1,874)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lease liabilities</w:t>
            </w:r>
          </w:p>
        </w:tc>
        <w:tc>
          <w:tcPr>
            <w:tcW w:w="40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080" w:type="dxa"/>
            <w:vAlign w:val="bottom"/>
            <w:vMerge w:val="restart"/>
          </w:tcPr>
          <w:p>
            <w:pPr>
              <w:jc w:val="right"/>
              <w:ind w:right="2890"/>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456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82" w:right="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restricted stock unit award (“RSU”), activity for the three months ended March 31,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Grant Date</w:t>
            </w:r>
          </w:p>
        </w:tc>
      </w:tr>
      <w:tr>
        <w:trPr>
          <w:trHeight w:val="178"/>
        </w:trPr>
        <w:tc>
          <w:tcPr>
            <w:tcW w:w="7720" w:type="dxa"/>
            <w:vAlign w:val="bottom"/>
          </w:tcPr>
          <w:p>
            <w:pPr>
              <w:spacing w:after="0"/>
              <w:rPr>
                <w:sz w:val="15"/>
                <w:szCs w:val="15"/>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r>
      <w:tr>
        <w:trPr>
          <w:trHeight w:val="171"/>
        </w:trPr>
        <w:tc>
          <w:tcPr>
            <w:tcW w:w="7720" w:type="dxa"/>
            <w:vAlign w:val="bottom"/>
          </w:tcPr>
          <w:p>
            <w:pPr>
              <w:spacing w:after="0"/>
              <w:rPr>
                <w:sz w:val="14"/>
                <w:szCs w:val="14"/>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per share</w:t>
            </w: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2019</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2,989,322</w:t>
            </w: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spacing w:after="0"/>
              <w:rPr>
                <w:sz w:val="20"/>
                <w:szCs w:val="20"/>
                <w:color w:val="auto"/>
              </w:rPr>
            </w:pPr>
            <w:r>
              <w:rPr>
                <w:rFonts w:ascii="Arial" w:cs="Arial" w:eastAsia="Arial" w:hAnsi="Arial"/>
                <w:sz w:val="16"/>
                <w:szCs w:val="16"/>
                <w:color w:val="auto"/>
              </w:rPr>
              <w:t>206,026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(149,141)</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Forfeited</w:t>
            </w:r>
          </w:p>
        </w:tc>
        <w:tc>
          <w:tcPr>
            <w:tcW w:w="1840" w:type="dxa"/>
            <w:vAlign w:val="bottom"/>
            <w:gridSpan w:val="2"/>
          </w:tcPr>
          <w:p>
            <w:pPr>
              <w:jc w:val="right"/>
              <w:ind w:right="220"/>
              <w:spacing w:after="0"/>
              <w:rPr>
                <w:sz w:val="20"/>
                <w:szCs w:val="20"/>
                <w:color w:val="auto"/>
              </w:rPr>
            </w:pPr>
            <w:r>
              <w:rPr>
                <w:rFonts w:ascii="Arial" w:cs="Arial" w:eastAsia="Arial" w:hAnsi="Arial"/>
                <w:sz w:val="16"/>
                <w:szCs w:val="16"/>
                <w:color w:val="auto"/>
              </w:rPr>
              <w:t>(130,939)</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r>
      <w:tr>
        <w:trPr>
          <w:trHeight w:val="209"/>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 March 31, 2020</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2,915,268</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For the three months ended March 31, 2020, the Company issued 92,542 shares of common stock in connection with the vesting of RSUs. The difference between the number of RSUs vested and the shares of common stock issued is the result of RSUs withheld in satisfaction of minimum tax withholding obligations associated with the vesting.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presents the detail of stock-based compensation expense amounts included in the condensed consolidated statement of operations for each of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9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104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7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40" w:type="dxa"/>
            <w:vAlign w:val="bottom"/>
            <w:gridSpan w:val="3"/>
          </w:tcPr>
          <w:p>
            <w:pPr>
              <w:jc w:val="right"/>
              <w:ind w:right="756"/>
              <w:spacing w:after="0" w:line="155" w:lineRule="exact"/>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942</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March 31, 2020, there was $37.6 million of unrecognized compensation costs related to RSUs granted. The unrecognized compensation cost is expected to be recognized over a weighted average period of 4.06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quarterly provision for (benefit from) income taxes is based on applying the estimated annual effective tax rate to the year to date pre-tax income (loss), plus any discrete items. The Company updates its estimate of its annual effective tax rate at the end of each quarterly period. The estimate takes into account annual forecasted income (loss) before income taxes, the geographic mix of income (loss) before income taxes and any significant permanent tax items.</w:t>
      </w:r>
    </w:p>
    <w:p>
      <w:pPr>
        <w:spacing w:after="0" w:line="29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new legislation includes a number of income tax provisions applicable to individuals and businesses. Due to historical net operating losses incurred in the U.S., the CARES Act did not have material impacts on the Company’s condensed consolidated financial statements as of March 31, 2020. The Company continues to examine the elements of the CARES Act and the impact it may have on its future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provision for income taxes and the effective tax rates for the three months ended March 31,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90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w w:val="95"/>
              </w:rPr>
              <w:t>Three Months Ended March 31,</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0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0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0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00" w:type="dxa"/>
            <w:vAlign w:val="bottom"/>
            <w:gridSpan w:val="2"/>
          </w:tcPr>
          <w:p>
            <w:pPr>
              <w:jc w:val="center"/>
              <w:ind w:right="359"/>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6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(5,091)</w:t>
            </w:r>
          </w:p>
        </w:tc>
        <w:tc>
          <w:tcPr>
            <w:tcW w:w="108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(2,870)</w:t>
            </w:r>
          </w:p>
        </w:tc>
        <w:tc>
          <w:tcPr>
            <w:tcW w:w="20" w:type="dxa"/>
            <w:vAlign w:val="bottom"/>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Provision (benefit) for income tax</w:t>
            </w:r>
          </w:p>
        </w:tc>
        <w:tc>
          <w:tcPr>
            <w:tcW w:w="3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jc w:val="right"/>
              <w:ind w:right="115"/>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3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r>
        <w:trPr>
          <w:trHeight w:val="743"/>
        </w:trPr>
        <w:tc>
          <w:tcPr>
            <w:tcW w:w="4000" w:type="dxa"/>
            <w:vAlign w:val="bottom"/>
          </w:tcPr>
          <w:p>
            <w:pPr>
              <w:spacing w:after="0"/>
              <w:rPr>
                <w:sz w:val="24"/>
                <w:szCs w:val="24"/>
                <w:color w:val="auto"/>
              </w:rPr>
            </w:pPr>
          </w:p>
        </w:tc>
        <w:tc>
          <w:tcPr>
            <w:tcW w:w="3600" w:type="dxa"/>
            <w:vAlign w:val="bottom"/>
          </w:tcPr>
          <w:p>
            <w:pPr>
              <w:jc w:val="right"/>
              <w:ind w:right="1790"/>
              <w:spacing w:after="0"/>
              <w:rPr>
                <w:sz w:val="20"/>
                <w:szCs w:val="20"/>
                <w:color w:val="auto"/>
              </w:rPr>
            </w:pPr>
            <w:r>
              <w:rPr>
                <w:rFonts w:ascii="Arial" w:cs="Arial" w:eastAsia="Arial" w:hAnsi="Arial"/>
                <w:sz w:val="18"/>
                <w:szCs w:val="18"/>
                <w:color w:val="auto"/>
              </w:rPr>
              <w:t>10</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12" w:name="page13"/>
    <w:bookmarkEnd w:id="12"/>
    <w:p>
      <w:pPr>
        <w:ind w:right="440"/>
        <w:spacing w:after="0" w:line="263" w:lineRule="auto"/>
        <w:rPr>
          <w:sz w:val="20"/>
          <w:szCs w:val="20"/>
          <w:color w:val="auto"/>
        </w:rPr>
      </w:pPr>
      <w:r>
        <w:rPr>
          <w:rFonts w:ascii="Arial" w:cs="Arial" w:eastAsia="Arial" w:hAnsi="Arial"/>
          <w:sz w:val="18"/>
          <w:szCs w:val="18"/>
          <w:color w:val="auto"/>
        </w:rPr>
        <w:t>The Company’s effective tax rate may vary from the U.S. federal statutory tax rate due to the change in the mix of earnings in tax jurisdictions with different statutory rates, benefits related to tax credits and the tax impact of non-deductible expenses and other permanent differences between income before income taxes and taxable income.</w:t>
      </w:r>
    </w:p>
    <w:p>
      <w:pPr>
        <w:spacing w:after="0" w:line="184"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 valuation allowance is established or maintained when, based on currently available information and other factors, it is more likely than not that all or a portion of the deferred tax assets will not be realized. The Company regularly assesses its valuation allowance against deferred tax assets on a jurisdiction by jurisdiction basis. The Company considers all available positive and negative evidence, including future reversals of temporary differences, projected future taxable income, tax planning strategies and recent financial results. Based on management’s assessment of the realizability of deferred tax assets, there was no change to the previously recorded valuation allowances during the three months ended March 31, 2020.</w:t>
      </w:r>
    </w:p>
    <w:p>
      <w:pPr>
        <w:spacing w:after="0" w:line="16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March 31, 2020 and December 31, 2019, the Company had $2.2 million and $2.2 million, respectively, of total unrecognized tax benefits. If the Company is able to eventually recognize these uncertain tax positions, none of the unrecognized benefit would reduce the Company’s effective tax rate due to the full valuation allowance on the Company’s deferred tax assets.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policy is to record interest and penalties related to unrecognized tax benefits as income tax expense. For the three months ended March 31, 2020 and 2019, the Company had immaterial amounts related to the accrual of interest and penalties.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and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in one reportable segment related to the design, development, and sale of silicon timing systems solutions.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Revenue by geographic area are presented based upon the ship-to location of the original equipment manufacturers, the contract manufacturers or the distributors who purchased the Company’s products. For sales to the distributors, their geographic location may be different from the geographic locations of the ultimate end customers. The following table sets forth revenue by country for countries with 10% or more of the Company’s revenue during any of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282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7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772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40" w:type="dxa"/>
            <w:vAlign w:val="bottom"/>
            <w:gridSpan w:val="3"/>
          </w:tcPr>
          <w:p>
            <w:pPr>
              <w:jc w:val="right"/>
              <w:ind w:right="596"/>
              <w:spacing w:after="0" w:line="155"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4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9,830</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7,669</w:t>
            </w:r>
          </w:p>
        </w:tc>
        <w:tc>
          <w:tcPr>
            <w:tcW w:w="120" w:type="dxa"/>
            <w:vAlign w:val="bottom"/>
            <w:shd w:val="clear" w:color="auto" w:fill="CFF0FC"/>
          </w:tcPr>
          <w:p>
            <w:pPr>
              <w:spacing w:after="0"/>
              <w:rPr>
                <w:sz w:val="21"/>
                <w:szCs w:val="21"/>
                <w:color w:val="auto"/>
              </w:rPr>
            </w:pPr>
          </w:p>
        </w:tc>
      </w:tr>
      <w:tr>
        <w:trPr>
          <w:trHeight w:val="237"/>
        </w:trPr>
        <w:tc>
          <w:tcPr>
            <w:tcW w:w="7720" w:type="dxa"/>
            <w:vAlign w:val="bottom"/>
          </w:tcPr>
          <w:p>
            <w:pPr>
              <w:spacing w:after="0"/>
              <w:rPr>
                <w:sz w:val="20"/>
                <w:szCs w:val="20"/>
                <w:color w:val="auto"/>
              </w:rPr>
            </w:pPr>
            <w:r>
              <w:rPr>
                <w:rFonts w:ascii="Arial" w:cs="Arial" w:eastAsia="Arial" w:hAnsi="Arial"/>
                <w:sz w:val="18"/>
                <w:szCs w:val="18"/>
                <w:color w:val="auto"/>
              </w:rPr>
              <w:t>Hong Kong</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4,443</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20"/>
                <w:szCs w:val="20"/>
                <w:color w:val="auto"/>
              </w:rPr>
            </w:pPr>
          </w:p>
        </w:tc>
      </w:tr>
      <w:tr>
        <w:trPr>
          <w:trHeight w:val="24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120" w:type="dxa"/>
            <w:vAlign w:val="bottom"/>
            <w:shd w:val="clear" w:color="auto" w:fill="CFF0FC"/>
          </w:tcPr>
          <w:p>
            <w:pPr>
              <w:spacing w:after="0"/>
              <w:rPr>
                <w:sz w:val="21"/>
                <w:szCs w:val="21"/>
                <w:color w:val="auto"/>
              </w:rPr>
            </w:pPr>
          </w:p>
        </w:tc>
      </w:tr>
      <w:tr>
        <w:trPr>
          <w:trHeight w:val="277"/>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5,667</w:t>
            </w:r>
          </w:p>
        </w:tc>
        <w:tc>
          <w:tcPr>
            <w:tcW w:w="28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w:t>
            </w:r>
          </w:p>
        </w:tc>
        <w:tc>
          <w:tcPr>
            <w:tcW w:w="120" w:type="dxa"/>
            <w:vAlign w:val="bottom"/>
            <w:tcBorders>
              <w:bottom w:val="single" w:sz="8" w:color="CFF0FC"/>
            </w:tcBorders>
          </w:tcPr>
          <w:p>
            <w:pPr>
              <w:spacing w:after="0"/>
              <w:rPr>
                <w:sz w:val="24"/>
                <w:szCs w:val="24"/>
                <w:color w:val="auto"/>
              </w:rPr>
            </w:pPr>
          </w:p>
        </w:tc>
      </w:tr>
      <w:tr>
        <w:trPr>
          <w:trHeight w:val="224"/>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21,742</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14,817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long-lived assets in the U.S. attributable to operations as of March 31, 2020 and December 31, 2019 were 96% and 97%, respectively, of total property and equipment and intangible assets.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 Obligations</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Company has borrowed against the short-term revolving line of credit that it has arranged with The Bank of Tokyo-Mitsubishi UFJ, Ltd. (“MUFG”) to fund its operations. The weighted-average interest rate on short-term borrowings outstanding as of March 31, 2020 and December 31, 2019 was 1.58% and 1.42%,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the Company was in compliance with all of the financial covenants under all of its debt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as of March 31, 2020 and December 31, 2019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w w:val="95"/>
              </w:rPr>
              <w:t>December 31, 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gridSpan w:val="4"/>
          </w:tcPr>
          <w:p>
            <w:pPr>
              <w:jc w:val="right"/>
              <w:ind w:right="1194"/>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Revolving line of credit:</w:t>
            </w:r>
          </w:p>
        </w:tc>
        <w:tc>
          <w:tcPr>
            <w:tcW w:w="3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60"/>
              <w:spacing w:after="0"/>
              <w:rPr>
                <w:sz w:val="20"/>
                <w:szCs w:val="20"/>
                <w:color w:val="auto"/>
              </w:rPr>
            </w:pPr>
            <w:r>
              <w:rPr>
                <w:rFonts w:ascii="Arial" w:cs="Arial" w:eastAsia="Arial" w:hAnsi="Arial"/>
                <w:sz w:val="18"/>
                <w:szCs w:val="18"/>
                <w:color w:val="auto"/>
              </w:rPr>
              <w:t>MUFG</w:t>
            </w:r>
          </w:p>
        </w:tc>
        <w:tc>
          <w:tcPr>
            <w:tcW w:w="37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41,000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w:t>
            </w:r>
          </w:p>
        </w:tc>
        <w:tc>
          <w:tcPr>
            <w:tcW w:w="35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3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3"/>
                <w:szCs w:val="23"/>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(41,000)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35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520" w:type="dxa"/>
            <w:vAlign w:val="bottom"/>
            <w:vMerge w:val="restart"/>
          </w:tcPr>
          <w:p>
            <w:pPr>
              <w:jc w:val="right"/>
              <w:ind w:right="191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42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82"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As of March 31, 2020, debt obligations were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1580" w:type="dxa"/>
            <w:vAlign w:val="bottom"/>
            <w:gridSpan w:val="3"/>
          </w:tcPr>
          <w:p>
            <w:pPr>
              <w:jc w:val="right"/>
              <w:ind w:right="710"/>
              <w:spacing w:after="0"/>
              <w:rPr>
                <w:sz w:val="20"/>
                <w:szCs w:val="20"/>
                <w:color w:val="auto"/>
              </w:rPr>
            </w:pPr>
            <w:r>
              <w:rPr>
                <w:rFonts w:ascii="Arial" w:cs="Arial" w:eastAsia="Arial" w:hAnsi="Arial"/>
                <w:sz w:val="14"/>
                <w:szCs w:val="14"/>
                <w:b w:val="1"/>
                <w:bCs w:val="1"/>
                <w:color w:val="auto"/>
              </w:rPr>
              <w:t>Loan</w:t>
            </w: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Loan</w:t>
            </w:r>
          </w:p>
        </w:tc>
        <w:tc>
          <w:tcPr>
            <w:tcW w:w="14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Annual</w:t>
            </w:r>
          </w:p>
        </w:tc>
        <w:tc>
          <w:tcPr>
            <w:tcW w:w="1260" w:type="dxa"/>
            <w:vAlign w:val="bottom"/>
          </w:tcPr>
          <w:p>
            <w:pPr>
              <w:jc w:val="right"/>
              <w:ind w:right="277"/>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71"/>
        </w:trPr>
        <w:tc>
          <w:tcPr>
            <w:tcW w:w="5780" w:type="dxa"/>
            <w:vAlign w:val="bottom"/>
            <w:tcBorders>
              <w:bottom w:val="single" w:sz="8" w:color="CFF0FC"/>
            </w:tcBorders>
            <w:vMerge w:val="continue"/>
          </w:tcPr>
          <w:p>
            <w:pPr>
              <w:spacing w:after="0"/>
              <w:rPr>
                <w:sz w:val="14"/>
                <w:szCs w:val="14"/>
                <w:color w:val="auto"/>
              </w:rPr>
            </w:pPr>
          </w:p>
        </w:tc>
        <w:tc>
          <w:tcPr>
            <w:tcW w:w="12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Start Date</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30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MUFG</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3/23/2020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2.46%</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9/21/2020</w:t>
            </w:r>
          </w:p>
        </w:tc>
        <w:tc>
          <w:tcPr>
            <w:tcW w:w="0" w:type="dxa"/>
            <w:vAlign w:val="bottom"/>
          </w:tcPr>
          <w:p>
            <w:pPr>
              <w:spacing w:after="0"/>
              <w:rPr>
                <w:sz w:val="1"/>
                <w:szCs w:val="1"/>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MUFG</w:t>
            </w:r>
          </w:p>
        </w:tc>
        <w:tc>
          <w:tcPr>
            <w:tcW w:w="1240" w:type="dxa"/>
            <w:vAlign w:val="bottom"/>
          </w:tcPr>
          <w:p>
            <w:pPr>
              <w:jc w:val="right"/>
              <w:spacing w:after="0"/>
              <w:rPr>
                <w:sz w:val="20"/>
                <w:szCs w:val="20"/>
                <w:color w:val="auto"/>
              </w:rPr>
            </w:pPr>
            <w:r>
              <w:rPr>
                <w:rFonts w:ascii="Arial" w:cs="Arial" w:eastAsia="Arial" w:hAnsi="Arial"/>
                <w:sz w:val="18"/>
                <w:szCs w:val="18"/>
                <w:color w:val="auto"/>
              </w:rPr>
              <w:t>3/24/2020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1580" w:type="dxa"/>
            <w:vAlign w:val="bottom"/>
            <w:gridSpan w:val="3"/>
          </w:tcPr>
          <w:p>
            <w:pPr>
              <w:jc w:val="right"/>
              <w:ind w:right="160"/>
              <w:spacing w:after="0"/>
              <w:rPr>
                <w:sz w:val="20"/>
                <w:szCs w:val="20"/>
                <w:color w:val="auto"/>
              </w:rPr>
            </w:pPr>
            <w:r>
              <w:rPr>
                <w:rFonts w:ascii="Arial" w:cs="Arial" w:eastAsia="Arial" w:hAnsi="Arial"/>
                <w:sz w:val="18"/>
                <w:szCs w:val="18"/>
                <w:color w:val="auto"/>
              </w:rPr>
              <w:t>2.37%</w:t>
            </w:r>
          </w:p>
        </w:tc>
        <w:tc>
          <w:tcPr>
            <w:tcW w:w="1260" w:type="dxa"/>
            <w:vAlign w:val="bottom"/>
          </w:tcPr>
          <w:p>
            <w:pPr>
              <w:jc w:val="right"/>
              <w:spacing w:after="0"/>
              <w:rPr>
                <w:sz w:val="20"/>
                <w:szCs w:val="20"/>
                <w:color w:val="auto"/>
              </w:rPr>
            </w:pPr>
            <w:r>
              <w:rPr>
                <w:rFonts w:ascii="Arial" w:cs="Arial" w:eastAsia="Arial" w:hAnsi="Arial"/>
                <w:sz w:val="18"/>
                <w:szCs w:val="18"/>
                <w:color w:val="auto"/>
              </w:rPr>
              <w:t>3/24/2021</w:t>
            </w: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MUFG</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12/19/2019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2.97%</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6/10/2020</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debt obligations were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1580" w:type="dxa"/>
            <w:vAlign w:val="bottom"/>
            <w:gridSpan w:val="3"/>
          </w:tcPr>
          <w:p>
            <w:pPr>
              <w:jc w:val="right"/>
              <w:ind w:right="710"/>
              <w:spacing w:after="0"/>
              <w:rPr>
                <w:sz w:val="20"/>
                <w:szCs w:val="20"/>
                <w:color w:val="auto"/>
              </w:rPr>
            </w:pPr>
            <w:r>
              <w:rPr>
                <w:rFonts w:ascii="Arial" w:cs="Arial" w:eastAsia="Arial" w:hAnsi="Arial"/>
                <w:sz w:val="14"/>
                <w:szCs w:val="14"/>
                <w:b w:val="1"/>
                <w:bCs w:val="1"/>
                <w:color w:val="auto"/>
              </w:rPr>
              <w:t>Loan</w:t>
            </w:r>
          </w:p>
        </w:tc>
        <w:tc>
          <w:tcPr>
            <w:tcW w:w="940" w:type="dxa"/>
            <w:vAlign w:val="bottom"/>
          </w:tcPr>
          <w:p>
            <w:pPr>
              <w:jc w:val="right"/>
              <w:ind w:right="337"/>
              <w:spacing w:after="0"/>
              <w:rPr>
                <w:sz w:val="20"/>
                <w:szCs w:val="20"/>
                <w:color w:val="auto"/>
              </w:rPr>
            </w:pPr>
            <w:r>
              <w:rPr>
                <w:rFonts w:ascii="Arial" w:cs="Arial" w:eastAsia="Arial" w:hAnsi="Arial"/>
                <w:sz w:val="14"/>
                <w:szCs w:val="14"/>
                <w:b w:val="1"/>
                <w:bCs w:val="1"/>
                <w:color w:val="auto"/>
              </w:rPr>
              <w:t>Loan</w:t>
            </w:r>
          </w:p>
        </w:tc>
        <w:tc>
          <w:tcPr>
            <w:tcW w:w="24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Annual</w:t>
            </w:r>
          </w:p>
        </w:tc>
        <w:tc>
          <w:tcPr>
            <w:tcW w:w="1260" w:type="dxa"/>
            <w:vAlign w:val="bottom"/>
          </w:tcPr>
          <w:p>
            <w:pPr>
              <w:jc w:val="right"/>
              <w:ind w:right="279"/>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71"/>
        </w:trPr>
        <w:tc>
          <w:tcPr>
            <w:tcW w:w="5780" w:type="dxa"/>
            <w:vAlign w:val="bottom"/>
            <w:tcBorders>
              <w:bottom w:val="single" w:sz="8" w:color="CFF0FC"/>
            </w:tcBorders>
            <w:vMerge w:val="continue"/>
          </w:tcPr>
          <w:p>
            <w:pPr>
              <w:spacing w:after="0"/>
              <w:rPr>
                <w:sz w:val="14"/>
                <w:szCs w:val="14"/>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Start Date</w:t>
            </w: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30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MUFG</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12/19/2019</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38,000</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2.97%</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6/10/2020</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MUFG</w:t>
            </w: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8/23/2019</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680" w:type="dxa"/>
            <w:vAlign w:val="bottom"/>
            <w:tcBorders>
              <w:bottom w:val="single" w:sz="8" w:color="CFF0FC"/>
            </w:tcBorders>
            <w:gridSpan w:val="3"/>
          </w:tcPr>
          <w:p>
            <w:pPr>
              <w:jc w:val="right"/>
              <w:ind w:right="160"/>
              <w:spacing w:after="0"/>
              <w:rPr>
                <w:sz w:val="20"/>
                <w:szCs w:val="20"/>
                <w:color w:val="auto"/>
              </w:rPr>
            </w:pPr>
            <w:r>
              <w:rPr>
                <w:rFonts w:ascii="Arial" w:cs="Arial" w:eastAsia="Arial" w:hAnsi="Arial"/>
                <w:sz w:val="18"/>
                <w:szCs w:val="18"/>
                <w:color w:val="auto"/>
              </w:rPr>
              <w:t>3.10%</w:t>
            </w:r>
          </w:p>
        </w:tc>
        <w:tc>
          <w:tcPr>
            <w:tcW w:w="1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2/19/2020</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March 31, 2020, the Company had remaining available credit of $30.0 million under its revolving line of credit with MegaChips and $20.0 million remaining available credit under its revolving line of credit with Sumitomo Mitsui Banking Corporation.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 No accruals for loss contingencies or recognition of actual losses have been recorded in any of the periods presented.</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March 2019, VTT Technical Research Centre of Finland, Ltd. filed suit in the United States District Court for the Northern District of California alleging infringement by the Company of a patent relating to a specific combination of features set forth in the asserted patent. The complaint seeks unspecified monetary damages and injunctive relief. On January 22, 2020, the Company participated in a mediation that had been ordered by the Court. The case was not resolved at the mediation. The proceedings will continue according to the current case management schedule, which includes a Technology Tutorial on May 12, 2020 and a </w:t>
      </w:r>
      <w:r>
        <w:rPr>
          <w:rFonts w:ascii="Arial" w:cs="Arial" w:eastAsia="Arial" w:hAnsi="Arial"/>
          <w:sz w:val="18"/>
          <w:szCs w:val="18"/>
          <w:i w:val="1"/>
          <w:iCs w:val="1"/>
          <w:color w:val="auto"/>
        </w:rPr>
        <w:t>Markman</w:t>
      </w:r>
      <w:r>
        <w:rPr>
          <w:rFonts w:ascii="Arial" w:cs="Arial" w:eastAsia="Arial" w:hAnsi="Arial"/>
          <w:sz w:val="18"/>
          <w:szCs w:val="18"/>
          <w:color w:val="auto"/>
        </w:rPr>
        <w:t xml:space="preserve"> Hearing on May 18, 2020. The Company has not accrued for a loss contingency relating to such matter as the loss is currently not probable and reasonably estimable.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specified environmental matters, and certain income taxes. Further, the Company’s obligations under these agreements may be limited in terms of time, amount, or the scope of its responsibility and in some instances, the Company may have recourse against third 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indemnification claims under these agreements.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entered into a distribution agreement with MegaChips, whereby the Company appointed MegaChips as the exclusive distributor of its products in Japan. The Company sells products through MegaChips to distributors, resellers, or direct customers in Japan. The Company pays MegaChips a fixed percentage of the revenue as sales commission, which is recorded as commission expense and included in sales and marketing in the consolidated statements of operations and comprehensive loss.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4" w:name="page15"/>
    <w:bookmarkEnd w:id="14"/>
    <w:p>
      <w:pPr>
        <w:ind w:right="280"/>
        <w:spacing w:after="0" w:line="277" w:lineRule="auto"/>
        <w:rPr>
          <w:sz w:val="20"/>
          <w:szCs w:val="20"/>
          <w:color w:val="auto"/>
        </w:rPr>
      </w:pPr>
      <w:r>
        <w:rPr>
          <w:rFonts w:ascii="Arial" w:cs="Arial" w:eastAsia="Arial" w:hAnsi="Arial"/>
          <w:sz w:val="18"/>
          <w:szCs w:val="18"/>
          <w:color w:val="auto"/>
        </w:rPr>
        <w:t>In the three months ended March 31, 2020 the Company entered into an equipment purchase agreement with MegaChips Taiwan Corporation, a wholly-owned subsidiary of MegaChips Corporation.</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the three months ended March 31, 2020 the Company entered into a services and secondment agreement with MegaChips LSI USA Corporation, a wholly-owned subsidiary of MegaChips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9, “Debt Obligations” for more information regarding the Company’s loan agreement with MegaChips.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balances, transactions and payments with the related parties and affiliates.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center"/>
              <w:ind w:left="1178"/>
              <w:spacing w:after="0"/>
              <w:rPr>
                <w:sz w:val="20"/>
                <w:szCs w:val="20"/>
                <w:color w:val="auto"/>
              </w:rPr>
            </w:pPr>
            <w:r>
              <w:rPr>
                <w:rFonts w:ascii="Arial" w:cs="Arial" w:eastAsia="Arial" w:hAnsi="Arial"/>
                <w:sz w:val="14"/>
                <w:szCs w:val="14"/>
                <w:b w:val="1"/>
                <w:bCs w:val="1"/>
                <w:color w:val="auto"/>
                <w:w w:val="91"/>
              </w:rPr>
              <w:t>As of</w:t>
            </w:r>
          </w:p>
        </w:tc>
        <w:tc>
          <w:tcPr>
            <w:tcW w:w="1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42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March 31, 2020</w:t>
            </w: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w w:val="95"/>
              </w:rPr>
              <w:t>December 31, 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2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40" w:type="dxa"/>
            <w:vAlign w:val="bottom"/>
            <w:gridSpan w:val="3"/>
          </w:tcPr>
          <w:p>
            <w:pPr>
              <w:jc w:val="center"/>
              <w:ind w:right="13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MegaChips</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Accounts receivable</w:t>
            </w:r>
          </w:p>
        </w:tc>
        <w:tc>
          <w:tcPr>
            <w:tcW w:w="3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8"/>
              <w:spacing w:after="0"/>
              <w:rPr>
                <w:sz w:val="20"/>
                <w:szCs w:val="20"/>
                <w:color w:val="auto"/>
              </w:rPr>
            </w:pPr>
            <w:r>
              <w:rPr>
                <w:rFonts w:ascii="Arial" w:cs="Arial" w:eastAsia="Arial" w:hAnsi="Arial"/>
                <w:sz w:val="18"/>
                <w:szCs w:val="18"/>
                <w:color w:val="auto"/>
              </w:rPr>
              <w:t>565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Accounts payable</w:t>
            </w:r>
          </w:p>
        </w:tc>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ind w:right="78"/>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Affiliates</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Accounts payable</w:t>
            </w:r>
          </w:p>
        </w:tc>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ind w:right="78"/>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418"/>
        </w:trPr>
        <w:tc>
          <w:tcPr>
            <w:tcW w:w="4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20" w:type="dxa"/>
            <w:vAlign w:val="bottom"/>
          </w:tcPr>
          <w:p>
            <w:pPr>
              <w:spacing w:after="0"/>
              <w:rPr>
                <w:sz w:val="24"/>
                <w:szCs w:val="24"/>
                <w:color w:val="auto"/>
              </w:rPr>
            </w:pPr>
          </w:p>
        </w:tc>
      </w:tr>
      <w:tr>
        <w:trPr>
          <w:trHeight w:val="155"/>
        </w:trPr>
        <w:tc>
          <w:tcPr>
            <w:tcW w:w="42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738"/>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59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2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40" w:type="dxa"/>
            <w:vAlign w:val="bottom"/>
            <w:gridSpan w:val="3"/>
          </w:tcPr>
          <w:p>
            <w:pPr>
              <w:jc w:val="center"/>
              <w:ind w:right="13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MegaChips</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Sales through distribution agreement</w:t>
            </w:r>
          </w:p>
        </w:tc>
        <w:tc>
          <w:tcPr>
            <w:tcW w:w="3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8"/>
              <w:spacing w:after="0"/>
              <w:rPr>
                <w:sz w:val="20"/>
                <w:szCs w:val="20"/>
                <w:color w:val="auto"/>
              </w:rPr>
            </w:pPr>
            <w:r>
              <w:rPr>
                <w:rFonts w:ascii="Arial" w:cs="Arial" w:eastAsia="Arial" w:hAnsi="Arial"/>
                <w:sz w:val="18"/>
                <w:szCs w:val="18"/>
                <w:color w:val="auto"/>
              </w:rPr>
              <w:t>1,146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License expense</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Commission expense</w:t>
            </w:r>
          </w:p>
        </w:tc>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ind w:right="78"/>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Affiliates</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Consulting fees</w:t>
            </w:r>
          </w:p>
        </w:tc>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ind w:right="78"/>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418"/>
        </w:trPr>
        <w:tc>
          <w:tcPr>
            <w:tcW w:w="4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20" w:type="dxa"/>
            <w:vAlign w:val="bottom"/>
          </w:tcPr>
          <w:p>
            <w:pPr>
              <w:spacing w:after="0"/>
              <w:rPr>
                <w:sz w:val="24"/>
                <w:szCs w:val="24"/>
                <w:color w:val="auto"/>
              </w:rPr>
            </w:pPr>
          </w:p>
        </w:tc>
      </w:tr>
      <w:tr>
        <w:trPr>
          <w:trHeight w:val="156"/>
        </w:trPr>
        <w:tc>
          <w:tcPr>
            <w:tcW w:w="42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738"/>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59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2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40" w:type="dxa"/>
            <w:vAlign w:val="bottom"/>
            <w:gridSpan w:val="3"/>
          </w:tcPr>
          <w:p>
            <w:pPr>
              <w:jc w:val="center"/>
              <w:ind w:right="13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MegaChips</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Cash paid for commissions</w:t>
            </w:r>
          </w:p>
        </w:tc>
        <w:tc>
          <w:tcPr>
            <w:tcW w:w="3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8"/>
              <w:spacing w:after="0"/>
              <w:rPr>
                <w:sz w:val="20"/>
                <w:szCs w:val="20"/>
                <w:color w:val="auto"/>
              </w:rPr>
            </w:pPr>
            <w:r>
              <w:rPr>
                <w:rFonts w:ascii="Arial" w:cs="Arial" w:eastAsia="Arial" w:hAnsi="Arial"/>
                <w:sz w:val="18"/>
                <w:szCs w:val="18"/>
                <w:color w:val="auto"/>
              </w:rPr>
              <w:t>47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licenses</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b w:val="1"/>
                <w:bCs w:val="1"/>
                <w:color w:val="auto"/>
              </w:rPr>
              <w:t>Affiliates</w:t>
            </w:r>
          </w:p>
        </w:tc>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consulting fees</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743"/>
        </w:trPr>
        <w:tc>
          <w:tcPr>
            <w:tcW w:w="4260" w:type="dxa"/>
            <w:vAlign w:val="bottom"/>
          </w:tcPr>
          <w:p>
            <w:pPr>
              <w:spacing w:after="0"/>
              <w:rPr>
                <w:sz w:val="24"/>
                <w:szCs w:val="24"/>
                <w:color w:val="auto"/>
              </w:rPr>
            </w:pPr>
          </w:p>
        </w:tc>
        <w:tc>
          <w:tcPr>
            <w:tcW w:w="3340" w:type="dxa"/>
            <w:vAlign w:val="bottom"/>
          </w:tcPr>
          <w:p>
            <w:pPr>
              <w:jc w:val="right"/>
              <w:ind w:right="179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the related notes that appear elsewhere in this document.</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information in this Quarterly Report on Form 10-Q contains forward-looking statements within the meaning of Section 27A of the Securities Act of 1933, as amended (“Securities Act”), and Section 21E of the Securities Exchange Act of 1934, as amended (“Exchange Act”), which are subject to the “safe harbor” created by those sections. These forward-looking statements reflect our management’s beliefs and views with respect to future events and are based on estimates and assumptions as of the date of this report and are subject to risks and uncertainties. We may, in some cases, use words such as “anticipate,” “believe,” “could,” “continue,” “estimate,” “expect,” “intend,” “may,” “objective,” “plan,” “potential,” “predict,” “project,” “should,” “will,” “would,” or the negative of those terms, and similar expressions that convey uncertainty of future events or outcomes to identify these forward-looking statements. . Forward-looking statements in this report include, but are not limited to, statements regarding:</w:t>
      </w:r>
    </w:p>
    <w:p>
      <w:pPr>
        <w:spacing w:after="0" w:line="69" w:lineRule="exact"/>
        <w:rPr>
          <w:sz w:val="20"/>
          <w:szCs w:val="20"/>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introduce products into the clock IC market;</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to focus on clock IC and timing sync solutions in the future and to aggressively expand our presence in these two markets;</w:t>
      </w:r>
    </w:p>
    <w:p>
      <w:pPr>
        <w:spacing w:after="0" w:line="128" w:lineRule="exact"/>
        <w:rPr>
          <w:rFonts w:ascii="Arial" w:cs="Arial" w:eastAsia="Arial" w:hAnsi="Arial"/>
          <w:sz w:val="17"/>
          <w:szCs w:val="17"/>
          <w:color w:val="auto"/>
        </w:rPr>
      </w:pPr>
    </w:p>
    <w:p>
      <w:pPr>
        <w:ind w:left="1120" w:right="280" w:hanging="74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revene and other operating results, liquidity, and cash flows, and our anticipated responses thereto;</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address market and customer ;</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challenges and growth in our business and the markets in which we operate, including pricing expectations;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gross margin, and expenses;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impact of new legistlation and IRS guidance issued in response to the COVID-19 pandemic;</w:t>
      </w:r>
    </w:p>
    <w:p>
      <w:pPr>
        <w:spacing w:after="0" w:line="117" w:lineRule="exact"/>
        <w:rPr>
          <w:rFonts w:ascii="Arial" w:cs="Arial" w:eastAsia="Arial" w:hAnsi="Arial"/>
          <w:sz w:val="18"/>
          <w:szCs w:val="18"/>
          <w:color w:val="auto"/>
        </w:rPr>
      </w:pPr>
    </w:p>
    <w:p>
      <w:pPr>
        <w:jc w:val="both"/>
        <w:ind w:left="1120" w:hanging="748"/>
        <w:spacing w:after="0" w:line="263"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as to the sufficiency of our existing cash and cash equivalents and funds available for borrowing under our credit facilities to meet our cash needs for at least the next 12 months and our future capital requirements over the longer term, including the potential impact of the COVID-19 pandemic thereon;</w:t>
      </w:r>
    </w:p>
    <w:p>
      <w:pPr>
        <w:spacing w:after="0" w:line="75"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dependence on our largest customer;</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 relationships and our ability to retain and expand our customer relationships and to achieve design wins;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new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solutions, and our ability to serve and expand our presence in those markets;</w:t>
      </w:r>
    </w:p>
    <w:p>
      <w:pPr>
        <w:spacing w:after="0" w:line="128" w:lineRule="exact"/>
        <w:rPr>
          <w:rFonts w:ascii="Arial" w:cs="Arial" w:eastAsia="Arial" w:hAnsi="Arial"/>
          <w:sz w:val="17"/>
          <w:szCs w:val="17"/>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competition in our existing and new markets;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and our relationships with, our third-party suppliers and manufacturers;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customers’ ability to respond successfully to technological or industry developments;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management personnel;</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 and related litigation;</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and availability of our leased facilities;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accuracy of our estimates regarding capital requirements, expectations regarding renewal of loans, and needs for additional financing;</w:t>
      </w:r>
    </w:p>
    <w:p>
      <w:pPr>
        <w:spacing w:after="0" w:line="140" w:lineRule="exact"/>
        <w:rPr>
          <w:rFonts w:ascii="Arial" w:cs="Arial" w:eastAsia="Arial" w:hAnsi="Arial"/>
          <w:sz w:val="16"/>
          <w:szCs w:val="16"/>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 with, and ownership percentage of, MegaChips Corporation (“MegaChips”);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ability to obtain, maintain, protect, and enforce intellectual property protection for our technology.</w:t>
      </w:r>
    </w:p>
    <w:p>
      <w:pPr>
        <w:spacing w:after="0" w:line="237" w:lineRule="exact"/>
        <w:rPr>
          <w:sz w:val="20"/>
          <w:szCs w:val="20"/>
          <w:color w:val="auto"/>
        </w:rPr>
      </w:pPr>
    </w:p>
    <w:p>
      <w:pPr>
        <w:jc w:val="both"/>
        <w:ind w:right="120"/>
        <w:spacing w:after="0" w:line="220" w:lineRule="exact"/>
        <w:rPr>
          <w:sz w:val="20"/>
          <w:szCs w:val="20"/>
          <w:color w:val="auto"/>
        </w:rPr>
      </w:pPr>
      <w:r>
        <w:rPr>
          <w:rFonts w:ascii="Arial" w:cs="Arial" w:eastAsia="Arial" w:hAnsi="Arial"/>
          <w:sz w:val="18"/>
          <w:szCs w:val="18"/>
          <w:color w:val="auto"/>
        </w:rPr>
        <w:t>In addition, any statements contained herein that are not statements of historical facts may be deemed to be forward-looking statements.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subject to a number of risks and uncertainties that could cause actual results to differ materially from those expected or referenced in these forward-looking statements. These risks and uncertainties include, but are not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 w:name="page17"/>
    <w:bookmarkEnd w:id="16"/>
    <w:p>
      <w:pPr>
        <w:spacing w:after="0" w:line="257" w:lineRule="auto"/>
        <w:rPr>
          <w:sz w:val="20"/>
          <w:szCs w:val="20"/>
          <w:color w:val="auto"/>
        </w:rPr>
      </w:pPr>
      <w:r>
        <w:rPr>
          <w:rFonts w:ascii="Arial" w:cs="Arial" w:eastAsia="Arial" w:hAnsi="Arial"/>
          <w:sz w:val="18"/>
          <w:szCs w:val="18"/>
          <w:color w:val="auto"/>
        </w:rPr>
        <w:t>limited to, those risks discussed in Part II, Item 1A Risk Factors of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prospectus by these cautionary statements.</w:t>
      </w:r>
    </w:p>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 looking statements for any reason after the date of this report to conform these statements to actual results or to changes in our expectations, except as required by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are a leading provider of silicon timing solutions. Our timing solutions are the heartbeat of our customers’ electronic systems, solving complex timing problems and enabling industry-leading products. We provide solutions that are differentiated by high performance and reliability, programmability, small size, and low power consumption. Our products have been designed into over 200 applications across our target markets, including enterprise and telecommunications infrastructure, automotive, industrial, IoT and mobile, and aerospace and defense.</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commenced commercial shipments of our first oscillator products in 2006. Substantially all of our revenue to date has been derived from sales of oscillator systems across our target end markets. We intend to introduce products into the clock IC market, which we began sampling in 2019, and to focus on clock IC and timing sync solutions in the future. We seek to aggressively expand our presence in these two markets.</w:t>
      </w:r>
    </w:p>
    <w:p>
      <w:pPr>
        <w:spacing w:after="0" w:line="1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sell our products primarily through distributors and resellers, who in turn sell to our end customers. Based on sell-through information provided by these distributors, we believe the majority of our end customers are based in the U.S.</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operate a fabless business model, allowing us to focus on the design, sales, and marketing of our products, quickly scale production, and significantly reduce our capital expenditures. We leverage our global network of distributors and resellers to address the broad set of end markets we serve. For our largest accounts, dedicated sales personnel work with the end customer to ensure that our solutions fully address the end customer’s timing needs. Our smaller customers work directly with our distributors to select the optimum timing solution for their needs.</w:t>
      </w:r>
    </w:p>
    <w:p>
      <w:pPr>
        <w:spacing w:after="0" w:line="17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were acquired by MegaChips in 2014 and were a wholly-owned subsidiary of MegaChips, a fabless semiconductor company based in Japan and traded on the Tokyo Stock Exchange, until November 25, 2019. On November 25, 2019, we completed the initial public offering of shares of our common stock. MegaChips continues to hold a majority controlling interest in our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future impact of the global emergence of the COVID-19 pandemic on our business is currently unknown. In an effort to protect the health and safety of our employees, we took proactive actions and adopted social distancing policies at our locations around the world, including WFH, reducing the number of people in our sites at any one time, and suspending employee travel. In an effort to contain the COVID-19 pandemic or slow its spread, governments around the world have also enacted various measures, including orders to close all businesses not deemed “essential,” isolate residents to their homes or places of residence, and practice social distancing when engaging in essential activities.</w:t>
      </w:r>
    </w:p>
    <w:p>
      <w:pPr>
        <w:spacing w:after="0" w:line="17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There remains a high degree of uncertainty in the global business environment given the impact of the COVID-19 pandemic which creates challenges with visibility beyond the near term. We will continue to actively monitor the situation and may take further actions altering our business operations that we determine are in the best interests of our employees, customers, partners, suppliers, and stakeholders, or as required by federal, state, or local authorities. It is not clear what the potential effects any such alterations or modifications may have on our business, including the effects on our customers, employees, operations, and prospects, or on our financial results for the remainder of fiscal 2020 or beyond.</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derive revenue primarily from sales of silicon timing products to distributors and resellers who in turn sell to our end customers. We also sell products directly to end customers who integrate our products into their applications.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202"/>
              <w:spacing w:after="0"/>
              <w:rPr>
                <w:sz w:val="20"/>
                <w:szCs w:val="20"/>
                <w:color w:val="auto"/>
              </w:rPr>
            </w:pPr>
            <w:r>
              <w:rPr>
                <w:rFonts w:ascii="Arial" w:cs="Arial" w:eastAsia="Arial" w:hAnsi="Arial"/>
                <w:sz w:val="14"/>
                <w:szCs w:val="14"/>
                <w:b w:val="1"/>
                <w:bCs w:val="1"/>
                <w:color w:val="auto"/>
                <w:w w:val="98"/>
              </w:rPr>
              <w:t>Three Months Ended March 31,</w:t>
            </w:r>
          </w:p>
        </w:tc>
        <w:tc>
          <w:tcPr>
            <w:tcW w:w="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2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6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2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80" w:type="dxa"/>
            <w:vAlign w:val="bottom"/>
            <w:gridSpan w:val="4"/>
          </w:tcPr>
          <w:p>
            <w:pPr>
              <w:jc w:val="right"/>
              <w:ind w:right="719"/>
              <w:spacing w:after="0" w:line="155" w:lineRule="exact"/>
              <w:rPr>
                <w:sz w:val="20"/>
                <w:szCs w:val="20"/>
                <w:color w:val="auto"/>
              </w:rPr>
            </w:pPr>
            <w:r>
              <w:rPr>
                <w:rFonts w:ascii="Arial" w:cs="Arial" w:eastAsia="Arial" w:hAnsi="Arial"/>
                <w:sz w:val="14"/>
                <w:szCs w:val="14"/>
                <w:b w:val="1"/>
                <w:bCs w:val="1"/>
                <w:color w:val="auto"/>
                <w:w w:val="92"/>
              </w:rPr>
              <w:t>(in thousands except percentage)</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21,742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14,817</w:t>
            </w:r>
          </w:p>
        </w:tc>
        <w:tc>
          <w:tcPr>
            <w:tcW w:w="880" w:type="dxa"/>
            <w:vAlign w:val="bottom"/>
            <w:gridSpan w:val="2"/>
            <w:shd w:val="clear" w:color="auto" w:fill="CFF0FC"/>
          </w:tcPr>
          <w:p>
            <w:pPr>
              <w:jc w:val="right"/>
              <w:ind w:right="48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459"/>
              <w:spacing w:after="0"/>
              <w:rPr>
                <w:sz w:val="20"/>
                <w:szCs w:val="20"/>
                <w:color w:val="auto"/>
              </w:rPr>
            </w:pPr>
            <w:r>
              <w:rPr>
                <w:rFonts w:ascii="Arial" w:cs="Arial" w:eastAsia="Arial" w:hAnsi="Arial"/>
                <w:sz w:val="18"/>
                <w:szCs w:val="18"/>
                <w:color w:val="auto"/>
              </w:rPr>
              <w:t>6,925</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r>
    </w:tbl>
    <w:p>
      <w:pPr>
        <w:spacing w:after="0" w:line="2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increased by $6.9 million, or 47%, for three months ended March 31, 2020 compared to the same period in the prior year. Revenue from our largest customer increased by $1.3 million from higher sales volume and higher ASP driven by the change in the mix of the products sold. The remaining increase of $5.6 million was primarily from higher sales volume and a slight increase in ASP of $0.01 mainly from our other customers in Asia. The overall average selling price of our products increased $0.01 year over year driven mostly by mix of products.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Gross Profit, and Gross Margin</w:t>
      </w:r>
    </w:p>
    <w:p>
      <w:pPr>
        <w:spacing w:after="0" w:line="121" w:lineRule="exact"/>
        <w:rPr>
          <w:sz w:val="20"/>
          <w:szCs w:val="20"/>
          <w:color w:val="auto"/>
        </w:rPr>
      </w:pPr>
    </w:p>
    <w:p>
      <w:pPr>
        <w:jc w:val="both"/>
        <w:ind w:right="420"/>
        <w:spacing w:after="0" w:line="279" w:lineRule="auto"/>
        <w:rPr>
          <w:sz w:val="20"/>
          <w:szCs w:val="20"/>
          <w:color w:val="auto"/>
        </w:rPr>
      </w:pPr>
      <w:r>
        <w:rPr>
          <w:rFonts w:ascii="Arial" w:cs="Arial" w:eastAsia="Arial" w:hAnsi="Arial"/>
          <w:sz w:val="17"/>
          <w:szCs w:val="17"/>
          <w:color w:val="auto"/>
        </w:rPr>
        <w:t>Cost of revenue consists of wafers acquired from third-party foundries, assembly, packaging, and test cost of our products paid to third-party contract manufacturers, and personnel and other costs associated with our manufacturing operations. Cost of revenue also includes depreciation of production equipment, inventory write-downs, amortization of internally developed software, shipping and handling costs, and allocation of overhead and facility costs. We also include credits for rebates received from foundries to cost of revenue.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9"/>
              </w:rPr>
              <w:t>Three Months Ended March 31,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4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77"/>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999"/>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34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40" w:type="dxa"/>
            <w:vAlign w:val="bottom"/>
            <w:gridSpan w:val="5"/>
          </w:tcPr>
          <w:p>
            <w:pPr>
              <w:jc w:val="right"/>
              <w:ind w:right="779"/>
              <w:spacing w:after="0" w:line="155" w:lineRule="exact"/>
              <w:rPr>
                <w:sz w:val="20"/>
                <w:szCs w:val="20"/>
                <w:color w:val="auto"/>
              </w:rPr>
            </w:pPr>
            <w:r>
              <w:rPr>
                <w:rFonts w:ascii="Arial" w:cs="Arial" w:eastAsia="Arial" w:hAnsi="Arial"/>
                <w:sz w:val="14"/>
                <w:szCs w:val="14"/>
                <w:b w:val="1"/>
                <w:bCs w:val="1"/>
                <w:color w:val="auto"/>
                <w:w w:val="92"/>
              </w:rPr>
              <w:t>(in thousands except percentage)</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57"/>
              <w:spacing w:after="0"/>
              <w:rPr>
                <w:sz w:val="20"/>
                <w:szCs w:val="20"/>
                <w:color w:val="auto"/>
              </w:rPr>
            </w:pPr>
            <w:r>
              <w:rPr>
                <w:rFonts w:ascii="Arial" w:cs="Arial" w:eastAsia="Arial" w:hAnsi="Arial"/>
                <w:sz w:val="18"/>
                <w:szCs w:val="18"/>
                <w:color w:val="auto"/>
              </w:rPr>
              <w:t>11,766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7,228</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59"/>
              <w:spacing w:after="0"/>
              <w:rPr>
                <w:sz w:val="20"/>
                <w:szCs w:val="20"/>
                <w:color w:val="auto"/>
              </w:rPr>
            </w:pPr>
            <w:r>
              <w:rPr>
                <w:rFonts w:ascii="Arial" w:cs="Arial" w:eastAsia="Arial" w:hAnsi="Arial"/>
                <w:sz w:val="18"/>
                <w:szCs w:val="18"/>
                <w:color w:val="auto"/>
              </w:rPr>
              <w:t>4,538</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Gross Profit</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57"/>
              <w:spacing w:after="0"/>
              <w:rPr>
                <w:sz w:val="20"/>
                <w:szCs w:val="20"/>
                <w:color w:val="auto"/>
              </w:rPr>
            </w:pPr>
            <w:r>
              <w:rPr>
                <w:rFonts w:ascii="Arial" w:cs="Arial" w:eastAsia="Arial" w:hAnsi="Arial"/>
                <w:sz w:val="18"/>
                <w:szCs w:val="18"/>
                <w:color w:val="auto"/>
              </w:rPr>
              <w:t>9,976</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7,589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ind w:right="459"/>
              <w:spacing w:after="0"/>
              <w:rPr>
                <w:sz w:val="20"/>
                <w:szCs w:val="20"/>
                <w:color w:val="auto"/>
              </w:rPr>
            </w:pPr>
            <w:r>
              <w:rPr>
                <w:rFonts w:ascii="Arial" w:cs="Arial" w:eastAsia="Arial" w:hAnsi="Arial"/>
                <w:sz w:val="18"/>
                <w:szCs w:val="18"/>
                <w:color w:val="auto"/>
              </w:rPr>
              <w:t>2,387</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29"/>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2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Gross profit increased by $2.4 million in the three months ended March 31, 2020 compared to the same period in the prior year. The gross profit for the period ended March 31, 2019 included a benefit of $1.3 million from the sale of previously reserved inventory. Gross profit excluding this benefit of $1.3 million increased $3.7 million year over year mainly from higher sales volume and a slight increase in ASP as other manufacturing costs remained relatively flat.</w:t>
      </w:r>
    </w:p>
    <w:p>
      <w:pPr>
        <w:spacing w:after="0" w:line="2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Gross margin was lower by 5% in the three months ended March 31, 2020 when compared to the same period in the prior year. The gross margin for the period ended March 31, 2019 included a benefit of 8% or $1.3 million from sale of previously reserved inventory. The gross margin excluding the benefit to the gross margin from the sale of the previosly reserved inventoy increased by 3% year over year from higher sales volume and a slight increase in ASP as other manufacturing costs remained relatively flat.</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 We expect our operating expenses to fluctuate in absolute dollars and as a percentage of revenue over time.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Our research and development efforts are focused on the design and development of next-generation silicon timing systems solutions. Our research and development expense consists primarily of personnel costs, which include stock-based compensation, pre-production engineering mask costs, software license and intellectual property expenses, design tools and prototype-related expenses, facility costs, supplies, professional and consulting fees, and allocated overhead costs. We expense research and development costs as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ind w:right="180"/>
        <w:spacing w:after="0" w:line="286" w:lineRule="auto"/>
        <w:rPr>
          <w:sz w:val="20"/>
          <w:szCs w:val="20"/>
          <w:color w:val="auto"/>
        </w:rPr>
      </w:pPr>
      <w:r>
        <w:rPr>
          <w:rFonts w:ascii="Arial" w:cs="Arial" w:eastAsia="Arial" w:hAnsi="Arial"/>
          <w:sz w:val="17"/>
          <w:szCs w:val="17"/>
          <w:color w:val="auto"/>
        </w:rPr>
        <w:t>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 to fluctuate as a percentage of revenue from period to period depending on the timing of these expenses.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General and Administrative</w:t>
      </w:r>
    </w:p>
    <w:p>
      <w:pPr>
        <w:spacing w:after="0" w:line="117"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Sales, general and administrative expense consists of personnel costs, including stock-based compensation, professional and consulting fees, accounting and audit fees, legal costs, field application engineering support, travel costs, advertising expenses and allocated overhead costs. We expect sales, general and administrative expense to continue to increase in absolute dollars as we increase our personnel and grow our operations, although it may fluctuate as a percentage of revenue from period to period depending on the timing of these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70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4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80" w:type="dxa"/>
            <w:vAlign w:val="bottom"/>
            <w:gridSpan w:val="6"/>
          </w:tcPr>
          <w:p>
            <w:pPr>
              <w:ind w:left="80"/>
              <w:spacing w:after="0" w:line="155" w:lineRule="exact"/>
              <w:rPr>
                <w:sz w:val="20"/>
                <w:szCs w:val="20"/>
                <w:color w:val="auto"/>
              </w:rPr>
            </w:pPr>
            <w:r>
              <w:rPr>
                <w:rFonts w:ascii="Arial" w:cs="Arial" w:eastAsia="Arial" w:hAnsi="Arial"/>
                <w:sz w:val="14"/>
                <w:szCs w:val="14"/>
                <w:b w:val="1"/>
                <w:bCs w:val="1"/>
                <w:color w:val="auto"/>
              </w:rPr>
              <w:t>(in thousands except percentage)</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7,024</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5,820</w:t>
            </w:r>
          </w:p>
        </w:tc>
        <w:tc>
          <w:tcPr>
            <w:tcW w:w="240" w:type="dxa"/>
            <w:vAlign w:val="bottom"/>
          </w:tcPr>
          <w:p>
            <w:pPr>
              <w:spacing w:after="0"/>
              <w:rPr>
                <w:sz w:val="19"/>
                <w:szCs w:val="19"/>
                <w:color w:val="auto"/>
              </w:rPr>
            </w:pP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1,204</w:t>
            </w:r>
          </w:p>
        </w:tc>
        <w:tc>
          <w:tcPr>
            <w:tcW w:w="5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29"/>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5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7,808</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3,617</w:t>
            </w:r>
          </w:p>
        </w:tc>
        <w:tc>
          <w:tcPr>
            <w:tcW w:w="5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5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14,832</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5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0"/>
        </w:trPr>
        <w:tc>
          <w:tcPr>
            <w:tcW w:w="4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Research and development expense increased by $1.2 million, or 21%, for the three months ended March 31, 2020 compared to the same period in the prior year, primarily due to an increase in stock-based compensation expense of $1.1 million. This in turn was due to the timing of grants of employee equity awards upon the completion of our initial public offering in November 2019.</w:t>
      </w:r>
    </w:p>
    <w:p>
      <w:pPr>
        <w:spacing w:after="0" w:line="18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Selling, general and administrative expense increased by $3.6 million, or 86%, for the three months ended March 31, 2020 compared to the same period in the prior year, primarily due to higher stock-based compensation expense of $1.7 million, $0.5 million of additional legal expenses in connection with our patent litigation matter, higher personnel costs of $0.3 million largely related to increased headcount and expenses for services related to the requirements of being a public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Other income (expense) consists primarily of interest expense on our outstanding debt, foreign exchange gains and losses, and asset dispositions. See Note 7 to our consolidated financial statements under Item 8 for more information about our debt.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5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35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780" w:type="dxa"/>
            <w:vAlign w:val="bottom"/>
            <w:tcBorders>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r>
      <w:tr>
        <w:trPr>
          <w:trHeight w:val="155"/>
        </w:trPr>
        <w:tc>
          <w:tcPr>
            <w:tcW w:w="35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60" w:type="dxa"/>
            <w:vAlign w:val="bottom"/>
            <w:gridSpan w:val="6"/>
          </w:tcPr>
          <w:p>
            <w:pPr>
              <w:jc w:val="right"/>
              <w:ind w:right="800"/>
              <w:spacing w:after="0" w:line="155" w:lineRule="exact"/>
              <w:rPr>
                <w:sz w:val="20"/>
                <w:szCs w:val="20"/>
                <w:color w:val="auto"/>
              </w:rPr>
            </w:pPr>
            <w:r>
              <w:rPr>
                <w:rFonts w:ascii="Arial" w:cs="Arial" w:eastAsia="Arial" w:hAnsi="Arial"/>
                <w:sz w:val="14"/>
                <w:szCs w:val="14"/>
                <w:b w:val="1"/>
                <w:bCs w:val="1"/>
                <w:color w:val="auto"/>
              </w:rPr>
              <w:t>(in thousands except percentage)</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940" w:type="dxa"/>
            <w:vAlign w:val="bottom"/>
            <w:gridSpan w:val="2"/>
            <w:shd w:val="clear" w:color="auto" w:fill="CFF0FC"/>
          </w:tcPr>
          <w:p>
            <w:pPr>
              <w:jc w:val="right"/>
              <w:ind w:right="602"/>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94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(135)</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Other expense, net</w:t>
            </w:r>
          </w:p>
        </w:tc>
        <w:tc>
          <w:tcPr>
            <w:tcW w:w="2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(78)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(780%)</w:t>
            </w:r>
          </w:p>
        </w:tc>
      </w:tr>
      <w:tr>
        <w:trPr>
          <w:trHeight w:val="223"/>
        </w:trPr>
        <w:tc>
          <w:tcPr>
            <w:tcW w:w="3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w:t>
            </w:r>
          </w:p>
        </w:tc>
        <w:tc>
          <w:tcPr>
            <w:tcW w:w="216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0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(213)</w:t>
            </w: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r>
      <w:tr>
        <w:trPr>
          <w:trHeight w:val="20"/>
        </w:trPr>
        <w:tc>
          <w:tcPr>
            <w:tcW w:w="3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Other expense decreased $0.2 million for three months ended March 31, 2020 compared to the same period in the prior year, primarily as a result of lower interest rates on lower balances on our outstanding revolving short-term debt during the three months ended March 31, 2020 as compared to 2019.</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Income Tax Benefit (Expense)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NOL, carryforwards, and tax credits related primarily to research and development. We expect to maintain this full valuation allowance until realization of the deferred tax assets becomes more likely than not.</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212529"/>
        </w:rPr>
        <w:t>On March 27, 2020, the Coronavirus Aid, Relief and Economic Security Act (“CARES Act”) was signed into law in the U.S. to provide certain relief as a result of the COVID-19 pandemic. In addition, governments around the world have enacted or implemented various forms of tax relief measures in response to the economic conditions in the wake of the COVID-19 pandemic. As of March 31, 2020, the Company has determined that neither the CARES Act nor changes to income tax laws or regulations in other jurisdictions had a significant impact on the Company’s effective tax rate.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960" w:type="dxa"/>
            <w:vAlign w:val="bottom"/>
          </w:tcPr>
          <w:p>
            <w:pPr>
              <w:spacing w:after="0"/>
              <w:rPr>
                <w:sz w:val="14"/>
                <w:szCs w:val="14"/>
                <w:color w:val="auto"/>
              </w:rPr>
            </w:pPr>
          </w:p>
        </w:tc>
        <w:tc>
          <w:tcPr>
            <w:tcW w:w="760" w:type="dxa"/>
            <w:vAlign w:val="bottom"/>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4"/>
                <w:szCs w:val="14"/>
                <w:color w:val="auto"/>
              </w:rPr>
            </w:pPr>
          </w:p>
        </w:tc>
      </w:tr>
      <w:tr>
        <w:trPr>
          <w:trHeight w:val="155"/>
        </w:trPr>
        <w:tc>
          <w:tcPr>
            <w:tcW w:w="36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0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6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w:t>
            </w:r>
          </w:p>
        </w:tc>
      </w:tr>
      <w:tr>
        <w:trPr>
          <w:trHeight w:val="156"/>
        </w:trPr>
        <w:tc>
          <w:tcPr>
            <w:tcW w:w="36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4"/>
              </w:rPr>
              <w:t>(in thousands except percentage)</w:t>
            </w: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2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439"/>
              <w:spacing w:after="0"/>
              <w:rPr>
                <w:sz w:val="20"/>
                <w:szCs w:val="20"/>
                <w:color w:val="auto"/>
              </w:rPr>
            </w:pPr>
            <w:r>
              <w:rPr>
                <w:rFonts w:ascii="Arial" w:cs="Arial" w:eastAsia="Arial" w:hAnsi="Arial"/>
                <w:sz w:val="18"/>
                <w:szCs w:val="18"/>
                <w:color w:val="auto"/>
                <w:w w:val="99"/>
              </w:rPr>
              <w:t>(2)</w:t>
            </w:r>
          </w:p>
        </w:tc>
        <w:tc>
          <w:tcPr>
            <w:tcW w:w="900" w:type="dxa"/>
            <w:vAlign w:val="bottom"/>
            <w:shd w:val="clear" w:color="auto" w:fill="CFF0FC"/>
          </w:tcPr>
          <w:p>
            <w:pPr>
              <w:jc w:val="center"/>
              <w:ind w:right="279"/>
              <w:spacing w:after="0"/>
              <w:rPr>
                <w:sz w:val="20"/>
                <w:szCs w:val="20"/>
                <w:color w:val="auto"/>
              </w:rPr>
            </w:pPr>
            <w:r>
              <w:rPr>
                <w:rFonts w:ascii="Arial" w:cs="Arial" w:eastAsia="Arial" w:hAnsi="Arial"/>
                <w:sz w:val="18"/>
                <w:szCs w:val="18"/>
                <w:color w:val="auto"/>
                <w:w w:val="87"/>
              </w:rPr>
              <w:t>n/a</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Before our initial public offering in November 2019, we financed our operations primarily through cash generated from product sales and proceeds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credit facilities, including proceeds from our loan agreement with MegaChips. As of March 31, 2020 and December 31, 2019, we had cash and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equivalents of $71.2 million and $63.4 million, respectively. Our principal use of cash is to fund our operations to support growth. As of the reporting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 is challenging to assess the future impact of the COVID-19 pandemic on the Company. We believe that one impact of the COVID-19 pandemic 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may be a decrease in the Company’s revenue. We are not currently aware of any other material short-term adverse influences 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However, at this point in time, we cannot predict what other impacts the COVID-19 pandemic may have on the Company. We believe that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existing cash and cash equivalents and funds available for borrowing under our credit facilities of an aggregate of approximately $50.0 million as</w:t>
      </w:r>
    </w:p>
    <w:p>
      <w:pPr>
        <w:spacing w:after="0" w:line="2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of March 31, 2020, will be sufficient to meet our cash needs for at least the next 12 months. Over the longer term, our future capital requirements will depend on many factors, including our growth rate, the timing and extent of our sales and marketing and research and development expenditures, and the continuing market acceptance of our solutions. 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129"/>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3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49"/>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60" w:type="dxa"/>
            <w:vAlign w:val="bottom"/>
            <w:gridSpan w:val="4"/>
          </w:tcPr>
          <w:p>
            <w:pPr>
              <w:jc w:val="right"/>
              <w:ind w:right="689"/>
              <w:spacing w:after="0" w:line="155"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36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89"/>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5,026</w:t>
            </w: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(1,417)</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(378)</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3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4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8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4,648</w:t>
            </w:r>
          </w:p>
        </w:tc>
        <w:tc>
          <w:tcPr>
            <w:tcW w:w="12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the three months ended March 31, 2020, cash provided by operating activities of $2.0 million was primarily due to a net loss of $5.1 million offset by non-cash expenses of $5.1 million and an increase in operating assets and liabilities of $2.0 million. Non-cash expenses were mainly related to depreciation and amortization, stock-based compensation expense, and non-cash operating lease costs. Operating assets and liabilities increased primarily due to by lower prepaid expenses and other current assets related to advance payments to suppliers for inventory, higher accrued expenses and other liabilities due to timing of payments and lower accounts receivables and related party receivables due to timing of shipments and collections partially offset by an increase in inventories as we managed our inventory levels and lower lease liabilities due to timing of payments.</w:t>
      </w:r>
    </w:p>
    <w:p>
      <w:pPr>
        <w:spacing w:after="0" w:line="178"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In the three months ended March 31, 2019, cash provided by operating activities of $5.0 million was primarily due to a net loss of $2.9 million and an increase in operating assets and liabilities of $5.7 million offset by non-cash expenses of $2.2 million. The increase in operating assets and liabilities was primarily due to lower accounts receivable and related party receivables due to timing of shipment and collections partially offset by decrease in accounts payable due to timing of payments. Non-cash items included depreciation and amortization, and non-cash operating lease costs.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investing activities consist primarily of capital expenditures for property and equipment purchases. Our capital expenditures for property and equipment have primarily been for general business purposes, including machinery and equipment, leasehold improvements, acquired software, internally developed software used in production and support of our products, computer equipment used internally, and production masks to manufacture our products.</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three months ended March 31, 2020, cash used in investing activities was $1.4 million and consisted primarily of the purchase of production masks, internally developed software, and other property and equipment for general business purposes.</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three months ended March 31, 2019, cash used in investing activities was approximately $0.4 million and consisted primarily of the purchase of production masks, internally developed software, and other property and equipment for general business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includes proceeds from borrowings under our credit facilities and proceeds from issuance of shares.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three months ended March 31, 2020, cash used in financing activities was $7.2 million, consisting of borrowings of $12.0 million offset by repayments of $3.0 million under our short-term revolving line of credit and $1.8 million payment of tax withholdings paid on behalf of employees for net share settlement at the time of vesting.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information concerning our contractual commitments and obligations as of March 31,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center"/>
              <w:ind w:right="67"/>
              <w:spacing w:after="0"/>
              <w:rPr>
                <w:sz w:val="20"/>
                <w:szCs w:val="20"/>
                <w:color w:val="auto"/>
              </w:rPr>
            </w:pPr>
            <w:r>
              <w:rPr>
                <w:rFonts w:ascii="Arial" w:cs="Arial" w:eastAsia="Arial" w:hAnsi="Arial"/>
                <w:sz w:val="14"/>
                <w:szCs w:val="14"/>
                <w:b w:val="1"/>
                <w:bCs w:val="1"/>
                <w:color w:val="auto"/>
                <w:w w:val="91"/>
              </w:rPr>
              <w:t>Payments due by period</w:t>
            </w: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16"/>
              <w:spacing w:after="0" w:line="133" w:lineRule="exact"/>
              <w:rPr>
                <w:sz w:val="20"/>
                <w:szCs w:val="20"/>
                <w:color w:val="auto"/>
              </w:rPr>
            </w:pPr>
            <w:r>
              <w:rPr>
                <w:rFonts w:ascii="Arial" w:cs="Arial" w:eastAsia="Arial" w:hAnsi="Arial"/>
                <w:sz w:val="14"/>
                <w:szCs w:val="14"/>
                <w:b w:val="1"/>
                <w:bCs w:val="1"/>
                <w:color w:val="auto"/>
                <w:w w:val="97"/>
              </w:rPr>
              <w:t>Less than</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8"/>
              </w:rPr>
              <w:t>1-3 years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36"/>
              <w:spacing w:after="0"/>
              <w:rPr>
                <w:sz w:val="20"/>
                <w:szCs w:val="20"/>
                <w:color w:val="auto"/>
              </w:rPr>
            </w:pPr>
            <w:r>
              <w:rPr>
                <w:rFonts w:ascii="Arial" w:cs="Arial" w:eastAsia="Arial" w:hAnsi="Arial"/>
                <w:sz w:val="14"/>
                <w:szCs w:val="14"/>
                <w:b w:val="1"/>
                <w:bCs w:val="1"/>
                <w:color w:val="auto"/>
              </w:rPr>
              <w:t>1 year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Debt obligations</w:t>
            </w:r>
          </w:p>
        </w:tc>
        <w:tc>
          <w:tcPr>
            <w:tcW w:w="20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Operating leases</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10,346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obligations</w:t>
            </w:r>
          </w:p>
        </w:tc>
        <w:tc>
          <w:tcPr>
            <w:tcW w:w="1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61,258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51,944</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Obligations under contracts that we can cancel without a significant penalty are not included in the table above. The aggregate amount of our obligations under these contracts is approximately $1.8 million as of March 31, 2020.</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signed an operating lease agreement for our corporate headquarters in Santa Clara, California that commenced on October 20, 2016 and will expire on December 31, 2026. The agreement provides for an option to renew for an additional five years and for rent payments through the term of the lease payment. We also lease office space in Michigan, Malaysia, Japan, the Netherlands, and Ukraine, and all under operating leases with various expiration dates through December 2022.</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purchase components and wafers from a variety of suppliers and use several contract manufacturers to provide manufacturing services for our products. A significant portion of our reported purchase commitments arising from these agreements consists of firm, non-cancellable and unconditional purchase commitments once the production has started. In certain instances, these agreements allow us the option to cancel, reschedule, and adjust our requirements based on its business needs prior to firm orders being placed.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preparation of our financial statements and accompanying disclosures in conformity with GAAP requires estimates and assumptions that affect the reported amounts of assets, liabilities, revenues and expenses, and related disclosures of contingent assets and liabilities in the consolidated financial statements and the accompanying notes. The Securities and Exchange Commission, or</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ind w:right="20"/>
        <w:spacing w:after="0" w:line="253" w:lineRule="auto"/>
        <w:rPr>
          <w:sz w:val="20"/>
          <w:szCs w:val="20"/>
          <w:color w:val="auto"/>
        </w:rPr>
      </w:pPr>
      <w:r>
        <w:rPr>
          <w:rFonts w:ascii="Arial" w:cs="Arial" w:eastAsia="Arial" w:hAnsi="Arial"/>
          <w:sz w:val="18"/>
          <w:szCs w:val="18"/>
          <w:color w:val="auto"/>
        </w:rPr>
        <w:t>SEC, has defined a company’s critical accounting policies as policies that are most important to the portrayal of a company’s financial condition and results of operations, and which require a company to make its most difficult and subjective judgments, often as a result of the need to make estimates of matters that are inherently uncertain. Based on this definition, we have identified our most critical accounting policies and estimates to be as follows: (1) revenue recognition; (2) inventory; (3) stock-based compensation; (4) accounting for income taxes and (5) segment reporting. Although we believe that our estimates, assumptions and judgments are reasonable, they are based upon information not presently available. Actual results may differ significantly from these estimates if the assumptions, judgments and conditions upon which they are based turn out to be inaccurate. Management believes that there have been no significant changes to the items that we disclosed as our critical accounting policies and estimates in Management’s Discussion and Analysis of Financial Condition and Results of Operations, in our Annual Report on Form 10-K for the year ended December 31, 2019 filed with the SEC on March 3, 2020.</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Substantially all of our revenue is denominated in U.S. dollars. Our expenses are generally denominated in the currencies in which our operations are located, which is primarily in the United States and, to a lesser extent, in Malaysia, the Netherlands, Taiwan, Japan, and Ukraine.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policy with respect to foreign currency exchange risk.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had cash and cash equivalents of $71.2 million and $63.4 million as of March 31, 2020 and December 31, 2019, respectively, consisting of bank deposits. Such interest-earning instruments carry a degree of interest rate risk. To date, fluctuations in interest income have not been significant. We also had total outstanding debt of $50.0 million and $41.0 million as of March 31, 2020 and December 31, 2019, respectively, of which all are due within 12 months, and we plan to renew some of those loans for another term to be determined by us.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 Our exposure to interest rates relates to the change in the amounts of interest we must pay on our short-term revolving line of credit which changes at time of renewals. The effect of a hypothetical 10% change in interest rates applicable to our business would not have a material impact on our historical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maintain “disclosure controls and procedures,” as such term is defined in Rules 13a-15 (e)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2020 that has materially affected, or are reasonably likely to materially affect, our internal control over financial reporting.</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information required by this item is included in Note 10 of the Notes to Condensed Consolidated Financial Statements in Part I Item 1, of this Quarterly Report on Form 10-Q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120"/>
        <w:spacing w:after="0" w:line="329" w:lineRule="auto"/>
        <w:rPr>
          <w:sz w:val="20"/>
          <w:szCs w:val="20"/>
          <w:color w:val="auto"/>
        </w:rPr>
      </w:pPr>
      <w:r>
        <w:rPr>
          <w:rFonts w:ascii="Arial" w:cs="Arial" w:eastAsia="Arial" w:hAnsi="Arial"/>
          <w:sz w:val="15"/>
          <w:szCs w:val="15"/>
          <w:b w:val="1"/>
          <w:bCs w:val="1"/>
          <w:color w:val="auto"/>
        </w:rPr>
        <w:t>In addition to the factors discussed elsewhere in this Form 10-Q, the following are important factors, the order of which is not necessarily indicative of the level of risk that each poses to us, which could cause actual results or events to differ materially from those contained in any forward-looking statements made by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results of operations, and financial condition.</w:t>
      </w:r>
    </w:p>
    <w:p>
      <w:pPr>
        <w:spacing w:after="0" w:line="117"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The effects of the global spread of the disease caused by the COVID-19 pandemic on our business are evolving and difficult to predict. To date, the COVID-19 pandemic has significantly and negatively impacted the global economy and it is unclear how long the pandemic will continue to do so. To combat the spread of COVID-19, the United States and other foreign countries in which we operate have imposed measures such as quarantines and “shelter-in-place” orders that are restricting business operations and travel and requiring individuals to WFH, which has impacted all aspects of our business as well as those of the third-parties we rely upon for our manufacturing, assembly, testing, shipping and other operations. The continuation of WFH and other restrictions for an extended period of time may negatively impact our productivity, product development, operations, sales and support, business and financial results. Among other things, the COVID-19 pandemic may result in:</w:t>
      </w:r>
    </w:p>
    <w:p>
      <w:pPr>
        <w:spacing w:after="0" w:line="69" w:lineRule="exact"/>
        <w:rPr>
          <w:sz w:val="20"/>
          <w:szCs w:val="20"/>
          <w:color w:val="auto"/>
        </w:rPr>
      </w:pPr>
    </w:p>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in demand and/or prices for our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global economic recession or depression that could significantly reduce demand and/or prices for our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productivity in our product development, operations, marketing, sales and other activities;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our supply chain;</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resulting from WFH or from our efforts to mitigate the impact of the COVID-19 pandemic;</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access to financing to fund our operations due to a deterioration of credit and financial markets; or</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rate of losses on our accounts receivables due to credit defaults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continued disruption in the manufacture, shipment and sales of our products may negatively and materially impact our operating and financial operating results, including revenue, gross margins, operating margins, cash flows and other operating results. The resumption of normal business operations after such disruptions may be delayed and a resurgence of COVID-19 could occur resulting in continued disruption to us, our suppliers and/or our customers. As a result, the effects of the COVID-19 pandemic could have a material adverse impact on our business, results of operations and financial condition for the remainder of 2020 and beyond.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the worldwide economy may harm our business.</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COVID-19 pandemic could cause a downturn in the worldwide economy, which would likely result in reduced demand for our products our customers’ products. Reduced demand for our products could result in significant decreases in sales and margins. In addition, the deterioration in credit markets could limit our ability to obtain external financing to fund our operations and capital expenditures. We may experience losses on our holdings of cash and investments due to failures of financial institutions and other parties. Adverse economic conditions may also result in a higher rate of losses on our accounts receivables due to credit defaults. As a result, a downturn in the worldwide economy could have a material adverse effect on our business, results of operations, or financial condition.</w:t>
      </w:r>
    </w:p>
    <w:p>
      <w:pPr>
        <w:spacing w:after="0" w:line="9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that our operating results for the foreseeable future will continue to depend to a significant extent on revenue attributable to Apple, our largest end customer. Sales attributable to this end customer have historically accounted for a large portion of our revenue and accounted for approximately 34%, 35% and 40% of our revenue for the three months ended March 31, 2020 and the years ended December 31, 2019 and 2018, respectively. Revenue attributable to this end customer has decreased in absolute dollars and as a percentage of revenue from 2018 to 2019. We anticipate revenue attributable to this customer will fluctuate from period to period, although we expect to remain dependent on this end customer for a substantial portion of our revenue for the foreseeable future. Although we sell our products to this customer through distributors on a purchase order basis, including Pernas, Arrow, and Quantek,</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3" w:name="page24"/>
    <w:bookmarkEnd w:id="23"/>
    <w:p>
      <w:pPr>
        <w:ind w:right="40"/>
        <w:spacing w:after="0" w:line="291" w:lineRule="auto"/>
        <w:rPr>
          <w:sz w:val="20"/>
          <w:szCs w:val="20"/>
          <w:color w:val="auto"/>
        </w:rPr>
      </w:pPr>
      <w:r>
        <w:rPr>
          <w:rFonts w:ascii="Arial" w:cs="Arial" w:eastAsia="Arial" w:hAnsi="Arial"/>
          <w:sz w:val="16"/>
          <w:szCs w:val="16"/>
          <w:color w:val="auto"/>
        </w:rPr>
        <w:t>we have a development and supply agreement, which provides a general framework for our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If our end customers were to choose to work with other manufacturers or our relationships with our customers is disrupted for any reason, it could have a significant negative impact on our business. Any reduction in sales attributable to our larger customers, including our largest end customer, would have a significant and disproportionate impact on our business, financial condition, and results of operations.</w:t>
      </w:r>
    </w:p>
    <w:p>
      <w:pPr>
        <w:spacing w:after="0" w:line="5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Because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our customers expose us to the risks of inventory shortages or excess inventory. This in turn could cause our operating results to fluctuate. For example, in 2018 we incurred approximately $8.0 million in cost of inventory in anticipation of an order that did not materialize. This resulted in an inventory write-down of approximately $8.0 million for 2018. We were able to sell approximately $3.0 million of such inventory in the fourth quarter of 2018 and approximately $2.5 million of such inventory in the year ended December 31, 2019.</w:t>
      </w:r>
    </w:p>
    <w:p>
      <w:pPr>
        <w:spacing w:after="0" w:line="56"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Our end customers, or the distributors through which we sell to these customers, may choose to use products in addition to ours, use a different product altogether, or develop an in-house solution. Any of these events could significantly harm our business, financial condition, and results of operations. In addition,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expand or further diversify our customer base, our business, financial condition, and results of operations could suffer.</w:t>
      </w:r>
    </w:p>
    <w:p>
      <w:pPr>
        <w:spacing w:after="0" w:line="1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sell our products primarily through distributors and resellers, who in turn sell to our end customers. For the three months ended March 31, 2020 and the years ended December 31, 2019 and 2018, our top three distributors by revenue together accounted for approximately 57%. 59% and 65% of our revenue, respectively. Based on our shipment information, we believe that revenue attributable to our top ten end customers accounted for 55%, 57%, and 60% of our revenue in the three months ended March 31, 2020 and for the years ended December 31, 2019 and 2018, respectively. Sales attributable to our largest end customer accounted for approximately 34%, 35%, and 40%, of our revenue for the three months ended March 31, 2020 and the years ended December 31, 2019 and 2018, respectively. We expect the composition of our top end customers to vary from period to period, and that revenue attributable to our top ten end customers in any given period may decline over time. Our relationships with existing customers may deter potential customers who compete with these customers from buying our silicon timing systems solutions. If we are unable to expand or further diversify our customer base, it could harm our business, financial condition, and results of operations.</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do not have long-term purchase commitments with our customers, orders may be cancelled, reduced, or rescheduled with little or no notice, which in turn exposes us to inventory risk, and may cause our business and results of operations to suffer.</w:t>
      </w:r>
    </w:p>
    <w:p>
      <w:pPr>
        <w:spacing w:after="0" w:line="6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sell our products primarily through distributors and resellers,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silicon timing systems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changes in forecasts or the timing of orders expose us to the risks of inventory shortages or excess inventory. As we no longer intend to acquire inventory to pre-build custom products, we may not be able to fulfill increased demand, at least in the short term. Any of the foregoing events could materially and adversely affect our business, financial condition,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and operating results may fluctuate from period to period, which could cause our stock price to fluctuate.</w:t>
      </w:r>
    </w:p>
    <w:p>
      <w:pPr>
        <w:spacing w:after="0" w:line="117"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Our revenue and operating results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76" w:lineRule="exact"/>
        <w:rPr>
          <w:sz w:val="20"/>
          <w:szCs w:val="20"/>
          <w:color w:val="auto"/>
        </w:rPr>
      </w:pPr>
    </w:p>
    <w:p>
      <w:pPr>
        <w:ind w:left="1120" w:hanging="74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suppliers and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demand and product life cycles;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receipt, reduction, or cancellation of, or changes in the forecasts or timing of, orders by customers;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the levels of inventories held by our distributors or end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acceptance of our products and our customers’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introduce, and market new products and technologies on a timely basis;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extent of product development costs;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product announcements and introductions by us or our competitors;</w:t>
      </w:r>
    </w:p>
    <w:p>
      <w:pPr>
        <w:spacing w:after="0" w:line="117" w:lineRule="exact"/>
        <w:rPr>
          <w:rFonts w:ascii="Arial" w:cs="Arial" w:eastAsia="Arial" w:hAnsi="Arial"/>
          <w:sz w:val="18"/>
          <w:szCs w:val="18"/>
          <w:color w:val="auto"/>
        </w:rPr>
      </w:pPr>
    </w:p>
    <w:p>
      <w:pPr>
        <w:ind w:left="1120" w:right="800" w:hanging="748"/>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research and development costs and related new product expenditures and our ability to achieve cost reductions in a timely or predictable manner;</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seasonality and fluctuations in sales by product manufacturers that incorporate our silicon timing systems solutions into their products;</w:t>
      </w:r>
    </w:p>
    <w:p>
      <w:pPr>
        <w:spacing w:after="0" w:line="128" w:lineRule="exact"/>
        <w:rPr>
          <w:rFonts w:ascii="Arial" w:cs="Arial" w:eastAsia="Arial" w:hAnsi="Arial"/>
          <w:sz w:val="17"/>
          <w:szCs w:val="17"/>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end-market demand into which we have limited insight, including cyclicality, seasonality, and the competitive landscape;</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warranty claims, including those not covered by our suppliers;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pricing, product cost, and product mix;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supply chain disruptions, delays, shortages, and capacity limitations as a result of the COVID-19 pandemic or other reasons.</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 accumulated deficit and have incurred net losses in the past, and we may continue to incur net losses in the future.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March 31, 2020, December 31, 2019 and 2018, we had an accumulated deficit of $59.1 million, $54.0 million and $47.4 million, respectively. We generated net losses of $5.1 million, $6.6 million and $9.3 million in three months ended March 31, 2020, 2019 and 2018, respectively. The loss in 2018 was primarily attributable to a reduction in revenue from our largest end customer and inventory write-down. The loss in 2019 was primarily due to a decrease in revenue from customers in Asia primarily as a result of lower sales volume, as well as a reduction in revenue from our largest end customer. We may continue to incur net losses in the future.</w:t>
      </w:r>
    </w:p>
    <w:p>
      <w:pPr>
        <w:spacing w:after="0" w:line="80" w:lineRule="exact"/>
        <w:rPr>
          <w:sz w:val="20"/>
          <w:szCs w:val="20"/>
          <w:color w:val="auto"/>
        </w:rPr>
      </w:pPr>
    </w:p>
    <w:p>
      <w:pPr>
        <w:jc w:val="both"/>
        <w:ind w:right="500"/>
        <w:spacing w:after="0" w:line="311" w:lineRule="auto"/>
        <w:rPr>
          <w:sz w:val="20"/>
          <w:szCs w:val="20"/>
          <w:color w:val="auto"/>
        </w:rPr>
      </w:pPr>
      <w:r>
        <w:rPr>
          <w:rFonts w:ascii="Arial" w:cs="Arial" w:eastAsia="Arial" w:hAnsi="Arial"/>
          <w:sz w:val="16"/>
          <w:szCs w:val="16"/>
          <w:color w:val="auto"/>
        </w:rPr>
        <w:t>We expect to continue to make significant investments to support our research and development, sales and marketing and general and administrative functions. As a public company, we also continue to incur significant additional legal, accounting and other expenses. If our revenue growth does not exceed the growth of these anticipated expenses, we may not be able to achieve or sustain profitability, and our stock price could decline.</w:t>
      </w:r>
    </w:p>
    <w:p>
      <w:pPr>
        <w:spacing w:after="0" w:line="4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7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sell our silicon timing systems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spacing w:after="0" w:line="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Because of our extended sales cycle, our revenue in future years is highly dependent on design wins we are awarded in prior years. It is typical that a design win will not result in meaningful revenue until one year or more or later, if at all. If we do not continue to achieve design wins in the short term, our revenue in the following years will deteriorate.</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8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If we fail to anticipate or respond to technological shifts or market demands, or to timely develop new or enhanced products or technologies in response to the same, it could result in decreased revenue and the loss of our design wins to our competitors. Due to the interdependence of various components in the systems within which our products and the products of our competitors operate,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right="40"/>
        <w:spacing w:after="0" w:line="263" w:lineRule="auto"/>
        <w:rPr>
          <w:sz w:val="20"/>
          <w:szCs w:val="20"/>
          <w:color w:val="auto"/>
        </w:rPr>
      </w:pPr>
      <w:r>
        <w:rPr>
          <w:rFonts w:ascii="Arial" w:cs="Arial" w:eastAsia="Arial" w:hAnsi="Arial"/>
          <w:sz w:val="18"/>
          <w:szCs w:val="18"/>
          <w:color w:val="auto"/>
        </w:rPr>
        <w:t>customers are unlikely to change to another design, once adopted, until the next generation of a technology. As a result, if we fail to introduce new or enhanced products that meet the needs of our customers or penetrate new markets in a timely fashion, and our designs do not gain acceptance, we will lose market share and our competitive position.</w:t>
      </w:r>
    </w:p>
    <w:p>
      <w:pPr>
        <w:spacing w:after="0" w:line="7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p>
    <w:p>
      <w:pPr>
        <w:spacing w:after="0" w:line="76"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16"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6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success of our silicon timing systems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7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target markets include the enterprise and telecommunications infrastructure, automotive, industrial, IoT and mobile, and aerospace and defense markets. Substantially all of our revenue for the years ended December 31, 2019 and 2018 was derived from sales in the IoT and mobile, industrial, and consumer markets. In 2017, we began introducing products for the automotive market. In addition, within the timing market, substantially all of our revenue to date has been attributable to sales of MEMS oscillators. We intend to introduce products into the clock IC market, which we began sampling in the second quarter of 2019, and to focus on clock IC and timing sync solutions in the future. Any deterioration in our target customer or product markets or reduction in capital spending to support these markets could lead to a reduction in demand for our products, which would adversely affect our revenue and results of operations. Further, if our target customer markets, including the 5G communications or IoT and mobile markets, do not grow or develop in ways that we currently expect, demand for our technology may not materialize as expected, which would also negatively impact our business, financial condition, and results of operations.</w:t>
      </w:r>
    </w:p>
    <w:p>
      <w:pPr>
        <w:spacing w:after="0" w:line="7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7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future revenue growth, if any, will depend in part on our ability to expand within our existing markets, our ability to continue to penetrate emerging markets, such as the 5G communications market, which we entered in 2019, and our ability to enter into new markets, such as the industrial, medical, and military markets. Each of these markets presents distinct and substantial challenges and risks and, in many cases, requires us to develop new customized solutions to address the particular requirements of that market. Meeting the technical requirements and securing design wins in any of these new markets will require a substantial investment of our time and resources. We cannot assure you that we will secure design wins from these or other new markets, or that we will achieve meaningful revenue from sales in these markets. If any of these markets do not develop as we currently anticipate or if we are unable to penetrate them and scale in them successfully, our revenue could decline.</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6" w:name="page27"/>
    <w:bookmarkEnd w:id="26"/>
    <w:p>
      <w:pPr>
        <w:ind w:right="80"/>
        <w:spacing w:after="0" w:line="277" w:lineRule="auto"/>
        <w:rPr>
          <w:sz w:val="20"/>
          <w:szCs w:val="20"/>
          <w:color w:val="auto"/>
        </w:rPr>
      </w:pPr>
      <w:r>
        <w:rPr>
          <w:rFonts w:ascii="Arial" w:cs="Arial" w:eastAsia="Arial" w:hAnsi="Arial"/>
          <w:sz w:val="18"/>
          <w:szCs w:val="18"/>
          <w:b w:val="1"/>
          <w:bCs w:val="1"/>
          <w:i w:val="1"/>
          <w:iCs w:val="1"/>
          <w:color w:val="auto"/>
        </w:rPr>
        <w:t>The average selling prices of our individual products have decreased historically over time and may do so in the future, which could harm our revenue and gross margins.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Although on average selling prices of our products have increased over time as we introduce higher end products, the average selling prices of our individual products generally decrease over time. Our revenue is derived from sales to large distributors and, in some cases, we have agreed in advance to price reductions, generally over a period of time ranging from two months to three years, once the specified product begins to ship in volume. However,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fluctuating over the shorter term, we expect average selling prices generally to decline over the longer term as our products and our end customers’ products mature.</w:t>
      </w:r>
    </w:p>
    <w:p>
      <w:pPr>
        <w:spacing w:after="0" w:line="5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seek to offset the anticipated reductions in our average selling prices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successfully introduce and ship in volume new products in a timely manner, our business and revenue will suffer.</w:t>
      </w:r>
    </w:p>
    <w:p>
      <w:pPr>
        <w:spacing w:after="0" w:line="1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repeatedly introduce, in successive years, new products that ship in volume, or if our transition to these new products does not successfully occur prior to any decrease in revenue from our prior products, our revenue will likely decline significantly and rapidly.</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gross margins may fluctuate due to a variety of factors, which could negatively impact our results of operations and our financial condition.</w:t>
      </w:r>
    </w:p>
    <w:p>
      <w:pPr>
        <w:spacing w:after="0" w:line="140"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the impact of the COVID-19 pandemic and geographic and market pricing strategies.</w:t>
      </w:r>
    </w:p>
    <w:p>
      <w:pPr>
        <w:spacing w:after="0" w:line="7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we do not operate our own manufacturing, assembly, or testing facilities, we may not be able to reduce our costs as rapidly as companies that operate their own facilities, and our costs may even increase, which could further reduce our gross margins.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addition, we maintain an inventory of our products at various stages of production and in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in recent periods may not be indicative of future performance and our revenue may fluctuate over time.</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Our recent revenue should not be considered indicative of our future performance. For the three months ended March 31, 2020 and the years ended December 31, 2019 and 2018, our revenue was $21.7 million, $84.1 million and $85.2 million, respectively. As we grow our business, our revenue may fluctuate in future periods due to a number of reasons, which may include slowing demand for our products, increasing competition, the impact of the COVID-19 pandemic, a decrease in the growth of our overall market or market saturation, and challenges and our failure to capitalize on growth opportunities.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our growth effectively, we may not be able to execute our business plan and our operating results could suffer.</w:t>
      </w:r>
    </w:p>
    <w:p>
      <w:pPr>
        <w:spacing w:after="0" w:line="1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ind w:right="60"/>
        <w:spacing w:after="0" w:line="291" w:lineRule="auto"/>
        <w:rPr>
          <w:sz w:val="20"/>
          <w:szCs w:val="20"/>
          <w:color w:val="auto"/>
        </w:rPr>
      </w:pPr>
      <w:r>
        <w:rPr>
          <w:rFonts w:ascii="Arial" w:cs="Arial" w:eastAsia="Arial" w:hAnsi="Arial"/>
          <w:sz w:val="16"/>
          <w:szCs w:val="16"/>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silicon timing systems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58"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Prior to purchasing our silicon timing systems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7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provide a lifetime warranty on our products and may be subject to warranty or product liability claims, which could result in unexpected expenses and loss of market share.</w:t>
      </w:r>
    </w:p>
    <w:p>
      <w:pPr>
        <w:spacing w:after="0" w:line="6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provide a lifetime warranty on our products and generally agree to indemnify our customers for defects in our products.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4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silicon timing systems solutions have only been incorporated into end products for the past 12 years.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Defects in our products could harm our relationships with our customers and damage our reputation.</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Defects in our products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6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operate in industries characterized by rapidly changing technologies as well as technological obsolescence. The introduction of new products by our competitors, the delay or cancellation of any of our customers’ product offerings for which our silicon timing systems solutions are designed, the market acceptance of products based on new or alternative technologies, or the emergence of new industry standards could render our existing or future products uncompetitive, obsolete, and otherwise unmarketable. Our failure to anticipate or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ind w:right="720"/>
        <w:spacing w:after="0" w:line="277" w:lineRule="auto"/>
        <w:rPr>
          <w:sz w:val="20"/>
          <w:szCs w:val="20"/>
          <w:color w:val="auto"/>
        </w:rPr>
      </w:pPr>
      <w:r>
        <w:rPr>
          <w:rFonts w:ascii="Arial" w:cs="Arial" w:eastAsia="Arial" w:hAnsi="Arial"/>
          <w:sz w:val="18"/>
          <w:szCs w:val="18"/>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ability to compete in the future will depend on our ability to identify and ensure compliance with evolving industry standards in our target markets, as well as in the timing IC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make the substantial investments that are required to remain competitive in our business.</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compete effectively, we may lose or fail to gain market share, which could negatively impact our operating results and our business.</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global semiconductor market in general, and the timing IC market in particular, is highly competitive. We expect competition to increase and intensify as additional semiconductor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semiconductor products to smaller companies specializing in narrow market verticals. In the MEMS-based oscillator market, we primarily compete against MCHP. In the analog mixed-signal IC and clocking market, we primarily compete against Renesas Electronics Corporation (through their acquisition of Integrated Device Technology, Inc.), Silicon Laboratories Inc., Texas Instruments Incorporated, Microsemi Corporation (which is owned by MCHP), and Analog Devices, Inc. In the oscillator market, we primarily compete against quartz crystal suppliers such as Rakon Limited, Daishinku, Nihon Dempa Kogyo Co., Ltd., TXC Corporation, Seiko Epson Corporation, and Vectron International (which is owned by MCHP). We expect competition in our current markets to increase in the future as existing competitors improve or expand their product offerings and as new competitors enter these markets. In addition, our future growth will depend in part on our ability to successfully enter and compete in new markets, such as the access market.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7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in turn may enable them to better withstand adverse economic or market conditions, such as those caused by the current COVID-19 pandemic, in the future and significantly reduce their pricing so as to compete against us. Our ability to compete successfully will depend on a number of factors, including:</w:t>
      </w:r>
    </w:p>
    <w:p>
      <w:pPr>
        <w:spacing w:after="0" w:line="68" w:lineRule="exact"/>
        <w:rPr>
          <w:sz w:val="20"/>
          <w:szCs w:val="20"/>
          <w:color w:val="auto"/>
        </w:rPr>
      </w:pPr>
    </w:p>
    <w:p>
      <w:pPr>
        <w:ind w:left="1120" w:right="180" w:hanging="748"/>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define, design, and regularly introduce new products that anticipate the functionality and integration needs of our customers’ next-generation products and applications;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build strong and long-lasting relationships with our customers and other industry participants;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capitalize on, and prevent losses due to, vertical integration by significant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those of competing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achieve design wins;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and success of our customers’ products utilizing our solutions within their competitive end markets;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research and development capabilities to provide innovative solutions and maintain our product roadmap;</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strength of our sales and marketing efforts, including those of our distributors, and our brand awareness and reputation;</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withstand or respond to significant price competition;</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build and expand international operations in a cost-effective manner;</w:t>
      </w:r>
    </w:p>
    <w:p>
      <w:pPr>
        <w:spacing w:after="0" w:line="117" w:lineRule="exact"/>
        <w:rPr>
          <w:rFonts w:ascii="Arial" w:cs="Arial" w:eastAsia="Arial" w:hAnsi="Arial"/>
          <w:sz w:val="18"/>
          <w:szCs w:val="18"/>
          <w:color w:val="auto"/>
        </w:rPr>
      </w:pPr>
    </w:p>
    <w:p>
      <w:pPr>
        <w:ind w:left="1120" w:right="340" w:hanging="748"/>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including obtaining intellectual property rights from third parties that may be necessary to meet the evolving demands of the market;</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defend potential patent infringement claims arising from third parties;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promote and support our customers’ incorporation of our solutions into their products;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w:t>
      </w:r>
    </w:p>
    <w:p>
      <w:pPr>
        <w:spacing w:after="0" w:line="11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Our competitors may also establish cooperative relationships among themselves or with third parties or may acquire companies that provide similar products to ours. As a result, new competitors or alliances may emerge that could capture significant market share. Any of these factors, alone or in combination with others, could harm our business, financial condition, and results of operations and result in a loss of market share and an increase in pricing pressure.</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6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including our engineering and sales and marketing personnel.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could have an adverse effect on our business.</w:t>
      </w:r>
    </w:p>
    <w:p>
      <w:pPr>
        <w:spacing w:after="0" w:line="8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to execute our growth plan, we must attract and retain highly qualified personnel. Competition for these personnel in the San Francisco Bay Area, where our headquarters is located, and in other locations where we maintain offices,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company culture has contributed to our success and if we cannot maintain this culture as we grow, our business could be harmed.</w:t>
      </w: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62" w:lineRule="exact"/>
        <w:rPr>
          <w:sz w:val="20"/>
          <w:szCs w:val="20"/>
          <w:color w:val="auto"/>
        </w:rPr>
      </w:pPr>
    </w:p>
    <w:p>
      <w:pPr>
        <w:ind w:left="1120" w:hanging="748"/>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are not able to maintain our culture, our business, financial condition, and results of operations could be adversely affected.</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i w:val="1"/>
          <w:iCs w:val="1"/>
          <w:color w:val="auto"/>
        </w:rPr>
        <w:t>We depend on third parties for our wafer fabrication, assembly and testing operations, which exposes us to certain risks that may harm our business.</w:t>
      </w:r>
    </w:p>
    <w:p>
      <w:pPr>
        <w:spacing w:after="0" w:line="1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operate an outsourced manufacturing business model. As a result, we rely on third parties for all of our manufacturing operations, including wafer fabrication, assembly, and testing. Although we use multiple third-party supplier sources, we depend on these third parties to supply us with material of a requested quantity in a timely manner that meets our standards for yield, cost, and manufacturing quality. Except for our agreement with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8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If market demand for wafers or production and assembly materials increases, or if a supplier of our wafers ceases or suspends operations, our supply of wafers and other materials could become limited. We currently have a ten-year supply agreement with Bosch for the fabrication of our MEMS wafers. This agreement expires in 2027 and may be terminated with three years’ advance notice beginning in February 2024. We currently rely on Bosch for our MEMS fabrication, and TSMC for our analog circuits fabrication, and any disruption in their supply of wafers or any increases in their wafer or materials prices could adversely affect our gross margins and our ability to meet customer demands in a timely manner, or at all, and lead to reduced revenue. Moreover, wafers constitute a large portion of our product cost. If we are unable to negotiate volume discounts or otherwise purchase wafers at favorable prices and in sufficient quantities in a timely manner, our gross margins would be adversely affected.</w:t>
      </w:r>
    </w:p>
    <w:p>
      <w:pPr>
        <w:spacing w:after="0" w:line="6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To ensure continued wafer supply, we may be required to establish alternative wafer supply sources, which could require significant expenditures and limit our negotiating leverage. We currently rely on Bosch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encounter difficulties and incur additional costs. For example, we also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 unable to maintain our relationship with Bosch or TSMC, our ability to produce high-quality products could suffer, which in turn could harm our business, financial condition, and results of operations.</w:t>
      </w:r>
    </w:p>
    <w:p>
      <w:pPr>
        <w:spacing w:after="0" w:line="5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currently rely on ASE, Carsem, and UTAC for assembly and testing, as well as Daishinku and UTAC for ceramic packaging for some of our products. 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like the COVID-19 pandemic, may affect the production capabilities of our suppliers, including as a result of quarantines, closures of production facilities, lack of supplies, or delays caused by restrictions on travel or work-from-home orders. For example, on March 16, 2020, the government of Malaysia announced measures to restrict movement in that country until March 31, 2020 in an effort to suppress the number of COVID-19 cases. The restrictions have been extended, currently until May 12, 2020. These restrictions could limit our suppliers’ ability to operate their manufacturing facilities in that country.</w:t>
      </w:r>
    </w:p>
    <w:p>
      <w:pPr>
        <w:spacing w:after="0" w:line="7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Although we maintain business disruption insurance, this insurance may not be adequate to cover any losses we may experience as a result of such difficulties. 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six-month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w:t>
      </w:r>
    </w:p>
    <w:p>
      <w:pPr>
        <w:spacing w:after="0" w:line="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one or more of these vendors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and loss of customers.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foundries with which we contract do not achieve satisfactory yields or quality, our reputation and customer relationships could be harmed.</w:t>
      </w:r>
    </w:p>
    <w:p>
      <w:pPr>
        <w:spacing w:after="0" w:line="14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40"/>
        <w:spacing w:after="0" w:line="273" w:lineRule="auto"/>
        <w:rPr>
          <w:sz w:val="20"/>
          <w:szCs w:val="20"/>
          <w:color w:val="auto"/>
        </w:rPr>
      </w:pPr>
      <w:r>
        <w:rPr>
          <w:rFonts w:ascii="Arial" w:cs="Arial" w:eastAsia="Arial" w:hAnsi="Arial"/>
          <w:sz w:val="17"/>
          <w:szCs w:val="17"/>
          <w:color w:val="auto"/>
        </w:rPr>
        <w:t>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Raw material price fluctuations can increase the cost of our products, impact our ability to meet customer commitments, and may adversely affect our results of operations.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cost of raw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and raw materials,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may have in the future. Our inability to fill our supply needs would jeopardize our ability to fulfill obligations under our contracts, which could, in turn, result in reduced sales and profits, contract penalties or terminations, and damage to our customer relationships.</w:t>
      </w:r>
    </w:p>
    <w:p>
      <w:pPr>
        <w:spacing w:after="0" w:line="5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6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6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We develop many of our silicon timing systems products for applications in systems that are driven by industry and technology leaders in the communications and computing markets. We work with distributors, resellers,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silicon timing systems solutions could become less desirable to our customers, our sales could suffer and our competitive position could be harmed.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117"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significant downturn during past global recessions and has been experiencing a downturn since 2019, which may be prolonged as a result of the worldwide economic impact of the COVID-19 pandemic. These downturns have been characterized by diminished product demand, production overcapacity, high inventory levels, and accelerated erosion of average selling prices. The current downturn in the semiconductor industry has been attributed to a variety of factors, including the current COVID-19 pandemic, ongoing U.S.-China trade dispute, weakness in demand and pricing for semiconductors across applications, and excess inventory. While this downturn has not directly impacted our business to date, any prolonged or significant downturn in the semiconductor industry could adversely affect our business and reduce demand for our products. Any future downturns in the semiconductor industry could also harm our business, financial condition, and results of operations. Furthermore,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w:t>
      </w:r>
    </w:p>
    <w:p>
      <w:pPr>
        <w:spacing w:after="0" w:line="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doubtful accounts. However, the extent of the COVID-19</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right="140"/>
        <w:spacing w:after="0" w:line="275" w:lineRule="auto"/>
        <w:rPr>
          <w:sz w:val="20"/>
          <w:szCs w:val="20"/>
          <w:color w:val="auto"/>
        </w:rPr>
      </w:pPr>
      <w:r>
        <w:rPr>
          <w:rFonts w:ascii="Arial" w:cs="Arial" w:eastAsia="Arial" w:hAnsi="Arial"/>
          <w:sz w:val="17"/>
          <w:szCs w:val="17"/>
          <w:color w:val="auto"/>
        </w:rPr>
        <w:t>pandemic’s impact on credit and financial markets is unknown, which creates uncertainty as to the financial condition of our distributors or customers. Based on our review of our customers annually and as of the end of the March 31, 2020, substantially all of which are large distributors, resellers, OEMs, and system manufacturers, we had a $0.1 million, $0.1 million and a $0.2 million reserve for doubtful accounts as of March 31, 2020, December 31, 2019 and December 31, 2018, respectively. If our doubtful accounts, however, were to exceed our current or future allowance for doubtful accounts, our business, financial condition, and results of operations would be adversely affected.</w:t>
      </w:r>
    </w:p>
    <w:p>
      <w:pPr>
        <w:spacing w:after="0" w:line="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In preparing our consolidated financial statements, we make good faith estimates and judgments that may change or turn out to be erroneous, which could adversely affect our operating results for the periods in which we revise our estimates or judgments.</w:t>
      </w:r>
    </w:p>
    <w:p>
      <w:pPr>
        <w:spacing w:after="0" w:line="6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preparing our consolidated financial statements in conformity with generally accepted accounting principles in the United States (“GAAP”), we must make estimates and judgments in applying our most critical accounting policies. Those estimates and judgments have a significant impact on the results we report in our consolidated financial statements. The most difficult estimates and subjective judgments that we make relate to revenue recognition, inventories, internally developed software capitalization, and income taxes. We base our estimates on historical experience, input from outside experts and on various other assumptions that we believe to be reasonable under the circumstances, the results of which form the basis for making judgments about the carrying values of assets and liabilities that are not readily apparent from other sources. We also have other key accounting policies that are not as subjective, and therefore, their application would not require us to make estimates or judgments that are as difficult, but which nevertheless could significantly affect our financial reporting. Actual results may differ materially from these estimates. If these estimates, judgments, or their related assumptions change, our operating results for the periods in which we revise our estimates, judgments, or assumptions could be adversely and perhaps materially affected.</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to financial accounting standards may affect our results of operations and could cause us to change our business practices.</w:t>
      </w:r>
    </w:p>
    <w:p>
      <w:pPr>
        <w:spacing w:after="0" w:line="12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prepare our consolidated financial statements in accordance with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adversely affect our financial results or the way we conduct our business.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agreements contain certain restrictive covenants that may limit our operating flexibility.</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loan agreements contain certain restrictive covenants that either limit our ability to, or require a mandatory prepayment in the event that we, incur additional indebtedness, merge with other companies or enter into or consummate certain change of control transactions, acquire other companies, make certain investments, transfer or dispose of assets, amend certain material agreements, or enter into certain other transactions. We may not be able to generate sufficient cash flow or sales to pay the principal and interest under our outstanding debt obligations. Furthermore, our future working capital, borrowings, or equity financing could be unavailable to repay or refinance the amounts outstanding under our current debt obligations. In the event of a liquidation, our existing and any future lenders would be repaid all outstanding principal and interest prior to distribution of assets to unsecured creditors, and the holders of our common stock would receive a portion of any liquidation proceeds only if all of our creditors, including our existing and any future lenders, were first repaid in full.</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accurately predict our future capital needs, and we may not be able to obtain additional financing to fund our operations.</w:t>
      </w:r>
    </w:p>
    <w:p>
      <w:pPr>
        <w:spacing w:after="0" w:line="14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stockholders, reduce our financial resources, and harm our business.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goals in a timely manner, or at all, and these acquisitions may be viewed negatively by our customers, financial markets, or investors. In addition, any acquisitions we make may create difficulties in integrating personnel, technologies, and</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right="60"/>
        <w:spacing w:after="0" w:line="257" w:lineRule="auto"/>
        <w:rPr>
          <w:sz w:val="20"/>
          <w:szCs w:val="20"/>
          <w:color w:val="auto"/>
        </w:rPr>
      </w:pPr>
      <w:r>
        <w:rPr>
          <w:rFonts w:ascii="Arial" w:cs="Arial" w:eastAsia="Arial" w:hAnsi="Arial"/>
          <w:sz w:val="18"/>
          <w:szCs w:val="18"/>
          <w:color w:val="auto"/>
        </w:rPr>
        <w:t>operations from the acquired businesses and in retaining and motivating key personnel. Acquisitions may disrupt our ongoing operations, divert management from their primary responsibilities,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w:t>
      </w:r>
    </w:p>
    <w:p>
      <w:pPr>
        <w:spacing w:after="0" w:line="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 portion of our operations is located outside of the United States, which subjects us to additional risks, including increased complexity and costs of managing international operations and geopolitical instability.</w:t>
      </w:r>
    </w:p>
    <w:p>
      <w:pPr>
        <w:spacing w:after="0" w:line="6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outsource the fabrication and assembly of all of our products to third parties that are primarily located in Germany and Asia. In addition, we conduct research and development activities in the United States, the Netherlands, Taiwan, and Ukraine and work with third-party contractors in Japan and Russia. We also conduct marketing and administrative functions in the United States, China, Taiwan, and Ukraine. In addition, members of our sales force are located in the United States, China, India, France, Taiwan, and Ukraine. In addition, approximately 93% of our revenue for the years ended December 31, 2019 and 2018,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spacing w:after="0" w:line="87" w:lineRule="exact"/>
        <w:rPr>
          <w:sz w:val="20"/>
          <w:szCs w:val="20"/>
          <w:color w:val="auto"/>
        </w:rPr>
      </w:pPr>
    </w:p>
    <w:p>
      <w:pPr>
        <w:ind w:left="1120" w:right="180" w:hanging="74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complexity and costs of managing international operations, including manufacturing, assembly, and testing of our products and associated costs;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geopolitical and economic instability and military conflicts;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protection for, and vulnerability to theft of, our intellectual property rights, including our trade secrets;</w:t>
      </w:r>
    </w:p>
    <w:p>
      <w:pPr>
        <w:spacing w:after="0" w:line="117" w:lineRule="exact"/>
        <w:rPr>
          <w:rFonts w:ascii="Arial" w:cs="Arial" w:eastAsia="Arial" w:hAnsi="Arial"/>
          <w:sz w:val="18"/>
          <w:szCs w:val="18"/>
          <w:color w:val="auto"/>
        </w:rPr>
      </w:pPr>
    </w:p>
    <w:p>
      <w:pPr>
        <w:ind w:left="1120" w:right="360" w:hanging="74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local laws and regulations and unanticipated changes in local laws and regulations, including tax laws and regulations, including uncertainty surrounding the United Kingdom’s exit from the European Union;</w:t>
      </w:r>
    </w:p>
    <w:p>
      <w:pPr>
        <w:spacing w:after="0" w:line="62" w:lineRule="exact"/>
        <w:rPr>
          <w:rFonts w:ascii="Arial" w:cs="Arial" w:eastAsia="Arial" w:hAnsi="Arial"/>
          <w:sz w:val="18"/>
          <w:szCs w:val="18"/>
          <w:color w:val="auto"/>
        </w:rPr>
      </w:pPr>
    </w:p>
    <w:p>
      <w:pPr>
        <w:ind w:left="1120" w:right="40" w:hanging="74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 including the recent trade tensions between the U.S. and China that has resulted in higher tariffs on certain semiconductor products;</w:t>
      </w:r>
    </w:p>
    <w:p>
      <w:pPr>
        <w:spacing w:after="0" w:line="62" w:lineRule="exact"/>
        <w:rPr>
          <w:rFonts w:ascii="Arial" w:cs="Arial" w:eastAsia="Arial" w:hAnsi="Arial"/>
          <w:sz w:val="18"/>
          <w:szCs w:val="18"/>
          <w:color w:val="auto"/>
        </w:rPr>
      </w:pPr>
    </w:p>
    <w:p>
      <w:pPr>
        <w:ind w:left="1120" w:right="980" w:hanging="74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fluctuations and exchange losses relating to our international operating activities;</w:t>
      </w:r>
    </w:p>
    <w:p>
      <w:pPr>
        <w:spacing w:after="0" w:line="117" w:lineRule="exact"/>
        <w:rPr>
          <w:rFonts w:ascii="Arial" w:cs="Arial" w:eastAsia="Arial" w:hAnsi="Arial"/>
          <w:sz w:val="18"/>
          <w:szCs w:val="18"/>
          <w:color w:val="auto"/>
        </w:rPr>
      </w:pPr>
    </w:p>
    <w:p>
      <w:pPr>
        <w:ind w:left="1120" w:right="80" w:hanging="748"/>
        <w:spacing w:after="0" w:line="342"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restrictions imposed by the U.S. government or foreign governments on our ability to do business with certain companies or in certain countries as a result of international political conflicts or the COVID-19 pandemic and the complexity of complying with those restrictions;</w:t>
      </w:r>
    </w:p>
    <w:p>
      <w:pPr>
        <w:spacing w:after="0" w:line="15" w:lineRule="exact"/>
        <w:rPr>
          <w:rFonts w:ascii="Arial" w:cs="Arial" w:eastAsia="Arial" w:hAnsi="Arial"/>
          <w:sz w:val="16"/>
          <w:szCs w:val="16"/>
          <w:color w:val="auto"/>
        </w:rPr>
      </w:pPr>
    </w:p>
    <w:p>
      <w:pPr>
        <w:ind w:left="1120" w:right="140" w:hanging="74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staffing international operations;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immigration policies which may impact our ability to hire personnel;</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17" w:lineRule="exact"/>
        <w:rPr>
          <w:rFonts w:ascii="Arial" w:cs="Arial" w:eastAsia="Arial" w:hAnsi="Arial"/>
          <w:sz w:val="18"/>
          <w:szCs w:val="18"/>
          <w:color w:val="auto"/>
        </w:rPr>
      </w:pPr>
    </w:p>
    <w:p>
      <w:pPr>
        <w:ind w:left="1120" w:right="500" w:hanging="74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requirements in foreign countries which may impact availability of personnel, such as mandatory military service in countries such as Ukraine;</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17" w:lineRule="exact"/>
        <w:rPr>
          <w:rFonts w:ascii="Arial" w:cs="Arial" w:eastAsia="Arial" w:hAnsi="Arial"/>
          <w:sz w:val="18"/>
          <w:szCs w:val="18"/>
          <w:color w:val="auto"/>
        </w:rPr>
      </w:pPr>
    </w:p>
    <w:p>
      <w:pPr>
        <w:ind w:left="1120" w:right="180" w:hanging="74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regional health issues and the impact of public health epidemics on employees and the global economy, such as the worldwide COVID-19 pandemic;</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power outages and natural disasters; and</w:t>
      </w:r>
    </w:p>
    <w:p>
      <w:pPr>
        <w:spacing w:after="0" w:line="117" w:lineRule="exact"/>
        <w:rPr>
          <w:rFonts w:ascii="Arial" w:cs="Arial" w:eastAsia="Arial" w:hAnsi="Arial"/>
          <w:sz w:val="18"/>
          <w:szCs w:val="18"/>
          <w:color w:val="auto"/>
        </w:rPr>
      </w:pPr>
    </w:p>
    <w:p>
      <w:pPr>
        <w:ind w:left="1120" w:right="160" w:hanging="74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travel, work-from-home or other restrictions or stoppages, like those currently imposed by governments around the world as a result of the COVID-19 pandemic.</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sales force personnel in Taiwan. If political tensions between China and Taiwan were to increase, it could disrupt our business. In addition, if the political and military situation in Russia and Ukraine, or the relationship between Russia and the United States, significantly worsens, or if either Russia or the United</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ind w:right="40"/>
        <w:spacing w:after="0" w:line="296" w:lineRule="auto"/>
        <w:rPr>
          <w:sz w:val="20"/>
          <w:szCs w:val="20"/>
          <w:color w:val="auto"/>
        </w:rPr>
      </w:pPr>
      <w:r>
        <w:rPr>
          <w:rFonts w:ascii="Arial" w:cs="Arial" w:eastAsia="Arial" w:hAnsi="Arial"/>
          <w:sz w:val="16"/>
          <w:szCs w:val="16"/>
          <w:color w:val="auto"/>
        </w:rPr>
        <w:t>States imposes significant new economic sanctions or restrictions on doing business, and we are restricted or precluded from continuing our operations in Russia or Ukraine, our costs could increase, and our product development efforts, business, financial condition, and results of operations could be significantly harmed. Further, the ongoing COVID-19 pandemic has led to travel, work-from-home and other restrictions, which has significantly impacted our domestic and international operations and the operations of our suppliers, distributors, partners and customers. At this point, the extent to which the COVID-19 pandemic may impact our business is uncertain but it may materially adversely affect our business, financial condition or results of operations.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health epidemics such as the COVID-19 pandemic which could adversely affect our business and results of operations.</w:t>
      </w:r>
    </w:p>
    <w:p>
      <w:pPr>
        <w:spacing w:after="0" w:line="14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business could be materially adversely affected by a widespread outbreak of contagious disease, including the recent COVID-19 pandemic. We currently have employees, third-party contractors, distributors and customers in numerous countries throughout the world that have each been impacted by the COVID-19 pandemic. The COVID-19 pandemic has restricted and is expected to continue to restrict travel and use of our facilities and the facilities of our suppliers, customers, or other vendors in our supply chain, which could impact our business, interactions and relationships with our customers, third-party suppliers and contractors, and results of operations. Although we do not source a significant amount of products or components from China, our third-party suppliers and customers may source materials from China which could indirectly impact our production or demand for our products. In addition to the COVID-19 pandemic, any future outbreak of contagious diseases in the human population could result in a continued widespread health crisis that could adversely affect the economies and financial markets of many countries, resulting in an economic downturn that could reduce the demand for our products and impact our results of operations.</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significant tariffs or other restrictions are placed on Chinese imports or any related counter-measures are taken by China, our revenue and results of operations may be materially harmed.</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significant tariffs or other restrictions are placed on Chinese imports or any related counter-measures are taken by China, our revenue and results of operations may be materially and adversely affected. Between July 2018 and February 2020, the U.S. Trade Representative imposed tariffs on products from China, with current tariff rates between 7.5% and 25%. If the existing tariffs are increased, new tariffs are imposed, or there is a court or governmental agency determination that exposes additional products to the tariffs, we may be required to raise our prices on those products, which may further result in a loss of customers and harm our operating performance. The current U.S. administration has indicated that it may further alter trade agreements and terms between China and the United States, including limiting trade with China and imposing additional tariffs on imports from China. The administration has previously imposed new or additional tariffs on Chinese products with short notice and China has imposed certain retaliatory tariffs. If our products become subject to tariffs or other retaliatory trade measures, it could materially and adversely affect our business and operating results. In the event that these or future tariffs are imposed on imports of our products, or that China or other countries take retaliatory trade measures in response to existing or future tariffs, our business may be impacted and we may be required to raise prices or make changes to our operations, any of which could materially harm our revenue or operating results.</w:t>
      </w:r>
    </w:p>
    <w:p>
      <w:pPr>
        <w:spacing w:after="0" w:line="7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could adversely affect our results of operations.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sales have been historically denominated in U.S. dollars. An increase in the value of the U.S. dollar relative to the currencies of the countries in which our customers operate could impair the ability of our customers to cost-effectively purchase or integrate our solutions into their product offerings, which may materially affect the demand for our solutions and cause these customers to reduce their orders, which in turn would adversely affect our revenue and business. If we increase operations in other currencies in the future, we may experience foreign exchange gains or losses due to the volatility of other currencies compared to the U.S. dollar. Certain of our employees are located in Malaysia, the Netherlands, Taiwan, Japan, and Ukraine, and we have engineering consultants in Russia.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comply with the laws associated with our activities outside of the United States could subject us to penalties and other adverse consequences.</w:t>
      </w:r>
    </w:p>
    <w:p>
      <w:pPr>
        <w:spacing w:after="0" w:line="1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We are in the early stages of implementing our FCPA compliance program and cannot assure you that all of our employees and agents, as well as those companies, to which we outsource certain of our business operations, will not take actions in violation of our policies and applicable law, for which we may be ultimately held responsible.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right="360"/>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6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Our products and technology are subject to U.S. export controls, including the U.S. Department of Commerce’s Export Administration Regulations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in May 2019, the U.S. Department of Commerce added Huawei Technologies Co., Ltd. and certain of its affiliates to the Entity List, banning all exports to Huawei and its listed affiliates of items subject to control under the Export Administration Regulations (“EAR”). Certain exports to Huawei have been permitted under a temporary general license issued by the U.S. Commerce Department, which currently is valid through May 15, 2020. Although we have not had any direct sales with Huawei, we believe, based on sell-through information provided by our distributors, that we have had a small amount of revenue attributable to Huawei. However, to the extent this occurred during or after May 2019, we understand the products were not subject to the EAR.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may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environmental laws or regulations, including conflict minerals rules, could impair our ability to compete in international markets.</w:t>
      </w:r>
    </w:p>
    <w:p>
      <w:pPr>
        <w:spacing w:after="0" w:line="14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product or manufacturing standards could be impacted by new or revised environmental rules and regulations or other social initiatives. For example, the SEC adopted disclosure requirements in 2012 relating to the sourcing of certain minerals from the Democratic Republic of Congo and certain other adjoining countries. These rules, which required reporting starting in 2014, could adversely affect our costs, the availability of minerals used in our products, and our relationships with customers and suppliers. Also, since our supply chain is complex, we may face reputational challenges with our customers, stockholders, and other stakeholders if we are unable to sufficiently verify the origins for any conflict minerals used in the products that we sell.</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future changes to U.S. and non-U.S. tax laws could materially adversely affect us.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New or future changes in tax laws, regulations, and treaties, or the interpretation thereof, in addition to tax regulations enacted but not in effect, tax policy initiatives and reforms under consideration in the United States or related to the Organisation for Economic Co-operation and Development’s (“OECD”), Base Erosion and Profit Shifting (“BEPS”), Project,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 Project, which could affect international businesses, and other countries have become more aggressive in their approach to audits and enforcement of their applicable tax laws. On December 22, 2017, the U.S. federal government enacted the Tax Cuts and Jobs Act (the “Tax Act”), which made substantial changes to U.S. tax laws, the consequences of which have not yet been fully determined and may be adverse to our business.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6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 tax authority may disagree with tax positions that we have taken. For example, the Internal Revenue Service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right="80"/>
        <w:spacing w:after="0" w:line="263" w:lineRule="auto"/>
        <w:rPr>
          <w:sz w:val="20"/>
          <w:szCs w:val="20"/>
          <w:color w:val="auto"/>
        </w:rPr>
      </w:pPr>
      <w:r>
        <w:rPr>
          <w:rFonts w:ascii="Arial" w:cs="Arial" w:eastAsia="Arial" w:hAnsi="Arial"/>
          <w:sz w:val="18"/>
          <w:szCs w:val="18"/>
          <w:color w:val="auto"/>
        </w:rPr>
        <w:t>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such as fire, power loss, telecommunications failure, cyber-attack, war, terrorist attack, political, social, or economic unrest, or disease outbreak, such as the current COVID-19 pandemic,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federal, and foreign laws and regulations related to privacy, data use, and security could adversely affect us.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are subject to state and federal laws and regulations related to privacy, data use, and security.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 time to time, Congress has considered, and may do so again, legislation establishing requirements for data security and response to data breaches that, if implemented, could affect us by increasing our costs of doing business. In addition, several states have enacted privacy or security breach legislation requiring varying levels of consumer notification in the event of a security breach. For example, California passed the California Consumer Privacy Act (“CCPA”), which enhances consumer protection and privacy rights by granting consumers resident in California new rights with respect to the collection of their personal data and imposing new operational requirements on businesses, went into effect in January 2020. The CCPA includes a statutory damages framework and private rights of action against businesses that fail to comply with certain CCPA terms or implement reasonable security procedures and practices to prevent data breaches. Several other states are considering similar legislation.</w:t>
      </w:r>
    </w:p>
    <w:p>
      <w:pPr>
        <w:spacing w:after="0" w:line="7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Foreign governments are raising similar privacy and data security concerns. In particular, the European Union has enacted a General Data Protection Regulation (“GDPR”), which became effective in May 2018. It is unclear how compliance with GDPR will affect our business. China, Russia, Japan, and other countries in Latin America and Asia are also strengthening their privacy laws and the enforcement of privacy and data security requirements. Complying with such laws and regulations may be time-consuming and require additional resources, and could therefore adversely affect our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Breaches or other disruptions of our security systems may damage our reputation and adversely affect our business.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security systems are designed to protect our customers’, suppliers’, and employees’ confidential information, as well as maintain the physical security of our facilities. 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These technologies are subject to failure, including as a result of an inability to have such technologies properly supported, updated, expanded, or integrated into other technologies. These technologies may also contain open source and third-party software which may unbeknownst to us contain defects or viruses.</w:t>
      </w:r>
    </w:p>
    <w:p>
      <w:pPr>
        <w:spacing w:after="0" w:line="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Any security breaches or other unauthorized access by third parties to the systems of our cloud-based service providers or the existence of computer viruses in their data or software could expose us to a risk of information loss and misappropriation of confidential information. Accidental or willful security breaches or other unauthorized access by third parties to our information systems or facilities, or the existence of computer viruses in our data or software could expose us to a risk of information loss, misappropriation of proprietary and confidential information, as well as work stoppages or disruptions. Any theft or misuse of this information could result in, among other things, unfavorable publicity, damage to our reputation, difficulty in marketing our products, allegations by our customers that we have not performed our contractual obligations, regulatory fines or penalties, litigation by affected parties and possible financial obligations for liabilities and damages related to the theft or misuse of this information, any of which could have an adverse effect on our business, financial condition, results of operations, reputation, and relationships with our customers and suppliers. Cybersecurity threats, which include computer viruses, spyware and malware, attempts to access information, denial of service attacks, and other electronic security breaches, are persistent and evolve quickly. Such threats have increased in frequency, scope, and potential impact in recent years. Since the techniques used to obtain unauthorized access or to sabotage systems change frequently and are often not recognized until after they are launched against a target, we may be unable to anticipate these techniques or to implement adequate preventative measures.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March 31, 2020, we had 62 issued U.S. patents, expiring generally between 2026 and 2038, and 29 pending U.S. patent applications (including three provisional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our competitors,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Many U.S.-based companies have encountered substantial third-party intellectual property infringement in foreign countries, including countries where we sell products. Even if foreign patents are granted, effective enforcement in foreign countries may not be available.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spacing w:after="0" w:line="28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If we were to lose the benefit of these patents or other licensed technology used in our business, it could harm our business and our ability to compete.</w:t>
      </w:r>
    </w:p>
    <w:p>
      <w:pPr>
        <w:spacing w:after="0" w:line="7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8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4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ind w:right="200"/>
        <w:spacing w:after="0" w:line="308" w:lineRule="auto"/>
        <w:rPr>
          <w:sz w:val="20"/>
          <w:szCs w:val="20"/>
          <w:color w:val="auto"/>
        </w:rPr>
      </w:pPr>
      <w:r>
        <w:rPr>
          <w:rFonts w:ascii="Arial" w:cs="Arial" w:eastAsia="Arial" w:hAnsi="Arial"/>
          <w:sz w:val="17"/>
          <w:szCs w:val="17"/>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For example, in March 2019, VTT Technical Research Centre of Finland, Ltd. filed suit in the United States District Court for the Northern District of California alleging infringement by us of a patent. We have not accrued for a loss contingency relating to this matter. For more information regarding this matter, see Note 10 in Notes to Unaudited Condensed Consolidated Financial Statements in Item 1 of Part I of this Report.</w:t>
      </w:r>
    </w:p>
    <w:p>
      <w:pPr>
        <w:spacing w:after="0" w:line="8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5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76" w:lineRule="exact"/>
        <w:rPr>
          <w:sz w:val="20"/>
          <w:szCs w:val="20"/>
          <w:color w:val="auto"/>
        </w:rPr>
      </w:pPr>
    </w:p>
    <w:p>
      <w:pPr>
        <w:ind w:left="1120" w:hanging="74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cease the manufacture, use or sale of the applicable products, processes, or technology;</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substantial damages for infringement by us or our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17" w:lineRule="exact"/>
        <w:rPr>
          <w:rFonts w:ascii="Arial" w:cs="Arial" w:eastAsia="Arial" w:hAnsi="Arial"/>
          <w:sz w:val="18"/>
          <w:szCs w:val="18"/>
          <w:color w:val="auto"/>
        </w:rPr>
      </w:pPr>
    </w:p>
    <w:p>
      <w:pPr>
        <w:ind w:left="1120" w:right="80" w:hanging="74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license technology from the third party claiming infringement, which license may not be available on commercially reasonable terms, or at all;</w:t>
      </w:r>
    </w:p>
    <w:p>
      <w:pPr>
        <w:spacing w:after="0" w:line="62" w:lineRule="exact"/>
        <w:rPr>
          <w:rFonts w:ascii="Arial" w:cs="Arial" w:eastAsia="Arial" w:hAnsi="Arial"/>
          <w:sz w:val="18"/>
          <w:szCs w:val="18"/>
          <w:color w:val="auto"/>
        </w:rPr>
      </w:pPr>
    </w:p>
    <w:p>
      <w:pPr>
        <w:ind w:left="1120" w:right="640" w:hanging="74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w:t>
      </w:r>
    </w:p>
    <w:p>
      <w:pPr>
        <w:spacing w:after="0" w:line="62" w:lineRule="exact"/>
        <w:rPr>
          <w:rFonts w:ascii="Arial" w:cs="Arial" w:eastAsia="Arial" w:hAnsi="Arial"/>
          <w:sz w:val="18"/>
          <w:szCs w:val="18"/>
          <w:color w:val="auto"/>
        </w:rPr>
      </w:pPr>
    </w:p>
    <w:p>
      <w:pPr>
        <w:ind w:left="1120" w:right="40" w:hanging="74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 or</w:t>
      </w:r>
    </w:p>
    <w:p>
      <w:pPr>
        <w:spacing w:after="0" w:line="62" w:lineRule="exact"/>
        <w:rPr>
          <w:rFonts w:ascii="Arial" w:cs="Arial" w:eastAsia="Arial" w:hAnsi="Arial"/>
          <w:sz w:val="18"/>
          <w:szCs w:val="18"/>
          <w:color w:val="auto"/>
        </w:rPr>
      </w:pPr>
    </w:p>
    <w:p>
      <w:pPr>
        <w:ind w:left="1120" w:right="40" w:hanging="74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substantial damages to our customers or end users to discontinue their use of or to replace infringing technology sold to them with non-infringing technology, if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results could adversely affect our business, financial condition, and results of operations.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any potential dispute involving patents or other intellectual property, our customers could also become the target of litigation. Our agreements with customers and other third 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spacing w:after="0" w:line="5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9" w:name="page40"/>
    <w:bookmarkEnd w:id="39"/>
    <w:p>
      <w:pPr>
        <w:ind w:right="40"/>
        <w:spacing w:after="0" w:line="293" w:lineRule="auto"/>
        <w:rPr>
          <w:sz w:val="20"/>
          <w:szCs w:val="20"/>
          <w:color w:val="auto"/>
        </w:rPr>
      </w:pPr>
      <w:r>
        <w:rPr>
          <w:rFonts w:ascii="Arial" w:cs="Arial" w:eastAsia="Arial" w:hAnsi="Arial"/>
          <w:sz w:val="16"/>
          <w:szCs w:val="16"/>
          <w:color w:val="auto"/>
        </w:rPr>
        <w:t>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 with MegaChips Corporation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long as MegaChips controls us, your ability to influence matters requiring stockholder approval will be limited.</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MegaChips owns 10,000,000 shares of our common stock, representing approximately 66.4% of our outstanding common stock as of March 31, 2020. For so long as MegaChips continues to hold at least 50% of our outstanding common stock, MegaChips is expected to continue to hold at least one out of seven seats on our board of directors. For so long as MegaChips, its successors in interest, and its subsidiaries hold at least a majority of our outstanding common stock, MegaChips will be able to elect the members of our board of directors and could at any time replace our entire board of directors.</w:t>
      </w:r>
    </w:p>
    <w:p>
      <w:pPr>
        <w:spacing w:after="0" w:line="4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addition, until such time as MegaChips, its successors in interest, and its subsidiaries collectively own less than a majority of the shares of all of our common stock then outstanding, MegaChips will have the ability to take stockholder action without the vote of any other stockholder, and other stockholders will not be able to affect the outcome of any stockholder vote during this period. As a result, MegaChips will have the ability to control all matters affecting us, including:</w:t>
      </w:r>
    </w:p>
    <w:p>
      <w:pPr>
        <w:spacing w:after="0" w:line="79" w:lineRule="exact"/>
        <w:rPr>
          <w:sz w:val="20"/>
          <w:szCs w:val="20"/>
          <w:color w:val="auto"/>
        </w:rPr>
      </w:pPr>
    </w:p>
    <w:p>
      <w:pPr>
        <w:ind w:left="1120" w:right="60" w:hanging="74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our board of directors, any determination with respect to our business plans and policies, including the appointment and removal of our officers;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determinations with respect to mergers and other business combinations;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acquisition or disposition of assets;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financing activities;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allocation of business opportunities that may be suitable for us and MegaChips;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available for issuance under our stock plans.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MegaChips’ voting control may discourage transactions involving a change of control of us, including transactions in which you as a holder of our common stock might otherwise receive a premium for your shares over the then current market price.</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MegaChips is not prohibited from selling a controlling interest in us to a third party and may do so without your approval and without providing for a purchase of your shares of common stock. Accordingly, your shares of common stock may be worth less than they would be if MegaChips did not maintain voting control over us.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impacted by risks associated with MegaChips and third parties may seek to hold us responsible for liabilities of MegaChips.</w:t>
      </w:r>
    </w:p>
    <w:p>
      <w:pPr>
        <w:spacing w:after="0" w:line="1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may be negatively impacted by events affecting MegaChips. For example, if MegaChips were subject to shareholder or other litigation or takeover activity, it could disrupt our business and operations. In addition, third parties may seek to hold us responsible for MegaChips’ liabilities, particularly as a public company in the U.S. with an increased profile and visibility. However, if those liabilities are significant and we are ultimately held liable for them, we cannot assure you that we will be able to recover the full amount of our losses from MegaChips. This in turn may adversely affect our business, financial condition, and results of operations. Further, we may also be subject to risks associated with changes in Japanese laws and regulations, which may impact us as a subsidiary of a Japanese company.</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inability to resolve any disputes that arise between us and MegaChips with respect to our past and ongoing relationships may adversely affect our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Disputes may arise between MegaChips and us in a number of areas relating to our past and ongoing relationships, including:</w:t>
      </w:r>
    </w:p>
    <w:p>
      <w:pPr>
        <w:spacing w:after="0" w:line="117" w:lineRule="exact"/>
        <w:rPr>
          <w:sz w:val="20"/>
          <w:szCs w:val="20"/>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our separation from MegaChips;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or distributions by MegaChips of all or any portion of its ownership interest in us;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nature, quality, and pricing of services MegaChips has agreed to provide us;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MegaChips and us.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may not be able to resolve any potential conflicts, and even if we do, the resolution may be less favorable than if we were dealing with an unaffiliated party.</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ind w:right="60"/>
        <w:spacing w:after="0" w:line="293" w:lineRule="auto"/>
        <w:rPr>
          <w:sz w:val="20"/>
          <w:szCs w:val="20"/>
          <w:color w:val="auto"/>
        </w:rPr>
      </w:pPr>
      <w:r>
        <w:rPr>
          <w:rFonts w:ascii="Arial" w:cs="Arial" w:eastAsia="Arial" w:hAnsi="Arial"/>
          <w:sz w:val="16"/>
          <w:szCs w:val="16"/>
          <w:color w:val="auto"/>
        </w:rPr>
        <w:t>We currently have a loan agreement with MegaChips. As of March 31, 2020, there is no outstanding balance under this loan (the “MegaChips Loan”). The MegaChips Loan bears interest at a rate equal to the interest rate at which MegaChips procured the funds from Sumitomo Mitsui Banking Corporation (“SMBC”), plus 0.09%. MegaChips has discretion whether to accept our request for a loan. We have also entered into a distribution agreement with MegaChips under which MegaChips has the exclusive right to promote, market, and sell our products in Japan as the exclusive distributor. The agreements we entered into with MegaChips may be amended upon agreement between the parties. Because we are controlled by MegaChips, we may not have the leverage to negotiate amendments to these agreements on terms as favorable to us compared to those we would negotiate with an unaffiliated third party.</w:t>
      </w:r>
    </w:p>
    <w:p>
      <w:pPr>
        <w:spacing w:after="0" w:line="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MegaChips guarantees our obligations under our revolving line of credit with The Bank of Tokyo-Mitsubishi UFJ, Ltd. (“MUFG”), which has an aggregate principal amount of up to $50.0 million, and our revolving line of credit with SMBC which has an aggregate principal amount of up to $20.0 million. We may not have the leverage to negotiate terms favorable to us under these agreements, as we are no longer a wholly owned subsidiary of MegaChips.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could be potential conflicts of interest between us and affiliates of MegaChips, which could impact our business and operating results.</w:t>
      </w:r>
    </w:p>
    <w:p>
      <w:pPr>
        <w:spacing w:after="0" w:line="14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Some of our directors and executive officers own MegaChips’ common stock and restricted stock units. In addition, some of our directors are executive officers and/or directors of MegaChips. Ownership of MegaChips securities by our directors and officers and the presence of executive officers or directors of MegaChips on our board of directors could create, or appear to create, conflicts of interest with respect to matters involving both us and MegaChips. For example, corporate opportunities may arise that concern both of our businesses, such as the potential acquisition of a particular business or technology that is complementary to both of our businesses. In addition, we have not established at this time any procedural mechanisms to address actual or perceived conflicts of interest of such directors and officers and expect that our board of directors, in the exercise of its fiduciary duties, will determine how to address any actual or perceived conflicts of interest on a case-by-case basis. If any corporate opportunity arises and if our directors and officers do not pursue it on our behalf pursuant to the provisions in our amended and restated certificate of incorporation, we may not become aware of, and may potentially lose, a significant business opportunity.</w:t>
      </w:r>
    </w:p>
    <w:p>
      <w:pPr>
        <w:spacing w:after="0" w:line="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MegaChips is listed on the Tokyo Stock Exchange and is therefore subject to disclosure and reporting obligations in Japan that may vary from the disclosure and reporting obligations to which we are subject, as well as the timing of such disclosure and reporting obligations. For example, MegaChips may be required to include financial information regarding us in its consolidated financial statements prior to the time we may otherwise be required to file a periodic report relating to our financial information for a given fiscal period. This in turn may cause confusion for our common stockholders.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MegaChips may at any time replace our entire board of directors. As a result, unless and until MegaChips, its successors in interest, and its subsidiaries collectively own less than a majority of our common stock then outstanding, MegaChips could effectively control and direct our board of directors, which in turn may create issues if and to the extent our interests and those of MegaChips diverge. Under these circumstances, persons who might otherwise accept our invitation to join our board of directors may decline.</w:t>
      </w:r>
    </w:p>
    <w:p>
      <w:pPr>
        <w:spacing w:after="0" w:line="79"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listing rules and as such are exempt from certain corporate governance requirements.</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a result of MegaChips’ holding more than 50% of the voting power for our board of directors described above, we are a “controlled company” within the meaning of the listing rules of The Nasdaq Stock Market LLC (the “Nasdaq listing rules”). Therefore, we are not required to comply with certain corporate governance rules that would otherwise apply to us as a listed company on The Nasdaq Stock Market LLC (“Nasdaq”), including the requirement that compensation committee and nominating and corporate governance committee be composed entirely of “independent” directors (as defined by the Nasdaq listing rules). As a “controlled company” our board of directors is not required to include a majority of “independent” directors. Should the interests of MegaChips differ from those of other stockholders, it is possible that the other stockholders might not be afforded such protections as might exist if our board of directors, or such committees, were required to have a majority, or be composed exclusively, of directors who were independent of MegaChips or our management.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may decline, resulting in a loss of some or all of your investment.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trading price and volume of our common stock is likely to be volatile and could fluctuate significantly in response to numerous factors, many of which are beyond our control, including:</w:t>
      </w:r>
    </w:p>
    <w:p>
      <w:pPr>
        <w:spacing w:after="0" w:line="62" w:lineRule="exact"/>
        <w:rPr>
          <w:sz w:val="20"/>
          <w:szCs w:val="20"/>
          <w:color w:val="auto"/>
        </w:rPr>
      </w:pPr>
    </w:p>
    <w:p>
      <w:pPr>
        <w:ind w:left="1120" w:right="180" w:hanging="74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due to, among other things, changes in customer demand, product life cycles, pricing, ordering patterns, and unforeseen operating costs;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these projections or our failure to meet these projections;</w:t>
      </w:r>
    </w:p>
    <w:p>
      <w:pPr>
        <w:spacing w:after="0" w:line="128" w:lineRule="exact"/>
        <w:rPr>
          <w:rFonts w:ascii="Arial" w:cs="Arial" w:eastAsia="Arial" w:hAnsi="Arial"/>
          <w:sz w:val="17"/>
          <w:szCs w:val="17"/>
          <w:color w:val="auto"/>
        </w:rPr>
      </w:pPr>
    </w:p>
    <w:p>
      <w:pPr>
        <w:ind w:left="1120" w:right="200" w:hanging="74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our significant customers of changes to their product offerings, business plans, or strategies;</w:t>
      </w:r>
    </w:p>
    <w:p>
      <w:pPr>
        <w:spacing w:after="0" w:line="117" w:lineRule="exact"/>
        <w:rPr>
          <w:rFonts w:ascii="Arial" w:cs="Arial" w:eastAsia="Arial" w:hAnsi="Arial"/>
          <w:sz w:val="18"/>
          <w:szCs w:val="18"/>
          <w:color w:val="auto"/>
        </w:rPr>
      </w:pPr>
    </w:p>
    <w:p>
      <w:pPr>
        <w:ind w:left="1120" w:right="220" w:hanging="74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2" w:lineRule="exact"/>
        <w:rPr>
          <w:rFonts w:ascii="Arial" w:cs="Arial" w:eastAsia="Arial" w:hAnsi="Arial"/>
          <w:sz w:val="18"/>
          <w:szCs w:val="18"/>
          <w:color w:val="auto"/>
        </w:rPr>
      </w:pPr>
    </w:p>
    <w:p>
      <w:pPr>
        <w:ind w:left="1120" w:right="440" w:hanging="74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the semiconductor industry;</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timing and seasonality of the end-market demand;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 including as a result of trends in the economy as a whole;</w:t>
      </w:r>
    </w:p>
    <w:p>
      <w:pPr>
        <w:spacing w:after="0" w:line="128" w:lineRule="exact"/>
        <w:rPr>
          <w:rFonts w:ascii="Arial" w:cs="Arial" w:eastAsia="Arial" w:hAnsi="Arial"/>
          <w:sz w:val="17"/>
          <w:szCs w:val="17"/>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lawsuits threatened or filed against us;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the COVID-19 pandemic or responses to these events.</w:t>
      </w:r>
    </w:p>
    <w:p>
      <w:pPr>
        <w:spacing w:after="0" w:line="14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future sales of our common stock could cause the market price of our common stock to decline.</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market price of our common stock could decline as a result of substantial sales of our common stock, particularly sales by our directors, executive officers, and significant stockholders, including MegaChips, a large number of shares of our common stock becoming available for sale or the perception in the market that holders of a large number of shares intend to sell their shares. As of April 14, 2020, 15,060,619 shares of common stock were outstanding. Except as described below, all of the shares of common stock are freely transferable without restriction or additional registration under the Securities Act of 1933, as amended, or the Securities Act. Subject to the restrictions under Rule 144 under the Securities Act, approximately 10.2 million shares of our common stock will be eligible for sale beginning May 19, 2020 upon the expiration of market stand-off provisions or lock-up agreements entered into in connection with our initial public offering. The market price of our common stock could decline if the holders of those shares sell them or are perceived by the market as intending to sell them.</w:t>
      </w:r>
    </w:p>
    <w:p>
      <w:pPr>
        <w:spacing w:after="0" w:line="8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Certain members of our management, including certain of our executive officers, purchased in the aggregate 86,923 shares of our common stock in our initial public offering. Any such shares purchased by individuals who are considered to be our affiliates cannot be freely resold in the public market as a result of restrictions under securities laws, but will be able to be sold following the expiration of the restrictions contained in the lock-up agreements described above that our executive officers and directors have entered into and subject to Rule 144</w:t>
      </w:r>
    </w:p>
    <w:p>
      <w:pPr>
        <w:spacing w:after="0" w:line="63"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As of March 31, 2020, MegaChips holds 10,000,000 shares of our common stock. We have also registered shares of common stock that we may issue under our employee equity incentive plans. These shares may be sold freely in the public market upon issuance, subject to existing market stand-off or lock-up agreements and relevant vesting schedules.</w:t>
      </w:r>
    </w:p>
    <w:p>
      <w:pPr>
        <w:spacing w:after="0" w:line="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common stock, publish negative research or reports, or fail to publish reports about our business, our stock price and trading volume could decline.</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market price and trading market for our common stock will be influenced by the research and reports that industry or securities analysts publish about us, our business and our market. If one or more analysts adversely change their recommendation regarding our stock or change their recommendation about our competitors’ stock, our stock price would likely decline. If one or more analysts cease coverage of us or fail to regularly publish reports on us, we could lose visibility in the financial markets which in turn could cause our stock price or trading volume to decline. In addition, if our operating results fail to meet the expectations created by securities analysts’ reports, our stock price could decline.</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changes in the value of our common stock.</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Although our existing loan agreements do not contain restrictions on our ability to pay dividends or make distributions, we may in the future amend our existing loan agreements or enter into agreements that contain such restrictions. Any return to stockholders will therefore be limited to the increase, if any, in our stock price, which may never occur.</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14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As of December 31, 2019, we had U.S. federal and state net operating loss (“NOL”), carryforwards of approximately $156.5 million and $63.7 million, respectively, and U.S. federal and state research and development tax credit carryforwards of approximately $3.9 million and $3.6 million, respectively. The U.S. federal NOL carryforwards begin to expire in 2025 and the state NOL carryforwards begin to expire in 2028. The U.S. federal research and development tax credit carryforwards begin to expire in 2025 and the state research and development tax credit carryforwards carry forward indefinitely. These net operating loss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 Section 382 analysis and determined an ownership change occurred in 2014 and concluded that it had no impact on U.S. federal and California net operating losses or on U.S. federal research and development credits. Our recent initial public offering did not result in a change in ownership of greater than 50%. We may experience ownership changes in the future as a result of subsequent shifts in our stock ownership, some of which may be outside of our control. If we determine that an ownership change has occurred and our ability to use our historical net operating loss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not meet our guidance and expectations, which would likely cause our stock price to decline.</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such as the uncertainty around the impact of the COVID-19 pandemic. The principal reason that we expect to release guidance is to provide a basis for our management to discuss our business outlook with analysts and stockholders. With or without our guidance, analysts, and other third parties may publish expectations regarding our business, financial condition, and results of operations. We do not accept any responsibility for any projections or reports published by any such third parties. Guidance is necessarily speculative in nature, and it can be expected that some or all of the assumptions of the guidance furnished by us will not materialize or will vary significantly from actual results. If our actual performance does not meet or exceed our guidance or expectations, the trading price of our common stock is likely to decline.</w:t>
      </w:r>
    </w:p>
    <w:p>
      <w:pPr>
        <w:spacing w:after="0" w:line="7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incur increased costs and demands on management as a result of compliance with laws and regulations applicable to public companies, which could harm our operating results.</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As a public company we incur significant legal, accounting, and other expenses, including costs associated with public company reporting requirements. Our management team and other personnel will need to devote a substantial amount of time to, and we may not effectively or efficiently manage our transition into a public company.</w:t>
      </w:r>
    </w:p>
    <w:p>
      <w:pPr>
        <w:spacing w:after="0" w:line="7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intend to hire additional accounting and finance personnel with system implementation experience and expertise regarding compliance with the Sarbanes-Oxley Act. We may be unable to locate and hire qualified professionals with requisite technical and public company experience when and as needed. In addition, new employees will require time and training to learn our business and operating processes and procedures. If we are unable to recruit and retain additional finance personnel or if our finance and accounting team is unable for any reason to respond adequately to the increased demands that will result from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our stock price to decline and could harm our business, financial condition, and results of operations.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right="60"/>
        <w:spacing w:after="0" w:line="259" w:lineRule="auto"/>
        <w:rPr>
          <w:sz w:val="20"/>
          <w:szCs w:val="20"/>
          <w:color w:val="auto"/>
        </w:rPr>
      </w:pPr>
      <w:r>
        <w:rPr>
          <w:rFonts w:ascii="Arial" w:cs="Arial" w:eastAsia="Arial" w:hAnsi="Arial"/>
          <w:sz w:val="18"/>
          <w:szCs w:val="18"/>
          <w:color w:val="auto"/>
        </w:rPr>
        <w:t>If we fail to strengthen our financial reporting systems, infrastructure, and internal control over financial reporting to meet the demands that will be placed upon us as a public company, including the requirements of the Sarbanes-Oxley Act, we may be unable to report our financial results timely and accurately or prevent fraud. We expect to incur significant expense and devote substantial management effort toward ensuring compliance with Section 404 of the Sarbanes-Oxley Act (“Section 404”).</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additional regulatory compliance requirements, including Section 404, and if we fail to maintain an effective system of internal controls, we may not be able to accurately report our financial results or prevent fraud.</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Rules and regulations such as the Sarbanes-Oxley Act have increased our legal and finance compliance costs and made some activities more time-consuming and costly. For example, Section 404 requires that our management report on, and our independent auditors attest to, the effectiveness of our internal control structure and procedures for financial reporting. However, our auditors will not be required to formally attest to the effectiveness of our internal control over financial reporting pursuant to Section 404 until we are no longer an “emerging growth company,” as defined in the JOBS Act. Effective internal controls are necessary for us to provide reliable financial reports and effectively prevent fraud. Section 404 compliance may divert internal resources and will take a significant amount of time and effort to complete. We may not be able to successfully complete the procedures and certification and attestation requirements of Section 404 by the time we will be required to do so. Implementing these changes may take a significant amount of time and may require specific compliance training of our personnel. In the future, we may discover areas of our internal controls that need improvement. If our auditors or we discover a material weakness or significant deficiency, the disclosure of that fact, even if quickly remedied, could reduce the market’s confidence in our consolidated financial statements and harm our stock price. Any inability to provide reliable financial reports or prevent fraud would harm our business. We may not be able to effectively and timely implement necessary control changes and employee training to ensure continued compliance with the Sarbanes-Oxley Act and other regulatory and reporting requirements. If we fail to successfully complete the procedures and certification and attestation requirements of Section 404, or if in the future our Chief Executive Officer, Chief Financial Officer or independent registered public accounting firm determines that our internal controls over financial reporting are not effective as defined under Section 404, we could be subject to investigations or sanctions by Nasdaq, the SEC or other regulatory authorities. Furthermore, perceptions of the company may suffer, and this could cause a decline in the market price of our shares of common stock. We cannot assure you that we will be able to fully comply with the requirements of the Sarbanes-Oxley Act or that management or, when applicable, our auditors will conclude that our internal controls are effective in future periods. Irrespective of compliance with Section 404, any failure of our internal controls could have a material adverse effect on our stated results of operations and harm our reputation.</w:t>
      </w:r>
    </w:p>
    <w:p>
      <w:pPr>
        <w:spacing w:after="0" w:line="80"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an “emerging growth company,” as defined in the JOBS Act.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spacing w:after="0" w:line="8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76"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Provisions in our certificate of incorporation and bylaws may have the effect of delaying or preventing a change of control or changes in our management.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and bylaws include provisions that:</w:t>
      </w:r>
    </w:p>
    <w:p>
      <w:pPr>
        <w:spacing w:after="0" w:line="103" w:lineRule="exact"/>
        <w:rPr>
          <w:sz w:val="20"/>
          <w:szCs w:val="20"/>
          <w:color w:val="auto"/>
        </w:rPr>
      </w:pPr>
    </w:p>
    <w:p>
      <w:pPr>
        <w:ind w:left="1120" w:right="440" w:hanging="748"/>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left="1120" w:right="20" w:hanging="74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Chief Executive Officer;</w:t>
      </w:r>
    </w:p>
    <w:p>
      <w:pPr>
        <w:spacing w:after="0" w:line="62" w:lineRule="exact"/>
        <w:rPr>
          <w:rFonts w:ascii="Arial" w:cs="Arial" w:eastAsia="Arial" w:hAnsi="Arial"/>
          <w:sz w:val="18"/>
          <w:szCs w:val="18"/>
          <w:color w:val="auto"/>
        </w:rPr>
      </w:pPr>
    </w:p>
    <w:p>
      <w:pPr>
        <w:ind w:left="1120" w:right="20" w:hanging="74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by a majority of directors then in office, even if less than a quorum; and</w:t>
      </w:r>
    </w:p>
    <w:p>
      <w:pPr>
        <w:spacing w:after="0" w:line="128" w:lineRule="exact"/>
        <w:rPr>
          <w:rFonts w:ascii="Arial" w:cs="Arial" w:eastAsia="Arial" w:hAnsi="Arial"/>
          <w:sz w:val="17"/>
          <w:szCs w:val="17"/>
          <w:color w:val="auto"/>
        </w:rPr>
      </w:pPr>
    </w:p>
    <w:p>
      <w:pPr>
        <w:ind w:left="1120" w:right="420" w:hanging="74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capital stock to amend our bylaws and certain provisions of our certificate of incorporation.</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8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Our bylaws designate the Court of Chancery of the State of Delaware as the sole and exclusive forum for certain types of actions and proceedings that may be initiated by our stockholders, which could limit our stockholders’ ability to obtain what they believe to be a favorable judicial forum for disputes with us or our directors, officers, or other employees.</w:t>
      </w:r>
    </w:p>
    <w:p>
      <w:pPr>
        <w:spacing w:after="0" w:line="7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Nothing in our amended and restated bylaws precludes stockholders that assert claims under the Securities Act or the Exchange Act, from bringing such claims in state or federal court, subject to applicable law.</w:t>
      </w:r>
    </w:p>
    <w:p>
      <w:pPr>
        <w:spacing w:after="0" w:line="5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documents listed below are filed (or furnished, as noted) as exhibits to this Quarterly Report on Form 10-Q:</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60" w:type="dxa"/>
            <w:vAlign w:val="bottom"/>
            <w:gridSpan w:val="11"/>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6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9760" w:type="dxa"/>
            <w:vAlign w:val="bottom"/>
            <w:tcBorders>
              <w:top w:val="single" w:sz="8" w:color="auto"/>
              <w:bottom w:val="single" w:sz="8" w:color="0000EE"/>
            </w:tcBorders>
            <w:gridSpan w:val="12"/>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Restated Certificate of Incorporation of SiTime Corporate (the “Company”) (incorporated by reference to Exhibit 3.1 to the Company’s</w:t>
              </w:r>
            </w:hyperlink>
          </w:p>
        </w:tc>
        <w:tc>
          <w:tcPr>
            <w:tcW w:w="440" w:type="dxa"/>
            <w:vAlign w:val="bottom"/>
            <w:tcBorders>
              <w:top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17"/>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Current Report on Form 8-K filed November 26, 2019)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jc w:val="right"/>
              <w:ind w:right="29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9820" w:type="dxa"/>
            <w:vAlign w:val="bottom"/>
            <w:tcBorders>
              <w:bottom w:val="single" w:sz="8" w:color="0000EE"/>
            </w:tcBorders>
            <w:gridSpan w:val="13"/>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Amended and Restated Bylaws of the Company (incorporated by reference to Exhibit 32 to the Company’s Current Report on Form 8-K</w:t>
              </w:r>
            </w:hyperlink>
          </w:p>
        </w:tc>
        <w:tc>
          <w:tcPr>
            <w:tcW w:w="3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17"/>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filed November 26, 2019).</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jc w:val="right"/>
              <w:ind w:right="292"/>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00" w:type="dxa"/>
            <w:vAlign w:val="bottom"/>
            <w:gridSpan w:val="17"/>
          </w:tcPr>
          <w:p>
            <w:pPr>
              <w:spacing w:after="0"/>
              <w:rPr>
                <w:rFonts w:ascii="Arial" w:cs="Arial" w:eastAsia="Arial" w:hAnsi="Arial"/>
                <w:sz w:val="18"/>
                <w:szCs w:val="18"/>
                <w:color w:val="0000EE"/>
                <w:w w:val="92"/>
              </w:rPr>
            </w:pPr>
            <w:hyperlink r:id="rId76">
              <w:r>
                <w:rPr>
                  <w:rFonts w:ascii="Arial" w:cs="Arial" w:eastAsia="Arial" w:hAnsi="Arial"/>
                  <w:sz w:val="18"/>
                  <w:szCs w:val="18"/>
                  <w:color w:val="0000EE"/>
                  <w:w w:val="92"/>
                </w:rPr>
                <w:t>Form of Common Stock Certificate of the Company ((incorporated by reference to Exhibit 4.1 to the Company’s Registration Statement on</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Form S-1 (File No. 333-234305) (the “S-1”)).</w:t>
              </w:r>
            </w:hyperlink>
          </w:p>
        </w:tc>
        <w:tc>
          <w:tcPr>
            <w:tcW w:w="6720" w:type="dxa"/>
            <w:vAlign w:val="bottom"/>
            <w:tcBorders>
              <w:top w:val="single" w:sz="8" w:color="0000EE"/>
            </w:tcBorders>
            <w:gridSpan w:val="12"/>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jc w:val="right"/>
              <w:ind w:right="292"/>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200" w:type="dxa"/>
            <w:vAlign w:val="bottom"/>
            <w:gridSpan w:val="17"/>
          </w:tcPr>
          <w:p>
            <w:pPr>
              <w:spacing w:after="0"/>
              <w:rPr>
                <w:rFonts w:ascii="Arial" w:cs="Arial" w:eastAsia="Arial" w:hAnsi="Arial"/>
                <w:sz w:val="18"/>
                <w:szCs w:val="18"/>
                <w:color w:val="0000EE"/>
                <w:w w:val="96"/>
              </w:rPr>
            </w:pPr>
            <w:hyperlink r:id="rId77">
              <w:r>
                <w:rPr>
                  <w:rFonts w:ascii="Arial" w:cs="Arial" w:eastAsia="Arial" w:hAnsi="Arial"/>
                  <w:sz w:val="18"/>
                  <w:szCs w:val="18"/>
                  <w:color w:val="0000EE"/>
                  <w:w w:val="96"/>
                </w:rPr>
                <w:t>Description of Securities Registered Pursuant to Section 12 of the Securities Exchange Act of 1934 (incorporated by reference to the</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Company’s Annual Report on Form 10-k filed March 2, 2020).</w:t>
              </w:r>
            </w:hyperlink>
          </w:p>
        </w:tc>
        <w:tc>
          <w:tcPr>
            <w:tcW w:w="5000" w:type="dxa"/>
            <w:vAlign w:val="bottom"/>
            <w:tcBorders>
              <w:top w:val="single" w:sz="8" w:color="0000EE"/>
            </w:tcBorders>
            <w:gridSpan w:val="3"/>
          </w:tcPr>
          <w:p>
            <w:pPr>
              <w:spacing w:after="0"/>
              <w:rPr>
                <w:sz w:val="17"/>
                <w:szCs w:val="17"/>
                <w:color w:val="auto"/>
              </w:rPr>
            </w:pPr>
          </w:p>
        </w:tc>
        <w:tc>
          <w:tcPr>
            <w:tcW w:w="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10.1*†</w:t>
            </w:r>
          </w:p>
        </w:tc>
        <w:tc>
          <w:tcPr>
            <w:tcW w:w="95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Services and Secondment Agreement dated January 1, 2020 by and among MegaChips LSI USA Corporation (formerly MegaChips</w:t>
              </w:r>
            </w:hyperlink>
          </w:p>
        </w:tc>
        <w:tc>
          <w:tcPr>
            <w:tcW w:w="7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Technology America Corporation) and SiTime Corporation.</w:t>
              </w:r>
            </w:hyperlink>
          </w:p>
        </w:tc>
        <w:tc>
          <w:tcPr>
            <w:tcW w:w="58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10.2*†</w:t>
            </w:r>
          </w:p>
        </w:tc>
        <w:tc>
          <w:tcPr>
            <w:tcW w:w="10200" w:type="dxa"/>
            <w:vAlign w:val="bottom"/>
            <w:gridSpan w:val="17"/>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Asset purchase agreement dated February 20, 2020, by and among MegaChips Taiwan Corporation and SiTime Corporation.</w:t>
              </w:r>
            </w:hyperlink>
          </w:p>
        </w:tc>
        <w:tc>
          <w:tcPr>
            <w:tcW w:w="0" w:type="dxa"/>
            <w:vAlign w:val="bottom"/>
          </w:tcPr>
          <w:p>
            <w:pPr>
              <w:spacing w:after="0"/>
              <w:rPr>
                <w:sz w:val="1"/>
                <w:szCs w:val="1"/>
                <w:color w:val="auto"/>
              </w:rPr>
            </w:pPr>
          </w:p>
        </w:tc>
      </w:tr>
      <w:tr>
        <w:trPr>
          <w:trHeight w:val="324"/>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00" w:type="dxa"/>
            <w:vAlign w:val="bottom"/>
            <w:gridSpan w:val="17"/>
          </w:tcPr>
          <w:p>
            <w:pPr>
              <w:spacing w:after="0"/>
              <w:rPr>
                <w:rFonts w:ascii="Arial" w:cs="Arial" w:eastAsia="Arial" w:hAnsi="Arial"/>
                <w:sz w:val="18"/>
                <w:szCs w:val="18"/>
                <w:color w:val="0000EE"/>
                <w:w w:val="96"/>
              </w:rPr>
            </w:pPr>
            <w:hyperlink w:anchor="page60">
              <w:r>
                <w:rPr>
                  <w:rFonts w:ascii="Arial" w:cs="Arial" w:eastAsia="Arial" w:hAnsi="Arial"/>
                  <w:sz w:val="18"/>
                  <w:szCs w:val="18"/>
                  <w:color w:val="0000EE"/>
                  <w:w w:val="96"/>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4"/>
          </w:tcPr>
          <w:p>
            <w:pPr>
              <w:spacing w:after="0"/>
              <w:rPr>
                <w:sz w:val="17"/>
                <w:szCs w:val="17"/>
                <w:color w:val="auto"/>
              </w:rPr>
            </w:pPr>
          </w:p>
        </w:tc>
        <w:tc>
          <w:tcPr>
            <w:tcW w:w="6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95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6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Adopted Pursuant to Section 302 of the Sarbanes-Oxley Act of 2002.</w:t>
              </w:r>
            </w:hyperlink>
          </w:p>
        </w:tc>
        <w:tc>
          <w:tcPr>
            <w:tcW w:w="52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jc w:val="right"/>
              <w:ind w:right="112"/>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04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Act of 2002.</w:t>
              </w:r>
            </w:hyperlink>
          </w:p>
        </w:tc>
        <w:tc>
          <w:tcPr>
            <w:tcW w:w="93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jc w:val="right"/>
              <w:ind w:right="112"/>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200" w:type="dxa"/>
            <w:vAlign w:val="bottom"/>
            <w:gridSpan w:val="17"/>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Act of 2002.</w:t>
              </w:r>
            </w:hyperlink>
          </w:p>
        </w:tc>
        <w:tc>
          <w:tcPr>
            <w:tcW w:w="9080" w:type="dxa"/>
            <w:vAlign w:val="bottom"/>
            <w:tcBorders>
              <w:top w:val="single" w:sz="8" w:color="0000EE"/>
            </w:tcBorders>
            <w:gridSpan w:val="13"/>
          </w:tcPr>
          <w:p>
            <w:pPr>
              <w:spacing w:after="0"/>
              <w:rPr>
                <w:sz w:val="17"/>
                <w:szCs w:val="17"/>
                <w:color w:val="auto"/>
              </w:rPr>
            </w:pP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22"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500" w:right="340" w:hanging="49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Schedules and similar attachments have been omitted pursuant to Item 601(a)(5) of Regulation S-K. The registrant hereby undertakes to provide further information regarding such omitted materials to the SEC upon request.</w:t>
      </w:r>
    </w:p>
    <w:p>
      <w:pPr>
        <w:spacing w:after="0" w:line="62" w:lineRule="exact"/>
        <w:rPr>
          <w:sz w:val="20"/>
          <w:szCs w:val="20"/>
          <w:color w:val="auto"/>
        </w:rPr>
      </w:pPr>
    </w:p>
    <w:p>
      <w:pPr>
        <w:ind w:left="500" w:right="280" w:hanging="492"/>
        <w:spacing w:after="0" w:line="220" w:lineRule="exact"/>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accordance with Item 601(b)(32)(ii) of Regulation S</w:t>
      </w:r>
      <w:r>
        <w:rPr>
          <w:rFonts w:ascii="MS PGothic" w:cs="MS PGothic" w:eastAsia="MS PGothic" w:hAnsi="MS PGothic"/>
          <w:sz w:val="18"/>
          <w:szCs w:val="18"/>
          <w:color w:val="auto"/>
        </w:rPr>
        <w:t>‑</w:t>
      </w:r>
      <w:r>
        <w:rPr>
          <w:rFonts w:ascii="Arial" w:cs="Arial" w:eastAsia="Arial" w:hAnsi="Arial"/>
          <w:sz w:val="18"/>
          <w:szCs w:val="18"/>
          <w:color w:val="auto"/>
        </w:rPr>
        <w:t>K and SEC Release No. 34</w:t>
      </w:r>
      <w:r>
        <w:rPr>
          <w:rFonts w:ascii="MS PGothic" w:cs="MS PGothic" w:eastAsia="MS PGothic" w:hAnsi="MS PGothic"/>
          <w:sz w:val="18"/>
          <w:szCs w:val="18"/>
          <w:color w:val="auto"/>
        </w:rPr>
        <w:t>‑</w:t>
      </w:r>
      <w:r>
        <w:rPr>
          <w:rFonts w:ascii="Arial" w:cs="Arial" w:eastAsia="Arial" w:hAnsi="Arial"/>
          <w:sz w:val="18"/>
          <w:szCs w:val="18"/>
          <w:color w:val="auto"/>
        </w:rPr>
        <w:t>47986, the certifications furnished in Exhibits 32.1 and 32.2 hereto are deemed to accompany this Form 10</w:t>
      </w:r>
      <w:r>
        <w:rPr>
          <w:rFonts w:ascii="MS PGothic" w:cs="MS PGothic" w:eastAsia="MS PGothic" w:hAnsi="MS PGothic"/>
          <w:sz w:val="18"/>
          <w:szCs w:val="18"/>
          <w:color w:val="auto"/>
        </w:rPr>
        <w:t>‑</w:t>
      </w:r>
      <w:r>
        <w:rPr>
          <w:rFonts w:ascii="Arial" w:cs="Arial" w:eastAsia="Arial" w:hAnsi="Arial"/>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SiTime Corporation</w:t>
      </w:r>
    </w:p>
    <w:p>
      <w:pPr>
        <w:spacing w:after="0" w:line="252"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Arthur D. Chadwick</w:t>
      </w:r>
    </w:p>
    <w:p>
      <w:pPr>
        <w:spacing w:after="0" w:line="27"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Executive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337" w:right="37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SERVICES AND SECONDMENT AGREEMENT</w:t>
      </w:r>
    </w:p>
    <w:p>
      <w:pPr>
        <w:spacing w:after="0" w:line="206" w:lineRule="exact"/>
        <w:rPr>
          <w:sz w:val="20"/>
          <w:szCs w:val="20"/>
          <w:color w:val="auto"/>
        </w:rPr>
      </w:pPr>
    </w:p>
    <w:p>
      <w:pPr>
        <w:jc w:val="both"/>
        <w:ind w:firstLine="840"/>
        <w:spacing w:after="0" w:line="243" w:lineRule="auto"/>
        <w:rPr>
          <w:sz w:val="20"/>
          <w:szCs w:val="20"/>
          <w:color w:val="auto"/>
        </w:rPr>
      </w:pPr>
      <w:r>
        <w:rPr>
          <w:rFonts w:ascii="Arial" w:cs="Arial" w:eastAsia="Arial" w:hAnsi="Arial"/>
          <w:sz w:val="22"/>
          <w:szCs w:val="22"/>
          <w:color w:val="auto"/>
        </w:rPr>
        <w:t>THIS SERVICES AND SECONDMENT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is dated this first day of January, 2020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MegaChips Technology America Corporation, a California corporation (“</w:t>
      </w:r>
      <w:r>
        <w:rPr>
          <w:rFonts w:ascii="Arial" w:cs="Arial" w:eastAsia="Arial" w:hAnsi="Arial"/>
          <w:sz w:val="22"/>
          <w:szCs w:val="22"/>
          <w:b w:val="1"/>
          <w:bCs w:val="1"/>
          <w:color w:val="auto"/>
        </w:rPr>
        <w:t>MCA</w:t>
      </w:r>
      <w:r>
        <w:rPr>
          <w:rFonts w:ascii="Arial" w:cs="Arial" w:eastAsia="Arial" w:hAnsi="Arial"/>
          <w:sz w:val="22"/>
          <w:szCs w:val="22"/>
          <w:color w:val="auto"/>
        </w:rPr>
        <w:t>”), and SiTime Corporation, a Delaware corporation (“</w:t>
      </w:r>
      <w:r>
        <w:rPr>
          <w:rFonts w:ascii="Arial" w:cs="Arial" w:eastAsia="Arial" w:hAnsi="Arial"/>
          <w:sz w:val="22"/>
          <w:szCs w:val="22"/>
          <w:b w:val="1"/>
          <w:bCs w:val="1"/>
          <w:color w:val="auto"/>
        </w:rPr>
        <w:t>SiTime</w:t>
      </w:r>
      <w:r>
        <w:rPr>
          <w:rFonts w:ascii="Arial" w:cs="Arial" w:eastAsia="Arial" w:hAnsi="Arial"/>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840"/>
        <w:spacing w:after="0" w:line="250" w:lineRule="auto"/>
        <w:rPr>
          <w:sz w:val="20"/>
          <w:szCs w:val="20"/>
          <w:color w:val="auto"/>
        </w:rPr>
      </w:pPr>
      <w:r>
        <w:rPr>
          <w:rFonts w:ascii="Arial" w:cs="Arial" w:eastAsia="Arial" w:hAnsi="Arial"/>
          <w:sz w:val="22"/>
          <w:szCs w:val="22"/>
          <w:color w:val="auto"/>
        </w:rPr>
        <w:t>WHEREAS, MCA is a wholly-owned subsidiary of MegaChips Corporation, a Japanese corporation (“MCC”), and SiTime is a majority-owned subsidiary of MCC; and</w:t>
      </w:r>
    </w:p>
    <w:p>
      <w:pPr>
        <w:spacing w:after="0" w:line="175" w:lineRule="exact"/>
        <w:rPr>
          <w:sz w:val="20"/>
          <w:szCs w:val="20"/>
          <w:color w:val="auto"/>
        </w:rPr>
      </w:pPr>
    </w:p>
    <w:p>
      <w:pPr>
        <w:jc w:val="both"/>
        <w:ind w:firstLine="840"/>
        <w:spacing w:after="0"/>
        <w:rPr>
          <w:sz w:val="20"/>
          <w:szCs w:val="20"/>
          <w:color w:val="auto"/>
        </w:rPr>
      </w:pPr>
      <w:r>
        <w:rPr>
          <w:rFonts w:ascii="Arial" w:cs="Arial" w:eastAsia="Arial" w:hAnsi="Arial"/>
          <w:sz w:val="22"/>
          <w:szCs w:val="22"/>
          <w:color w:val="auto"/>
        </w:rPr>
        <w:t>WHEREAS, MCC seconds certain employees to MCA pursuant to an agreement between MCC and MCA with the intention to further second such employees to SiTime to provide certain services to SiTime, and MCA is willing to second such personnel to SiTime pursuant to the terms of this Agreement.</w:t>
      </w:r>
    </w:p>
    <w:p>
      <w:pPr>
        <w:spacing w:after="0" w:line="186" w:lineRule="exact"/>
        <w:rPr>
          <w:sz w:val="20"/>
          <w:szCs w:val="20"/>
          <w:color w:val="auto"/>
        </w:rPr>
      </w:pPr>
    </w:p>
    <w:p>
      <w:pPr>
        <w:jc w:val="both"/>
        <w:ind w:firstLine="840"/>
        <w:spacing w:after="0" w:line="250" w:lineRule="auto"/>
        <w:rPr>
          <w:sz w:val="20"/>
          <w:szCs w:val="20"/>
          <w:color w:val="auto"/>
        </w:rPr>
      </w:pPr>
      <w:r>
        <w:rPr>
          <w:rFonts w:ascii="Arial" w:cs="Arial" w:eastAsia="Arial" w:hAnsi="Arial"/>
          <w:sz w:val="22"/>
          <w:szCs w:val="22"/>
          <w:color w:val="auto"/>
        </w:rPr>
        <w:t>NOW, THEREFORE, in consideration of the mutual agreements and covenants herein contained and intending to be legally bound hereby, the parties agree as follows:</w:t>
      </w:r>
    </w:p>
    <w:p>
      <w:pPr>
        <w:spacing w:after="0" w:line="169" w:lineRule="exact"/>
        <w:rPr>
          <w:sz w:val="20"/>
          <w:szCs w:val="20"/>
          <w:color w:val="auto"/>
        </w:rPr>
      </w:pPr>
    </w:p>
    <w:p>
      <w:pPr>
        <w:ind w:left="840" w:hanging="832"/>
        <w:spacing w:after="0"/>
        <w:tabs>
          <w:tab w:leader="none" w:pos="84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Provision of Services</w:t>
      </w:r>
    </w:p>
    <w:p>
      <w:pPr>
        <w:spacing w:after="0" w:line="206"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Scope of Services</w:t>
      </w:r>
      <w:r>
        <w:rPr>
          <w:rFonts w:ascii="Arial" w:cs="Arial" w:eastAsia="Arial" w:hAnsi="Arial"/>
          <w:sz w:val="19"/>
          <w:szCs w:val="19"/>
          <w:color w:val="auto"/>
        </w:rPr>
        <w:t>. During the Term (as defined in Section 7.1 hereof), MCA</w:t>
      </w:r>
      <w:r>
        <w:rPr>
          <w:rFonts w:ascii="Arial" w:cs="Arial" w:eastAsia="Arial" w:hAnsi="Arial"/>
          <w:sz w:val="19"/>
          <w:szCs w:val="19"/>
          <w:b w:val="1"/>
          <w:bCs w:val="1"/>
          <w:color w:val="auto"/>
        </w:rPr>
        <w:t xml:space="preserve"> </w:t>
      </w:r>
      <w:r>
        <w:rPr>
          <w:rFonts w:ascii="Arial" w:cs="Arial" w:eastAsia="Arial" w:hAnsi="Arial"/>
          <w:sz w:val="17"/>
          <w:szCs w:val="17"/>
          <w:color w:val="auto"/>
        </w:rPr>
        <w:t>agrees to perform for SiTime</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services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(the “</w:t>
      </w:r>
      <w:r>
        <w:rPr>
          <w:rFonts w:ascii="Arial" w:cs="Arial" w:eastAsia="Arial" w:hAnsi="Arial"/>
          <w:sz w:val="20"/>
          <w:szCs w:val="20"/>
          <w:b w:val="1"/>
          <w:bCs w:val="1"/>
          <w:color w:val="auto"/>
        </w:rPr>
        <w:t>Services</w:t>
      </w:r>
      <w:r>
        <w:rPr>
          <w:rFonts w:ascii="Arial" w:cs="Arial" w:eastAsia="Arial" w:hAnsi="Arial"/>
          <w:sz w:val="20"/>
          <w:szCs w:val="20"/>
          <w:color w:val="auto"/>
        </w:rPr>
        <w:t>”).</w:t>
      </w:r>
    </w:p>
    <w:p>
      <w:pPr>
        <w:spacing w:after="0" w:line="189"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Performance of Services; Cooperation</w:t>
      </w:r>
      <w:r>
        <w:rPr>
          <w:rFonts w:ascii="Arial" w:cs="Arial" w:eastAsia="Arial" w:hAnsi="Arial"/>
          <w:sz w:val="19"/>
          <w:szCs w:val="19"/>
          <w:color w:val="auto"/>
        </w:rPr>
        <w:t>.</w:t>
      </w:r>
    </w:p>
    <w:p>
      <w:pPr>
        <w:spacing w:after="0" w:line="212" w:lineRule="exact"/>
        <w:rPr>
          <w:sz w:val="20"/>
          <w:szCs w:val="20"/>
          <w:color w:val="auto"/>
        </w:rPr>
      </w:pPr>
    </w:p>
    <w:p>
      <w:pPr>
        <w:ind w:firstLine="1689"/>
        <w:spacing w:after="0" w:line="250" w:lineRule="auto"/>
        <w:tabs>
          <w:tab w:leader="none" w:pos="2569" w:val="left"/>
        </w:tabs>
        <w:numPr>
          <w:ilvl w:val="0"/>
          <w:numId w:val="22"/>
        </w:numPr>
        <w:rPr>
          <w:rFonts w:ascii="Arial" w:cs="Arial" w:eastAsia="Arial" w:hAnsi="Arial"/>
          <w:sz w:val="22"/>
          <w:szCs w:val="22"/>
          <w:color w:val="auto"/>
        </w:rPr>
      </w:pPr>
      <w:r>
        <w:rPr>
          <w:rFonts w:ascii="Arial" w:cs="Arial" w:eastAsia="Arial" w:hAnsi="Arial"/>
          <w:sz w:val="22"/>
          <w:szCs w:val="22"/>
          <w:color w:val="auto"/>
        </w:rPr>
        <w:t>MCA shall use reasonable best efforts to perform the Services with priority and care equal to that with which it performs services for itself or its affiliates.</w:t>
      </w:r>
    </w:p>
    <w:p>
      <w:pPr>
        <w:spacing w:after="0" w:line="174" w:lineRule="exact"/>
        <w:rPr>
          <w:rFonts w:ascii="Arial" w:cs="Arial" w:eastAsia="Arial" w:hAnsi="Arial"/>
          <w:sz w:val="22"/>
          <w:szCs w:val="22"/>
          <w:color w:val="auto"/>
        </w:rPr>
      </w:pPr>
    </w:p>
    <w:p>
      <w:pPr>
        <w:jc w:val="both"/>
        <w:ind w:firstLine="1689"/>
        <w:spacing w:after="0"/>
        <w:tabs>
          <w:tab w:leader="none" w:pos="2581"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 providing the Services, MCA shall not be obligated to hire any additional employees or maintain the employment of any specific employee. Notwithstanding the foregoing, MCA shall maintain sufficient resources to perform the Services in accordance with the terms of this Agreement.</w:t>
      </w:r>
    </w:p>
    <w:p>
      <w:pPr>
        <w:spacing w:after="0" w:line="186" w:lineRule="exact"/>
        <w:rPr>
          <w:rFonts w:ascii="Arial" w:cs="Arial" w:eastAsia="Arial" w:hAnsi="Arial"/>
          <w:sz w:val="22"/>
          <w:szCs w:val="22"/>
          <w:color w:val="auto"/>
        </w:rPr>
      </w:pPr>
    </w:p>
    <w:p>
      <w:pPr>
        <w:jc w:val="both"/>
        <w:ind w:firstLine="1689"/>
        <w:spacing w:after="0" w:line="287" w:lineRule="auto"/>
        <w:tabs>
          <w:tab w:leader="none" w:pos="2569" w:val="left"/>
        </w:tabs>
        <w:numPr>
          <w:ilvl w:val="0"/>
          <w:numId w:val="22"/>
        </w:numPr>
        <w:rPr>
          <w:rFonts w:ascii="Arial" w:cs="Arial" w:eastAsia="Arial" w:hAnsi="Arial"/>
          <w:sz w:val="19"/>
          <w:szCs w:val="19"/>
          <w:color w:val="auto"/>
        </w:rPr>
      </w:pPr>
      <w:r>
        <w:rPr>
          <w:rFonts w:ascii="Arial" w:cs="Arial" w:eastAsia="Arial" w:hAnsi="Arial"/>
          <w:sz w:val="19"/>
          <w:szCs w:val="19"/>
          <w:color w:val="auto"/>
        </w:rPr>
        <w:t>MCA shall not be required to provide any of the Services to the extent and for so long as the performance of the Services becomes impracticable as a result of a cause or causes outside its reasonable control, including unfeasible technological requirements, or to the extent that the performance of such Services would require MCA to violate any applicable laws, rules or regulations or would result in the breach of any software license or other applicable contract.</w:t>
      </w:r>
    </w:p>
    <w:p>
      <w:pPr>
        <w:spacing w:after="0" w:line="142" w:lineRule="exact"/>
        <w:rPr>
          <w:rFonts w:ascii="Arial" w:cs="Arial" w:eastAsia="Arial" w:hAnsi="Arial"/>
          <w:sz w:val="19"/>
          <w:szCs w:val="19"/>
          <w:color w:val="auto"/>
        </w:rPr>
      </w:pPr>
    </w:p>
    <w:p>
      <w:pPr>
        <w:jc w:val="both"/>
        <w:ind w:firstLine="1689"/>
        <w:spacing w:after="0" w:line="235" w:lineRule="auto"/>
        <w:tabs>
          <w:tab w:leader="none" w:pos="2581"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parties shall use commercially reasonable efforts to cooperate with one another in all matters relating to the provision and receipt of the Services. Such cooperation shall include exchanging information, providing electronic access to data systems used in connection with the Services, performing true-ups and adjustments and obtaining all consents, licenses, sublicenses or approvals necessary or desirable to permit each party to perform its obligations hereunder. Except as specifically provided herein, the costs of obtaining such consents, licenses, sublicenses or approvals shall be borne equally by each party.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jc w:val="both"/>
        <w:ind w:firstLine="1689"/>
        <w:spacing w:after="0"/>
        <w:tabs>
          <w:tab w:leader="none" w:pos="2569"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parties shall consult and negotiate with one another in good faith, as required, with respect to amending or modifying the Services, the furnishing of and payment for special or additional Services, extraordinary items and the like, and will establish pre-approval routines to the extent reasonably feasible.</w:t>
      </w:r>
    </w:p>
    <w:p>
      <w:pPr>
        <w:spacing w:after="0" w:line="180" w:lineRule="exact"/>
        <w:rPr>
          <w:sz w:val="20"/>
          <w:szCs w:val="20"/>
          <w:color w:val="auto"/>
        </w:rPr>
      </w:pPr>
    </w:p>
    <w:p>
      <w:pPr>
        <w:jc w:val="both"/>
        <w:ind w:firstLine="840"/>
        <w:spacing w:after="0" w:line="254" w:lineRule="auto"/>
        <w:rPr>
          <w:sz w:val="20"/>
          <w:szCs w:val="20"/>
          <w:color w:val="auto"/>
        </w:rPr>
      </w:pPr>
      <w:r>
        <w:rPr>
          <w:rFonts w:ascii="Arial" w:cs="Arial" w:eastAsia="Arial" w:hAnsi="Arial"/>
          <w:sz w:val="21"/>
          <w:szCs w:val="21"/>
          <w:b w:val="1"/>
          <w:bCs w:val="1"/>
          <w:color w:val="auto"/>
        </w:rPr>
        <w:t>1.3 Compensation for the Services</w:t>
      </w:r>
      <w:r>
        <w:rPr>
          <w:rFonts w:ascii="Arial" w:cs="Arial" w:eastAsia="Arial" w:hAnsi="Arial"/>
          <w:sz w:val="21"/>
          <w:szCs w:val="21"/>
          <w:color w:val="auto"/>
        </w:rPr>
        <w:t>. SiTime shall pay to MCA the fees for the Services set forth on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 A</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Unless otherwise agreed upon between the parties, the amount set forth on Exhibit A shall be deemed cover all compensation and expenses for the performance of the Services by MCA. MCA shall send to SiTime separate invoices for the Services on a monthly basis in arrears. Invoices shall be payable within thirty (30) days after receipt by SiTime.</w:t>
      </w:r>
    </w:p>
    <w:p>
      <w:pPr>
        <w:spacing w:after="0" w:line="166" w:lineRule="exact"/>
        <w:rPr>
          <w:sz w:val="20"/>
          <w:szCs w:val="20"/>
          <w:color w:val="auto"/>
        </w:rPr>
      </w:pPr>
    </w:p>
    <w:p>
      <w:pPr>
        <w:ind w:left="840" w:hanging="832"/>
        <w:spacing w:after="0"/>
        <w:tabs>
          <w:tab w:leader="none" w:pos="84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Secondment of Personnel</w:t>
      </w:r>
    </w:p>
    <w:p>
      <w:pPr>
        <w:spacing w:after="0" w:line="206"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Provision of Seconded Personnel</w:t>
      </w:r>
      <w:r>
        <w:rPr>
          <w:rFonts w:ascii="Arial" w:cs="Arial" w:eastAsia="Arial" w:hAnsi="Arial"/>
          <w:sz w:val="19"/>
          <w:szCs w:val="19"/>
          <w:color w:val="auto"/>
        </w:rPr>
        <w:t>. MCA agrees to provide to SiTime the persons</w:t>
      </w:r>
      <w:r>
        <w:rPr>
          <w:rFonts w:ascii="Arial" w:cs="Arial" w:eastAsia="Arial" w:hAnsi="Arial"/>
          <w:sz w:val="19"/>
          <w:szCs w:val="19"/>
          <w:b w:val="1"/>
          <w:bCs w:val="1"/>
          <w:color w:val="auto"/>
        </w:rPr>
        <w:t xml:space="preserve"> </w:t>
      </w:r>
      <w:r>
        <w:rPr>
          <w:rFonts w:ascii="Arial" w:cs="Arial" w:eastAsia="Arial" w:hAnsi="Arial"/>
          <w:sz w:val="17"/>
          <w:szCs w:val="17"/>
          <w:color w:val="auto"/>
        </w:rPr>
        <w:t>listed on E</w:t>
      </w:r>
      <w:r>
        <w:rPr>
          <w:rFonts w:ascii="Arial" w:cs="Arial" w:eastAsia="Arial" w:hAnsi="Arial"/>
          <w:sz w:val="19"/>
          <w:szCs w:val="19"/>
          <w:b w:val="1"/>
          <w:bCs w:val="1"/>
          <w:color w:val="auto"/>
        </w:rPr>
        <w:t xml:space="preserve"> </w:t>
      </w:r>
      <w:r>
        <w:rPr>
          <w:rFonts w:ascii="Arial" w:cs="Arial" w:eastAsia="Arial" w:hAnsi="Arial"/>
          <w:sz w:val="17"/>
          <w:szCs w:val="17"/>
          <w:u w:val="single" w:color="auto"/>
          <w:color w:val="auto"/>
        </w:rPr>
        <w:t>xhibit B</w:t>
      </w:r>
      <w:r>
        <w:rPr>
          <w:rFonts w:ascii="Arial" w:cs="Arial" w:eastAsia="Arial" w:hAnsi="Arial"/>
          <w:sz w:val="17"/>
          <w:szCs w:val="17"/>
          <w:color w:val="auto"/>
        </w:rPr>
        <w:t>, as this</w:t>
      </w:r>
    </w:p>
    <w:p>
      <w:pPr>
        <w:spacing w:after="0" w:line="1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Exhibit may be amended from time to time (the “</w:t>
      </w:r>
      <w:r>
        <w:rPr>
          <w:rFonts w:ascii="Arial" w:cs="Arial" w:eastAsia="Arial" w:hAnsi="Arial"/>
          <w:sz w:val="20"/>
          <w:szCs w:val="20"/>
          <w:b w:val="1"/>
          <w:bCs w:val="1"/>
          <w:color w:val="auto"/>
        </w:rPr>
        <w:t>Seconded Personnel</w:t>
      </w:r>
      <w:r>
        <w:rPr>
          <w:rFonts w:ascii="Arial" w:cs="Arial" w:eastAsia="Arial" w:hAnsi="Arial"/>
          <w:sz w:val="20"/>
          <w:szCs w:val="20"/>
          <w:color w:val="auto"/>
        </w:rPr>
        <w:t xml:space="preserve">”), to occupy the positions and perform the activities listed on </w:t>
      </w:r>
      <w:r>
        <w:rPr>
          <w:rFonts w:ascii="Arial" w:cs="Arial" w:eastAsia="Arial" w:hAnsi="Arial"/>
          <w:sz w:val="20"/>
          <w:szCs w:val="20"/>
          <w:u w:val="single" w:color="auto"/>
          <w:color w:val="auto"/>
        </w:rPr>
        <w:t>Exhibit</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181" w:lineRule="exact"/>
        <w:rPr>
          <w:sz w:val="20"/>
          <w:szCs w:val="20"/>
          <w:color w:val="auto"/>
        </w:rPr>
      </w:pPr>
    </w:p>
    <w:p>
      <w:pPr>
        <w:jc w:val="both"/>
        <w:ind w:firstLine="840"/>
        <w:spacing w:after="0" w:line="239" w:lineRule="auto"/>
        <w:rPr>
          <w:sz w:val="20"/>
          <w:szCs w:val="20"/>
          <w:color w:val="auto"/>
        </w:rPr>
      </w:pPr>
      <w:r>
        <w:rPr>
          <w:rFonts w:ascii="Arial" w:cs="Arial" w:eastAsia="Arial" w:hAnsi="Arial"/>
          <w:sz w:val="22"/>
          <w:szCs w:val="22"/>
          <w:b w:val="1"/>
          <w:bCs w:val="1"/>
          <w:color w:val="auto"/>
        </w:rPr>
        <w:t>2.2 Employer/Employee Relationship</w:t>
      </w:r>
      <w:r>
        <w:rPr>
          <w:rFonts w:ascii="Arial" w:cs="Arial" w:eastAsia="Arial" w:hAnsi="Arial"/>
          <w:sz w:val="22"/>
          <w:szCs w:val="22"/>
          <w:color w:val="auto"/>
        </w:rPr>
        <w:t>. MCA shall remain as the employer of the Seconded Personnel, as listed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for all purposes, and SiTime shall not be considered the employer of the Seconded Personnel for any purpose. Neither party shall act, or fail to act, in any manner that is inconsistent with maintaining such an employer-employee relationship. MCA shall (a) require each of the Seconded Personnel to conduct himself or herself in a manner that is consistent with honoring and maintaining such an employment relationship with MCA, and </w:t>
      </w:r>
      <w:r>
        <w:rPr>
          <w:rFonts w:ascii="Arial" w:cs="Arial" w:eastAsia="Arial" w:hAnsi="Arial"/>
          <w:sz w:val="19"/>
          <w:szCs w:val="19"/>
          <w:color w:val="auto"/>
        </w:rPr>
        <w:t>(b) require every Seconded Personnel to abide by MCA’s</w:t>
      </w:r>
      <w:r>
        <w:rPr>
          <w:rFonts w:ascii="Arial" w:cs="Arial" w:eastAsia="Arial" w:hAnsi="Arial"/>
          <w:sz w:val="22"/>
          <w:szCs w:val="22"/>
          <w:color w:val="auto"/>
        </w:rPr>
        <w:t xml:space="preserve"> </w:t>
      </w:r>
      <w:r>
        <w:rPr>
          <w:rFonts w:ascii="Arial" w:cs="Arial" w:eastAsia="Arial" w:hAnsi="Arial"/>
          <w:sz w:val="19"/>
          <w:szCs w:val="19"/>
          <w:color w:val="auto"/>
        </w:rPr>
        <w:t>policies and procedures as well as applicable policies and procedures of SiTime. The terms of employment of the Seconded Personnel, if any, shall be determined solely by MCA. Notwithstanding anything contained in this Agreement, the parties acknowledge and agree that SiTime shall be solely responsible at its own costs for obtaining applicable work authorizations from the US Bureau of Citizenship and Immigration Services, if required, for the Seconded Personnel.</w:t>
      </w:r>
    </w:p>
    <w:p>
      <w:pPr>
        <w:spacing w:after="0" w:line="185" w:lineRule="exact"/>
        <w:rPr>
          <w:sz w:val="20"/>
          <w:szCs w:val="20"/>
          <w:color w:val="auto"/>
        </w:rPr>
      </w:pPr>
    </w:p>
    <w:p>
      <w:pPr>
        <w:jc w:val="both"/>
        <w:ind w:firstLine="840"/>
        <w:spacing w:after="0" w:line="234" w:lineRule="auto"/>
        <w:rPr>
          <w:sz w:val="20"/>
          <w:szCs w:val="20"/>
          <w:color w:val="auto"/>
        </w:rPr>
      </w:pPr>
      <w:r>
        <w:rPr>
          <w:rFonts w:ascii="Arial" w:cs="Arial" w:eastAsia="Arial" w:hAnsi="Arial"/>
          <w:sz w:val="22"/>
          <w:szCs w:val="22"/>
          <w:b w:val="1"/>
          <w:bCs w:val="1"/>
          <w:color w:val="auto"/>
        </w:rPr>
        <w:t>2.3 Compensation of Seconded Personnel</w:t>
      </w:r>
      <w:r>
        <w:rPr>
          <w:rFonts w:ascii="Arial" w:cs="Arial" w:eastAsia="Arial" w:hAnsi="Arial"/>
          <w:sz w:val="22"/>
          <w:szCs w:val="22"/>
          <w:color w:val="auto"/>
        </w:rPr>
        <w:t>. MCA shall retain responsibility for all payments and benefits due to</w:t>
      </w:r>
      <w:r>
        <w:rPr>
          <w:rFonts w:ascii="Arial" w:cs="Arial" w:eastAsia="Arial" w:hAnsi="Arial"/>
          <w:sz w:val="22"/>
          <w:szCs w:val="22"/>
          <w:b w:val="1"/>
          <w:bCs w:val="1"/>
          <w:color w:val="auto"/>
        </w:rPr>
        <w:t xml:space="preserve"> </w:t>
      </w:r>
      <w:r>
        <w:rPr>
          <w:rFonts w:ascii="Arial" w:cs="Arial" w:eastAsia="Arial" w:hAnsi="Arial"/>
          <w:sz w:val="22"/>
          <w:szCs w:val="22"/>
          <w:color w:val="auto"/>
        </w:rPr>
        <w:t>the Seconded Personnel in connection with their work under this Agreement, including but not limited to: (a) the payment of any wages, salary, bonuses, or other components of pay; (b) the provision of all other employee benefits to which Seconded Personnel may be eligible by virtue of their status as employees of MCA; (c) payment of all federal, state, or local taxes withheld or otherwise required to be paid with respect thereto; and (d) the liability for statutory benefits, including but not limited to workers’ compensation. SiTime shall reimburse the Seconded Personnel for the out-of-pocket expenses of such Seconded Personnel required for the Services, including, but not limited to, those of travel and lunch, consistent with its personnel policies then in effect.</w:t>
      </w:r>
    </w:p>
    <w:p>
      <w:pPr>
        <w:spacing w:after="0" w:line="187" w:lineRule="exact"/>
        <w:rPr>
          <w:sz w:val="20"/>
          <w:szCs w:val="20"/>
          <w:color w:val="auto"/>
        </w:rPr>
      </w:pPr>
    </w:p>
    <w:p>
      <w:pPr>
        <w:jc w:val="both"/>
        <w:ind w:firstLine="840"/>
        <w:spacing w:after="0" w:line="237" w:lineRule="auto"/>
        <w:rPr>
          <w:sz w:val="20"/>
          <w:szCs w:val="20"/>
          <w:color w:val="auto"/>
        </w:rPr>
      </w:pPr>
      <w:r>
        <w:rPr>
          <w:rFonts w:ascii="Arial" w:cs="Arial" w:eastAsia="Arial" w:hAnsi="Arial"/>
          <w:sz w:val="22"/>
          <w:szCs w:val="22"/>
          <w:b w:val="1"/>
          <w:bCs w:val="1"/>
          <w:color w:val="auto"/>
        </w:rPr>
        <w:t>2.4 Payroll and Related Services</w:t>
      </w:r>
      <w:r>
        <w:rPr>
          <w:rFonts w:ascii="Arial" w:cs="Arial" w:eastAsia="Arial" w:hAnsi="Arial"/>
          <w:sz w:val="22"/>
          <w:szCs w:val="22"/>
          <w:color w:val="auto"/>
        </w:rPr>
        <w:t>. During the Term, MCA shall provide payroll processing services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Seconded Personnel including, but not limited to, the following: bi- weekly or monthly payroll, quarterly and annual payroll tax payments and filings, including deductions and payments for income and other tax requirements under local, state, federal, and national laws, personnel record maintenance, insurance withholding, employee verification, retirement plan processing, and annual W-2 forms or their equivalent.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49" w:name="page50"/>
    <w:bookmarkEnd w:id="49"/>
    <w:p>
      <w:pPr>
        <w:ind w:firstLine="840"/>
        <w:spacing w:after="0" w:line="256" w:lineRule="auto"/>
        <w:rPr>
          <w:sz w:val="20"/>
          <w:szCs w:val="20"/>
          <w:color w:val="auto"/>
        </w:rPr>
      </w:pPr>
      <w:r>
        <w:rPr>
          <w:rFonts w:ascii="Arial" w:cs="Arial" w:eastAsia="Arial" w:hAnsi="Arial"/>
          <w:sz w:val="22"/>
          <w:szCs w:val="22"/>
          <w:b w:val="1"/>
          <w:bCs w:val="1"/>
          <w:color w:val="auto"/>
        </w:rPr>
        <w:t>2.5 Insurance</w:t>
      </w:r>
      <w:r>
        <w:rPr>
          <w:rFonts w:ascii="Arial" w:cs="Arial" w:eastAsia="Arial" w:hAnsi="Arial"/>
          <w:sz w:val="22"/>
          <w:szCs w:val="22"/>
          <w:color w:val="auto"/>
        </w:rPr>
        <w:t>. During the Term of this Agreement, MCA will maintain worker’s compensation in statutory</w:t>
      </w:r>
      <w:r>
        <w:rPr>
          <w:rFonts w:ascii="Arial" w:cs="Arial" w:eastAsia="Arial" w:hAnsi="Arial"/>
          <w:sz w:val="22"/>
          <w:szCs w:val="22"/>
          <w:b w:val="1"/>
          <w:bCs w:val="1"/>
          <w:color w:val="auto"/>
        </w:rPr>
        <w:t xml:space="preserve"> </w:t>
      </w:r>
      <w:r>
        <w:rPr>
          <w:rFonts w:ascii="Arial" w:cs="Arial" w:eastAsia="Arial" w:hAnsi="Arial"/>
          <w:sz w:val="22"/>
          <w:szCs w:val="22"/>
          <w:color w:val="auto"/>
        </w:rPr>
        <w:t>limits covering the Seconded Personnel.</w:t>
      </w:r>
    </w:p>
    <w:p>
      <w:pPr>
        <w:spacing w:after="0" w:line="162" w:lineRule="exact"/>
        <w:rPr>
          <w:sz w:val="20"/>
          <w:szCs w:val="20"/>
          <w:color w:val="auto"/>
        </w:rPr>
      </w:pPr>
    </w:p>
    <w:p>
      <w:pPr>
        <w:ind w:firstLine="840"/>
        <w:spacing w:after="0" w:line="334" w:lineRule="auto"/>
        <w:rPr>
          <w:sz w:val="20"/>
          <w:szCs w:val="20"/>
          <w:color w:val="auto"/>
        </w:rPr>
      </w:pPr>
      <w:r>
        <w:rPr>
          <w:rFonts w:ascii="Arial" w:cs="Arial" w:eastAsia="Arial" w:hAnsi="Arial"/>
          <w:sz w:val="19"/>
          <w:szCs w:val="19"/>
          <w:b w:val="1"/>
          <w:bCs w:val="1"/>
          <w:color w:val="auto"/>
        </w:rPr>
        <w:t>2.6 Non-Solicitation</w:t>
      </w:r>
      <w:r>
        <w:rPr>
          <w:rFonts w:ascii="Arial" w:cs="Arial" w:eastAsia="Arial" w:hAnsi="Arial"/>
          <w:sz w:val="19"/>
          <w:szCs w:val="19"/>
          <w:color w:val="auto"/>
        </w:rPr>
        <w:t>. During the Term of this Agreement and for one (1) year after termination or expiration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neither party will solicit the employees of any other party without the express written consent of the other party.</w:t>
      </w:r>
    </w:p>
    <w:p>
      <w:pPr>
        <w:spacing w:after="0" w:line="94" w:lineRule="exact"/>
        <w:rPr>
          <w:sz w:val="20"/>
          <w:szCs w:val="20"/>
          <w:color w:val="auto"/>
        </w:rPr>
      </w:pPr>
    </w:p>
    <w:p>
      <w:pPr>
        <w:ind w:left="840" w:hanging="832"/>
        <w:spacing w:after="0"/>
        <w:tabs>
          <w:tab w:leader="none" w:pos="84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22"/>
          <w:szCs w:val="22"/>
          <w:b w:val="1"/>
          <w:bCs w:val="1"/>
          <w:u w:val="single" w:color="auto"/>
          <w:color w:val="auto"/>
        </w:rPr>
        <w:t>onfidentiality</w:t>
      </w:r>
    </w:p>
    <w:p>
      <w:pPr>
        <w:spacing w:after="0" w:line="206" w:lineRule="exact"/>
        <w:rPr>
          <w:sz w:val="20"/>
          <w:szCs w:val="20"/>
          <w:color w:val="auto"/>
        </w:rPr>
      </w:pPr>
    </w:p>
    <w:p>
      <w:pPr>
        <w:jc w:val="both"/>
        <w:ind w:firstLine="840"/>
        <w:spacing w:after="0" w:line="247" w:lineRule="auto"/>
        <w:rPr>
          <w:sz w:val="20"/>
          <w:szCs w:val="20"/>
          <w:color w:val="auto"/>
        </w:rPr>
      </w:pPr>
      <w:r>
        <w:rPr>
          <w:rFonts w:ascii="Arial" w:cs="Arial" w:eastAsia="Arial" w:hAnsi="Arial"/>
          <w:sz w:val="21"/>
          <w:szCs w:val="21"/>
          <w:b w:val="1"/>
          <w:bCs w:val="1"/>
          <w:color w:val="auto"/>
        </w:rPr>
        <w:t>3.1 Confidential Information</w:t>
      </w:r>
      <w:r>
        <w:rPr>
          <w:rFonts w:ascii="Arial" w:cs="Arial" w:eastAsia="Arial" w:hAnsi="Arial"/>
          <w:sz w:val="21"/>
          <w:szCs w:val="21"/>
          <w:color w:val="auto"/>
        </w:rPr>
        <w:t>. As used in this Agreement, “</w:t>
      </w:r>
      <w:r>
        <w:rPr>
          <w:rFonts w:ascii="Arial" w:cs="Arial" w:eastAsia="Arial" w:hAnsi="Arial"/>
          <w:sz w:val="21"/>
          <w:szCs w:val="21"/>
          <w:b w:val="1"/>
          <w:bCs w:val="1"/>
          <w:color w:val="auto"/>
        </w:rPr>
        <w:t>Confidential Information</w:t>
      </w:r>
      <w:r>
        <w:rPr>
          <w:rFonts w:ascii="Arial" w:cs="Arial" w:eastAsia="Arial" w:hAnsi="Arial"/>
          <w:sz w:val="21"/>
          <w:szCs w:val="21"/>
          <w:color w:val="auto"/>
        </w:rPr>
        <w:t>” means any information</w:t>
      </w:r>
      <w:r>
        <w:rPr>
          <w:rFonts w:ascii="Arial" w:cs="Arial" w:eastAsia="Arial" w:hAnsi="Arial"/>
          <w:sz w:val="21"/>
          <w:szCs w:val="21"/>
          <w:b w:val="1"/>
          <w:bCs w:val="1"/>
          <w:color w:val="auto"/>
        </w:rPr>
        <w:t xml:space="preserve"> </w:t>
      </w:r>
      <w:r>
        <w:rPr>
          <w:rFonts w:ascii="Arial" w:cs="Arial" w:eastAsia="Arial" w:hAnsi="Arial"/>
          <w:sz w:val="21"/>
          <w:szCs w:val="21"/>
          <w:color w:val="auto"/>
        </w:rPr>
        <w:t>designated by the disclosing party as confidential in writing or, if disclosed orally, designated as confidential at the time of disclosure and reduced to writing and designated as confidential within thirty (30) days; provided, however, that “Confidential Information” will not include information that: (a) is or becomes generally known or available by publication, commercial use or otherwise through no fault of the receiving party; (b) is known and has been reduced to tangible form by the receiving party at the time of disclosure and is not subject to restriction; (c) is independently developed by the receiving party without use of the disclosing party’s Confidential Information; (d) is lawfully obtained from a third party who has the right to make such disclosure; or (e) is released for publication by the disclosing party in writing.</w:t>
      </w:r>
    </w:p>
    <w:p>
      <w:pPr>
        <w:spacing w:after="0" w:line="172" w:lineRule="exact"/>
        <w:rPr>
          <w:sz w:val="20"/>
          <w:szCs w:val="20"/>
          <w:color w:val="auto"/>
        </w:rPr>
      </w:pPr>
    </w:p>
    <w:p>
      <w:pPr>
        <w:jc w:val="both"/>
        <w:ind w:firstLine="840"/>
        <w:spacing w:after="0" w:line="236" w:lineRule="auto"/>
        <w:rPr>
          <w:sz w:val="20"/>
          <w:szCs w:val="20"/>
          <w:color w:val="auto"/>
        </w:rPr>
      </w:pPr>
      <w:r>
        <w:rPr>
          <w:rFonts w:ascii="Arial" w:cs="Arial" w:eastAsia="Arial" w:hAnsi="Arial"/>
          <w:sz w:val="22"/>
          <w:szCs w:val="22"/>
          <w:b w:val="1"/>
          <w:bCs w:val="1"/>
          <w:color w:val="auto"/>
        </w:rPr>
        <w:t>3.2 Restrictions</w:t>
      </w:r>
      <w:r>
        <w:rPr>
          <w:rFonts w:ascii="Arial" w:cs="Arial" w:eastAsia="Arial" w:hAnsi="Arial"/>
          <w:sz w:val="22"/>
          <w:szCs w:val="22"/>
          <w:color w:val="auto"/>
        </w:rPr>
        <w:t>. Each party shall protect the other party’s Confidential Information from unauthorized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dissemination and use with the same degree of care that such party uses to protect its own like information, provided that in no case shall a party use less than reasonable care with respect to the other party’s Confidential Information. Neither party will use the other party’s Confidential Information for purposes other than those necessary to directly further the purposes of this Agreement. Neither party will disclose to third parties the other party’s Confidential Information without the prior written consent of the disclosing party.</w:t>
      </w:r>
    </w:p>
    <w:p>
      <w:pPr>
        <w:spacing w:after="0" w:line="182" w:lineRule="exact"/>
        <w:rPr>
          <w:sz w:val="20"/>
          <w:szCs w:val="20"/>
          <w:color w:val="auto"/>
        </w:rPr>
      </w:pPr>
    </w:p>
    <w:p>
      <w:pPr>
        <w:jc w:val="both"/>
        <w:ind w:firstLine="840"/>
        <w:spacing w:after="0" w:line="283" w:lineRule="auto"/>
        <w:rPr>
          <w:sz w:val="20"/>
          <w:szCs w:val="20"/>
          <w:color w:val="auto"/>
        </w:rPr>
      </w:pPr>
      <w:r>
        <w:rPr>
          <w:rFonts w:ascii="Arial" w:cs="Arial" w:eastAsia="Arial" w:hAnsi="Arial"/>
          <w:sz w:val="19"/>
          <w:szCs w:val="19"/>
          <w:b w:val="1"/>
          <w:bCs w:val="1"/>
          <w:color w:val="auto"/>
        </w:rPr>
        <w:t>3.3 Exceptions</w:t>
      </w:r>
      <w:r>
        <w:rPr>
          <w:rFonts w:ascii="Arial" w:cs="Arial" w:eastAsia="Arial" w:hAnsi="Arial"/>
          <w:sz w:val="19"/>
          <w:szCs w:val="19"/>
          <w:color w:val="auto"/>
        </w:rPr>
        <w:t>. The foregoing restrictions shall not apply to: information that is required to be disclosed in</w:t>
      </w:r>
      <w:r>
        <w:rPr>
          <w:rFonts w:ascii="Arial" w:cs="Arial" w:eastAsia="Arial" w:hAnsi="Arial"/>
          <w:sz w:val="19"/>
          <w:szCs w:val="19"/>
          <w:b w:val="1"/>
          <w:bCs w:val="1"/>
          <w:color w:val="auto"/>
        </w:rPr>
        <w:t xml:space="preserve"> </w:t>
      </w:r>
      <w:r>
        <w:rPr>
          <w:rFonts w:ascii="Arial" w:cs="Arial" w:eastAsia="Arial" w:hAnsi="Arial"/>
          <w:sz w:val="19"/>
          <w:szCs w:val="19"/>
          <w:color w:val="auto"/>
        </w:rPr>
        <w:t>compliance with applicable laws or regulations, or by order of a court or other regulatory body having competent jurisdiction; provided, however, that the party required to make the disclosure of Confidential Information gives reasonable advance notice to the disclosing party of the disclosure requirement, and further provided that the party required to make the disclosure uses commercially reasonable efforts to secure confidential treatment of any Confidential Information required to be disclosed.</w:t>
      </w:r>
    </w:p>
    <w:p>
      <w:pPr>
        <w:spacing w:after="0" w:line="143" w:lineRule="exact"/>
        <w:rPr>
          <w:sz w:val="20"/>
          <w:szCs w:val="20"/>
          <w:color w:val="auto"/>
        </w:rPr>
      </w:pPr>
    </w:p>
    <w:p>
      <w:pPr>
        <w:ind w:left="840" w:hanging="832"/>
        <w:spacing w:after="0"/>
        <w:tabs>
          <w:tab w:leader="none" w:pos="84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Intellectual Property</w:t>
      </w:r>
    </w:p>
    <w:p>
      <w:pPr>
        <w:spacing w:after="0" w:line="206" w:lineRule="exact"/>
        <w:rPr>
          <w:sz w:val="20"/>
          <w:szCs w:val="20"/>
          <w:color w:val="auto"/>
        </w:rPr>
      </w:pPr>
    </w:p>
    <w:p>
      <w:pPr>
        <w:jc w:val="both"/>
        <w:ind w:firstLine="840"/>
        <w:spacing w:after="0" w:line="237" w:lineRule="auto"/>
        <w:rPr>
          <w:sz w:val="20"/>
          <w:szCs w:val="20"/>
          <w:color w:val="auto"/>
        </w:rPr>
      </w:pPr>
      <w:r>
        <w:rPr>
          <w:rFonts w:ascii="Arial" w:cs="Arial" w:eastAsia="Arial" w:hAnsi="Arial"/>
          <w:sz w:val="22"/>
          <w:szCs w:val="22"/>
          <w:b w:val="1"/>
          <w:bCs w:val="1"/>
          <w:color w:val="auto"/>
        </w:rPr>
        <w:t>4.1 SiTime Intellectual Property</w:t>
      </w:r>
      <w:r>
        <w:rPr>
          <w:rFonts w:ascii="Arial" w:cs="Arial" w:eastAsia="Arial" w:hAnsi="Arial"/>
          <w:sz w:val="22"/>
          <w:szCs w:val="22"/>
          <w:color w:val="auto"/>
        </w:rPr>
        <w:t>. The following intellectual property rights, including,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limitation, patents, patent applications and patent rights, trademarks, service marks, trademark rights, trade names, trade name rights, copyrights, trade secrets, know-how, inventions, designs, proprietary rights and processes, works of authorship, computer programs, technical data or information, licenses, and similar proprietary rights (collectively, the “</w:t>
      </w:r>
      <w:r>
        <w:rPr>
          <w:rFonts w:ascii="Arial" w:cs="Arial" w:eastAsia="Arial" w:hAnsi="Arial"/>
          <w:sz w:val="22"/>
          <w:szCs w:val="22"/>
          <w:b w:val="1"/>
          <w:bCs w:val="1"/>
          <w:color w:val="auto"/>
        </w:rPr>
        <w:t>Intellectual Property</w:t>
      </w:r>
      <w:r>
        <w:rPr>
          <w:rFonts w:ascii="Arial" w:cs="Arial" w:eastAsia="Arial" w:hAnsi="Arial"/>
          <w:sz w:val="22"/>
          <w:szCs w:val="22"/>
          <w:color w:val="auto"/>
        </w:rPr>
        <w:t>”), shall be the exclusive property of SiTime:</w:t>
      </w:r>
    </w:p>
    <w:p>
      <w:pPr>
        <w:spacing w:after="0" w:line="147" w:lineRule="exact"/>
        <w:rPr>
          <w:sz w:val="20"/>
          <w:szCs w:val="20"/>
          <w:color w:val="auto"/>
        </w:rPr>
      </w:pPr>
    </w:p>
    <w:p>
      <w:pPr>
        <w:jc w:val="both"/>
        <w:ind w:firstLine="1689"/>
        <w:spacing w:after="0"/>
        <w:tabs>
          <w:tab w:leader="none" w:pos="2569" w:val="left"/>
        </w:tabs>
        <w:numPr>
          <w:ilvl w:val="0"/>
          <w:numId w:val="27"/>
        </w:numPr>
        <w:rPr>
          <w:rFonts w:ascii="Arial" w:cs="Arial" w:eastAsia="Arial" w:hAnsi="Arial"/>
          <w:sz w:val="22"/>
          <w:szCs w:val="22"/>
          <w:color w:val="auto"/>
        </w:rPr>
      </w:pPr>
      <w:r>
        <w:rPr>
          <w:rFonts w:ascii="Arial" w:cs="Arial" w:eastAsia="Arial" w:hAnsi="Arial"/>
          <w:sz w:val="22"/>
          <w:szCs w:val="22"/>
          <w:color w:val="auto"/>
        </w:rPr>
        <w:t>Intellectual Property that is made, created, developed, written, conceived or first reduced to practice by Seconded Personnel in the course of, arising out of, or as a result of work for which SiTime provides compensation pursuant to Section 2.3 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0" w:name="page51"/>
    <w:bookmarkEnd w:id="50"/>
    <w:p>
      <w:pPr>
        <w:spacing w:after="0" w:line="191" w:lineRule="auto"/>
        <w:framePr w:w="360" w:h="192" w:wrap="auto" w:vAnchor="page" w:hAnchor="page" w:x="1120" w:y="5483"/>
        <w:rPr>
          <w:rFonts w:ascii="Arial" w:cs="Arial" w:eastAsia="Arial" w:hAnsi="Arial"/>
          <w:sz w:val="22"/>
          <w:szCs w:val="22"/>
          <w:b w:val="1"/>
          <w:bCs w:val="1"/>
          <w:color w:val="auto"/>
        </w:rPr>
      </w:pPr>
      <w:r>
        <w:rPr>
          <w:rFonts w:ascii="Arial" w:cs="Arial" w:eastAsia="Arial" w:hAnsi="Arial"/>
          <w:sz w:val="22"/>
          <w:szCs w:val="22"/>
          <w:b w:val="1"/>
          <w:bCs w:val="1"/>
          <w:color w:val="auto"/>
        </w:rPr>
        <w:t>6.1</w:t>
      </w:r>
    </w:p>
    <w:p>
      <w:pPr>
        <w:spacing w:after="0" w:line="191" w:lineRule="auto"/>
        <w:framePr w:w="2620" w:h="192" w:wrap="auto" w:vAnchor="page" w:hAnchor="page" w:x="2040" w:y="5483"/>
        <w:rPr>
          <w:rFonts w:ascii="Arial" w:cs="Arial" w:eastAsia="Arial" w:hAnsi="Arial"/>
          <w:sz w:val="21"/>
          <w:szCs w:val="21"/>
          <w:b w:val="1"/>
          <w:bCs w:val="1"/>
          <w:color w:val="auto"/>
        </w:rPr>
      </w:pPr>
      <w:r>
        <w:rPr>
          <w:rFonts w:ascii="Arial" w:cs="Arial" w:eastAsia="Arial" w:hAnsi="Arial"/>
          <w:sz w:val="21"/>
          <w:szCs w:val="21"/>
          <w:b w:val="1"/>
          <w:bCs w:val="1"/>
          <w:color w:val="auto"/>
        </w:rPr>
        <w:t>Indemnification by MCA.</w:t>
      </w:r>
    </w:p>
    <w:p>
      <w:pPr>
        <w:ind w:firstLine="840"/>
        <w:spacing w:after="0" w:line="256" w:lineRule="auto"/>
        <w:rPr>
          <w:sz w:val="20"/>
          <w:szCs w:val="20"/>
          <w:color w:val="auto"/>
        </w:rPr>
      </w:pPr>
      <w:r>
        <w:rPr>
          <w:rFonts w:ascii="Arial" w:cs="Arial" w:eastAsia="Arial" w:hAnsi="Arial"/>
          <w:sz w:val="22"/>
          <w:szCs w:val="22"/>
          <w:b w:val="1"/>
          <w:bCs w:val="1"/>
          <w:color w:val="auto"/>
        </w:rPr>
        <w:t>4.2 MCA Intellectual Property</w:t>
      </w:r>
      <w:r>
        <w:rPr>
          <w:rFonts w:ascii="Arial" w:cs="Arial" w:eastAsia="Arial" w:hAnsi="Arial"/>
          <w:sz w:val="22"/>
          <w:szCs w:val="22"/>
          <w:color w:val="auto"/>
        </w:rPr>
        <w:t>. The following Intellectual Property shall belong to MCA, and shall not belong</w:t>
      </w:r>
      <w:r>
        <w:rPr>
          <w:rFonts w:ascii="Arial" w:cs="Arial" w:eastAsia="Arial" w:hAnsi="Arial"/>
          <w:sz w:val="22"/>
          <w:szCs w:val="22"/>
          <w:b w:val="1"/>
          <w:bCs w:val="1"/>
          <w:color w:val="auto"/>
        </w:rPr>
        <w:t xml:space="preserve"> </w:t>
      </w:r>
      <w:r>
        <w:rPr>
          <w:rFonts w:ascii="Arial" w:cs="Arial" w:eastAsia="Arial" w:hAnsi="Arial"/>
          <w:sz w:val="22"/>
          <w:szCs w:val="22"/>
          <w:color w:val="auto"/>
        </w:rPr>
        <w:t>to SiTime:</w:t>
      </w:r>
    </w:p>
    <w:p>
      <w:pPr>
        <w:spacing w:after="0" w:line="168" w:lineRule="exact"/>
        <w:rPr>
          <w:rFonts w:ascii="Arial" w:cs="Arial" w:eastAsia="Arial" w:hAnsi="Arial"/>
          <w:sz w:val="21"/>
          <w:szCs w:val="21"/>
          <w:b w:val="1"/>
          <w:bCs w:val="1"/>
          <w:color w:val="auto"/>
        </w:rPr>
      </w:pPr>
    </w:p>
    <w:p>
      <w:pPr>
        <w:ind w:left="2580" w:hanging="891"/>
        <w:spacing w:after="0"/>
        <w:tabs>
          <w:tab w:leader="none" w:pos="2580"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All Intellectual Property owned or controlled by MCA prior to the Effective </w:t>
      </w:r>
      <w:r>
        <w:rPr>
          <w:rFonts w:ascii="Arial" w:cs="Arial" w:eastAsia="Arial" w:hAnsi="Arial"/>
          <w:sz w:val="19"/>
          <w:szCs w:val="19"/>
          <w:color w:val="auto"/>
        </w:rPr>
        <w:t>Date, and</w:t>
      </w:r>
    </w:p>
    <w:p>
      <w:pPr>
        <w:spacing w:after="0" w:line="206" w:lineRule="exact"/>
        <w:rPr>
          <w:rFonts w:ascii="Arial" w:cs="Arial" w:eastAsia="Arial" w:hAnsi="Arial"/>
          <w:sz w:val="22"/>
          <w:szCs w:val="22"/>
          <w:color w:val="auto"/>
        </w:rPr>
      </w:pPr>
    </w:p>
    <w:p>
      <w:pPr>
        <w:ind w:left="2580" w:hanging="891"/>
        <w:spacing w:after="0"/>
        <w:tabs>
          <w:tab w:leader="none" w:pos="2580" w:val="left"/>
        </w:tabs>
        <w:numPr>
          <w:ilvl w:val="1"/>
          <w:numId w:val="28"/>
        </w:numPr>
        <w:rPr>
          <w:rFonts w:ascii="Arial" w:cs="Arial" w:eastAsia="Arial" w:hAnsi="Arial"/>
          <w:sz w:val="21"/>
          <w:szCs w:val="21"/>
          <w:color w:val="auto"/>
        </w:rPr>
      </w:pPr>
      <w:r>
        <w:rPr>
          <w:rFonts w:ascii="Arial" w:cs="Arial" w:eastAsia="Arial" w:hAnsi="Arial"/>
          <w:sz w:val="21"/>
          <w:szCs w:val="21"/>
          <w:color w:val="auto"/>
        </w:rPr>
        <w:t xml:space="preserve">All Intellectual Property created, developed, written, conceived or first </w:t>
      </w:r>
      <w:r>
        <w:rPr>
          <w:rFonts w:ascii="Arial" w:cs="Arial" w:eastAsia="Arial" w:hAnsi="Arial"/>
          <w:sz w:val="18"/>
          <w:szCs w:val="18"/>
          <w:color w:val="auto"/>
        </w:rPr>
        <w:t>reduced to practice by</w:t>
      </w:r>
    </w:p>
    <w:p>
      <w:pPr>
        <w:spacing w:after="0" w:line="2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0"/>
          <w:szCs w:val="20"/>
          <w:color w:val="auto"/>
        </w:rPr>
        <w:t>MCA employees who are:</w:t>
      </w:r>
    </w:p>
    <w:p>
      <w:pPr>
        <w:spacing w:after="0" w:line="194" w:lineRule="exact"/>
        <w:rPr>
          <w:rFonts w:ascii="Arial" w:cs="Arial" w:eastAsia="Arial" w:hAnsi="Arial"/>
          <w:sz w:val="21"/>
          <w:szCs w:val="21"/>
          <w:color w:val="auto"/>
        </w:rPr>
      </w:pPr>
    </w:p>
    <w:p>
      <w:pPr>
        <w:ind w:left="3380" w:hanging="850"/>
        <w:spacing w:after="0"/>
        <w:tabs>
          <w:tab w:leader="none" w:pos="3380" w:val="left"/>
        </w:tabs>
        <w:numPr>
          <w:ilvl w:val="2"/>
          <w:numId w:val="28"/>
        </w:numPr>
        <w:rPr>
          <w:rFonts w:ascii="Arial" w:cs="Arial" w:eastAsia="Arial" w:hAnsi="Arial"/>
          <w:sz w:val="22"/>
          <w:szCs w:val="22"/>
          <w:color w:val="auto"/>
        </w:rPr>
      </w:pPr>
      <w:r>
        <w:rPr>
          <w:rFonts w:ascii="Arial" w:cs="Arial" w:eastAsia="Arial" w:hAnsi="Arial"/>
          <w:sz w:val="22"/>
          <w:szCs w:val="22"/>
          <w:color w:val="auto"/>
        </w:rPr>
        <w:t>not Seconded Personnel at the time of such creation; or</w:t>
      </w:r>
    </w:p>
    <w:p>
      <w:pPr>
        <w:spacing w:after="0" w:line="206" w:lineRule="exact"/>
        <w:rPr>
          <w:rFonts w:ascii="Arial" w:cs="Arial" w:eastAsia="Arial" w:hAnsi="Arial"/>
          <w:sz w:val="22"/>
          <w:szCs w:val="22"/>
          <w:color w:val="auto"/>
        </w:rPr>
      </w:pPr>
    </w:p>
    <w:p>
      <w:pPr>
        <w:jc w:val="both"/>
        <w:ind w:firstLine="2530"/>
        <w:spacing w:after="0"/>
        <w:tabs>
          <w:tab w:leader="none" w:pos="3433" w:val="left"/>
        </w:tabs>
        <w:numPr>
          <w:ilvl w:val="2"/>
          <w:numId w:val="28"/>
        </w:numPr>
        <w:rPr>
          <w:rFonts w:ascii="Arial" w:cs="Arial" w:eastAsia="Arial" w:hAnsi="Arial"/>
          <w:sz w:val="22"/>
          <w:szCs w:val="22"/>
          <w:color w:val="auto"/>
        </w:rPr>
      </w:pPr>
      <w:r>
        <w:rPr>
          <w:rFonts w:ascii="Arial" w:cs="Arial" w:eastAsia="Arial" w:hAnsi="Arial"/>
          <w:sz w:val="22"/>
          <w:szCs w:val="22"/>
          <w:color w:val="auto"/>
        </w:rPr>
        <w:t>Seconded Personnel at the time of such creation but who created such Intellectual Property while performing work outside the scope of this Agreement and for which SiTime did not provide compensation pursuant to Section 2.3 hereof.</w:t>
      </w:r>
    </w:p>
    <w:p>
      <w:pPr>
        <w:spacing w:after="0" w:line="180" w:lineRule="exact"/>
        <w:rPr>
          <w:rFonts w:ascii="Arial" w:cs="Arial" w:eastAsia="Arial" w:hAnsi="Arial"/>
          <w:sz w:val="22"/>
          <w:szCs w:val="22"/>
          <w:color w:val="auto"/>
        </w:rPr>
      </w:pPr>
    </w:p>
    <w:p>
      <w:pPr>
        <w:ind w:left="840" w:hanging="832"/>
        <w:spacing w:after="0"/>
        <w:tabs>
          <w:tab w:leader="none" w:pos="84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Laws</w:t>
      </w:r>
    </w:p>
    <w:p>
      <w:pPr>
        <w:spacing w:after="0" w:line="20" w:lineRule="exact"/>
        <w:rPr>
          <w:rFonts w:ascii="Arial" w:cs="Arial" w:eastAsia="Arial" w:hAnsi="Arial"/>
          <w:sz w:val="21"/>
          <w:szCs w:val="21"/>
          <w:b w:val="1"/>
          <w:bCs w:val="1"/>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column">
              <wp:posOffset>536575</wp:posOffset>
            </wp:positionH>
            <wp:positionV relativeFrom="paragraph">
              <wp:posOffset>-13970</wp:posOffset>
            </wp:positionV>
            <wp:extent cx="13392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spacing w:after="0" w:line="192" w:lineRule="exact"/>
        <w:rPr>
          <w:rFonts w:ascii="Arial" w:cs="Arial" w:eastAsia="Arial" w:hAnsi="Arial"/>
          <w:sz w:val="21"/>
          <w:szCs w:val="21"/>
          <w:b w:val="1"/>
          <w:bCs w:val="1"/>
          <w:color w:val="auto"/>
        </w:rPr>
      </w:pPr>
    </w:p>
    <w:p>
      <w:pPr>
        <w:jc w:val="both"/>
        <w:ind w:firstLine="840"/>
        <w:spacing w:after="0"/>
        <w:rPr>
          <w:sz w:val="20"/>
          <w:szCs w:val="20"/>
          <w:color w:val="auto"/>
        </w:rPr>
      </w:pPr>
      <w:r>
        <w:rPr>
          <w:rFonts w:ascii="Arial" w:cs="Arial" w:eastAsia="Arial" w:hAnsi="Arial"/>
          <w:sz w:val="22"/>
          <w:szCs w:val="22"/>
          <w:color w:val="auto"/>
        </w:rPr>
        <w:t>Each party will, with respect to its obligations and performance hereunder, comply with all applicable requirements of national, federal, state and local laws, rules and regulations, including without limitation import and export control, environmental and occupational safety requirements.</w:t>
      </w:r>
    </w:p>
    <w:p>
      <w:pPr>
        <w:spacing w:after="0" w:line="180" w:lineRule="exact"/>
        <w:rPr>
          <w:rFonts w:ascii="Arial" w:cs="Arial" w:eastAsia="Arial" w:hAnsi="Arial"/>
          <w:sz w:val="21"/>
          <w:szCs w:val="21"/>
          <w:b w:val="1"/>
          <w:bCs w:val="1"/>
          <w:color w:val="auto"/>
        </w:rPr>
      </w:pPr>
    </w:p>
    <w:p>
      <w:pPr>
        <w:ind w:left="840" w:hanging="832"/>
        <w:spacing w:after="0"/>
        <w:tabs>
          <w:tab w:leader="none" w:pos="84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Indemnity and Damages</w:t>
      </w:r>
    </w:p>
    <w:p>
      <w:pPr>
        <w:spacing w:after="0" w:line="200" w:lineRule="exact"/>
        <w:rPr>
          <w:rFonts w:ascii="Arial" w:cs="Arial" w:eastAsia="Arial" w:hAnsi="Arial"/>
          <w:sz w:val="21"/>
          <w:szCs w:val="21"/>
          <w:b w:val="1"/>
          <w:bCs w:val="1"/>
          <w:color w:val="auto"/>
        </w:rPr>
      </w:pPr>
    </w:p>
    <w:p>
      <w:pPr>
        <w:spacing w:after="0" w:line="242" w:lineRule="exact"/>
        <w:rPr>
          <w:rFonts w:ascii="Arial" w:cs="Arial" w:eastAsia="Arial" w:hAnsi="Arial"/>
          <w:sz w:val="21"/>
          <w:szCs w:val="21"/>
          <w:b w:val="1"/>
          <w:bCs w:val="1"/>
          <w:color w:val="auto"/>
        </w:rPr>
      </w:pPr>
    </w:p>
    <w:p>
      <w:pPr>
        <w:jc w:val="both"/>
        <w:ind w:firstLine="4947"/>
        <w:spacing w:after="0" w:line="206" w:lineRule="auto"/>
        <w:rPr>
          <w:sz w:val="20"/>
          <w:szCs w:val="20"/>
          <w:color w:val="auto"/>
        </w:rPr>
      </w:pPr>
      <w:r>
        <w:rPr>
          <w:rFonts w:ascii="Arial" w:cs="Arial" w:eastAsia="Arial" w:hAnsi="Arial"/>
          <w:sz w:val="22"/>
          <w:szCs w:val="22"/>
          <w:color w:val="auto"/>
        </w:rPr>
        <w:t xml:space="preserve">MCA shall indemnify, defend and hold harmless </w:t>
      </w:r>
      <w:r>
        <w:rPr>
          <w:rFonts w:ascii="Arial" w:cs="Arial" w:eastAsia="Arial" w:hAnsi="Arial"/>
          <w:sz w:val="19"/>
          <w:szCs w:val="19"/>
          <w:color w:val="auto"/>
        </w:rPr>
        <w:t>SiTime, its officers,</w:t>
      </w:r>
      <w:r>
        <w:rPr>
          <w:rFonts w:ascii="Arial" w:cs="Arial" w:eastAsia="Arial" w:hAnsi="Arial"/>
          <w:sz w:val="22"/>
          <w:szCs w:val="22"/>
          <w:color w:val="auto"/>
        </w:rPr>
        <w:t xml:space="preserve"> </w:t>
      </w:r>
      <w:r>
        <w:rPr>
          <w:rFonts w:ascii="Arial" w:cs="Arial" w:eastAsia="Arial" w:hAnsi="Arial"/>
          <w:sz w:val="19"/>
          <w:szCs w:val="19"/>
          <w:color w:val="auto"/>
        </w:rPr>
        <w:t>directors, employees and agents, from and against any and all claims, suits, actions, demands, proceedings, damages, losses, liabilities, deficiencies, costs and expenses, including, without limitation, penalties, interest, reasonable attorneys’ fees, and reasonable costs of preparation and investigation (collectively, “</w:t>
      </w:r>
      <w:r>
        <w:rPr>
          <w:rFonts w:ascii="Arial" w:cs="Arial" w:eastAsia="Arial" w:hAnsi="Arial"/>
          <w:sz w:val="19"/>
          <w:szCs w:val="19"/>
          <w:b w:val="1"/>
          <w:bCs w:val="1"/>
          <w:color w:val="auto"/>
        </w:rPr>
        <w:t>Losses</w:t>
      </w:r>
      <w:r>
        <w:rPr>
          <w:rFonts w:ascii="Arial" w:cs="Arial" w:eastAsia="Arial" w:hAnsi="Arial"/>
          <w:sz w:val="19"/>
          <w:szCs w:val="19"/>
          <w:color w:val="auto"/>
        </w:rPr>
        <w:t>”), arising out of, relating to, or resulting from (a) a material breach by MCA of any of MCA’s covenants or obligations under this Agreement; or (b) any gross negligence or willful misconduct of any officer, manager, employee or agent of MCA other than the Seconded Personnel.</w:t>
      </w:r>
    </w:p>
    <w:p>
      <w:pPr>
        <w:spacing w:after="0" w:line="186" w:lineRule="exact"/>
        <w:rPr>
          <w:rFonts w:ascii="Arial" w:cs="Arial" w:eastAsia="Arial" w:hAnsi="Arial"/>
          <w:sz w:val="21"/>
          <w:szCs w:val="21"/>
          <w:b w:val="1"/>
          <w:bCs w:val="1"/>
          <w:color w:val="auto"/>
        </w:rPr>
      </w:pPr>
    </w:p>
    <w:p>
      <w:pPr>
        <w:jc w:val="both"/>
        <w:ind w:firstLine="840"/>
        <w:spacing w:after="0" w:line="239" w:lineRule="auto"/>
        <w:rPr>
          <w:sz w:val="20"/>
          <w:szCs w:val="20"/>
          <w:color w:val="auto"/>
        </w:rPr>
      </w:pPr>
      <w:r>
        <w:rPr>
          <w:rFonts w:ascii="Arial" w:cs="Arial" w:eastAsia="Arial" w:hAnsi="Arial"/>
          <w:sz w:val="22"/>
          <w:szCs w:val="22"/>
          <w:b w:val="1"/>
          <w:bCs w:val="1"/>
          <w:color w:val="auto"/>
        </w:rPr>
        <w:t xml:space="preserve">6.2 Indemnification by SiTime. </w:t>
      </w:r>
      <w:r>
        <w:rPr>
          <w:rFonts w:ascii="Arial" w:cs="Arial" w:eastAsia="Arial" w:hAnsi="Arial"/>
          <w:sz w:val="22"/>
          <w:szCs w:val="22"/>
          <w:color w:val="auto"/>
        </w:rPr>
        <w:t>SiTime shall indemnify, defend and hold harmless MCA, its officers, managers,</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and agents, from and against any and all Losses arising out of, relating to, or resulting from (a) a material breach by SiTime of any of SiTime’s covenants or obligations under this Agreement; or (b) any gross negligence or willful misconduct of any officer, director, employee or agent of SiTime.</w:t>
      </w:r>
    </w:p>
    <w:p>
      <w:pPr>
        <w:spacing w:after="0" w:line="180" w:lineRule="exact"/>
        <w:rPr>
          <w:rFonts w:ascii="Arial" w:cs="Arial" w:eastAsia="Arial" w:hAnsi="Arial"/>
          <w:sz w:val="21"/>
          <w:szCs w:val="21"/>
          <w:b w:val="1"/>
          <w:bCs w:val="1"/>
          <w:color w:val="auto"/>
        </w:rPr>
      </w:pPr>
    </w:p>
    <w:p>
      <w:pPr>
        <w:ind w:left="840" w:hanging="832"/>
        <w:spacing w:after="0"/>
        <w:tabs>
          <w:tab w:leader="none" w:pos="84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 and Termination</w:t>
      </w:r>
    </w:p>
    <w:p>
      <w:pPr>
        <w:spacing w:after="0" w:line="206" w:lineRule="exact"/>
        <w:rPr>
          <w:rFonts w:ascii="Arial" w:cs="Arial" w:eastAsia="Arial" w:hAnsi="Arial"/>
          <w:sz w:val="21"/>
          <w:szCs w:val="21"/>
          <w:b w:val="1"/>
          <w:bCs w:val="1"/>
          <w:color w:val="auto"/>
        </w:rPr>
      </w:pPr>
    </w:p>
    <w:p>
      <w:pPr>
        <w:jc w:val="both"/>
        <w:ind w:firstLine="840"/>
        <w:spacing w:after="0" w:line="243" w:lineRule="auto"/>
        <w:rPr>
          <w:sz w:val="20"/>
          <w:szCs w:val="20"/>
          <w:color w:val="auto"/>
        </w:rPr>
      </w:pPr>
      <w:r>
        <w:rPr>
          <w:rFonts w:ascii="Arial" w:cs="Arial" w:eastAsia="Arial" w:hAnsi="Arial"/>
          <w:sz w:val="22"/>
          <w:szCs w:val="22"/>
          <w:b w:val="1"/>
          <w:bCs w:val="1"/>
          <w:color w:val="auto"/>
        </w:rPr>
        <w:t xml:space="preserve">7.1 Term. </w:t>
      </w:r>
      <w:r>
        <w:rPr>
          <w:rFonts w:ascii="Arial" w:cs="Arial" w:eastAsia="Arial" w:hAnsi="Arial"/>
          <w:sz w:val="22"/>
          <w:szCs w:val="22"/>
          <w:color w:val="auto"/>
        </w:rPr>
        <w:t>This Agreement shall commence on the Effective Date and shall remain in effect for one (1) year and</w:t>
      </w:r>
      <w:r>
        <w:rPr>
          <w:rFonts w:ascii="Arial" w:cs="Arial" w:eastAsia="Arial" w:hAnsi="Arial"/>
          <w:sz w:val="22"/>
          <w:szCs w:val="22"/>
          <w:b w:val="1"/>
          <w:bCs w:val="1"/>
          <w:color w:val="auto"/>
        </w:rPr>
        <w:t xml:space="preserve"> </w:t>
      </w:r>
      <w:r>
        <w:rPr>
          <w:rFonts w:ascii="Arial" w:cs="Arial" w:eastAsia="Arial" w:hAnsi="Arial"/>
          <w:sz w:val="22"/>
          <w:szCs w:val="22"/>
          <w:color w:val="auto"/>
        </w:rPr>
        <w:t>each Term shall automatically renew for subsequent periods of one (1) year unless earlier terminated in accordance with Section 7.2 hereof (the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136" w:lineRule="exact"/>
        <w:rPr>
          <w:rFonts w:ascii="Arial" w:cs="Arial" w:eastAsia="Arial" w:hAnsi="Arial"/>
          <w:sz w:val="21"/>
          <w:szCs w:val="21"/>
          <w:b w:val="1"/>
          <w:bCs w:val="1"/>
          <w:color w:val="auto"/>
        </w:rPr>
      </w:pPr>
    </w:p>
    <w:p>
      <w:pPr>
        <w:ind w:left="840"/>
        <w:spacing w:after="0"/>
        <w:tabs>
          <w:tab w:leader="none" w:pos="174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b w:val="1"/>
          <w:bCs w:val="1"/>
          <w:color w:val="auto"/>
        </w:rPr>
        <w:t xml:space="preserve">Termination. </w:t>
      </w:r>
      <w:r>
        <w:rPr>
          <w:rFonts w:ascii="Arial" w:cs="Arial" w:eastAsia="Arial" w:hAnsi="Arial"/>
          <w:sz w:val="19"/>
          <w:szCs w:val="19"/>
          <w:color w:val="auto"/>
        </w:rPr>
        <w:t>This Agreement may be terminated, in whole or in part, at any time:</w:t>
      </w:r>
    </w:p>
    <w:p>
      <w:pPr>
        <w:spacing w:after="0" w:line="212" w:lineRule="exact"/>
        <w:rPr>
          <w:rFonts w:ascii="Arial" w:cs="Arial" w:eastAsia="Arial" w:hAnsi="Arial"/>
          <w:sz w:val="21"/>
          <w:szCs w:val="21"/>
          <w:b w:val="1"/>
          <w:bCs w:val="1"/>
          <w:color w:val="auto"/>
        </w:rPr>
      </w:pPr>
    </w:p>
    <w:p>
      <w:pPr>
        <w:ind w:left="5580" w:right="4640" w:hanging="3891"/>
        <w:spacing w:after="0" w:line="802" w:lineRule="auto"/>
        <w:tabs>
          <w:tab w:leader="none" w:pos="2587" w:val="left"/>
        </w:tabs>
        <w:numPr>
          <w:ilvl w:val="0"/>
          <w:numId w:val="32"/>
        </w:numPr>
        <w:rPr>
          <w:rFonts w:ascii="Arial" w:cs="Arial" w:eastAsia="Arial" w:hAnsi="Arial"/>
          <w:sz w:val="19"/>
          <w:szCs w:val="19"/>
          <w:color w:val="auto"/>
        </w:rPr>
      </w:pPr>
      <w:r>
        <w:rPr>
          <w:rFonts w:ascii="Arial" w:cs="Arial" w:eastAsia="Arial" w:hAnsi="Arial"/>
          <w:sz w:val="19"/>
          <w:szCs w:val="19"/>
          <w:color w:val="auto"/>
        </w:rPr>
        <w:t>by the mutual written consent of the parties; or 4</w:t>
      </w:r>
    </w:p>
    <w:p>
      <w:pPr>
        <w:spacing w:after="0" w:line="20" w:lineRule="exact"/>
        <w:rPr>
          <w:rFonts w:ascii="Arial" w:cs="Arial" w:eastAsia="Arial" w:hAnsi="Arial"/>
          <w:sz w:val="21"/>
          <w:szCs w:val="21"/>
          <w:b w:val="1"/>
          <w:bCs w:val="1"/>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1" w:name="page52"/>
    <w:bookmarkEnd w:id="51"/>
    <w:p>
      <w:pPr>
        <w:jc w:val="both"/>
        <w:ind w:firstLine="1689"/>
        <w:spacing w:after="0" w:line="236" w:lineRule="auto"/>
        <w:tabs>
          <w:tab w:leader="none" w:pos="2581" w:val="left"/>
        </w:tabs>
        <w:numPr>
          <w:ilvl w:val="0"/>
          <w:numId w:val="33"/>
        </w:numPr>
        <w:rPr>
          <w:rFonts w:ascii="Arial" w:cs="Arial" w:eastAsia="Arial" w:hAnsi="Arial"/>
          <w:sz w:val="22"/>
          <w:szCs w:val="22"/>
          <w:color w:val="auto"/>
        </w:rPr>
      </w:pPr>
      <w:r>
        <w:rPr>
          <w:rFonts w:ascii="Arial" w:cs="Arial" w:eastAsia="Arial" w:hAnsi="Arial"/>
          <w:sz w:val="22"/>
          <w:szCs w:val="22"/>
          <w:color w:val="auto"/>
        </w:rPr>
        <w:t>by either party in the event of any material breach or default by the other party of any of its obligations under this Agreement and the failure of the other party to cure, or to take substantial steps towards the curing of, such breach or default within thirty (30) days after receipt of written notice from the non-breaching party requesting such breach or default to be cured. In the case of termination under subsection (b), termination shall be effective on the last day of the month on which the thirty (30)-day prior written notice lapses.</w:t>
      </w:r>
    </w:p>
    <w:p>
      <w:pPr>
        <w:spacing w:after="0" w:line="181" w:lineRule="exact"/>
        <w:rPr>
          <w:sz w:val="20"/>
          <w:szCs w:val="20"/>
          <w:color w:val="auto"/>
        </w:rPr>
      </w:pPr>
    </w:p>
    <w:p>
      <w:pPr>
        <w:jc w:val="both"/>
        <w:ind w:firstLine="840"/>
        <w:spacing w:after="0" w:line="237" w:lineRule="auto"/>
        <w:rPr>
          <w:sz w:val="20"/>
          <w:szCs w:val="20"/>
          <w:color w:val="auto"/>
        </w:rPr>
      </w:pPr>
      <w:r>
        <w:rPr>
          <w:rFonts w:ascii="Arial" w:cs="Arial" w:eastAsia="Arial" w:hAnsi="Arial"/>
          <w:sz w:val="22"/>
          <w:szCs w:val="22"/>
          <w:b w:val="1"/>
          <w:bCs w:val="1"/>
          <w:color w:val="auto"/>
        </w:rPr>
        <w:t>7.3 Effect of Termination or Expiration</w:t>
      </w:r>
      <w:r>
        <w:rPr>
          <w:rFonts w:ascii="Arial" w:cs="Arial" w:eastAsia="Arial" w:hAnsi="Arial"/>
          <w:sz w:val="22"/>
          <w:szCs w:val="22"/>
          <w:color w:val="auto"/>
        </w:rPr>
        <w:t>. Upon termination or expiration of this Agreement, MCA may</w:t>
      </w:r>
      <w:r>
        <w:rPr>
          <w:rFonts w:ascii="Arial" w:cs="Arial" w:eastAsia="Arial" w:hAnsi="Arial"/>
          <w:sz w:val="22"/>
          <w:szCs w:val="22"/>
          <w:b w:val="1"/>
          <w:bCs w:val="1"/>
          <w:color w:val="auto"/>
        </w:rPr>
        <w:t xml:space="preserve"> </w:t>
      </w:r>
      <w:r>
        <w:rPr>
          <w:rFonts w:ascii="Arial" w:cs="Arial" w:eastAsia="Arial" w:hAnsi="Arial"/>
          <w:sz w:val="22"/>
          <w:szCs w:val="22"/>
          <w:color w:val="auto"/>
        </w:rPr>
        <w:t>immediately recall the Seconded Personnel. All provisions of this Agreement that by their nature are intended to survive the expiration or termination of this Agreement shall so survive. Without limiting the generality of the foregoing, the provisions of Sections 2.6, 3, 4, 6, 7.3, and 8 of this Agreement (including all definitions pertaining thereto) shall survive any expiration or termination of this Agreement.</w:t>
      </w:r>
    </w:p>
    <w:p>
      <w:pPr>
        <w:spacing w:after="0" w:line="182" w:lineRule="exact"/>
        <w:rPr>
          <w:sz w:val="20"/>
          <w:szCs w:val="20"/>
          <w:color w:val="auto"/>
        </w:rPr>
      </w:pPr>
    </w:p>
    <w:p>
      <w:pPr>
        <w:ind w:left="840" w:hanging="832"/>
        <w:spacing w:after="0"/>
        <w:tabs>
          <w:tab w:leader="none" w:pos="84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p>
    <w:p>
      <w:pPr>
        <w:spacing w:after="0" w:line="206" w:lineRule="exact"/>
        <w:rPr>
          <w:sz w:val="20"/>
          <w:szCs w:val="20"/>
          <w:color w:val="auto"/>
        </w:rPr>
      </w:pPr>
    </w:p>
    <w:p>
      <w:pPr>
        <w:jc w:val="both"/>
        <w:ind w:firstLine="840"/>
        <w:spacing w:after="0" w:line="256" w:lineRule="auto"/>
        <w:rPr>
          <w:sz w:val="20"/>
          <w:szCs w:val="20"/>
          <w:color w:val="auto"/>
        </w:rPr>
      </w:pPr>
      <w:r>
        <w:rPr>
          <w:rFonts w:ascii="Arial" w:cs="Arial" w:eastAsia="Arial" w:hAnsi="Arial"/>
          <w:sz w:val="22"/>
          <w:szCs w:val="22"/>
          <w:b w:val="1"/>
          <w:bCs w:val="1"/>
          <w:color w:val="auto"/>
        </w:rPr>
        <w:t xml:space="preserve">8.1 Governing Law. </w:t>
      </w:r>
      <w:r>
        <w:rPr>
          <w:rFonts w:ascii="Arial" w:cs="Arial" w:eastAsia="Arial" w:hAnsi="Arial"/>
          <w:sz w:val="22"/>
          <w:szCs w:val="22"/>
          <w:color w:val="auto"/>
        </w:rPr>
        <w:t>This Agreement shall be governed by and construed and enforced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internal laws of the State of California (without giving effect to the conflict of laws principles).</w:t>
      </w:r>
    </w:p>
    <w:p>
      <w:pPr>
        <w:spacing w:after="0" w:line="162" w:lineRule="exact"/>
        <w:rPr>
          <w:sz w:val="20"/>
          <w:szCs w:val="20"/>
          <w:color w:val="auto"/>
        </w:rPr>
      </w:pPr>
    </w:p>
    <w:p>
      <w:pPr>
        <w:jc w:val="both"/>
        <w:ind w:firstLine="840"/>
        <w:spacing w:after="0" w:line="243" w:lineRule="auto"/>
        <w:rPr>
          <w:sz w:val="20"/>
          <w:szCs w:val="20"/>
          <w:color w:val="auto"/>
        </w:rPr>
      </w:pPr>
      <w:r>
        <w:rPr>
          <w:rFonts w:ascii="Arial" w:cs="Arial" w:eastAsia="Arial" w:hAnsi="Arial"/>
          <w:sz w:val="22"/>
          <w:szCs w:val="22"/>
          <w:b w:val="1"/>
          <w:bCs w:val="1"/>
          <w:color w:val="auto"/>
        </w:rPr>
        <w:t>8.2 Dispute Resolution</w:t>
      </w:r>
      <w:r>
        <w:rPr>
          <w:rFonts w:ascii="Arial" w:cs="Arial" w:eastAsia="Arial" w:hAnsi="Arial"/>
          <w:sz w:val="22"/>
          <w:szCs w:val="22"/>
          <w:color w:val="auto"/>
        </w:rPr>
        <w:t>. If there is any dispute or controversy (a “</w:t>
      </w:r>
      <w:r>
        <w:rPr>
          <w:rFonts w:ascii="Arial" w:cs="Arial" w:eastAsia="Arial" w:hAnsi="Arial"/>
          <w:sz w:val="22"/>
          <w:szCs w:val="22"/>
          <w:b w:val="1"/>
          <w:bCs w:val="1"/>
          <w:color w:val="auto"/>
        </w:rPr>
        <w:t>Dispute</w:t>
      </w:r>
      <w:r>
        <w:rPr>
          <w:rFonts w:ascii="Arial" w:cs="Arial" w:eastAsia="Arial" w:hAnsi="Arial"/>
          <w:sz w:val="22"/>
          <w:szCs w:val="22"/>
          <w:color w:val="auto"/>
        </w:rPr>
        <w:t>”) arising under or in connection with</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except for any action under Sections 2.6 or for specific performance, the parties shall attempt in good faith to resolve the Dispute amicably.</w:t>
      </w:r>
    </w:p>
    <w:p>
      <w:pPr>
        <w:spacing w:after="0" w:line="177" w:lineRule="exact"/>
        <w:rPr>
          <w:sz w:val="20"/>
          <w:szCs w:val="20"/>
          <w:color w:val="auto"/>
        </w:rPr>
      </w:pPr>
    </w:p>
    <w:p>
      <w:pPr>
        <w:jc w:val="both"/>
        <w:ind w:firstLine="840"/>
        <w:spacing w:after="0" w:line="300" w:lineRule="auto"/>
        <w:rPr>
          <w:sz w:val="20"/>
          <w:szCs w:val="20"/>
          <w:color w:val="auto"/>
        </w:rPr>
      </w:pPr>
      <w:r>
        <w:rPr>
          <w:rFonts w:ascii="Arial" w:cs="Arial" w:eastAsia="Arial" w:hAnsi="Arial"/>
          <w:sz w:val="19"/>
          <w:szCs w:val="19"/>
          <w:b w:val="1"/>
          <w:bCs w:val="1"/>
          <w:color w:val="auto"/>
        </w:rPr>
        <w:t>8.3 Relationship of the Parties</w:t>
      </w:r>
      <w:r>
        <w:rPr>
          <w:rFonts w:ascii="Arial" w:cs="Arial" w:eastAsia="Arial" w:hAnsi="Arial"/>
          <w:sz w:val="19"/>
          <w:szCs w:val="19"/>
          <w:color w:val="auto"/>
        </w:rPr>
        <w:t>. Neither party nor any of its employees or agents will be deemed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employees or agents of the other party for any purpose or under any circumstances. No partnership, joint venture, alliance, fiduciary or any relationship other than that of independent contractors is created by this Agreement, expressly or by implication.</w:t>
      </w:r>
    </w:p>
    <w:p>
      <w:pPr>
        <w:spacing w:after="0" w:line="126" w:lineRule="exact"/>
        <w:rPr>
          <w:sz w:val="20"/>
          <w:szCs w:val="20"/>
          <w:color w:val="auto"/>
        </w:rPr>
      </w:pPr>
    </w:p>
    <w:p>
      <w:pPr>
        <w:jc w:val="both"/>
        <w:ind w:firstLine="840"/>
        <w:spacing w:after="0" w:line="251" w:lineRule="auto"/>
        <w:rPr>
          <w:sz w:val="20"/>
          <w:szCs w:val="20"/>
          <w:color w:val="auto"/>
        </w:rPr>
      </w:pPr>
      <w:r>
        <w:rPr>
          <w:rFonts w:ascii="Arial" w:cs="Arial" w:eastAsia="Arial" w:hAnsi="Arial"/>
          <w:sz w:val="21"/>
          <w:szCs w:val="21"/>
          <w:b w:val="1"/>
          <w:bCs w:val="1"/>
          <w:color w:val="auto"/>
        </w:rPr>
        <w:t xml:space="preserve">8.4 Assignment and Amendment of Agreement. </w:t>
      </w:r>
      <w:r>
        <w:rPr>
          <w:rFonts w:ascii="Arial" w:cs="Arial" w:eastAsia="Arial" w:hAnsi="Arial"/>
          <w:sz w:val="21"/>
          <w:szCs w:val="21"/>
          <w:color w:val="auto"/>
        </w:rPr>
        <w:t>This Agreement shall be binding upon the respective</w:t>
      </w:r>
      <w:r>
        <w:rPr>
          <w:rFonts w:ascii="Arial" w:cs="Arial" w:eastAsia="Arial" w:hAnsi="Arial"/>
          <w:sz w:val="21"/>
          <w:szCs w:val="21"/>
          <w:b w:val="1"/>
          <w:bCs w:val="1"/>
          <w:color w:val="auto"/>
        </w:rPr>
        <w:t xml:space="preserve"> </w:t>
      </w:r>
      <w:r>
        <w:rPr>
          <w:rFonts w:ascii="Arial" w:cs="Arial" w:eastAsia="Arial" w:hAnsi="Arial"/>
          <w:sz w:val="21"/>
          <w:szCs w:val="21"/>
          <w:color w:val="auto"/>
        </w:rPr>
        <w:t>successors and permitted assigns of the parties. This Agreement may be amended only by written agreement of the parties. None of the rights or obligations hereunder may be assigned by either party without prior written consent of the other party; provided, however, that MCA may assign and delegate any or all of its rights, interests and obligations under this Agreement to any of its affiliates to the extent that MCC seconds the Seconded Personnel to such affiliate.</w:t>
      </w:r>
    </w:p>
    <w:p>
      <w:pPr>
        <w:spacing w:after="0" w:line="168" w:lineRule="exact"/>
        <w:rPr>
          <w:sz w:val="20"/>
          <w:szCs w:val="20"/>
          <w:color w:val="auto"/>
        </w:rPr>
      </w:pPr>
    </w:p>
    <w:p>
      <w:pPr>
        <w:jc w:val="both"/>
        <w:ind w:firstLine="840"/>
        <w:spacing w:after="0" w:line="243" w:lineRule="auto"/>
        <w:rPr>
          <w:sz w:val="20"/>
          <w:szCs w:val="20"/>
          <w:color w:val="auto"/>
        </w:rPr>
      </w:pPr>
      <w:r>
        <w:rPr>
          <w:rFonts w:ascii="Arial" w:cs="Arial" w:eastAsia="Arial" w:hAnsi="Arial"/>
          <w:sz w:val="22"/>
          <w:szCs w:val="22"/>
          <w:b w:val="1"/>
          <w:bCs w:val="1"/>
          <w:color w:val="auto"/>
        </w:rPr>
        <w:t xml:space="preserve">8.5 Notices. </w:t>
      </w:r>
      <w:r>
        <w:rPr>
          <w:rFonts w:ascii="Arial" w:cs="Arial" w:eastAsia="Arial" w:hAnsi="Arial"/>
          <w:sz w:val="22"/>
          <w:szCs w:val="22"/>
          <w:color w:val="auto"/>
        </w:rPr>
        <w:t>All notices, requests, demands and other communications given hereunder (collectively, “</w:t>
      </w:r>
      <w:r>
        <w:rPr>
          <w:rFonts w:ascii="Arial" w:cs="Arial" w:eastAsia="Arial" w:hAnsi="Arial"/>
          <w:sz w:val="22"/>
          <w:szCs w:val="22"/>
          <w:b w:val="1"/>
          <w:bCs w:val="1"/>
          <w:color w:val="auto"/>
        </w:rPr>
        <w:t>Notices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in writing and personally delivered, sent by facsimile or mailed by registered or certified mail, postage prepaid, as follows:</w:t>
      </w:r>
    </w:p>
    <w:p>
      <w:pPr>
        <w:spacing w:after="0" w:line="142" w:lineRule="exact"/>
        <w:rPr>
          <w:sz w:val="20"/>
          <w:szCs w:val="20"/>
          <w:color w:val="auto"/>
        </w:rPr>
      </w:pPr>
    </w:p>
    <w:p>
      <w:pPr>
        <w:ind w:left="2580" w:hanging="891"/>
        <w:spacing w:after="0"/>
        <w:tabs>
          <w:tab w:leader="none" w:pos="25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If to MCA, at:</w:t>
      </w:r>
    </w:p>
    <w:p>
      <w:pPr>
        <w:spacing w:after="0" w:line="206"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2755 Orchard Parkway</w:t>
      </w:r>
    </w:p>
    <w:p>
      <w:pPr>
        <w:ind w:left="2520"/>
        <w:spacing w:after="0" w:line="238" w:lineRule="auto"/>
        <w:rPr>
          <w:sz w:val="20"/>
          <w:szCs w:val="20"/>
          <w:color w:val="auto"/>
        </w:rPr>
      </w:pPr>
      <w:r>
        <w:rPr>
          <w:rFonts w:ascii="Arial" w:cs="Arial" w:eastAsia="Arial" w:hAnsi="Arial"/>
          <w:sz w:val="22"/>
          <w:szCs w:val="22"/>
          <w:color w:val="auto"/>
        </w:rPr>
        <w:t>San Jose, CA 95134</w:t>
      </w:r>
    </w:p>
    <w:p>
      <w:pPr>
        <w:ind w:left="2520"/>
        <w:spacing w:after="0" w:line="230" w:lineRule="auto"/>
        <w:rPr>
          <w:sz w:val="20"/>
          <w:szCs w:val="20"/>
          <w:color w:val="auto"/>
        </w:rPr>
      </w:pPr>
      <w:r>
        <w:rPr>
          <w:rFonts w:ascii="Arial" w:cs="Arial" w:eastAsia="Arial" w:hAnsi="Arial"/>
          <w:sz w:val="22"/>
          <w:szCs w:val="22"/>
          <w:color w:val="auto"/>
        </w:rPr>
        <w:t>Attn: HR &amp; General Administration</w:t>
      </w:r>
    </w:p>
    <w:p>
      <w:pPr>
        <w:spacing w:after="0" w:line="1"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Fax: (408) 570-0567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2" w:name="page53"/>
    <w:bookmarkEnd w:id="52"/>
    <w:p>
      <w:pPr>
        <w:ind w:left="2580" w:hanging="891"/>
        <w:spacing w:after="0"/>
        <w:tabs>
          <w:tab w:leader="none" w:pos="25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If to SiTime, at:</w:t>
      </w:r>
    </w:p>
    <w:p>
      <w:pPr>
        <w:spacing w:after="0" w:line="206"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5451 Patrick Henry Drive</w:t>
      </w:r>
    </w:p>
    <w:p>
      <w:pPr>
        <w:ind w:left="2520"/>
        <w:spacing w:after="0" w:line="238" w:lineRule="auto"/>
        <w:rPr>
          <w:sz w:val="20"/>
          <w:szCs w:val="20"/>
          <w:color w:val="auto"/>
        </w:rPr>
      </w:pPr>
      <w:r>
        <w:rPr>
          <w:rFonts w:ascii="Arial" w:cs="Arial" w:eastAsia="Arial" w:hAnsi="Arial"/>
          <w:sz w:val="22"/>
          <w:szCs w:val="22"/>
          <w:color w:val="auto"/>
        </w:rPr>
        <w:t>Santa Clara, CA 95054</w:t>
      </w:r>
    </w:p>
    <w:p>
      <w:pPr>
        <w:ind w:left="2520"/>
        <w:spacing w:after="0" w:line="230" w:lineRule="auto"/>
        <w:rPr>
          <w:sz w:val="20"/>
          <w:szCs w:val="20"/>
          <w:color w:val="auto"/>
        </w:rPr>
      </w:pPr>
      <w:r>
        <w:rPr>
          <w:rFonts w:ascii="Arial" w:cs="Arial" w:eastAsia="Arial" w:hAnsi="Arial"/>
          <w:sz w:val="22"/>
          <w:szCs w:val="22"/>
          <w:color w:val="auto"/>
        </w:rPr>
        <w:t>Attn: Human Resources</w:t>
      </w:r>
    </w:p>
    <w:p>
      <w:pPr>
        <w:spacing w:after="0" w:line="1"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Fax: +(408) 643-0523</w:t>
      </w:r>
    </w:p>
    <w:p>
      <w:pPr>
        <w:spacing w:after="0" w:line="200" w:lineRule="exact"/>
        <w:rPr>
          <w:sz w:val="20"/>
          <w:szCs w:val="20"/>
          <w:color w:val="auto"/>
        </w:rPr>
      </w:pPr>
    </w:p>
    <w:p>
      <w:pPr>
        <w:spacing w:after="0" w:line="312" w:lineRule="exact"/>
        <w:rPr>
          <w:sz w:val="20"/>
          <w:szCs w:val="20"/>
          <w:color w:val="auto"/>
        </w:rPr>
      </w:pPr>
    </w:p>
    <w:p>
      <w:pPr>
        <w:jc w:val="both"/>
        <w:ind w:firstLine="1689"/>
        <w:spacing w:after="0" w:line="282" w:lineRule="auto"/>
        <w:tabs>
          <w:tab w:leader="none" w:pos="2569" w:val="left"/>
        </w:tabs>
        <w:numPr>
          <w:ilvl w:val="0"/>
          <w:numId w:val="37"/>
        </w:numPr>
        <w:rPr>
          <w:rFonts w:ascii="Arial" w:cs="Arial" w:eastAsia="Arial" w:hAnsi="Arial"/>
          <w:sz w:val="19"/>
          <w:szCs w:val="19"/>
          <w:color w:val="auto"/>
        </w:rPr>
      </w:pPr>
      <w:r>
        <w:rPr>
          <w:rFonts w:ascii="Arial" w:cs="Arial" w:eastAsia="Arial" w:hAnsi="Arial"/>
          <w:sz w:val="19"/>
          <w:szCs w:val="19"/>
          <w:color w:val="auto"/>
        </w:rPr>
        <w:t>All Notices shall be deemed delivered when actually received if personally delivered or sent by facsimile, or one business day after having been deposited with an overnight delivery service or three (3) business days after having been placed in the mail, addressed in accordance with subsections (a) or (b) hereof, as the case may be, provided that any Notice sent by facsimile must immediately be placed in the mail or deposited with an overnight delivery service. Each party shall hereafter notify the other in accordance with this Section of any change of address to which Notice is required to be mailed.</w:t>
      </w:r>
    </w:p>
    <w:p>
      <w:pPr>
        <w:spacing w:after="0" w:line="141" w:lineRule="exact"/>
        <w:rPr>
          <w:sz w:val="20"/>
          <w:szCs w:val="20"/>
          <w:color w:val="auto"/>
        </w:rPr>
      </w:pPr>
    </w:p>
    <w:p>
      <w:pPr>
        <w:jc w:val="both"/>
        <w:ind w:firstLine="840"/>
        <w:spacing w:after="0" w:line="256" w:lineRule="auto"/>
        <w:rPr>
          <w:sz w:val="20"/>
          <w:szCs w:val="20"/>
          <w:color w:val="auto"/>
        </w:rPr>
      </w:pPr>
      <w:r>
        <w:rPr>
          <w:rFonts w:ascii="Arial" w:cs="Arial" w:eastAsia="Arial" w:hAnsi="Arial"/>
          <w:sz w:val="22"/>
          <w:szCs w:val="22"/>
          <w:b w:val="1"/>
          <w:bCs w:val="1"/>
          <w:color w:val="auto"/>
        </w:rPr>
        <w:t>8.6 Waiver</w:t>
      </w:r>
      <w:r>
        <w:rPr>
          <w:rFonts w:ascii="Arial" w:cs="Arial" w:eastAsia="Arial" w:hAnsi="Arial"/>
          <w:sz w:val="22"/>
          <w:szCs w:val="22"/>
          <w:color w:val="auto"/>
        </w:rPr>
        <w:t>. The waiver by either party of a remedy for a breach by the other party or a right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will not constitute a waiver of the remedy for any other similar or subsequent breach or the right.</w:t>
      </w:r>
    </w:p>
    <w:p>
      <w:pPr>
        <w:spacing w:after="0" w:line="162" w:lineRule="exact"/>
        <w:rPr>
          <w:sz w:val="20"/>
          <w:szCs w:val="20"/>
          <w:color w:val="auto"/>
        </w:rPr>
      </w:pPr>
    </w:p>
    <w:p>
      <w:pPr>
        <w:jc w:val="both"/>
        <w:ind w:firstLine="840"/>
        <w:spacing w:after="0" w:line="280" w:lineRule="auto"/>
        <w:rPr>
          <w:sz w:val="20"/>
          <w:szCs w:val="20"/>
          <w:color w:val="auto"/>
        </w:rPr>
      </w:pPr>
      <w:r>
        <w:rPr>
          <w:rFonts w:ascii="Arial" w:cs="Arial" w:eastAsia="Arial" w:hAnsi="Arial"/>
          <w:sz w:val="21"/>
          <w:szCs w:val="21"/>
          <w:b w:val="1"/>
          <w:bCs w:val="1"/>
          <w:color w:val="auto"/>
        </w:rPr>
        <w:t xml:space="preserve">8.7 Headings. </w:t>
      </w:r>
      <w:r>
        <w:rPr>
          <w:rFonts w:ascii="Arial" w:cs="Arial" w:eastAsia="Arial" w:hAnsi="Arial"/>
          <w:sz w:val="21"/>
          <w:szCs w:val="21"/>
          <w:color w:val="auto"/>
        </w:rPr>
        <w:t>The section headings in this Agreement are inserted only as a matter of convenience and in no way</w:t>
      </w:r>
      <w:r>
        <w:rPr>
          <w:rFonts w:ascii="Arial" w:cs="Arial" w:eastAsia="Arial" w:hAnsi="Arial"/>
          <w:sz w:val="21"/>
          <w:szCs w:val="21"/>
          <w:b w:val="1"/>
          <w:bCs w:val="1"/>
          <w:color w:val="auto"/>
        </w:rPr>
        <w:t xml:space="preserve"> </w:t>
      </w:r>
      <w:r>
        <w:rPr>
          <w:rFonts w:ascii="Arial" w:cs="Arial" w:eastAsia="Arial" w:hAnsi="Arial"/>
          <w:sz w:val="21"/>
          <w:szCs w:val="21"/>
          <w:color w:val="auto"/>
        </w:rPr>
        <w:t>define, limit, construe or describe the scope or extent of such paragraph or in any way affect such paragraph.</w:t>
      </w:r>
    </w:p>
    <w:p>
      <w:pPr>
        <w:spacing w:after="0" w:line="139" w:lineRule="exact"/>
        <w:rPr>
          <w:sz w:val="20"/>
          <w:szCs w:val="20"/>
          <w:color w:val="auto"/>
        </w:rPr>
      </w:pPr>
    </w:p>
    <w:p>
      <w:pPr>
        <w:jc w:val="both"/>
        <w:ind w:firstLine="840"/>
        <w:spacing w:after="0" w:line="239" w:lineRule="auto"/>
        <w:rPr>
          <w:sz w:val="20"/>
          <w:szCs w:val="20"/>
          <w:color w:val="auto"/>
        </w:rPr>
      </w:pPr>
      <w:r>
        <w:rPr>
          <w:rFonts w:ascii="Arial" w:cs="Arial" w:eastAsia="Arial" w:hAnsi="Arial"/>
          <w:sz w:val="22"/>
          <w:szCs w:val="22"/>
          <w:b w:val="1"/>
          <w:bCs w:val="1"/>
          <w:color w:val="auto"/>
        </w:rPr>
        <w:t>8.8 Severability</w:t>
      </w:r>
      <w:r>
        <w:rPr>
          <w:rFonts w:ascii="Arial" w:cs="Arial" w:eastAsia="Arial" w:hAnsi="Arial"/>
          <w:sz w:val="22"/>
          <w:szCs w:val="22"/>
          <w:color w:val="auto"/>
        </w:rPr>
        <w:t>. If any provision of this Agreement is or becomes, at any time or for any reason, unenforceable</w:t>
      </w:r>
      <w:r>
        <w:rPr>
          <w:rFonts w:ascii="Arial" w:cs="Arial" w:eastAsia="Arial" w:hAnsi="Arial"/>
          <w:sz w:val="22"/>
          <w:szCs w:val="22"/>
          <w:b w:val="1"/>
          <w:bCs w:val="1"/>
          <w:color w:val="auto"/>
        </w:rPr>
        <w:t xml:space="preserve"> </w:t>
      </w:r>
      <w:r>
        <w:rPr>
          <w:rFonts w:ascii="Arial" w:cs="Arial" w:eastAsia="Arial" w:hAnsi="Arial"/>
          <w:sz w:val="22"/>
          <w:szCs w:val="22"/>
          <w:color w:val="auto"/>
        </w:rPr>
        <w:t>or invalid, such provision shall be enforced to maximum extent permissible, no other provision of this Agreement shall be affected thereby, and the remaining provisions of this Agreement shall continue with the same force and effect as if such unenforceable or invalid provisions had not been inserted in this Agreement.</w:t>
      </w:r>
    </w:p>
    <w:p>
      <w:pPr>
        <w:spacing w:after="0" w:line="180" w:lineRule="exact"/>
        <w:rPr>
          <w:sz w:val="20"/>
          <w:szCs w:val="20"/>
          <w:color w:val="auto"/>
        </w:rPr>
      </w:pPr>
    </w:p>
    <w:p>
      <w:pPr>
        <w:jc w:val="both"/>
        <w:ind w:firstLine="840"/>
        <w:spacing w:after="0" w:line="334" w:lineRule="auto"/>
        <w:rPr>
          <w:sz w:val="20"/>
          <w:szCs w:val="20"/>
          <w:color w:val="auto"/>
        </w:rPr>
      </w:pPr>
      <w:r>
        <w:rPr>
          <w:rFonts w:ascii="Arial" w:cs="Arial" w:eastAsia="Arial" w:hAnsi="Arial"/>
          <w:sz w:val="19"/>
          <w:szCs w:val="19"/>
          <w:b w:val="1"/>
          <w:bCs w:val="1"/>
          <w:color w:val="auto"/>
        </w:rPr>
        <w:t>8.9 No Third-Party Beneficiaries</w:t>
      </w:r>
      <w:r>
        <w:rPr>
          <w:rFonts w:ascii="Arial" w:cs="Arial" w:eastAsia="Arial" w:hAnsi="Arial"/>
          <w:sz w:val="19"/>
          <w:szCs w:val="19"/>
          <w:color w:val="auto"/>
        </w:rPr>
        <w:t>. Nothing in this Agreement is intended to modify the underlying at-will</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status of any Seconded Personnel and no Seconded Personnel is intended to be a beneficiary of this Agreement.</w:t>
      </w:r>
    </w:p>
    <w:p>
      <w:pPr>
        <w:spacing w:after="0" w:line="94" w:lineRule="exact"/>
        <w:rPr>
          <w:sz w:val="20"/>
          <w:szCs w:val="20"/>
          <w:color w:val="auto"/>
        </w:rPr>
      </w:pPr>
    </w:p>
    <w:p>
      <w:pPr>
        <w:jc w:val="both"/>
        <w:ind w:firstLine="840"/>
        <w:spacing w:after="0" w:line="239" w:lineRule="auto"/>
        <w:rPr>
          <w:sz w:val="20"/>
          <w:szCs w:val="20"/>
          <w:color w:val="auto"/>
        </w:rPr>
      </w:pPr>
      <w:r>
        <w:rPr>
          <w:rFonts w:ascii="Arial" w:cs="Arial" w:eastAsia="Arial" w:hAnsi="Arial"/>
          <w:sz w:val="22"/>
          <w:szCs w:val="22"/>
          <w:b w:val="1"/>
          <w:bCs w:val="1"/>
          <w:color w:val="auto"/>
        </w:rPr>
        <w:t xml:space="preserve">8.10 Counterparts. </w:t>
      </w:r>
      <w:r>
        <w:rPr>
          <w:rFonts w:ascii="Arial" w:cs="Arial" w:eastAsia="Arial" w:hAnsi="Arial"/>
          <w:sz w:val="22"/>
          <w:szCs w:val="22"/>
          <w:color w:val="auto"/>
        </w:rPr>
        <w:t>This Agreement may be executed in counterparts with the same force and effect as if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signatories had executed the same instrument. This Agreement may also be executed and delivered by facsimile signature or electronically via portable document format (PDF) and in two or more counterparts, each of which shall be deemed an original, but all of which together shall constitute one and the same instrument.</w:t>
      </w:r>
    </w:p>
    <w:p>
      <w:pPr>
        <w:spacing w:after="0" w:line="140" w:lineRule="exact"/>
        <w:rPr>
          <w:sz w:val="20"/>
          <w:szCs w:val="20"/>
          <w:color w:val="auto"/>
        </w:rPr>
      </w:pPr>
    </w:p>
    <w:p>
      <w:pPr>
        <w:jc w:val="both"/>
        <w:ind w:firstLine="840"/>
        <w:spacing w:after="0" w:line="243" w:lineRule="auto"/>
        <w:rPr>
          <w:sz w:val="20"/>
          <w:szCs w:val="20"/>
          <w:color w:val="auto"/>
        </w:rPr>
      </w:pPr>
      <w:r>
        <w:rPr>
          <w:rFonts w:ascii="Arial" w:cs="Arial" w:eastAsia="Arial" w:hAnsi="Arial"/>
          <w:sz w:val="22"/>
          <w:szCs w:val="22"/>
          <w:b w:val="1"/>
          <w:bCs w:val="1"/>
          <w:color w:val="auto"/>
        </w:rPr>
        <w:t>8.11 Entire Agreement</w:t>
      </w:r>
      <w:r>
        <w:rPr>
          <w:rFonts w:ascii="Arial" w:cs="Arial" w:eastAsia="Arial" w:hAnsi="Arial"/>
          <w:sz w:val="22"/>
          <w:szCs w:val="22"/>
          <w:color w:val="auto"/>
        </w:rPr>
        <w:t>. This Agreement constitutes the entire agreement between the parties with respect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matter hereof, and supersedes all previous communications, representations, understandings and agreements, either written or oral, between the parties.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53" w:name="page54"/>
    <w:bookmarkEnd w:id="53"/>
    <w:p>
      <w:pPr>
        <w:ind w:firstLine="824"/>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each of the parties has caused this Agreement to be duly executed on its behalf by its duly authorized</w:t>
      </w:r>
      <w:r>
        <w:rPr>
          <w:rFonts w:ascii="Arial" w:cs="Arial" w:eastAsia="Arial" w:hAnsi="Arial"/>
          <w:sz w:val="20"/>
          <w:szCs w:val="20"/>
          <w:b w:val="1"/>
          <w:bCs w:val="1"/>
          <w:color w:val="auto"/>
        </w:rPr>
        <w:t xml:space="preserve"> </w:t>
      </w:r>
      <w:r>
        <w:rPr>
          <w:rFonts w:ascii="Arial" w:cs="Arial" w:eastAsia="Arial" w:hAnsi="Arial"/>
          <w:sz w:val="20"/>
          <w:szCs w:val="20"/>
          <w:color w:val="auto"/>
        </w:rPr>
        <w:t>officer as of the date first written above.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MEGACHIPS TECHNOLOGY AMERICA CORPORATION</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Kochi Akeyama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9525</wp:posOffset>
            </wp:positionV>
            <wp:extent cx="22117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Kochi Akeyama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-1905</wp:posOffset>
            </wp:positionV>
            <wp:extent cx="19373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tabs>
          <w:tab w:leader="none" w:pos="10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-3175</wp:posOffset>
            </wp:positionV>
            <wp:extent cx="19373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SITIME CORPORATION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0" w:type="dxa"/>
            <w:vAlign w:val="bottom"/>
          </w:tcPr>
          <w:p>
            <w:pPr>
              <w:spacing w:after="0"/>
              <w:rPr>
                <w:sz w:val="20"/>
                <w:szCs w:val="20"/>
                <w:color w:val="auto"/>
              </w:rPr>
            </w:pPr>
            <w:r>
              <w:rPr>
                <w:rFonts w:ascii="Arial" w:cs="Arial" w:eastAsia="Arial" w:hAnsi="Arial"/>
                <w:sz w:val="21"/>
                <w:szCs w:val="21"/>
                <w:color w:val="auto"/>
              </w:rPr>
              <w:t>By:</w:t>
            </w:r>
          </w:p>
        </w:tc>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21"/>
                <w:szCs w:val="21"/>
                <w:color w:val="auto"/>
              </w:rPr>
              <w:t>/s/ Rajesh Vashist</w:t>
            </w:r>
          </w:p>
        </w:tc>
      </w:tr>
      <w:tr>
        <w:trPr>
          <w:trHeight w:val="237"/>
        </w:trPr>
        <w:tc>
          <w:tcPr>
            <w:tcW w:w="620" w:type="dxa"/>
            <w:vAlign w:val="bottom"/>
          </w:tcPr>
          <w:p>
            <w:pPr>
              <w:spacing w:after="0" w:line="237" w:lineRule="exact"/>
              <w:rPr>
                <w:sz w:val="20"/>
                <w:szCs w:val="20"/>
                <w:color w:val="auto"/>
              </w:rPr>
            </w:pPr>
            <w:r>
              <w:rPr>
                <w:rFonts w:ascii="Arial" w:cs="Arial" w:eastAsia="Arial" w:hAnsi="Arial"/>
                <w:sz w:val="22"/>
                <w:szCs w:val="22"/>
                <w:color w:val="auto"/>
                <w:w w:val="92"/>
              </w:rPr>
              <w:t>Name:</w:t>
            </w:r>
          </w:p>
        </w:tc>
        <w:tc>
          <w:tcPr>
            <w:tcW w:w="440" w:type="dxa"/>
            <w:vAlign w:val="bottom"/>
          </w:tcPr>
          <w:p>
            <w:pPr>
              <w:spacing w:after="0"/>
              <w:rPr>
                <w:sz w:val="20"/>
                <w:szCs w:val="20"/>
                <w:color w:val="auto"/>
              </w:rPr>
            </w:pPr>
          </w:p>
        </w:tc>
        <w:tc>
          <w:tcPr>
            <w:tcW w:w="30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Rajesh Vashist</w:t>
            </w:r>
          </w:p>
        </w:tc>
      </w:tr>
      <w:tr>
        <w:trPr>
          <w:trHeight w:val="237"/>
        </w:trPr>
        <w:tc>
          <w:tcPr>
            <w:tcW w:w="62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440" w:type="dxa"/>
            <w:vAlign w:val="bottom"/>
          </w:tcPr>
          <w:p>
            <w:pPr>
              <w:spacing w:after="0"/>
              <w:rPr>
                <w:sz w:val="20"/>
                <w:szCs w:val="20"/>
                <w:color w:val="auto"/>
              </w:rPr>
            </w:pPr>
          </w:p>
        </w:tc>
        <w:tc>
          <w:tcPr>
            <w:tcW w:w="30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[Signature Page]</w:t>
      </w:r>
    </w:p>
    <w:p>
      <w:pPr>
        <w:sectPr>
          <w:pgSz w:w="11900" w:h="16838" w:orient="portrait"/>
          <w:cols w:equalWidth="0" w:num="1">
            <w:col w:w="11160"/>
          </w:cols>
          <w:pgMar w:left="320" w:top="346" w:right="419" w:bottom="1440" w:gutter="0" w:footer="0" w:header="0"/>
        </w:sectPr>
      </w:pPr>
    </w:p>
    <w:bookmarkStart w:id="54" w:name="page55"/>
    <w:bookmarkEnd w:id="54"/>
    <w:p>
      <w:pPr>
        <w:jc w:val="right"/>
        <w:spacing w:after="0"/>
        <w:rPr>
          <w:sz w:val="20"/>
          <w:szCs w:val="20"/>
          <w:color w:val="auto"/>
        </w:rPr>
      </w:pPr>
      <w:r>
        <w:rPr>
          <w:rFonts w:ascii="Arial" w:cs="Arial" w:eastAsia="Arial" w:hAnsi="Arial"/>
          <w:sz w:val="21"/>
          <w:szCs w:val="21"/>
          <w:b w:val="1"/>
          <w:bCs w:val="1"/>
          <w:color w:val="auto"/>
        </w:rPr>
        <w:t>Exhibit 10.2</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ASSET PURCHASE AGREEMENT</w:t>
      </w:r>
    </w:p>
    <w:p>
      <w:pPr>
        <w:spacing w:after="0" w:line="224" w:lineRule="exact"/>
        <w:rPr>
          <w:sz w:val="20"/>
          <w:szCs w:val="20"/>
          <w:color w:val="auto"/>
        </w:rPr>
      </w:pPr>
    </w:p>
    <w:p>
      <w:pPr>
        <w:ind w:right="180"/>
        <w:spacing w:after="0" w:line="265" w:lineRule="auto"/>
        <w:rPr>
          <w:sz w:val="20"/>
          <w:szCs w:val="20"/>
          <w:color w:val="auto"/>
        </w:rPr>
      </w:pPr>
      <w:r>
        <w:rPr>
          <w:rFonts w:ascii="Arial" w:cs="Arial" w:eastAsia="Arial" w:hAnsi="Arial"/>
          <w:sz w:val="20"/>
          <w:szCs w:val="20"/>
          <w:color w:val="auto"/>
        </w:rPr>
        <w:t>This ASSET PURCHASE AGREEMENT, dated February 20, 2020 (this "</w:t>
      </w: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is by and between MegaChips Taiwan Corporation, a Taiwan corporation, with its registered office at RM. B 2F, Worldwide House, No.129, Min Sheng E. Rd., Sec.3, Taipei 105 Taiwan </w:t>
      </w:r>
      <w:r>
        <w:rPr>
          <w:rFonts w:ascii="Arial" w:cs="Arial" w:eastAsia="Arial" w:hAnsi="Arial"/>
          <w:sz w:val="20"/>
          <w:szCs w:val="20"/>
          <w:u w:val="single" w:color="auto"/>
          <w:color w:val="auto"/>
        </w:rPr>
        <w:t>("Seller")</w:t>
      </w:r>
      <w:r>
        <w:rPr>
          <w:rFonts w:ascii="Arial" w:cs="Arial" w:eastAsia="Arial" w:hAnsi="Arial"/>
          <w:sz w:val="20"/>
          <w:szCs w:val="20"/>
          <w:color w:val="auto"/>
        </w:rPr>
        <w:t xml:space="preserve"> and SiTime Corporation, a Delaware Corporation, with its registered office at 5451 Patrick Henry Drive, Santa Clara, CA 95054, U.S.A </w:t>
      </w:r>
      <w:r>
        <w:rPr>
          <w:rFonts w:ascii="Arial" w:cs="Arial" w:eastAsia="Arial" w:hAnsi="Arial"/>
          <w:sz w:val="20"/>
          <w:szCs w:val="20"/>
          <w:u w:val="single" w:color="auto"/>
          <w:color w:val="auto"/>
        </w:rPr>
        <w:t>("Buyer")</w:t>
      </w:r>
      <w:r>
        <w:rPr>
          <w:rFonts w:ascii="Arial" w:cs="Arial" w:eastAsia="Arial" w:hAnsi="Arial"/>
          <w:sz w:val="20"/>
          <w:szCs w:val="20"/>
          <w:color w:val="auto"/>
        </w:rPr>
        <w:t xml:space="preserve"> (each a </w:t>
      </w:r>
      <w:r>
        <w:rPr>
          <w:rFonts w:ascii="Arial" w:cs="Arial" w:eastAsia="Arial" w:hAnsi="Arial"/>
          <w:sz w:val="20"/>
          <w:szCs w:val="20"/>
          <w:u w:val="single" w:color="auto"/>
          <w:color w:val="auto"/>
        </w:rPr>
        <w:t>"Party"</w:t>
      </w:r>
      <w:r>
        <w:rPr>
          <w:rFonts w:ascii="Arial" w:cs="Arial" w:eastAsia="Arial" w:hAnsi="Arial"/>
          <w:sz w:val="20"/>
          <w:szCs w:val="20"/>
          <w:color w:val="auto"/>
        </w:rPr>
        <w:t xml:space="preserve"> and collectively the "Parties").</w:t>
      </w:r>
    </w:p>
    <w:p>
      <w:pPr>
        <w:spacing w:after="0" w:line="199" w:lineRule="exact"/>
        <w:rPr>
          <w:sz w:val="20"/>
          <w:szCs w:val="20"/>
          <w:color w:val="auto"/>
        </w:rPr>
      </w:pPr>
    </w:p>
    <w:p>
      <w:pPr>
        <w:ind w:right="20"/>
        <w:spacing w:after="0" w:line="252" w:lineRule="auto"/>
        <w:rPr>
          <w:sz w:val="20"/>
          <w:szCs w:val="20"/>
          <w:color w:val="auto"/>
        </w:rPr>
      </w:pPr>
      <w:r>
        <w:rPr>
          <w:rFonts w:ascii="Arial" w:cs="Arial" w:eastAsia="Arial" w:hAnsi="Arial"/>
          <w:sz w:val="21"/>
          <w:szCs w:val="21"/>
          <w:color w:val="auto"/>
        </w:rPr>
        <w:t>In consideration of the respective representations, warranties, covenants and agreements hereinafter set forth, and for other good and valuable consideration, the receipt and sufficiency of which are hereby acknowledged, the Parties, intending to be legally bound, hereby agree as follows:</w:t>
      </w:r>
    </w:p>
    <w:p>
      <w:pPr>
        <w:spacing w:after="0" w:line="211" w:lineRule="exact"/>
        <w:rPr>
          <w:sz w:val="20"/>
          <w:szCs w:val="20"/>
          <w:color w:val="auto"/>
        </w:rPr>
      </w:pPr>
    </w:p>
    <w:p>
      <w:pPr>
        <w:ind w:left="620" w:hanging="612"/>
        <w:spacing w:after="0"/>
        <w:tabs>
          <w:tab w:leader="none" w:pos="620" w:val="left"/>
        </w:tabs>
        <w:numPr>
          <w:ilvl w:val="0"/>
          <w:numId w:val="38"/>
        </w:numPr>
        <w:rPr>
          <w:rFonts w:ascii="Arial" w:cs="Arial" w:eastAsia="Arial" w:hAnsi="Arial"/>
          <w:sz w:val="21"/>
          <w:szCs w:val="21"/>
          <w:b w:val="1"/>
          <w:bCs w:val="1"/>
          <w:color w:val="auto"/>
        </w:rPr>
      </w:pPr>
      <w:r>
        <w:rPr>
          <w:rFonts w:ascii="Arial" w:cs="Arial" w:eastAsia="Arial" w:hAnsi="Arial"/>
          <w:sz w:val="21"/>
          <w:szCs w:val="21"/>
          <w:u w:val="single" w:color="auto"/>
          <w:color w:val="auto"/>
        </w:rPr>
        <w:t>Sale and Purchase</w:t>
      </w:r>
      <w:r>
        <w:rPr>
          <w:rFonts w:ascii="Arial" w:cs="Arial" w:eastAsia="Arial" w:hAnsi="Arial"/>
          <w:sz w:val="21"/>
          <w:szCs w:val="21"/>
          <w:color w:val="auto"/>
        </w:rPr>
        <w:t>.</w:t>
      </w:r>
    </w:p>
    <w:p>
      <w:pPr>
        <w:spacing w:after="0" w:line="245"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 xml:space="preserve">On the terms and subject to the conditions set forth in this Agreement, Buyer shall purchase and acquire from Seller, and Seller shall sell, transfer, assign and convey to Buyer, for the consideration specified in Section 2 below, all of Seller's right, title and interest in and to the assets and properties set fo1ih on Schedule 1.1 hereto (the </w:t>
      </w:r>
      <w:r>
        <w:rPr>
          <w:rFonts w:ascii="Arial" w:cs="Arial" w:eastAsia="Arial" w:hAnsi="Arial"/>
          <w:sz w:val="21"/>
          <w:szCs w:val="21"/>
          <w:u w:val="single" w:color="auto"/>
          <w:color w:val="auto"/>
        </w:rPr>
        <w:t>"Equipment").</w:t>
      </w:r>
    </w:p>
    <w:p>
      <w:pPr>
        <w:spacing w:after="0" w:line="211" w:lineRule="exact"/>
        <w:rPr>
          <w:sz w:val="20"/>
          <w:szCs w:val="20"/>
          <w:color w:val="auto"/>
        </w:rPr>
      </w:pPr>
    </w:p>
    <w:p>
      <w:pPr>
        <w:ind w:left="620" w:hanging="612"/>
        <w:spacing w:after="0"/>
        <w:tabs>
          <w:tab w:leader="none" w:pos="620" w:val="left"/>
        </w:tabs>
        <w:numPr>
          <w:ilvl w:val="0"/>
          <w:numId w:val="39"/>
        </w:numPr>
        <w:rPr>
          <w:rFonts w:ascii="Arial" w:cs="Arial" w:eastAsia="Arial" w:hAnsi="Arial"/>
          <w:sz w:val="21"/>
          <w:szCs w:val="21"/>
          <w:b w:val="1"/>
          <w:bCs w:val="1"/>
          <w:color w:val="auto"/>
        </w:rPr>
      </w:pPr>
      <w:r>
        <w:rPr>
          <w:rFonts w:ascii="Arial" w:cs="Arial" w:eastAsia="Arial" w:hAnsi="Arial"/>
          <w:sz w:val="21"/>
          <w:szCs w:val="21"/>
          <w:u w:val="single" w:color="auto"/>
          <w:color w:val="auto"/>
        </w:rPr>
        <w:t>Purchase Price.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The consideration for the sale of the Equipment (the </w:t>
      </w:r>
      <w:r>
        <w:rPr>
          <w:rFonts w:ascii="Arial" w:cs="Arial" w:eastAsia="Arial" w:hAnsi="Arial"/>
          <w:sz w:val="21"/>
          <w:szCs w:val="21"/>
          <w:u w:val="single" w:color="auto"/>
          <w:color w:val="auto"/>
        </w:rPr>
        <w:t>"Purchase Price")</w:t>
      </w:r>
      <w:r>
        <w:rPr>
          <w:rFonts w:ascii="Arial" w:cs="Arial" w:eastAsia="Arial" w:hAnsi="Arial"/>
          <w:sz w:val="21"/>
          <w:szCs w:val="21"/>
          <w:color w:val="auto"/>
        </w:rPr>
        <w:t xml:space="preserve"> shall be USD 55,000.</w:t>
      </w:r>
    </w:p>
    <w:p>
      <w:pPr>
        <w:spacing w:after="0" w:line="245" w:lineRule="exact"/>
        <w:rPr>
          <w:sz w:val="20"/>
          <w:szCs w:val="20"/>
          <w:color w:val="auto"/>
        </w:rPr>
      </w:pPr>
    </w:p>
    <w:p>
      <w:pPr>
        <w:ind w:left="620" w:hanging="612"/>
        <w:spacing w:after="0"/>
        <w:tabs>
          <w:tab w:leader="none" w:pos="620" w:val="left"/>
        </w:tabs>
        <w:numPr>
          <w:ilvl w:val="0"/>
          <w:numId w:val="40"/>
        </w:numPr>
        <w:rPr>
          <w:rFonts w:ascii="Arial" w:cs="Arial" w:eastAsia="Arial" w:hAnsi="Arial"/>
          <w:sz w:val="21"/>
          <w:szCs w:val="21"/>
          <w:b w:val="1"/>
          <w:bCs w:val="1"/>
          <w:color w:val="auto"/>
        </w:rPr>
      </w:pPr>
      <w:r>
        <w:rPr>
          <w:rFonts w:ascii="Arial" w:cs="Arial" w:eastAsia="Arial" w:hAnsi="Arial"/>
          <w:sz w:val="21"/>
          <w:szCs w:val="21"/>
          <w:u w:val="single" w:color="auto"/>
          <w:color w:val="auto"/>
        </w:rPr>
        <w:t>Tax.</w:t>
      </w:r>
    </w:p>
    <w:p>
      <w:pPr>
        <w:spacing w:after="0" w:line="245" w:lineRule="exact"/>
        <w:rPr>
          <w:sz w:val="20"/>
          <w:szCs w:val="20"/>
          <w:color w:val="auto"/>
        </w:rPr>
      </w:pPr>
    </w:p>
    <w:p>
      <w:pPr>
        <w:jc w:val="both"/>
        <w:ind w:right="200"/>
        <w:spacing w:after="0" w:line="265" w:lineRule="auto"/>
        <w:rPr>
          <w:sz w:val="20"/>
          <w:szCs w:val="20"/>
          <w:color w:val="auto"/>
        </w:rPr>
      </w:pPr>
      <w:r>
        <w:rPr>
          <w:rFonts w:ascii="Arial" w:cs="Arial" w:eastAsia="Arial" w:hAnsi="Arial"/>
          <w:sz w:val="20"/>
          <w:szCs w:val="20"/>
          <w:color w:val="auto"/>
        </w:rPr>
        <w:t>Buyer and Seller acknowledge and agree that any and all taxes and duties imposed in connection with the transactions contemplated by this Agreement, including value added tax in Taiwan, will be excluded from the Purchase Price. Buyer shall bear the responsibility for payment of any and all taxes or duties incurred in connection with the transactions contemplated by this Agreement (excluding, for the avoidance of doubt, any income, capital gains, or other similar taxes).</w:t>
      </w:r>
    </w:p>
    <w:p>
      <w:pPr>
        <w:spacing w:after="0" w:line="199" w:lineRule="exact"/>
        <w:rPr>
          <w:sz w:val="20"/>
          <w:szCs w:val="20"/>
          <w:color w:val="auto"/>
        </w:rPr>
      </w:pPr>
    </w:p>
    <w:p>
      <w:pPr>
        <w:ind w:left="620" w:hanging="612"/>
        <w:spacing w:after="0"/>
        <w:tabs>
          <w:tab w:leader="none" w:pos="620" w:val="left"/>
        </w:tabs>
        <w:numPr>
          <w:ilvl w:val="0"/>
          <w:numId w:val="41"/>
        </w:numPr>
        <w:rPr>
          <w:rFonts w:ascii="Arial" w:cs="Arial" w:eastAsia="Arial" w:hAnsi="Arial"/>
          <w:sz w:val="21"/>
          <w:szCs w:val="21"/>
          <w:b w:val="1"/>
          <w:bCs w:val="1"/>
          <w:color w:val="auto"/>
        </w:rPr>
      </w:pPr>
      <w:r>
        <w:rPr>
          <w:rFonts w:ascii="Arial" w:cs="Arial" w:eastAsia="Arial" w:hAnsi="Arial"/>
          <w:sz w:val="21"/>
          <w:szCs w:val="21"/>
          <w:u w:val="single" w:color="auto"/>
          <w:color w:val="auto"/>
        </w:rPr>
        <w:t>Payment</w:t>
      </w:r>
      <w:r>
        <w:rPr>
          <w:rFonts w:ascii="Arial" w:cs="Arial" w:eastAsia="Arial" w:hAnsi="Arial"/>
          <w:sz w:val="21"/>
          <w:szCs w:val="21"/>
          <w:color w:val="auto"/>
        </w:rPr>
        <w:t>.</w:t>
      </w:r>
    </w:p>
    <w:p>
      <w:pPr>
        <w:spacing w:after="0" w:line="245" w:lineRule="exact"/>
        <w:rPr>
          <w:sz w:val="20"/>
          <w:szCs w:val="20"/>
          <w:color w:val="auto"/>
        </w:rPr>
      </w:pPr>
    </w:p>
    <w:p>
      <w:pPr>
        <w:ind w:right="60"/>
        <w:spacing w:after="0" w:line="264" w:lineRule="auto"/>
        <w:rPr>
          <w:sz w:val="20"/>
          <w:szCs w:val="20"/>
          <w:color w:val="auto"/>
        </w:rPr>
      </w:pPr>
      <w:r>
        <w:rPr>
          <w:rFonts w:ascii="Arial" w:cs="Arial" w:eastAsia="Arial" w:hAnsi="Arial"/>
          <w:sz w:val="21"/>
          <w:szCs w:val="21"/>
          <w:color w:val="auto"/>
        </w:rPr>
        <w:t>Within thirty (30) days after the date of invoice to be issued by Seller following the delivery of Equipment, Seller shall pay the Purchase Price in the currency of US Dollars.</w:t>
      </w:r>
    </w:p>
    <w:p>
      <w:pPr>
        <w:spacing w:after="0" w:line="198" w:lineRule="exact"/>
        <w:rPr>
          <w:sz w:val="20"/>
          <w:szCs w:val="20"/>
          <w:color w:val="auto"/>
        </w:rPr>
      </w:pPr>
    </w:p>
    <w:p>
      <w:pPr>
        <w:ind w:left="620" w:hanging="612"/>
        <w:spacing w:after="0"/>
        <w:tabs>
          <w:tab w:leader="none" w:pos="620" w:val="left"/>
        </w:tabs>
        <w:numPr>
          <w:ilvl w:val="0"/>
          <w:numId w:val="42"/>
        </w:numPr>
        <w:rPr>
          <w:rFonts w:ascii="Arial" w:cs="Arial" w:eastAsia="Arial" w:hAnsi="Arial"/>
          <w:sz w:val="21"/>
          <w:szCs w:val="21"/>
          <w:b w:val="1"/>
          <w:bCs w:val="1"/>
          <w:color w:val="auto"/>
        </w:rPr>
      </w:pPr>
      <w:r>
        <w:rPr>
          <w:rFonts w:ascii="Arial" w:cs="Arial" w:eastAsia="Arial" w:hAnsi="Arial"/>
          <w:sz w:val="21"/>
          <w:szCs w:val="21"/>
          <w:u w:val="single" w:color="auto"/>
          <w:color w:val="auto"/>
        </w:rPr>
        <w:t>Delivery.</w:t>
      </w:r>
    </w:p>
    <w:p>
      <w:pPr>
        <w:spacing w:after="0" w:line="218" w:lineRule="exact"/>
        <w:rPr>
          <w:sz w:val="20"/>
          <w:szCs w:val="20"/>
          <w:color w:val="auto"/>
        </w:rPr>
      </w:pPr>
    </w:p>
    <w:p>
      <w:pPr>
        <w:ind w:right="500"/>
        <w:spacing w:after="0" w:line="348" w:lineRule="auto"/>
        <w:rPr>
          <w:sz w:val="20"/>
          <w:szCs w:val="20"/>
          <w:color w:val="auto"/>
        </w:rPr>
      </w:pPr>
      <w:r>
        <w:rPr>
          <w:rFonts w:ascii="Arial" w:cs="Arial" w:eastAsia="Arial" w:hAnsi="Arial"/>
          <w:sz w:val="18"/>
          <w:szCs w:val="18"/>
          <w:color w:val="auto"/>
        </w:rPr>
        <w:t>On February 24, 2020 or any other date agreed upon between the Parties, Seller shall deliver the Equipment to Buyer, EX WORKS Seller's principal office. Seller shall approve the method of shipment in accordance with Buyer's selection of freight forwarder.</w:t>
      </w:r>
    </w:p>
    <w:p>
      <w:pPr>
        <w:spacing w:after="0" w:line="129" w:lineRule="exact"/>
        <w:rPr>
          <w:sz w:val="20"/>
          <w:szCs w:val="20"/>
          <w:color w:val="auto"/>
        </w:rPr>
      </w:pPr>
    </w:p>
    <w:p>
      <w:pPr>
        <w:ind w:left="620" w:hanging="612"/>
        <w:spacing w:after="0"/>
        <w:tabs>
          <w:tab w:leader="none" w:pos="620" w:val="left"/>
        </w:tabs>
        <w:numPr>
          <w:ilvl w:val="0"/>
          <w:numId w:val="43"/>
        </w:numPr>
        <w:rPr>
          <w:rFonts w:ascii="Arial" w:cs="Arial" w:eastAsia="Arial" w:hAnsi="Arial"/>
          <w:sz w:val="21"/>
          <w:szCs w:val="21"/>
          <w:b w:val="1"/>
          <w:bCs w:val="1"/>
          <w:color w:val="auto"/>
        </w:rPr>
      </w:pPr>
      <w:r>
        <w:rPr>
          <w:rFonts w:ascii="Arial" w:cs="Arial" w:eastAsia="Arial" w:hAnsi="Arial"/>
          <w:sz w:val="21"/>
          <w:szCs w:val="21"/>
          <w:u w:val="single" w:color="auto"/>
          <w:color w:val="auto"/>
        </w:rPr>
        <w:t>Risk of Loss.</w:t>
      </w:r>
    </w:p>
    <w:p>
      <w:pPr>
        <w:spacing w:after="0" w:line="245" w:lineRule="exact"/>
        <w:rPr>
          <w:sz w:val="20"/>
          <w:szCs w:val="20"/>
          <w:color w:val="auto"/>
        </w:rPr>
      </w:pPr>
    </w:p>
    <w:p>
      <w:pPr>
        <w:jc w:val="both"/>
        <w:ind w:right="280"/>
        <w:spacing w:after="0" w:line="252" w:lineRule="auto"/>
        <w:rPr>
          <w:sz w:val="20"/>
          <w:szCs w:val="20"/>
          <w:color w:val="auto"/>
        </w:rPr>
      </w:pPr>
      <w:r>
        <w:rPr>
          <w:rFonts w:ascii="Arial" w:cs="Arial" w:eastAsia="Arial" w:hAnsi="Arial"/>
          <w:sz w:val="21"/>
          <w:szCs w:val="21"/>
          <w:color w:val="auto"/>
        </w:rPr>
        <w:t>Anything herein or in any applicable law to the contrary notwithstanding, Buyer will bear the risk of loss, deterioration or damage to the Equipment from the time they are placed by Seller in the possession of a carrier. Buyer shall be solely responsible for filling any claims for damage during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55" w:name="page56"/>
    <w:bookmarkEnd w:id="55"/>
    <w:p>
      <w:pPr>
        <w:jc w:val="both"/>
        <w:ind w:right="40"/>
        <w:spacing w:after="0" w:line="252" w:lineRule="auto"/>
        <w:rPr>
          <w:sz w:val="20"/>
          <w:szCs w:val="20"/>
          <w:color w:val="auto"/>
        </w:rPr>
      </w:pPr>
      <w:r>
        <w:rPr>
          <w:rFonts w:ascii="Arial" w:cs="Arial" w:eastAsia="Arial" w:hAnsi="Arial"/>
          <w:sz w:val="21"/>
          <w:szCs w:val="21"/>
          <w:color w:val="auto"/>
        </w:rPr>
        <w:t>the shipment with the carrier. After the passage to Buyer of such risk of loss, deterioration or damage, the Equipment held by Seller for whatever reason, shall be held for Buyer's account at Buyer's expense, irrespective of whether the Equipment is within the coverage of any policy of insurance maintained by the Seller.</w:t>
      </w:r>
    </w:p>
    <w:p>
      <w:pPr>
        <w:spacing w:after="0" w:line="211" w:lineRule="exact"/>
        <w:rPr>
          <w:sz w:val="20"/>
          <w:szCs w:val="20"/>
          <w:color w:val="auto"/>
        </w:rPr>
      </w:pPr>
    </w:p>
    <w:p>
      <w:pPr>
        <w:ind w:left="620" w:hanging="612"/>
        <w:spacing w:after="0"/>
        <w:tabs>
          <w:tab w:leader="none" w:pos="620" w:val="left"/>
        </w:tabs>
        <w:numPr>
          <w:ilvl w:val="0"/>
          <w:numId w:val="44"/>
        </w:numPr>
        <w:rPr>
          <w:rFonts w:ascii="Arial" w:cs="Arial" w:eastAsia="Arial" w:hAnsi="Arial"/>
          <w:sz w:val="21"/>
          <w:szCs w:val="21"/>
          <w:b w:val="1"/>
          <w:bCs w:val="1"/>
          <w:color w:val="auto"/>
        </w:rPr>
      </w:pPr>
      <w:r>
        <w:rPr>
          <w:rFonts w:ascii="Arial" w:cs="Arial" w:eastAsia="Arial" w:hAnsi="Arial"/>
          <w:sz w:val="21"/>
          <w:szCs w:val="21"/>
          <w:u w:val="single" w:color="auto"/>
          <w:color w:val="auto"/>
        </w:rPr>
        <w:t>Inspection.</w:t>
      </w:r>
    </w:p>
    <w:p>
      <w:pPr>
        <w:spacing w:after="0" w:line="245"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Buyer is responsible for inspecting all deliveries of Equipment for shortage or non-conformity. All Equipment delivered will be deemed accepted by Buyer as being without shortages and non conformities unless Buyer notifies Seller of any discrepancies within five (5) business days of delivery.</w:t>
      </w:r>
    </w:p>
    <w:p>
      <w:pPr>
        <w:spacing w:after="0" w:line="211" w:lineRule="exact"/>
        <w:rPr>
          <w:sz w:val="20"/>
          <w:szCs w:val="20"/>
          <w:color w:val="auto"/>
        </w:rPr>
      </w:pPr>
    </w:p>
    <w:p>
      <w:pPr>
        <w:ind w:left="620" w:hanging="612"/>
        <w:spacing w:after="0"/>
        <w:tabs>
          <w:tab w:leader="none" w:pos="620" w:val="left"/>
        </w:tabs>
        <w:numPr>
          <w:ilvl w:val="0"/>
          <w:numId w:val="45"/>
        </w:numPr>
        <w:rPr>
          <w:rFonts w:ascii="Arial" w:cs="Arial" w:eastAsia="Arial" w:hAnsi="Arial"/>
          <w:sz w:val="21"/>
          <w:szCs w:val="21"/>
          <w:b w:val="1"/>
          <w:bCs w:val="1"/>
          <w:color w:val="auto"/>
        </w:rPr>
      </w:pPr>
      <w:r>
        <w:rPr>
          <w:rFonts w:ascii="Arial" w:cs="Arial" w:eastAsia="Arial" w:hAnsi="Arial"/>
          <w:sz w:val="21"/>
          <w:szCs w:val="21"/>
          <w:u w:val="single" w:color="auto"/>
          <w:color w:val="auto"/>
        </w:rPr>
        <w:t>DISCLAIMER</w:t>
      </w:r>
      <w:r>
        <w:rPr>
          <w:rFonts w:ascii="Arial" w:cs="Arial" w:eastAsia="Arial" w:hAnsi="Arial"/>
          <w:sz w:val="21"/>
          <w:szCs w:val="21"/>
          <w:color w:val="auto"/>
        </w:rPr>
        <w:t>.</w:t>
      </w:r>
    </w:p>
    <w:p>
      <w:pPr>
        <w:spacing w:after="0" w:line="245"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THE EQUIPMENT BEARS NO WARRANTIES TO BUYER, WHETHER EXPRESS WARRANTIES OR IMPLIED WARRANTIES OF MERCHANTABILITY OR FITNESS FOR A PARTICULAR PURPOSE OR USE, AND SELLER WILL HAVE NO LIABILITY IN CONTRACT OR TORT FOR ANY DAMAGE, LOSS, COST OR EXPENSE (WHETHER DIRECT, INDIRECT, SPECIAL OR CONSEQUENTIAL) SUFFERED OR INCURRED BY BUYER, EVEN IF CAUSED BY NEGLIGENCE OR OTHER FAULT OF SELLER.</w:t>
      </w:r>
    </w:p>
    <w:p>
      <w:pPr>
        <w:spacing w:after="0" w:line="215" w:lineRule="exact"/>
        <w:rPr>
          <w:sz w:val="20"/>
          <w:szCs w:val="20"/>
          <w:color w:val="auto"/>
        </w:rPr>
      </w:pPr>
    </w:p>
    <w:p>
      <w:pPr>
        <w:ind w:left="620" w:hanging="612"/>
        <w:spacing w:after="0"/>
        <w:tabs>
          <w:tab w:leader="none" w:pos="620" w:val="left"/>
        </w:tabs>
        <w:numPr>
          <w:ilvl w:val="0"/>
          <w:numId w:val="46"/>
        </w:numPr>
        <w:rPr>
          <w:rFonts w:ascii="Arial" w:cs="Arial" w:eastAsia="Arial" w:hAnsi="Arial"/>
          <w:sz w:val="21"/>
          <w:szCs w:val="21"/>
          <w:b w:val="1"/>
          <w:bCs w:val="1"/>
          <w:color w:val="auto"/>
        </w:rPr>
      </w:pPr>
      <w:r>
        <w:rPr>
          <w:rFonts w:ascii="Arial" w:cs="Arial" w:eastAsia="Arial" w:hAnsi="Arial"/>
          <w:sz w:val="21"/>
          <w:szCs w:val="21"/>
          <w:u w:val="single" w:color="auto"/>
          <w:color w:val="auto"/>
        </w:rPr>
        <w:t>Product Liability</w:t>
      </w:r>
      <w:r>
        <w:rPr>
          <w:rFonts w:ascii="Arial" w:cs="Arial" w:eastAsia="Arial" w:hAnsi="Arial"/>
          <w:sz w:val="21"/>
          <w:szCs w:val="21"/>
          <w:color w:val="auto"/>
        </w:rPr>
        <w:t>.</w:t>
      </w:r>
    </w:p>
    <w:p>
      <w:pPr>
        <w:spacing w:after="0" w:line="245" w:lineRule="exact"/>
        <w:rPr>
          <w:sz w:val="20"/>
          <w:szCs w:val="20"/>
          <w:color w:val="auto"/>
        </w:rPr>
      </w:pPr>
    </w:p>
    <w:p>
      <w:pPr>
        <w:ind w:right="220"/>
        <w:spacing w:after="0" w:line="275" w:lineRule="auto"/>
        <w:rPr>
          <w:sz w:val="20"/>
          <w:szCs w:val="20"/>
          <w:color w:val="auto"/>
        </w:rPr>
      </w:pPr>
      <w:r>
        <w:rPr>
          <w:rFonts w:ascii="Arial" w:cs="Arial" w:eastAsia="Arial" w:hAnsi="Arial"/>
          <w:sz w:val="19"/>
          <w:szCs w:val="19"/>
          <w:color w:val="auto"/>
        </w:rPr>
        <w:t>Without limiting the provisions of Paragraph 8 above, Seller shall not be liable to Buyer or to third parties for liabilities, losses, expenses or damages (including, without limitation, court costs and attorney's fees) incurred or suffered by Buyer or third parties resulting from or caused by, the defective or allegedly defective manufacture, assemble, storage, use or transportation of any Equipment or of any goods, wares, products or services incorporating or utilizing any Equipment. Buyer agrees to protect, indemnify and hold harmless Seller from and against all suits, claims, liabilities, losses, expenses and damages (including, without limitation, court costs and attorneys fees of any kind or character arising from claims) asserted by any person or entity against Seller in respect of any Equipment or goods, wares, products or services incorporating or utilizing any Equipment.</w:t>
      </w:r>
    </w:p>
    <w:p>
      <w:pPr>
        <w:spacing w:after="0" w:line="192" w:lineRule="exact"/>
        <w:rPr>
          <w:sz w:val="20"/>
          <w:szCs w:val="20"/>
          <w:color w:val="auto"/>
        </w:rPr>
      </w:pPr>
    </w:p>
    <w:p>
      <w:pPr>
        <w:ind w:left="620" w:hanging="612"/>
        <w:spacing w:after="0"/>
        <w:tabs>
          <w:tab w:leader="none" w:pos="620" w:val="left"/>
        </w:tabs>
        <w:numPr>
          <w:ilvl w:val="0"/>
          <w:numId w:val="47"/>
        </w:numPr>
        <w:rPr>
          <w:rFonts w:ascii="Arial" w:cs="Arial" w:eastAsia="Arial" w:hAnsi="Arial"/>
          <w:sz w:val="21"/>
          <w:szCs w:val="21"/>
          <w:b w:val="1"/>
          <w:bCs w:val="1"/>
          <w:color w:val="auto"/>
        </w:rPr>
      </w:pPr>
      <w:r>
        <w:rPr>
          <w:rFonts w:ascii="Arial" w:cs="Arial" w:eastAsia="Arial" w:hAnsi="Arial"/>
          <w:sz w:val="21"/>
          <w:szCs w:val="21"/>
          <w:u w:val="single" w:color="auto"/>
          <w:color w:val="auto"/>
        </w:rPr>
        <w:t>Patent, etc.</w:t>
      </w:r>
    </w:p>
    <w:p>
      <w:pPr>
        <w:spacing w:after="0" w:line="245" w:lineRule="exact"/>
        <w:rPr>
          <w:sz w:val="20"/>
          <w:szCs w:val="20"/>
          <w:color w:val="auto"/>
        </w:rPr>
      </w:pPr>
    </w:p>
    <w:p>
      <w:pPr>
        <w:ind w:right="340"/>
        <w:spacing w:after="0" w:line="283" w:lineRule="auto"/>
        <w:rPr>
          <w:sz w:val="20"/>
          <w:szCs w:val="20"/>
          <w:color w:val="auto"/>
        </w:rPr>
      </w:pPr>
      <w:r>
        <w:rPr>
          <w:rFonts w:ascii="Arial" w:cs="Arial" w:eastAsia="Arial" w:hAnsi="Arial"/>
          <w:sz w:val="19"/>
          <w:szCs w:val="19"/>
          <w:color w:val="auto"/>
        </w:rPr>
        <w:t>Seller's sale of Equipment to Buyer does not convey to Buyer any license or any other right, express or implied, under any patent, trademark or proprietary right of Seller concerning Equipment. Buyer shall defend Seller against any claims or actions for unfair competition, for infringement of patents or trademarks, or for any other reason, and shall hold Seller harmless from damages, costs, loss or expenses, including reasonable attorney's fees, arising from Buyer's use of Equipment.</w:t>
      </w:r>
    </w:p>
    <w:p>
      <w:pPr>
        <w:spacing w:after="0" w:line="184" w:lineRule="exact"/>
        <w:rPr>
          <w:sz w:val="20"/>
          <w:szCs w:val="20"/>
          <w:color w:val="auto"/>
        </w:rPr>
      </w:pPr>
    </w:p>
    <w:p>
      <w:pPr>
        <w:ind w:left="620" w:hanging="612"/>
        <w:spacing w:after="0"/>
        <w:tabs>
          <w:tab w:leader="none" w:pos="620" w:val="left"/>
        </w:tabs>
        <w:numPr>
          <w:ilvl w:val="0"/>
          <w:numId w:val="48"/>
        </w:numPr>
        <w:rPr>
          <w:rFonts w:ascii="Arial" w:cs="Arial" w:eastAsia="Arial" w:hAnsi="Arial"/>
          <w:sz w:val="21"/>
          <w:szCs w:val="21"/>
          <w:b w:val="1"/>
          <w:bCs w:val="1"/>
          <w:color w:val="auto"/>
        </w:rPr>
      </w:pPr>
      <w:r>
        <w:rPr>
          <w:rFonts w:ascii="Arial" w:cs="Arial" w:eastAsia="Arial" w:hAnsi="Arial"/>
          <w:sz w:val="21"/>
          <w:szCs w:val="21"/>
          <w:u w:val="single" w:color="auto"/>
          <w:color w:val="auto"/>
        </w:rPr>
        <w:t>Acceleration.</w:t>
      </w:r>
    </w:p>
    <w:p>
      <w:pPr>
        <w:spacing w:after="0" w:line="245"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Seller may demand immediate payment of any and all amounts owed by Buyer to Seller hereunder by written notice to Buyer upon any material breach by Buyer of the terms and conditions hereof or upon the Buyer filing a petition under any insolvency or bankruptcy law or making a general assignment for the benefit of creditors, whether voluntary or involuntary, or being dissolved, becoming insolvent or being adjudged bankrupt.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6" w:name="page57"/>
    <w:bookmarkEnd w:id="56"/>
    <w:p>
      <w:pPr>
        <w:ind w:left="620" w:hanging="612"/>
        <w:spacing w:after="0"/>
        <w:tabs>
          <w:tab w:leader="none" w:pos="620" w:val="left"/>
        </w:tabs>
        <w:numPr>
          <w:ilvl w:val="0"/>
          <w:numId w:val="49"/>
        </w:numPr>
        <w:rPr>
          <w:rFonts w:ascii="Arial" w:cs="Arial" w:eastAsia="Arial" w:hAnsi="Arial"/>
          <w:sz w:val="21"/>
          <w:szCs w:val="21"/>
          <w:b w:val="1"/>
          <w:bCs w:val="1"/>
          <w:color w:val="auto"/>
        </w:rPr>
      </w:pPr>
      <w:r>
        <w:rPr>
          <w:rFonts w:ascii="Arial" w:cs="Arial" w:eastAsia="Arial" w:hAnsi="Arial"/>
          <w:sz w:val="21"/>
          <w:szCs w:val="21"/>
          <w:u w:val="single" w:color="auto"/>
          <w:color w:val="auto"/>
        </w:rPr>
        <w:t>Exportation.</w:t>
      </w:r>
    </w:p>
    <w:p>
      <w:pPr>
        <w:spacing w:after="0" w:line="245" w:lineRule="exact"/>
        <w:rPr>
          <w:sz w:val="20"/>
          <w:szCs w:val="20"/>
          <w:color w:val="auto"/>
        </w:rPr>
      </w:pPr>
    </w:p>
    <w:p>
      <w:pPr>
        <w:ind w:right="240"/>
        <w:spacing w:after="0" w:line="249" w:lineRule="auto"/>
        <w:rPr>
          <w:sz w:val="20"/>
          <w:szCs w:val="20"/>
          <w:color w:val="auto"/>
        </w:rPr>
      </w:pPr>
      <w:r>
        <w:rPr>
          <w:rFonts w:ascii="Arial" w:cs="Arial" w:eastAsia="Arial" w:hAnsi="Arial"/>
          <w:sz w:val="21"/>
          <w:szCs w:val="21"/>
          <w:color w:val="auto"/>
        </w:rPr>
        <w:t>The responsibility to obtain any and all permits, approvals, and license of whatever nature required to lawfully export the Equipment shall rest solely with Buyer, who acknowledges that Seller has not obtained any such permits, approvals or licenses for the benefit of Buyer or others. Seller reserves the right to suspend any and all shipments of the Equipment, if Buyer fails to discharge such responsibilities.</w:t>
      </w:r>
    </w:p>
    <w:p>
      <w:pPr>
        <w:spacing w:after="0" w:line="213" w:lineRule="exact"/>
        <w:rPr>
          <w:sz w:val="20"/>
          <w:szCs w:val="20"/>
          <w:color w:val="auto"/>
        </w:rPr>
      </w:pPr>
    </w:p>
    <w:p>
      <w:pPr>
        <w:ind w:left="620" w:hanging="612"/>
        <w:spacing w:after="0"/>
        <w:tabs>
          <w:tab w:leader="none" w:pos="620" w:val="left"/>
        </w:tabs>
        <w:numPr>
          <w:ilvl w:val="0"/>
          <w:numId w:val="50"/>
        </w:numPr>
        <w:rPr>
          <w:rFonts w:ascii="Arial" w:cs="Arial" w:eastAsia="Arial" w:hAnsi="Arial"/>
          <w:sz w:val="21"/>
          <w:szCs w:val="21"/>
          <w:b w:val="1"/>
          <w:bCs w:val="1"/>
          <w:color w:val="auto"/>
        </w:rPr>
      </w:pPr>
      <w:r>
        <w:rPr>
          <w:rFonts w:ascii="Arial" w:cs="Arial" w:eastAsia="Arial" w:hAnsi="Arial"/>
          <w:sz w:val="21"/>
          <w:szCs w:val="21"/>
          <w:u w:val="single" w:color="auto"/>
          <w:color w:val="auto"/>
        </w:rPr>
        <w:t>Miscellaneous.</w:t>
      </w:r>
    </w:p>
    <w:p>
      <w:pPr>
        <w:spacing w:after="0" w:line="245" w:lineRule="exact"/>
        <w:rPr>
          <w:sz w:val="20"/>
          <w:szCs w:val="20"/>
          <w:color w:val="auto"/>
        </w:rPr>
      </w:pPr>
    </w:p>
    <w:p>
      <w:pPr>
        <w:ind w:left="620" w:right="180" w:hanging="620"/>
        <w:spacing w:after="0" w:line="252" w:lineRule="auto"/>
        <w:tabs>
          <w:tab w:leader="none" w:pos="600" w:val="left"/>
        </w:tabs>
        <w:rPr>
          <w:sz w:val="20"/>
          <w:szCs w:val="20"/>
          <w:color w:val="auto"/>
        </w:rPr>
      </w:pPr>
      <w:r>
        <w:rPr>
          <w:rFonts w:ascii="Arial" w:cs="Arial" w:eastAsia="Arial" w:hAnsi="Arial"/>
          <w:sz w:val="21"/>
          <w:szCs w:val="21"/>
          <w:color w:val="auto"/>
        </w:rPr>
        <w:t>13.1</w:t>
      </w:r>
      <w:r>
        <w:rPr>
          <w:sz w:val="20"/>
          <w:szCs w:val="20"/>
          <w:color w:val="auto"/>
        </w:rPr>
        <w:tab/>
      </w:r>
      <w:r>
        <w:rPr>
          <w:rFonts w:ascii="Arial" w:cs="Arial" w:eastAsia="Arial" w:hAnsi="Arial"/>
          <w:sz w:val="21"/>
          <w:szCs w:val="21"/>
          <w:u w:val="single" w:color="auto"/>
          <w:color w:val="auto"/>
        </w:rPr>
        <w:t xml:space="preserve">Governing Law. </w:t>
      </w:r>
      <w:r>
        <w:rPr>
          <w:rFonts w:ascii="Arial" w:cs="Arial" w:eastAsia="Arial" w:hAnsi="Arial"/>
          <w:sz w:val="21"/>
          <w:szCs w:val="21"/>
          <w:color w:val="auto"/>
        </w:rPr>
        <w:t>This Agreement is governed by and construed in accordance with the laws of Taiwan without giving effect to</w:t>
      </w:r>
      <w:r>
        <w:rPr>
          <w:rFonts w:ascii="Arial" w:cs="Arial" w:eastAsia="Arial" w:hAnsi="Arial"/>
          <w:sz w:val="21"/>
          <w:szCs w:val="21"/>
          <w:u w:val="single" w:color="auto"/>
          <w:color w:val="auto"/>
        </w:rPr>
        <w:t xml:space="preserve"> </w:t>
      </w:r>
      <w:r>
        <w:rPr>
          <w:rFonts w:ascii="Arial" w:cs="Arial" w:eastAsia="Arial" w:hAnsi="Arial"/>
          <w:sz w:val="21"/>
          <w:szCs w:val="21"/>
          <w:color w:val="auto"/>
        </w:rPr>
        <w:t>any choice or conflict of law provision or rule that would cause the application of the laws of any jurisdiction other than Taiwan.</w:t>
      </w:r>
    </w:p>
    <w:p>
      <w:pPr>
        <w:spacing w:after="0" w:line="211" w:lineRule="exact"/>
        <w:rPr>
          <w:sz w:val="20"/>
          <w:szCs w:val="20"/>
          <w:color w:val="auto"/>
        </w:rPr>
      </w:pPr>
    </w:p>
    <w:p>
      <w:pPr>
        <w:ind w:left="620" w:hanging="620"/>
        <w:spacing w:after="0" w:line="247" w:lineRule="auto"/>
        <w:tabs>
          <w:tab w:leader="none" w:pos="600" w:val="left"/>
        </w:tabs>
        <w:rPr>
          <w:sz w:val="20"/>
          <w:szCs w:val="20"/>
          <w:color w:val="auto"/>
        </w:rPr>
      </w:pPr>
      <w:r>
        <w:rPr>
          <w:rFonts w:ascii="Arial" w:cs="Arial" w:eastAsia="Arial" w:hAnsi="Arial"/>
          <w:sz w:val="21"/>
          <w:szCs w:val="21"/>
          <w:color w:val="auto"/>
        </w:rPr>
        <w:t>13.2</w:t>
      </w:r>
      <w:r>
        <w:rPr>
          <w:sz w:val="20"/>
          <w:szCs w:val="20"/>
          <w:color w:val="auto"/>
        </w:rPr>
        <w:tab/>
      </w:r>
      <w:r>
        <w:rPr>
          <w:rFonts w:ascii="Arial" w:cs="Arial" w:eastAsia="Arial" w:hAnsi="Arial"/>
          <w:sz w:val="21"/>
          <w:szCs w:val="21"/>
          <w:u w:val="single" w:color="auto"/>
          <w:color w:val="auto"/>
        </w:rPr>
        <w:t xml:space="preserve">Entire Agreement. </w:t>
      </w:r>
      <w:r>
        <w:rPr>
          <w:rFonts w:ascii="Arial" w:cs="Arial" w:eastAsia="Arial" w:hAnsi="Arial"/>
          <w:sz w:val="21"/>
          <w:szCs w:val="21"/>
          <w:color w:val="auto"/>
        </w:rPr>
        <w:t>This Agreement, and the documents, instruments and other agreements specifically refe1Ted to herein or</w:t>
      </w:r>
      <w:r>
        <w:rPr>
          <w:rFonts w:ascii="Arial" w:cs="Arial" w:eastAsia="Arial" w:hAnsi="Arial"/>
          <w:sz w:val="21"/>
          <w:szCs w:val="21"/>
          <w:u w:val="single" w:color="auto"/>
          <w:color w:val="auto"/>
        </w:rPr>
        <w:t xml:space="preserve"> </w:t>
      </w:r>
      <w:r>
        <w:rPr>
          <w:rFonts w:ascii="Arial" w:cs="Arial" w:eastAsia="Arial" w:hAnsi="Arial"/>
          <w:sz w:val="21"/>
          <w:szCs w:val="21"/>
          <w:color w:val="auto"/>
        </w:rPr>
        <w:t>delivered pursuant hereto, including all exhibits and schedules hereto and thereto, constitute the entire agreement of the Parties with respect to the subject matter of this Agreement and supersede all prior agreements, term sheets, letters of interest, correspondence (including e-mail) and undertakings, both written and oral, between Seller and Buyer with respect to the subject matter of this Agreement.</w:t>
      </w:r>
    </w:p>
    <w:p>
      <w:pPr>
        <w:spacing w:after="0" w:line="215" w:lineRule="exact"/>
        <w:rPr>
          <w:sz w:val="20"/>
          <w:szCs w:val="20"/>
          <w:color w:val="auto"/>
        </w:rPr>
      </w:pPr>
    </w:p>
    <w:p>
      <w:pPr>
        <w:ind w:left="620" w:right="40" w:hanging="620"/>
        <w:spacing w:after="0" w:line="275" w:lineRule="auto"/>
        <w:tabs>
          <w:tab w:leader="none" w:pos="600" w:val="left"/>
        </w:tabs>
        <w:rPr>
          <w:sz w:val="20"/>
          <w:szCs w:val="20"/>
          <w:color w:val="auto"/>
        </w:rPr>
      </w:pPr>
      <w:r>
        <w:rPr>
          <w:rFonts w:ascii="Arial" w:cs="Arial" w:eastAsia="Arial" w:hAnsi="Arial"/>
          <w:sz w:val="21"/>
          <w:szCs w:val="21"/>
          <w:color w:val="auto"/>
        </w:rPr>
        <w:t>13.3</w:t>
      </w:r>
      <w:r>
        <w:rPr>
          <w:sz w:val="20"/>
          <w:szCs w:val="20"/>
          <w:color w:val="auto"/>
        </w:rPr>
        <w:tab/>
      </w:r>
      <w:r>
        <w:rPr>
          <w:rFonts w:ascii="Arial" w:cs="Arial" w:eastAsia="Arial" w:hAnsi="Arial"/>
          <w:sz w:val="19"/>
          <w:szCs w:val="19"/>
          <w:u w:val="single" w:color="auto"/>
          <w:color w:val="auto"/>
        </w:rPr>
        <w:t xml:space="preserve">Notices. </w:t>
      </w:r>
      <w:r>
        <w:rPr>
          <w:rFonts w:ascii="Arial" w:cs="Arial" w:eastAsia="Arial" w:hAnsi="Arial"/>
          <w:sz w:val="19"/>
          <w:szCs w:val="19"/>
          <w:color w:val="auto"/>
        </w:rPr>
        <w:t>All notices, deliveries and other communications under this Agreement will be in writing and will be deemed given if</w:t>
      </w:r>
      <w:r>
        <w:rPr>
          <w:rFonts w:ascii="Arial" w:cs="Arial" w:eastAsia="Arial" w:hAnsi="Arial"/>
          <w:sz w:val="19"/>
          <w:szCs w:val="19"/>
          <w:u w:val="single" w:color="auto"/>
          <w:color w:val="auto"/>
        </w:rPr>
        <w:t xml:space="preserve"> </w:t>
      </w:r>
      <w:r>
        <w:rPr>
          <w:rFonts w:ascii="Arial" w:cs="Arial" w:eastAsia="Arial" w:hAnsi="Arial"/>
          <w:sz w:val="19"/>
          <w:szCs w:val="19"/>
          <w:color w:val="auto"/>
        </w:rPr>
        <w:t>delivered personally, emailed, or delivered by globally recognized express delivery service to the Parties at the addresses or email addresses set forth below or to such other address or email address as the Party to whom notice is to be given may have furnished to the other Party in writing in accordance herewith. Any such notice, delivery or communication will be deemed to have been delivered and received (a) in the case of personal delivery, on the date of such delivery, (b) in the case of a globally recognized express delivery service, on the Business Day that receipt by the addressee is confirmed under the service's systems, and (c) in the case of email, on the date that receipt is acknowledged by a reply email from the recipient.</w:t>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21"/>
          <w:szCs w:val="21"/>
          <w:color w:val="auto"/>
        </w:rPr>
        <w:t>if to Seller:</w:t>
      </w:r>
    </w:p>
    <w:p>
      <w:pPr>
        <w:spacing w:after="0" w:line="20"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MegaChips Taiwan Corporation</w:t>
      </w:r>
    </w:p>
    <w:p>
      <w:pPr>
        <w:spacing w:after="0" w:line="2"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RM. B 2F, Worldwide House, No.129,</w:t>
      </w:r>
    </w:p>
    <w:p>
      <w:pPr>
        <w:spacing w:after="0" w:line="2"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Min Sheng E. Rd., Sec.3,</w:t>
      </w:r>
    </w:p>
    <w:p>
      <w:pPr>
        <w:spacing w:after="0" w:line="2"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Taipei 105</w:t>
      </w:r>
    </w:p>
    <w:p>
      <w:pPr>
        <w:spacing w:after="0" w:line="2"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Taiwan</w:t>
      </w:r>
    </w:p>
    <w:p>
      <w:pPr>
        <w:spacing w:after="0" w:line="2"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Attention: Masakatsu Sawada</w:t>
      </w:r>
    </w:p>
    <w:p>
      <w:pPr>
        <w:spacing w:after="0" w:line="227" w:lineRule="exact"/>
        <w:rPr>
          <w:sz w:val="20"/>
          <w:szCs w:val="20"/>
          <w:color w:val="auto"/>
        </w:rPr>
      </w:pPr>
    </w:p>
    <w:p>
      <w:pPr>
        <w:ind w:left="1100"/>
        <w:spacing w:after="0"/>
        <w:rPr>
          <w:sz w:val="20"/>
          <w:szCs w:val="20"/>
          <w:color w:val="auto"/>
        </w:rPr>
      </w:pPr>
      <w:r>
        <w:rPr>
          <w:rFonts w:ascii="Arial" w:cs="Arial" w:eastAsia="Arial" w:hAnsi="Arial"/>
          <w:sz w:val="21"/>
          <w:szCs w:val="21"/>
          <w:color w:val="auto"/>
        </w:rPr>
        <w:t>If to Buyer:</w:t>
      </w:r>
    </w:p>
    <w:p>
      <w:pPr>
        <w:spacing w:after="0" w:line="42"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SiTime Corporation</w:t>
      </w:r>
    </w:p>
    <w:p>
      <w:pPr>
        <w:spacing w:after="0" w:line="20"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5451 Patrick Henry Drive,</w:t>
      </w:r>
    </w:p>
    <w:p>
      <w:pPr>
        <w:spacing w:after="0" w:line="2"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Santa Clara,</w:t>
      </w:r>
    </w:p>
    <w:p>
      <w:pPr>
        <w:spacing w:after="0" w:line="2"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CA 95054, U.S.A</w:t>
      </w:r>
    </w:p>
    <w:p>
      <w:pPr>
        <w:spacing w:after="0" w:line="2"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Attention: Nara Bharath</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57" w:name="page58"/>
    <w:bookmarkEnd w:id="57"/>
    <w:p>
      <w:pPr>
        <w:jc w:val="both"/>
        <w:ind w:left="520" w:right="60" w:hanging="620"/>
        <w:spacing w:after="0" w:line="252" w:lineRule="auto"/>
        <w:tabs>
          <w:tab w:leader="none" w:pos="500" w:val="left"/>
        </w:tabs>
        <w:rPr>
          <w:sz w:val="20"/>
          <w:szCs w:val="20"/>
          <w:color w:val="auto"/>
        </w:rPr>
      </w:pPr>
      <w:r>
        <w:rPr>
          <w:rFonts w:ascii="Arial" w:cs="Arial" w:eastAsia="Arial" w:hAnsi="Arial"/>
          <w:sz w:val="21"/>
          <w:szCs w:val="21"/>
          <w:color w:val="auto"/>
        </w:rPr>
        <w:t>13.4</w:t>
      </w:r>
      <w:r>
        <w:rPr>
          <w:sz w:val="20"/>
          <w:szCs w:val="20"/>
          <w:color w:val="auto"/>
        </w:rPr>
        <w:tab/>
      </w:r>
      <w:r>
        <w:rPr>
          <w:rFonts w:ascii="Arial" w:cs="Arial" w:eastAsia="Arial" w:hAnsi="Arial"/>
          <w:sz w:val="21"/>
          <w:szCs w:val="21"/>
          <w:u w:val="single" w:color="auto"/>
          <w:color w:val="auto"/>
        </w:rPr>
        <w:t xml:space="preserve">Further Assurances. </w:t>
      </w:r>
      <w:r>
        <w:rPr>
          <w:rFonts w:ascii="Arial" w:cs="Arial" w:eastAsia="Arial" w:hAnsi="Arial"/>
          <w:sz w:val="21"/>
          <w:szCs w:val="21"/>
          <w:color w:val="auto"/>
        </w:rPr>
        <w:t>At any time and from time to time after the date of this Agreement, each Party shall execute and deliver or</w:t>
      </w:r>
      <w:r>
        <w:rPr>
          <w:rFonts w:ascii="Arial" w:cs="Arial" w:eastAsia="Arial" w:hAnsi="Arial"/>
          <w:sz w:val="21"/>
          <w:szCs w:val="21"/>
          <w:u w:val="single" w:color="auto"/>
          <w:color w:val="auto"/>
        </w:rPr>
        <w:t xml:space="preserve"> </w:t>
      </w:r>
      <w:r>
        <w:rPr>
          <w:rFonts w:ascii="Arial" w:cs="Arial" w:eastAsia="Arial" w:hAnsi="Arial"/>
          <w:sz w:val="21"/>
          <w:szCs w:val="21"/>
          <w:color w:val="auto"/>
        </w:rPr>
        <w:t>cause to be executed and delivered to the other Party such other instruments and take such other action, all as such other Party may reasonably request, in order to vest ownership of the Assets in Buyer.</w:t>
      </w:r>
    </w:p>
    <w:p>
      <w:pPr>
        <w:spacing w:after="0" w:line="211" w:lineRule="exact"/>
        <w:rPr>
          <w:sz w:val="20"/>
          <w:szCs w:val="20"/>
          <w:color w:val="auto"/>
        </w:rPr>
      </w:pPr>
    </w:p>
    <w:p>
      <w:pPr>
        <w:ind w:left="520" w:right="240" w:hanging="620"/>
        <w:spacing w:after="0" w:line="264" w:lineRule="auto"/>
        <w:tabs>
          <w:tab w:leader="none" w:pos="500" w:val="left"/>
        </w:tabs>
        <w:rPr>
          <w:sz w:val="20"/>
          <w:szCs w:val="20"/>
          <w:color w:val="auto"/>
        </w:rPr>
      </w:pPr>
      <w:r>
        <w:rPr>
          <w:rFonts w:ascii="Arial" w:cs="Arial" w:eastAsia="Arial" w:hAnsi="Arial"/>
          <w:sz w:val="21"/>
          <w:szCs w:val="21"/>
          <w:color w:val="auto"/>
        </w:rPr>
        <w:t>13.5</w:t>
      </w:r>
      <w:r>
        <w:rPr>
          <w:sz w:val="20"/>
          <w:szCs w:val="20"/>
          <w:color w:val="auto"/>
        </w:rPr>
        <w:tab/>
      </w:r>
      <w:r>
        <w:rPr>
          <w:rFonts w:ascii="Arial" w:cs="Arial" w:eastAsia="Arial" w:hAnsi="Arial"/>
          <w:sz w:val="21"/>
          <w:szCs w:val="21"/>
          <w:u w:val="single" w:color="auto"/>
          <w:color w:val="auto"/>
        </w:rPr>
        <w:t xml:space="preserve">Amendment. </w:t>
      </w:r>
      <w:r>
        <w:rPr>
          <w:rFonts w:ascii="Arial" w:cs="Arial" w:eastAsia="Arial" w:hAnsi="Arial"/>
          <w:sz w:val="21"/>
          <w:szCs w:val="21"/>
          <w:color w:val="auto"/>
        </w:rPr>
        <w:t>Buyer and Seller may amend this Agreement at any time in accordance with an instrument in writing signed on</w:t>
      </w:r>
      <w:r>
        <w:rPr>
          <w:rFonts w:ascii="Arial" w:cs="Arial" w:eastAsia="Arial" w:hAnsi="Arial"/>
          <w:sz w:val="21"/>
          <w:szCs w:val="21"/>
          <w:u w:val="single" w:color="auto"/>
          <w:color w:val="auto"/>
        </w:rPr>
        <w:t xml:space="preserve"> </w:t>
      </w:r>
      <w:r>
        <w:rPr>
          <w:rFonts w:ascii="Arial" w:cs="Arial" w:eastAsia="Arial" w:hAnsi="Arial"/>
          <w:sz w:val="21"/>
          <w:szCs w:val="21"/>
          <w:color w:val="auto"/>
        </w:rPr>
        <w:t>behalf of Buyer and Seller.</w:t>
      </w:r>
    </w:p>
    <w:p>
      <w:pPr>
        <w:spacing w:after="0" w:line="198" w:lineRule="exact"/>
        <w:rPr>
          <w:sz w:val="20"/>
          <w:szCs w:val="20"/>
          <w:color w:val="auto"/>
        </w:rPr>
      </w:pPr>
    </w:p>
    <w:p>
      <w:pPr>
        <w:ind w:left="520" w:hanging="620"/>
        <w:spacing w:after="0" w:line="264" w:lineRule="auto"/>
        <w:tabs>
          <w:tab w:leader="none" w:pos="500" w:val="left"/>
        </w:tabs>
        <w:rPr>
          <w:sz w:val="20"/>
          <w:szCs w:val="20"/>
          <w:color w:val="auto"/>
        </w:rPr>
      </w:pPr>
      <w:r>
        <w:rPr>
          <w:rFonts w:ascii="Arial" w:cs="Arial" w:eastAsia="Arial" w:hAnsi="Arial"/>
          <w:sz w:val="21"/>
          <w:szCs w:val="21"/>
          <w:color w:val="auto"/>
        </w:rPr>
        <w:t>13.6</w:t>
      </w:r>
      <w:r>
        <w:rPr>
          <w:sz w:val="20"/>
          <w:szCs w:val="20"/>
          <w:color w:val="auto"/>
        </w:rPr>
        <w:tab/>
      </w:r>
      <w:r>
        <w:rPr>
          <w:rFonts w:ascii="Arial" w:cs="Arial" w:eastAsia="Arial" w:hAnsi="Arial"/>
          <w:sz w:val="21"/>
          <w:szCs w:val="21"/>
          <w:u w:val="single" w:color="auto"/>
          <w:color w:val="auto"/>
        </w:rPr>
        <w:t xml:space="preserve">Dispute Resolution. </w:t>
      </w:r>
      <w:r>
        <w:rPr>
          <w:rFonts w:ascii="Arial" w:cs="Arial" w:eastAsia="Arial" w:hAnsi="Arial"/>
          <w:sz w:val="21"/>
          <w:szCs w:val="21"/>
          <w:color w:val="auto"/>
        </w:rPr>
        <w:t>All disputes arising out of this Agreement shall be exclusively and finally settled in the arbitration of China</w:t>
      </w:r>
      <w:r>
        <w:rPr>
          <w:rFonts w:ascii="Arial" w:cs="Arial" w:eastAsia="Arial" w:hAnsi="Arial"/>
          <w:sz w:val="21"/>
          <w:szCs w:val="21"/>
          <w:u w:val="single" w:color="auto"/>
          <w:color w:val="auto"/>
        </w:rPr>
        <w:t xml:space="preserve"> </w:t>
      </w:r>
      <w:r>
        <w:rPr>
          <w:rFonts w:ascii="Arial" w:cs="Arial" w:eastAsia="Arial" w:hAnsi="Arial"/>
          <w:sz w:val="21"/>
          <w:szCs w:val="21"/>
          <w:color w:val="auto"/>
        </w:rPr>
        <w:t>Arbitration Association held in Taipei, Taiwan.</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78740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420" w:top="356" w:right="439" w:bottom="1440" w:gutter="0" w:footer="0" w:header="0"/>
        </w:sectPr>
      </w:pPr>
    </w:p>
    <w:bookmarkStart w:id="58" w:name="page59"/>
    <w:bookmarkEnd w:id="58"/>
    <w:p>
      <w:pPr>
        <w:spacing w:after="0"/>
        <w:rPr>
          <w:sz w:val="20"/>
          <w:szCs w:val="20"/>
          <w:color w:val="auto"/>
        </w:rPr>
      </w:pPr>
      <w:r>
        <w:rPr>
          <w:rFonts w:ascii="Arial" w:cs="Arial" w:eastAsia="Arial" w:hAnsi="Arial"/>
          <w:sz w:val="20"/>
          <w:szCs w:val="20"/>
          <w:color w:val="232323"/>
        </w:rPr>
        <w:t>IN WITNESS WHEREOF, each of the Parties has executed this Asset Purchase Agreement as of the date first above written.</w:t>
      </w:r>
    </w:p>
    <w:p>
      <w:pPr>
        <w:spacing w:after="0" w:line="247"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232323"/>
        </w:rPr>
        <w:t>Seller:</w:t>
      </w:r>
    </w:p>
    <w:p>
      <w:pPr>
        <w:spacing w:after="0" w:line="256"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232323"/>
        </w:rPr>
        <w:t>MEGACHIPS TAIWAN CORPORATION</w:t>
      </w:r>
    </w:p>
    <w:p>
      <w:pPr>
        <w:spacing w:after="0" w:line="26" w:lineRule="exact"/>
        <w:rPr>
          <w:sz w:val="20"/>
          <w:szCs w:val="20"/>
          <w:color w:val="auto"/>
        </w:rPr>
      </w:pPr>
    </w:p>
    <w:tbl>
      <w:tblPr>
        <w:tblLayout w:type="fixed"/>
        <w:tblInd w:w="548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1"/>
                <w:szCs w:val="21"/>
                <w:color w:val="232323"/>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21"/>
                <w:szCs w:val="21"/>
                <w:color w:val="232323"/>
              </w:rPr>
              <w:t>/s/Masakatsu Sawada</w:t>
            </w:r>
          </w:p>
        </w:tc>
      </w:tr>
      <w:tr>
        <w:trPr>
          <w:trHeight w:val="223"/>
        </w:trPr>
        <w:tc>
          <w:tcPr>
            <w:tcW w:w="800" w:type="dxa"/>
            <w:vAlign w:val="bottom"/>
          </w:tcPr>
          <w:p>
            <w:pPr>
              <w:spacing w:after="0" w:line="223" w:lineRule="exact"/>
              <w:rPr>
                <w:sz w:val="20"/>
                <w:szCs w:val="20"/>
                <w:color w:val="auto"/>
              </w:rPr>
            </w:pPr>
            <w:r>
              <w:rPr>
                <w:rFonts w:ascii="Arial" w:cs="Arial" w:eastAsia="Arial" w:hAnsi="Arial"/>
                <w:sz w:val="21"/>
                <w:szCs w:val="21"/>
                <w:color w:val="232323"/>
              </w:rPr>
              <w:t>Name:</w:t>
            </w:r>
          </w:p>
        </w:tc>
        <w:tc>
          <w:tcPr>
            <w:tcW w:w="4960" w:type="dxa"/>
            <w:vAlign w:val="bottom"/>
          </w:tcPr>
          <w:p>
            <w:pPr>
              <w:spacing w:after="0" w:line="223" w:lineRule="exact"/>
              <w:rPr>
                <w:sz w:val="20"/>
                <w:szCs w:val="20"/>
                <w:color w:val="auto"/>
              </w:rPr>
            </w:pPr>
            <w:r>
              <w:rPr>
                <w:rFonts w:ascii="Arial" w:cs="Arial" w:eastAsia="Arial" w:hAnsi="Arial"/>
                <w:sz w:val="21"/>
                <w:szCs w:val="21"/>
                <w:color w:val="232323"/>
              </w:rPr>
              <w:t>Masakatsu Sawada</w:t>
            </w:r>
          </w:p>
        </w:tc>
      </w:tr>
      <w:tr>
        <w:trPr>
          <w:trHeight w:val="264"/>
        </w:trPr>
        <w:tc>
          <w:tcPr>
            <w:tcW w:w="800" w:type="dxa"/>
            <w:vAlign w:val="bottom"/>
          </w:tcPr>
          <w:p>
            <w:pPr>
              <w:spacing w:after="0"/>
              <w:rPr>
                <w:sz w:val="20"/>
                <w:szCs w:val="20"/>
                <w:color w:val="auto"/>
              </w:rPr>
            </w:pPr>
            <w:r>
              <w:rPr>
                <w:rFonts w:ascii="Arial" w:cs="Arial" w:eastAsia="Arial" w:hAnsi="Arial"/>
                <w:sz w:val="21"/>
                <w:szCs w:val="21"/>
                <w:color w:val="232323"/>
              </w:rPr>
              <w:t>Title:</w:t>
            </w:r>
          </w:p>
        </w:tc>
        <w:tc>
          <w:tcPr>
            <w:tcW w:w="4960" w:type="dxa"/>
            <w:vAlign w:val="bottom"/>
          </w:tcPr>
          <w:p>
            <w:pPr>
              <w:spacing w:after="0"/>
              <w:rPr>
                <w:sz w:val="20"/>
                <w:szCs w:val="20"/>
                <w:color w:val="auto"/>
              </w:rPr>
            </w:pPr>
            <w:r>
              <w:rPr>
                <w:rFonts w:ascii="Arial" w:cs="Arial" w:eastAsia="Arial" w:hAnsi="Arial"/>
                <w:sz w:val="21"/>
                <w:szCs w:val="21"/>
                <w:color w:val="232323"/>
              </w:rPr>
              <w:t>President</w:t>
            </w:r>
          </w:p>
        </w:tc>
      </w:tr>
    </w:tbl>
    <w:p>
      <w:pPr>
        <w:spacing w:after="0" w:line="200" w:lineRule="exact"/>
        <w:rPr>
          <w:sz w:val="20"/>
          <w:szCs w:val="20"/>
          <w:color w:val="auto"/>
        </w:rPr>
      </w:pPr>
    </w:p>
    <w:p>
      <w:pPr>
        <w:spacing w:after="0" w:line="255"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232323"/>
        </w:rPr>
        <w:t>Buyer:</w:t>
      </w:r>
    </w:p>
    <w:p>
      <w:pPr>
        <w:spacing w:after="0" w:line="256"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232323"/>
        </w:rPr>
        <w:t>SITIME CORPORATION</w:t>
      </w:r>
    </w:p>
    <w:p>
      <w:pPr>
        <w:spacing w:after="0" w:line="26" w:lineRule="exact"/>
        <w:rPr>
          <w:sz w:val="20"/>
          <w:szCs w:val="20"/>
          <w:color w:val="auto"/>
        </w:rPr>
      </w:pPr>
    </w:p>
    <w:p>
      <w:pPr>
        <w:ind w:left="5480"/>
        <w:spacing w:after="0"/>
        <w:tabs>
          <w:tab w:leader="none" w:pos="6260" w:val="left"/>
        </w:tabs>
        <w:rPr>
          <w:sz w:val="20"/>
          <w:szCs w:val="20"/>
          <w:color w:val="auto"/>
        </w:rPr>
      </w:pPr>
      <w:r>
        <w:rPr>
          <w:rFonts w:ascii="Arial" w:cs="Arial" w:eastAsia="Arial" w:hAnsi="Arial"/>
          <w:sz w:val="21"/>
          <w:szCs w:val="21"/>
          <w:color w:val="232323"/>
        </w:rPr>
        <w:t>By:</w:t>
      </w:r>
      <w:r>
        <w:rPr>
          <w:sz w:val="20"/>
          <w:szCs w:val="20"/>
          <w:color w:val="auto"/>
        </w:rPr>
        <w:tab/>
      </w:r>
      <w:r>
        <w:rPr>
          <w:rFonts w:ascii="Arial" w:cs="Arial" w:eastAsia="Arial" w:hAnsi="Arial"/>
          <w:sz w:val="20"/>
          <w:szCs w:val="20"/>
          <w:color w:val="232323"/>
        </w:rPr>
        <w:t>/s/Nara Bharath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6985</wp:posOffset>
            </wp:positionV>
            <wp:extent cx="31457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5480"/>
        <w:spacing w:after="0"/>
        <w:tabs>
          <w:tab w:leader="none" w:pos="6260" w:val="left"/>
        </w:tabs>
        <w:rPr>
          <w:sz w:val="20"/>
          <w:szCs w:val="20"/>
          <w:color w:val="auto"/>
        </w:rPr>
      </w:pPr>
      <w:r>
        <w:rPr>
          <w:rFonts w:ascii="Arial" w:cs="Arial" w:eastAsia="Arial" w:hAnsi="Arial"/>
          <w:sz w:val="21"/>
          <w:szCs w:val="21"/>
          <w:color w:val="232323"/>
        </w:rPr>
        <w:t>Name:</w:t>
      </w:r>
      <w:r>
        <w:rPr>
          <w:sz w:val="20"/>
          <w:szCs w:val="20"/>
          <w:color w:val="auto"/>
        </w:rPr>
        <w:tab/>
      </w:r>
      <w:r>
        <w:rPr>
          <w:rFonts w:ascii="Arial" w:cs="Arial" w:eastAsia="Arial" w:hAnsi="Arial"/>
          <w:sz w:val="20"/>
          <w:szCs w:val="20"/>
          <w:color w:val="232323"/>
        </w:rPr>
        <w:t>Nara Bharath</w:t>
      </w:r>
    </w:p>
    <w:p>
      <w:pPr>
        <w:spacing w:after="0" w:line="2" w:lineRule="exact"/>
        <w:rPr>
          <w:sz w:val="20"/>
          <w:szCs w:val="20"/>
          <w:color w:val="auto"/>
        </w:rPr>
      </w:pPr>
    </w:p>
    <w:p>
      <w:pPr>
        <w:ind w:left="5480"/>
        <w:spacing w:after="0"/>
        <w:tabs>
          <w:tab w:leader="none" w:pos="6260" w:val="left"/>
        </w:tabs>
        <w:rPr>
          <w:sz w:val="20"/>
          <w:szCs w:val="20"/>
          <w:color w:val="auto"/>
        </w:rPr>
      </w:pPr>
      <w:r>
        <w:rPr>
          <w:rFonts w:ascii="Arial" w:cs="Arial" w:eastAsia="Arial" w:hAnsi="Arial"/>
          <w:sz w:val="21"/>
          <w:szCs w:val="21"/>
          <w:color w:val="232323"/>
        </w:rPr>
        <w:t>Title:</w:t>
      </w:r>
      <w:r>
        <w:rPr>
          <w:sz w:val="20"/>
          <w:szCs w:val="20"/>
          <w:color w:val="auto"/>
        </w:rPr>
        <w:tab/>
      </w:r>
      <w:r>
        <w:rPr>
          <w:rFonts w:ascii="Arial" w:cs="Arial" w:eastAsia="Arial" w:hAnsi="Arial"/>
          <w:sz w:val="20"/>
          <w:szCs w:val="20"/>
          <w:color w:val="232323"/>
        </w:rPr>
        <w:t>Executive Vice President, Systems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356"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Rule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Rajesh Vashist, certify that:</w:t>
      </w:r>
    </w:p>
    <w:p>
      <w:pPr>
        <w:spacing w:after="0" w:line="225" w:lineRule="exact"/>
        <w:rPr>
          <w:sz w:val="20"/>
          <w:szCs w:val="20"/>
          <w:color w:val="auto"/>
        </w:rPr>
      </w:pPr>
    </w:p>
    <w:p>
      <w:pPr>
        <w:ind w:left="220" w:hanging="212"/>
        <w:spacing w:after="0"/>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SiTime Corporation.;</w:t>
      </w:r>
    </w:p>
    <w:p>
      <w:pPr>
        <w:spacing w:after="0" w:line="238" w:lineRule="exact"/>
        <w:rPr>
          <w:rFonts w:ascii="Arial" w:cs="Arial" w:eastAsia="Arial" w:hAnsi="Arial"/>
          <w:sz w:val="18"/>
          <w:szCs w:val="18"/>
          <w:color w:val="auto"/>
        </w:rPr>
      </w:pPr>
    </w:p>
    <w:p>
      <w:pPr>
        <w:ind w:left="220" w:right="40" w:hanging="212"/>
        <w:spacing w:after="0" w:line="342" w:lineRule="auto"/>
        <w:tabs>
          <w:tab w:leader="none" w:pos="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220" w:right="520" w:hanging="212"/>
        <w:spacing w:after="0" w:line="308" w:lineRule="auto"/>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220" w:right="120" w:hanging="212"/>
        <w:spacing w:after="0" w:line="263" w:lineRule="auto"/>
        <w:tabs>
          <w:tab w:leader="none" w:pos="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20" w:right="460" w:hanging="396"/>
        <w:spacing w:after="0" w:line="263" w:lineRule="auto"/>
        <w:tabs>
          <w:tab w:leader="none" w:pos="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20" w:right="100" w:hanging="396"/>
        <w:spacing w:after="0" w:line="263" w:lineRule="auto"/>
        <w:tabs>
          <w:tab w:leader="none" w:pos="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20" w:right="900" w:hanging="396"/>
        <w:spacing w:after="0" w:line="342" w:lineRule="auto"/>
        <w:tabs>
          <w:tab w:leader="none" w:pos="6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jc w:val="both"/>
        <w:ind w:left="620" w:right="20" w:hanging="396"/>
        <w:spacing w:after="0" w:line="263" w:lineRule="auto"/>
        <w:tabs>
          <w:tab w:leader="none" w:pos="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220" w:right="440" w:hanging="212"/>
        <w:spacing w:after="0" w:line="308" w:lineRule="auto"/>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7"/>
          <w:szCs w:val="17"/>
          <w:color w:val="auto"/>
        </w:rPr>
      </w:pPr>
    </w:p>
    <w:p>
      <w:pPr>
        <w:ind w:left="620" w:right="360" w:hanging="396"/>
        <w:spacing w:after="0" w:line="308" w:lineRule="auto"/>
        <w:tabs>
          <w:tab w:leader="none" w:pos="6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620" w:right="320" w:hanging="396"/>
        <w:spacing w:after="0" w:line="277" w:lineRule="auto"/>
        <w:tabs>
          <w:tab w:leader="none" w:pos="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52"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Rajesh Vashist</w:t>
      </w:r>
    </w:p>
    <w:p>
      <w:pPr>
        <w:spacing w:after="0" w:line="23"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Rule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Arthur D. Chadwick, certify that:</w:t>
      </w:r>
    </w:p>
    <w:p>
      <w:pPr>
        <w:spacing w:after="0" w:line="225" w:lineRule="exact"/>
        <w:rPr>
          <w:sz w:val="20"/>
          <w:szCs w:val="20"/>
          <w:color w:val="auto"/>
        </w:rPr>
      </w:pPr>
    </w:p>
    <w:p>
      <w:pPr>
        <w:ind w:left="220" w:hanging="212"/>
        <w:spacing w:after="0"/>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SiTime Corporation.;</w:t>
      </w:r>
    </w:p>
    <w:p>
      <w:pPr>
        <w:spacing w:after="0" w:line="238" w:lineRule="exact"/>
        <w:rPr>
          <w:rFonts w:ascii="Arial" w:cs="Arial" w:eastAsia="Arial" w:hAnsi="Arial"/>
          <w:sz w:val="18"/>
          <w:szCs w:val="18"/>
          <w:color w:val="auto"/>
        </w:rPr>
      </w:pPr>
    </w:p>
    <w:p>
      <w:pPr>
        <w:ind w:left="220" w:right="40" w:hanging="212"/>
        <w:spacing w:after="0" w:line="342" w:lineRule="auto"/>
        <w:tabs>
          <w:tab w:leader="none" w:pos="2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220" w:right="520" w:hanging="212"/>
        <w:spacing w:after="0" w:line="308" w:lineRule="auto"/>
        <w:tabs>
          <w:tab w:leader="none" w:pos="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220" w:right="120" w:hanging="212"/>
        <w:spacing w:after="0" w:line="263" w:lineRule="auto"/>
        <w:tabs>
          <w:tab w:leader="none" w:pos="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20" w:right="460" w:hanging="396"/>
        <w:spacing w:after="0" w:line="263" w:lineRule="auto"/>
        <w:tabs>
          <w:tab w:leader="none" w:pos="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20" w:right="100" w:hanging="396"/>
        <w:spacing w:after="0" w:line="263" w:lineRule="auto"/>
        <w:tabs>
          <w:tab w:leader="none" w:pos="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20" w:right="900" w:hanging="396"/>
        <w:spacing w:after="0" w:line="342" w:lineRule="auto"/>
        <w:tabs>
          <w:tab w:leader="none" w:pos="6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jc w:val="both"/>
        <w:ind w:left="620" w:right="20" w:hanging="396"/>
        <w:spacing w:after="0" w:line="263" w:lineRule="auto"/>
        <w:tabs>
          <w:tab w:leader="none" w:pos="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220" w:right="440" w:hanging="212"/>
        <w:spacing w:after="0" w:line="308" w:lineRule="auto"/>
        <w:tabs>
          <w:tab w:leader="none" w:pos="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7"/>
          <w:szCs w:val="17"/>
          <w:color w:val="auto"/>
        </w:rPr>
      </w:pPr>
    </w:p>
    <w:p>
      <w:pPr>
        <w:ind w:left="620" w:right="360" w:hanging="396"/>
        <w:spacing w:after="0" w:line="308" w:lineRule="auto"/>
        <w:tabs>
          <w:tab w:leader="none" w:pos="6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620" w:right="320" w:hanging="396"/>
        <w:spacing w:after="0" w:line="277" w:lineRule="auto"/>
        <w:tabs>
          <w:tab w:leader="none" w:pos="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52"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Arthur D. Chadwick</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7"/>
          <w:szCs w:val="17"/>
          <w:b w:val="1"/>
          <w:bCs w:val="1"/>
          <w:color w:val="auto"/>
        </w:rPr>
        <w:t>Executive Vice President, Chief Financial Officer</w:t>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479"/>
        <w:spacing w:after="0" w:line="263" w:lineRule="auto"/>
        <w:rPr>
          <w:sz w:val="20"/>
          <w:szCs w:val="20"/>
          <w:color w:val="auto"/>
        </w:rPr>
      </w:pPr>
      <w:r>
        <w:rPr>
          <w:rFonts w:ascii="Arial" w:cs="Arial" w:eastAsia="Arial" w:hAnsi="Arial"/>
          <w:sz w:val="18"/>
          <w:szCs w:val="18"/>
          <w:color w:val="auto"/>
        </w:rPr>
        <w:t>In connection with the Quarterly Report of SiTime Corporation. (the “Company”) on Form 10-Q for the period ended March 31, 2020 as filed with the Securities and Exchange Commission on the date hereof (the “Report”), I, certify, pursuant to 18 U.S.C. § 1350, as adopted pursuant to § 906 of the Sarbanes-Oxley Act of 2002, that to the best of my knowledge:</w:t>
      </w:r>
    </w:p>
    <w:p>
      <w:pPr>
        <w:spacing w:after="0" w:line="89" w:lineRule="exact"/>
        <w:rPr>
          <w:sz w:val="20"/>
          <w:szCs w:val="20"/>
          <w:color w:val="auto"/>
        </w:rPr>
      </w:pPr>
    </w:p>
    <w:p>
      <w:pPr>
        <w:ind w:left="920" w:hanging="453"/>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20" w:right="660" w:hanging="453"/>
        <w:spacing w:after="0" w:line="277" w:lineRule="auto"/>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5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Rajesh Vashist</w:t>
      </w:r>
    </w:p>
    <w:p>
      <w:pPr>
        <w:spacing w:after="0" w:line="23"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479"/>
        <w:spacing w:after="0" w:line="263" w:lineRule="auto"/>
        <w:rPr>
          <w:sz w:val="20"/>
          <w:szCs w:val="20"/>
          <w:color w:val="auto"/>
        </w:rPr>
      </w:pPr>
      <w:r>
        <w:rPr>
          <w:rFonts w:ascii="Arial" w:cs="Arial" w:eastAsia="Arial" w:hAnsi="Arial"/>
          <w:sz w:val="18"/>
          <w:szCs w:val="18"/>
          <w:color w:val="auto"/>
        </w:rPr>
        <w:t>In connection with the Quarterly Report of SiTime Corporation. (the “Company”) on Form 10-Q for the period ended March 31, 2020 as filed with the Securities and Exchange Commission on the date hereof (the “Report”), I, certify, pursuant to 18 U.S.C. § 1350, as adopted pursuant to § 906 of the Sarbanes-Oxley Act of 2002, that to the best of my knowledge:</w:t>
      </w:r>
    </w:p>
    <w:p>
      <w:pPr>
        <w:spacing w:after="0" w:line="89" w:lineRule="exact"/>
        <w:rPr>
          <w:sz w:val="20"/>
          <w:szCs w:val="20"/>
          <w:color w:val="auto"/>
        </w:rPr>
      </w:pPr>
    </w:p>
    <w:p>
      <w:pPr>
        <w:ind w:left="920" w:hanging="453"/>
        <w:spacing w:after="0"/>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20" w:right="660" w:hanging="453"/>
        <w:spacing w:after="0" w:line="277" w:lineRule="auto"/>
        <w:tabs>
          <w:tab w:leader="none" w:pos="9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52"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Arthur D. Chadwick</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Executive Vice President, 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lowerLetter"/>
      <w:start w:val="1"/>
    </w:lvl>
  </w:abstractNum>
  <w:abstractNum w:abstractNumId="22">
    <w:nsid w:val="2463B9EA"/>
    <w:multiLevelType w:val="hybridMultilevel"/>
    <w:lvl w:ilvl="0">
      <w:lvlJc w:val="left"/>
      <w:lvlText w:val="(%1)"/>
      <w:numFmt w:val="lowerLetter"/>
      <w:start w:val="5"/>
    </w:lvl>
  </w:abstractNum>
  <w:abstractNum w:abstractNumId="23">
    <w:nsid w:val="5E884ADC"/>
    <w:multiLevelType w:val="hybridMultilevel"/>
    <w:lvl w:ilvl="0">
      <w:lvlJc w:val="left"/>
      <w:lvlText w:val="%1."/>
      <w:numFmt w:val="decimal"/>
      <w:start w:val="2"/>
    </w:lvl>
  </w:abstractNum>
  <w:abstractNum w:abstractNumId="24">
    <w:nsid w:val="51EAD36B"/>
    <w:multiLevelType w:val="hybridMultilevel"/>
    <w:lvl w:ilvl="0">
      <w:lvlJc w:val="left"/>
      <w:lvlText w:val="%1."/>
      <w:numFmt w:val="decimal"/>
      <w:start w:val="3"/>
    </w:lvl>
  </w:abstractNum>
  <w:abstractNum w:abstractNumId="25">
    <w:nsid w:val="2D517796"/>
    <w:multiLevelType w:val="hybridMultilevel"/>
    <w:lvl w:ilvl="0">
      <w:lvlJc w:val="left"/>
      <w:lvlText w:val="%1."/>
      <w:numFmt w:val="decimal"/>
      <w:start w:val="4"/>
    </w:lvl>
  </w:abstractNum>
  <w:abstractNum w:abstractNumId="26">
    <w:nsid w:val="580BD78F"/>
    <w:multiLevelType w:val="hybridMultilevel"/>
    <w:lvl w:ilvl="0">
      <w:lvlJc w:val="left"/>
      <w:lvlText w:val="(%1)"/>
      <w:numFmt w:val="lowerLetter"/>
      <w:start w:val="1"/>
    </w:lvl>
  </w:abstractNum>
  <w:abstractNum w:abstractNumId="27">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8">
    <w:nsid w:val="3855585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9">
    <w:nsid w:val="70A64E2A"/>
    <w:multiLevelType w:val="hybridMultilevel"/>
    <w:lvl w:ilvl="0">
      <w:lvlJc w:val="left"/>
      <w:lvlText w:val="%1."/>
      <w:numFmt w:val="decimal"/>
      <w:start w:val="6"/>
    </w:lvl>
  </w:abstractNum>
  <w:abstractNum w:abstractNumId="30">
    <w:nsid w:val="6A2342EC"/>
    <w:multiLevelType w:val="hybridMultilevel"/>
    <w:lvl w:ilvl="0">
      <w:lvlJc w:val="left"/>
      <w:lvlText w:val="%1."/>
      <w:numFmt w:val="decimal"/>
      <w:start w:val="7"/>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lowerLetter"/>
      <w:start w:val="2"/>
    </w:lvl>
  </w:abstractNum>
  <w:abstractNum w:abstractNumId="33">
    <w:nsid w:val="725A06FB"/>
    <w:multiLevelType w:val="hybridMultilevel"/>
    <w:lvl w:ilvl="0">
      <w:lvlJc w:val="left"/>
      <w:lvlText w:val="%1."/>
      <w:numFmt w:val="decimal"/>
      <w:start w:val="8"/>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lowerLetter"/>
      <w:start w:val="2"/>
    </w:lvl>
  </w:abstractNum>
  <w:abstractNum w:abstractNumId="36">
    <w:nsid w:val="7A6D8D3C"/>
    <w:multiLevelType w:val="hybridMultilevel"/>
    <w:lvl w:ilvl="0">
      <w:lvlJc w:val="left"/>
      <w:lvlText w:val="(%1)"/>
      <w:numFmt w:val="lowerLetter"/>
      <w:start w:val="3"/>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2"/>
    </w:lvl>
  </w:abstractNum>
  <w:abstractNum w:abstractNumId="39">
    <w:nsid w:val="6DE91B18"/>
    <w:multiLevelType w:val="hybridMultilevel"/>
    <w:lvl w:ilvl="0">
      <w:lvlJc w:val="left"/>
      <w:lvlText w:val="%1."/>
      <w:numFmt w:val="decimal"/>
      <w:start w:val="3"/>
    </w:lvl>
  </w:abstractNum>
  <w:abstractNum w:abstractNumId="40">
    <w:nsid w:val="38437FDB"/>
    <w:multiLevelType w:val="hybridMultilevel"/>
    <w:lvl w:ilvl="0">
      <w:lvlJc w:val="left"/>
      <w:lvlText w:val="%1."/>
      <w:numFmt w:val="decimal"/>
      <w:start w:val="4"/>
    </w:lvl>
  </w:abstractNum>
  <w:abstractNum w:abstractNumId="41">
    <w:nsid w:val="7644A45C"/>
    <w:multiLevelType w:val="hybridMultilevel"/>
    <w:lvl w:ilvl="0">
      <w:lvlJc w:val="left"/>
      <w:lvlText w:val="%1."/>
      <w:numFmt w:val="decimal"/>
      <w:start w:val="5"/>
    </w:lvl>
  </w:abstractNum>
  <w:abstractNum w:abstractNumId="42">
    <w:nsid w:val="32FFF902"/>
    <w:multiLevelType w:val="hybridMultilevel"/>
    <w:lvl w:ilvl="0">
      <w:lvlJc w:val="left"/>
      <w:lvlText w:val="%1."/>
      <w:numFmt w:val="decimal"/>
      <w:start w:val="6"/>
    </w:lvl>
  </w:abstractNum>
  <w:abstractNum w:abstractNumId="43">
    <w:nsid w:val="684A481A"/>
    <w:multiLevelType w:val="hybridMultilevel"/>
    <w:lvl w:ilvl="0">
      <w:lvlJc w:val="left"/>
      <w:lvlText w:val="%1."/>
      <w:numFmt w:val="decimal"/>
      <w:start w:val="7"/>
    </w:lvl>
  </w:abstractNum>
  <w:abstractNum w:abstractNumId="44">
    <w:nsid w:val="579478FE"/>
    <w:multiLevelType w:val="hybridMultilevel"/>
    <w:lvl w:ilvl="0">
      <w:lvlJc w:val="left"/>
      <w:lvlText w:val="%1."/>
      <w:numFmt w:val="decimal"/>
      <w:start w:val="8"/>
    </w:lvl>
  </w:abstractNum>
  <w:abstractNum w:abstractNumId="45">
    <w:nsid w:val="749ABB43"/>
    <w:multiLevelType w:val="hybridMultilevel"/>
    <w:lvl w:ilvl="0">
      <w:lvlJc w:val="left"/>
      <w:lvlText w:val="%1."/>
      <w:numFmt w:val="decimal"/>
      <w:start w:val="9"/>
    </w:lvl>
  </w:abstractNum>
  <w:abstractNum w:abstractNumId="46">
    <w:nsid w:val="3DC240FB"/>
    <w:multiLevelType w:val="hybridMultilevel"/>
    <w:lvl w:ilvl="0">
      <w:lvlJc w:val="left"/>
      <w:lvlText w:val="%1."/>
      <w:numFmt w:val="decimal"/>
      <w:start w:val="10"/>
    </w:lvl>
  </w:abstractNum>
  <w:abstractNum w:abstractNumId="47">
    <w:nsid w:val="1BA026FA"/>
    <w:multiLevelType w:val="hybridMultilevel"/>
    <w:lvl w:ilvl="0">
      <w:lvlJc w:val="left"/>
      <w:lvlText w:val="%1."/>
      <w:numFmt w:val="decimal"/>
      <w:start w:val="11"/>
    </w:lvl>
  </w:abstractNum>
  <w:abstractNum w:abstractNumId="48">
    <w:nsid w:val="79A1DEAA"/>
    <w:multiLevelType w:val="hybridMultilevel"/>
    <w:lvl w:ilvl="0">
      <w:lvlJc w:val="left"/>
      <w:lvlText w:val="%1."/>
      <w:numFmt w:val="decimal"/>
      <w:start w:val="12"/>
    </w:lvl>
  </w:abstractNum>
  <w:abstractNum w:abstractNumId="49">
    <w:nsid w:val="75C6C33A"/>
    <w:multiLevelType w:val="hybridMultilevel"/>
    <w:lvl w:ilvl="0">
      <w:lvlJc w:val="left"/>
      <w:lvlText w:val="%1."/>
      <w:numFmt w:val="decimal"/>
      <w:start w:val="13"/>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74" Type="http://schemas.openxmlformats.org/officeDocument/2006/relationships/hyperlink" Target="http://www.sec.gov/Archives/edgar/data/0001451809/000119312519272678/d701682dex32.htm" TargetMode="External"/><Relationship Id="rId75" Type="http://schemas.openxmlformats.org/officeDocument/2006/relationships/hyperlink" Target="http://www.sec.gov/Archives/edgar/data/1451809/000119312519301287/d630610dex32.htm" TargetMode="External"/><Relationship Id="rId76" Type="http://schemas.openxmlformats.org/officeDocument/2006/relationships/hyperlink" Target="http://www.sec.gov/Archives/edgar/data/0001451809/000119312519272678/d701682dex41.htm" TargetMode="External"/><Relationship Id="rId77" Type="http://schemas.openxmlformats.org/officeDocument/2006/relationships/hyperlink" Target="http://www.sec.gov/Archives/edgar/data/1451809/000156459020008145/sitm-ex42_1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2020-05-07T15:40:52Z</dcterms:created>
  <dcterms:modified xsi:type="dcterms:W3CDTF">2020-05-07T15:40:52Z</dcterms:modified>
</cp:coreProperties>
</file>