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325"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19"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90"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ectPr>
          <w:pgSz w:w="11900" w:h="16838" w:orient="portrait"/>
          <w:cols w:equalWidth="0" w:num="1">
            <w:col w:w="11240"/>
          </w:cols>
          <w:pgMar w:left="320" w:top="436"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ind w:right="2000"/>
        <w:spacing w:after="0"/>
        <w:rPr>
          <w:sz w:val="20"/>
          <w:szCs w:val="20"/>
          <w:color w:val="auto"/>
        </w:rPr>
      </w:pPr>
      <w:r>
        <w:rPr>
          <w:rFonts w:ascii="Arial" w:cs="Arial" w:eastAsia="Arial" w:hAnsi="Arial"/>
          <w:sz w:val="18"/>
          <w:szCs w:val="18"/>
          <w:color w:val="auto"/>
        </w:rPr>
        <w:t>Delaware</w:t>
      </w:r>
    </w:p>
    <w:p>
      <w:pPr>
        <w:spacing w:after="0" w:line="4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51"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5451 Patrick Henry Drive</w:t>
      </w:r>
    </w:p>
    <w:p>
      <w:pPr>
        <w:spacing w:after="0" w:line="59"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Santa Clara,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02-0713868</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95054</w:t>
      </w:r>
    </w:p>
    <w:p>
      <w:pPr>
        <w:spacing w:after="0" w:line="50" w:lineRule="exact"/>
        <w:rPr>
          <w:sz w:val="24"/>
          <w:szCs w:val="24"/>
          <w:color w:val="auto"/>
        </w:rPr>
      </w:pPr>
    </w:p>
    <w:p>
      <w:pPr>
        <w:sectPr>
          <w:pgSz w:w="11900" w:h="16838" w:orient="portrait"/>
          <w:cols w:equalWidth="0" w:num="2">
            <w:col w:w="7620" w:space="320"/>
            <w:col w:w="3300"/>
          </w:cols>
          <w:pgMar w:left="320" w:top="43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9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3820" w:type="dxa"/>
            <w:vAlign w:val="bottom"/>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SITM</w:t>
            </w: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91"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1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1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right="2020"/>
        <w:spacing w:after="0" w:line="27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29, 2021, the registrant had </w:t>
      </w:r>
      <w:r>
        <w:rPr>
          <w:rFonts w:ascii="Arial" w:cs="Arial" w:eastAsia="Arial" w:hAnsi="Arial"/>
          <w:sz w:val="16"/>
          <w:szCs w:val="16"/>
          <w:color w:val="auto"/>
        </w:rPr>
        <w:t>19,254,018</w:t>
      </w:r>
      <w:r>
        <w:rPr>
          <w:rFonts w:ascii="Arial" w:cs="Arial" w:eastAsia="Arial" w:hAnsi="Arial"/>
          <w:sz w:val="15"/>
          <w:szCs w:val="15"/>
          <w:color w:val="auto"/>
        </w:rPr>
        <w:t xml:space="preserve">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4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Borders>
              <w:bottom w:val="single" w:sz="8" w:color="0000EE"/>
            </w:tcBorders>
            <w:gridSpan w:val="8"/>
          </w:tcPr>
          <w:p>
            <w:pPr>
              <w:spacing w:after="0" w:line="182"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Risk Factor Summary</w:t>
              </w:r>
            </w:hyperlink>
          </w:p>
        </w:tc>
        <w:tc>
          <w:tcPr>
            <w:tcW w:w="768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Financial Statements</w:t>
              </w:r>
            </w:hyperlink>
          </w:p>
        </w:tc>
        <w:tc>
          <w:tcPr>
            <w:tcW w:w="20" w:type="dxa"/>
            <w:vAlign w:val="bottom"/>
            <w:tcBorders>
              <w:top w:val="single" w:sz="8" w:color="0000FF"/>
              <w:bottom w:val="single" w:sz="8" w:color="0000EE"/>
            </w:tcBorders>
          </w:tcPr>
          <w:p>
            <w:pPr>
              <w:spacing w:after="0"/>
              <w:rPr>
                <w:sz w:val="19"/>
                <w:szCs w:val="19"/>
                <w:color w:val="auto"/>
              </w:rPr>
            </w:pPr>
          </w:p>
        </w:tc>
        <w:tc>
          <w:tcPr>
            <w:tcW w:w="720" w:type="dxa"/>
            <w:vAlign w:val="bottom"/>
            <w:tcBorders>
              <w:top w:val="single" w:sz="8" w:color="0000FF"/>
            </w:tcBorders>
            <w:gridSpan w:val="5"/>
          </w:tcPr>
          <w:p>
            <w:pPr>
              <w:spacing w:after="0"/>
              <w:rPr>
                <w:sz w:val="19"/>
                <w:szCs w:val="19"/>
                <w:color w:val="auto"/>
              </w:rPr>
            </w:pPr>
          </w:p>
        </w:tc>
        <w:tc>
          <w:tcPr>
            <w:tcW w:w="704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4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Operations and Comprehensive Income (Loss)</w:t>
              </w:r>
            </w:hyperlink>
          </w:p>
        </w:tc>
        <w:tc>
          <w:tcPr>
            <w:tcW w:w="306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Borders>
              <w:top w:val="single" w:sz="8" w:color="0000FF"/>
            </w:tcBorders>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490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9"/>
                <w:szCs w:val="19"/>
                <w:color w:val="auto"/>
              </w:rPr>
            </w:pPr>
          </w:p>
        </w:tc>
        <w:tc>
          <w:tcPr>
            <w:tcW w:w="2560" w:type="dxa"/>
            <w:vAlign w:val="bottom"/>
            <w:tcBorders>
              <w:top w:val="single" w:sz="8" w:color="0000FF"/>
            </w:tcBorders>
            <w:gridSpan w:val="5"/>
          </w:tcPr>
          <w:p>
            <w:pPr>
              <w:spacing w:after="0"/>
              <w:rPr>
                <w:sz w:val="19"/>
                <w:szCs w:val="19"/>
                <w:color w:val="auto"/>
              </w:rPr>
            </w:pPr>
          </w:p>
        </w:tc>
        <w:tc>
          <w:tcPr>
            <w:tcW w:w="494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11"/>
          </w:tcPr>
          <w:p>
            <w:pPr>
              <w:spacing w:after="0"/>
              <w:rPr>
                <w:rFonts w:ascii="Arial" w:cs="Arial" w:eastAsia="Arial" w:hAnsi="Arial"/>
                <w:sz w:val="18"/>
                <w:szCs w:val="18"/>
                <w:color w:val="0000FF"/>
                <w:w w:val="96"/>
              </w:rPr>
            </w:pPr>
            <w:hyperlink w:anchor="page26">
              <w:r>
                <w:rPr>
                  <w:rFonts w:ascii="Arial" w:cs="Arial" w:eastAsia="Arial" w:hAnsi="Arial"/>
                  <w:sz w:val="18"/>
                  <w:szCs w:val="18"/>
                  <w:color w:val="0000FF"/>
                  <w:w w:val="96"/>
                </w:rPr>
                <w:t>OTHER INFORMATION</w:t>
              </w:r>
            </w:hyperlink>
          </w:p>
        </w:tc>
        <w:tc>
          <w:tcPr>
            <w:tcW w:w="7400" w:type="dxa"/>
            <w:vAlign w:val="bottom"/>
            <w:gridSpan w:val="10"/>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798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1140" w:type="dxa"/>
            <w:vAlign w:val="bottom"/>
            <w:gridSpan w:val="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Our business is subject to numerous risks, as more fully described in Part II, Item 1A titled “Risk Factors.”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impact and uncertainty related to the ongoing COVID-19 pandemic could adversely impact our business, results of operations and financial</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condition, as well as the businesses of our suppliers and customers;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downturn in the worldwide economy may harm our business;</w:t>
      </w:r>
    </w:p>
    <w:p>
      <w:pPr>
        <w:spacing w:after="0" w:line="23" w:lineRule="exact"/>
        <w:rPr>
          <w:sz w:val="20"/>
          <w:szCs w:val="20"/>
          <w:color w:val="auto"/>
        </w:rPr>
      </w:pPr>
    </w:p>
    <w:p>
      <w:pPr>
        <w:ind w:left="340" w:right="180"/>
        <w:spacing w:after="0" w:line="266" w:lineRule="auto"/>
        <w:rPr>
          <w:sz w:val="20"/>
          <w:szCs w:val="20"/>
          <w:color w:val="auto"/>
        </w:rPr>
      </w:pPr>
      <w:r>
        <w:rPr>
          <w:rFonts w:ascii="Arial" w:cs="Arial" w:eastAsia="Arial" w:hAnsi="Arial"/>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ind w:left="340" w:right="500"/>
        <w:spacing w:after="0" w:line="266" w:lineRule="auto"/>
        <w:rPr>
          <w:sz w:val="20"/>
          <w:szCs w:val="20"/>
          <w:color w:val="auto"/>
        </w:rPr>
      </w:pPr>
      <w:r>
        <w:rPr>
          <w:rFonts w:ascii="Arial" w:cs="Arial" w:eastAsia="Arial" w:hAnsi="Arial"/>
          <w:sz w:val="18"/>
          <w:szCs w:val="18"/>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ind w:left="340"/>
        <w:spacing w:after="0"/>
        <w:rPr>
          <w:sz w:val="20"/>
          <w:szCs w:val="20"/>
          <w:color w:val="auto"/>
        </w:rPr>
      </w:pPr>
      <w:r>
        <w:rPr>
          <w:rFonts w:ascii="Arial" w:cs="Arial" w:eastAsia="Arial" w:hAnsi="Arial"/>
          <w:sz w:val="17"/>
          <w:szCs w:val="17"/>
          <w:color w:val="auto"/>
        </w:rPr>
        <w:t>If we are unable to expand or further diversify our customer base, our business, financial condition, and results of operations could suffer;</w:t>
      </w:r>
    </w:p>
    <w:p>
      <w:pPr>
        <w:spacing w:after="0" w:line="34" w:lineRule="exact"/>
        <w:rPr>
          <w:sz w:val="20"/>
          <w:szCs w:val="20"/>
          <w:color w:val="auto"/>
        </w:rPr>
      </w:pPr>
    </w:p>
    <w:p>
      <w:pPr>
        <w:ind w:left="340" w:right="40"/>
        <w:spacing w:after="0" w:line="266" w:lineRule="auto"/>
        <w:rPr>
          <w:sz w:val="20"/>
          <w:szCs w:val="20"/>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ind w:left="340" w:right="380"/>
        <w:spacing w:after="0" w:line="266" w:lineRule="auto"/>
        <w:rPr>
          <w:sz w:val="20"/>
          <w:szCs w:val="20"/>
          <w:color w:val="auto"/>
        </w:rPr>
      </w:pPr>
      <w:r>
        <w:rPr>
          <w:rFonts w:ascii="Arial" w:cs="Arial" w:eastAsia="Arial" w:hAnsi="Arial"/>
          <w:sz w:val="18"/>
          <w:szCs w:val="18"/>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ind w:left="340"/>
        <w:spacing w:after="0"/>
        <w:rPr>
          <w:sz w:val="20"/>
          <w:szCs w:val="20"/>
          <w:color w:val="auto"/>
        </w:rPr>
      </w:pPr>
      <w:r>
        <w:rPr>
          <w:rFonts w:ascii="Arial" w:cs="Arial" w:eastAsia="Arial" w:hAnsi="Arial"/>
          <w:sz w:val="18"/>
          <w:szCs w:val="18"/>
          <w:color w:val="auto"/>
        </w:rPr>
        <w:t>We have an accumulated deficit and have incurred net losses in the past, and we may continue to incur net losses in the future;</w:t>
      </w:r>
    </w:p>
    <w:p>
      <w:pPr>
        <w:spacing w:after="0" w:line="23" w:lineRule="exact"/>
        <w:rPr>
          <w:sz w:val="20"/>
          <w:szCs w:val="20"/>
          <w:color w:val="auto"/>
        </w:rPr>
      </w:pPr>
    </w:p>
    <w:p>
      <w:pPr>
        <w:ind w:left="340" w:right="400"/>
        <w:spacing w:after="0" w:line="281" w:lineRule="auto"/>
        <w:rPr>
          <w:sz w:val="20"/>
          <w:szCs w:val="20"/>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1" w:lineRule="exact"/>
        <w:rPr>
          <w:sz w:val="20"/>
          <w:szCs w:val="20"/>
          <w:color w:val="auto"/>
        </w:rPr>
      </w:pPr>
    </w:p>
    <w:p>
      <w:pPr>
        <w:ind w:left="340" w:right="800"/>
        <w:spacing w:after="0" w:line="266" w:lineRule="auto"/>
        <w:rPr>
          <w:sz w:val="20"/>
          <w:szCs w:val="20"/>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ind w:left="340"/>
        <w:spacing w:after="0"/>
        <w:rPr>
          <w:sz w:val="20"/>
          <w:szCs w:val="20"/>
          <w:color w:val="auto"/>
        </w:rPr>
      </w:pPr>
      <w:r>
        <w:rPr>
          <w:rFonts w:ascii="Arial" w:cs="Arial" w:eastAsia="Arial" w:hAnsi="Arial"/>
          <w:sz w:val="18"/>
          <w:szCs w:val="18"/>
          <w:color w:val="auto"/>
        </w:rPr>
        <w:t>If we are not able to successfully introduce and ship in volume new products in a timely manner, our business and revenue will suffer;</w:t>
      </w:r>
    </w:p>
    <w:p>
      <w:pPr>
        <w:spacing w:after="0" w:line="23" w:lineRule="exact"/>
        <w:rPr>
          <w:sz w:val="20"/>
          <w:szCs w:val="20"/>
          <w:color w:val="auto"/>
        </w:rPr>
      </w:pPr>
    </w:p>
    <w:p>
      <w:pPr>
        <w:ind w:left="340" w:right="500"/>
        <w:spacing w:after="0" w:line="281" w:lineRule="auto"/>
        <w:rPr>
          <w:sz w:val="20"/>
          <w:szCs w:val="20"/>
          <w:color w:val="auto"/>
        </w:rPr>
      </w:pPr>
      <w:r>
        <w:rPr>
          <w:rFonts w:ascii="Arial" w:cs="Arial" w:eastAsia="Arial" w:hAnsi="Arial"/>
          <w:sz w:val="17"/>
          <w:szCs w:val="17"/>
          <w:color w:val="auto"/>
        </w:rPr>
        <w:t>Our gross margins may fluctuate due to a variety of factors, which could negatively impact our results of operations and our financial condition; Our revenue in recent periods may not be indicative of future performance and our revenue may fluctuate over time;</w:t>
      </w:r>
    </w:p>
    <w:p>
      <w:pPr>
        <w:spacing w:after="0" w:line="1" w:lineRule="exact"/>
        <w:rPr>
          <w:sz w:val="20"/>
          <w:szCs w:val="20"/>
          <w:color w:val="auto"/>
        </w:rPr>
      </w:pPr>
    </w:p>
    <w:p>
      <w:pPr>
        <w:ind w:left="340" w:right="120"/>
        <w:spacing w:after="0" w:line="266" w:lineRule="auto"/>
        <w:rPr>
          <w:sz w:val="20"/>
          <w:szCs w:val="20"/>
          <w:color w:val="auto"/>
        </w:rPr>
      </w:pPr>
      <w:r>
        <w:rPr>
          <w:rFonts w:ascii="Arial" w:cs="Arial" w:eastAsia="Arial" w:hAnsi="Arial"/>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 We provide a lifetime warranty on our products and may be subject to warranty or product liability claims, which could harm our reputation, result in unexpected expenses, and cause us to lose market share;</w:t>
      </w:r>
    </w:p>
    <w:p>
      <w:pPr>
        <w:ind w:left="340" w:right="3640"/>
        <w:spacing w:after="0" w:line="266" w:lineRule="auto"/>
        <w:rPr>
          <w:sz w:val="20"/>
          <w:szCs w:val="20"/>
          <w:color w:val="auto"/>
        </w:rPr>
      </w:pPr>
      <w:r>
        <w:rPr>
          <w:rFonts w:ascii="Arial" w:cs="Arial" w:eastAsia="Arial" w:hAnsi="Arial"/>
          <w:sz w:val="18"/>
          <w:szCs w:val="18"/>
          <w:color w:val="auto"/>
        </w:rPr>
        <w:t>Defects in our products could harm our relationships with our customers and damage our reputation; We are subject to the cyclical nature of the semiconductor industry;</w:t>
      </w:r>
    </w:p>
    <w:p>
      <w:pPr>
        <w:ind w:left="340" w:right="540"/>
        <w:spacing w:after="0" w:line="266" w:lineRule="auto"/>
        <w:rPr>
          <w:sz w:val="20"/>
          <w:szCs w:val="20"/>
          <w:color w:val="auto"/>
        </w:rPr>
      </w:pPr>
      <w:r>
        <w:rPr>
          <w:rFonts w:ascii="Arial" w:cs="Arial" w:eastAsia="Arial" w:hAnsi="Arial"/>
          <w:sz w:val="18"/>
          <w:szCs w:val="18"/>
          <w:color w:val="auto"/>
        </w:rPr>
        <w:t>We may not be able to accurately predict our future capital needs, and we may not be able to obtain additional financing to fund our operations; We may seek, or be required to seek debt financing in the immediate or near term;</w:t>
      </w:r>
    </w:p>
    <w:p>
      <w:pPr>
        <w:ind w:left="340" w:right="180"/>
        <w:spacing w:after="0" w:line="266" w:lineRule="auto"/>
        <w:rPr>
          <w:sz w:val="20"/>
          <w:szCs w:val="20"/>
          <w:color w:val="auto"/>
        </w:rPr>
      </w:pPr>
      <w:r>
        <w:rPr>
          <w:rFonts w:ascii="Arial" w:cs="Arial" w:eastAsia="Arial" w:hAnsi="Arial"/>
          <w:sz w:val="18"/>
          <w:szCs w:val="18"/>
          <w:color w:val="auto"/>
        </w:rPr>
        <w:t>A portion of our operations is located outside of the United States, which subjects us to additional risks, including increased complexity and costs of managing international operations and geopolitical instability;</w:t>
      </w:r>
    </w:p>
    <w:p>
      <w:pPr>
        <w:ind w:left="340" w:right="100"/>
        <w:spacing w:after="0" w:line="266" w:lineRule="auto"/>
        <w:rPr>
          <w:sz w:val="20"/>
          <w:szCs w:val="20"/>
          <w:color w:val="auto"/>
        </w:rPr>
      </w:pPr>
      <w:r>
        <w:rPr>
          <w:rFonts w:ascii="Arial" w:cs="Arial" w:eastAsia="Arial" w:hAnsi="Arial"/>
          <w:sz w:val="18"/>
          <w:szCs w:val="18"/>
          <w:color w:val="auto"/>
        </w:rPr>
        <w:t>If significant tariffs or other restrictions are placed on Chinese imports or any related counter-measures are taken by China, our revenue and results of operations may be materially harmed;</w:t>
      </w:r>
    </w:p>
    <w:p>
      <w:pPr>
        <w:ind w:left="340" w:right="1040"/>
        <w:spacing w:after="0" w:line="266" w:lineRule="auto"/>
        <w:rPr>
          <w:sz w:val="20"/>
          <w:szCs w:val="20"/>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ind w:left="340" w:right="300"/>
        <w:spacing w:after="0" w:line="266" w:lineRule="auto"/>
        <w:rPr>
          <w:sz w:val="20"/>
          <w:szCs w:val="20"/>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ind w:left="340"/>
        <w:spacing w:after="0" w:line="266" w:lineRule="auto"/>
        <w:rPr>
          <w:sz w:val="20"/>
          <w:szCs w:val="20"/>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ind w:left="340"/>
        <w:spacing w:after="0"/>
        <w:rPr>
          <w:sz w:val="20"/>
          <w:szCs w:val="20"/>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23" w:lineRule="exact"/>
        <w:rPr>
          <w:sz w:val="20"/>
          <w:szCs w:val="20"/>
          <w:color w:val="auto"/>
        </w:rPr>
      </w:pPr>
    </w:p>
    <w:p>
      <w:pPr>
        <w:ind w:left="340" w:right="120"/>
        <w:spacing w:after="0" w:line="279" w:lineRule="auto"/>
        <w:rPr>
          <w:sz w:val="20"/>
          <w:szCs w:val="20"/>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spacing w:after="0" w:line="282" w:lineRule="auto"/>
        <w:rPr>
          <w:sz w:val="20"/>
          <w:szCs w:val="20"/>
          <w:color w:val="auto"/>
        </w:rPr>
      </w:pPr>
      <w:r>
        <w:rPr>
          <w:rFonts w:ascii="Arial" w:cs="Arial" w:eastAsia="Arial" w:hAnsi="Arial"/>
          <w:sz w:val="17"/>
          <w:szCs w:val="17"/>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 Substantial future sales of our common stock could cause the market price of our common stock to decline; and</w:t>
      </w:r>
    </w:p>
    <w:p>
      <w:pPr>
        <w:ind w:right="360"/>
        <w:spacing w:after="0" w:line="292" w:lineRule="auto"/>
        <w:rPr>
          <w:sz w:val="20"/>
          <w:szCs w:val="20"/>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660" w:top="368"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September 30, 2021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tcPr>
          <w:p>
            <w:pPr>
              <w:spacing w:after="0"/>
              <w:rPr>
                <w:sz w:val="17"/>
                <w:szCs w:val="17"/>
                <w:color w:val="auto"/>
              </w:rPr>
            </w:pPr>
          </w:p>
        </w:tc>
      </w:tr>
      <w:tr>
        <w:trPr>
          <w:trHeight w:val="196"/>
        </w:trPr>
        <w:tc>
          <w:tcPr>
            <w:tcW w:w="7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267,042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73,525</w:t>
            </w: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32,466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23,920</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Related party accounts receivable</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19,635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tcPr>
          <w:p>
            <w:pPr>
              <w:spacing w:after="0"/>
              <w:rPr>
                <w:sz w:val="21"/>
                <w:szCs w:val="21"/>
                <w:color w:val="auto"/>
              </w:rPr>
            </w:pPr>
          </w:p>
        </w:tc>
      </w:tr>
      <w:tr>
        <w:trPr>
          <w:trHeight w:val="26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323,054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113,180</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31,346</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4,540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net</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100" w:type="dxa"/>
            <w:vAlign w:val="bottom"/>
            <w:shd w:val="clear" w:color="auto" w:fill="CFF0FC"/>
          </w:tcPr>
          <w:p>
            <w:pPr>
              <w:spacing w:after="0"/>
              <w:rPr>
                <w:sz w:val="22"/>
                <w:szCs w:val="22"/>
                <w:color w:val="auto"/>
              </w:rPr>
            </w:pPr>
          </w:p>
        </w:tc>
      </w:tr>
      <w:tr>
        <w:trPr>
          <w:trHeight w:val="257"/>
        </w:trPr>
        <w:tc>
          <w:tcPr>
            <w:tcW w:w="7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r>
      <w:tr>
        <w:trPr>
          <w:trHeight w:val="290"/>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367,443</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12,972</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1"/>
                <w:szCs w:val="21"/>
                <w:color w:val="auto"/>
              </w:rPr>
            </w:pPr>
          </w:p>
        </w:tc>
      </w:tr>
      <w:tr>
        <w:trPr>
          <w:trHeight w:val="26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33,436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100" w:type="dxa"/>
            <w:vAlign w:val="bottom"/>
            <w:shd w:val="clear" w:color="auto" w:fill="CFF0FC"/>
          </w:tcPr>
          <w:p>
            <w:pPr>
              <w:spacing w:after="0"/>
              <w:rPr>
                <w:sz w:val="22"/>
                <w:szCs w:val="22"/>
                <w:color w:val="auto"/>
              </w:rPr>
            </w:pPr>
          </w:p>
        </w:tc>
      </w:tr>
      <w:tr>
        <w:trPr>
          <w:trHeight w:val="257"/>
        </w:trPr>
        <w:tc>
          <w:tcPr>
            <w:tcW w:w="77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1,654</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700" w:type="dxa"/>
            <w:vAlign w:val="bottom"/>
          </w:tcPr>
          <w:p>
            <w:pPr>
              <w:ind w:left="200"/>
              <w:spacing w:after="0"/>
              <w:rPr>
                <w:sz w:val="20"/>
                <w:szCs w:val="20"/>
                <w:color w:val="auto"/>
              </w:rPr>
            </w:pPr>
            <w:r>
              <w:rPr>
                <w:rFonts w:ascii="Arial" w:cs="Arial" w:eastAsia="Arial" w:hAnsi="Arial"/>
                <w:sz w:val="18"/>
                <w:szCs w:val="18"/>
                <w:color w:val="auto"/>
              </w:rPr>
              <w:t>Common stock, $0.0001 par value - 200,000 shares authorized;</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700" w:type="dxa"/>
            <w:vAlign w:val="bottom"/>
          </w:tcPr>
          <w:p>
            <w:pPr>
              <w:ind w:left="340"/>
              <w:spacing w:after="0"/>
              <w:rPr>
                <w:sz w:val="20"/>
                <w:szCs w:val="20"/>
                <w:color w:val="auto"/>
              </w:rPr>
            </w:pPr>
            <w:r>
              <w:rPr>
                <w:rFonts w:ascii="Arial" w:cs="Arial" w:eastAsia="Arial" w:hAnsi="Arial"/>
                <w:sz w:val="18"/>
                <w:szCs w:val="18"/>
                <w:color w:val="auto"/>
              </w:rPr>
              <w:t>19,254 and 17,150 shares issued and outstanding at</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September 30, 2021 and December 31, 2020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376,973</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173,274</w:t>
            </w:r>
          </w:p>
        </w:tc>
        <w:tc>
          <w:tcPr>
            <w:tcW w:w="100" w:type="dxa"/>
            <w:vAlign w:val="bottom"/>
            <w:shd w:val="clear" w:color="auto" w:fill="CFF0FC"/>
          </w:tcPr>
          <w:p>
            <w:pPr>
              <w:spacing w:after="0"/>
              <w:rPr>
                <w:sz w:val="22"/>
                <w:szCs w:val="22"/>
                <w:color w:val="auto"/>
              </w:rPr>
            </w:pPr>
          </w:p>
        </w:tc>
      </w:tr>
      <w:tr>
        <w:trPr>
          <w:trHeight w:val="256"/>
        </w:trPr>
        <w:tc>
          <w:tcPr>
            <w:tcW w:w="77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(50,978 )</w:t>
            </w:r>
          </w:p>
        </w:tc>
        <w:tc>
          <w:tcPr>
            <w:tcW w:w="16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(63,396 )</w:t>
            </w:r>
          </w:p>
        </w:tc>
      </w:tr>
      <w:tr>
        <w:trPr>
          <w:trHeight w:val="250"/>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325,997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367,443</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136,011</w:t>
            </w:r>
          </w:p>
        </w:tc>
        <w:tc>
          <w:tcPr>
            <w:tcW w:w="100" w:type="dxa"/>
            <w:vAlign w:val="bottom"/>
          </w:tcPr>
          <w:p>
            <w:pPr>
              <w:spacing w:after="0"/>
              <w:rPr>
                <w:sz w:val="21"/>
                <w:szCs w:val="2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-3819525</wp:posOffset>
            </wp:positionV>
            <wp:extent cx="1797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-3819525</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-2828290</wp:posOffset>
            </wp:positionV>
            <wp:extent cx="1797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179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-2828290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-2811145</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-2148205</wp:posOffset>
            </wp:positionV>
            <wp:extent cx="1797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-2148205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-1479550</wp:posOffset>
            </wp:positionV>
            <wp:extent cx="1797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-1479550</wp:posOffset>
            </wp:positionV>
            <wp:extent cx="596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1797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32,667</w:t>
            </w:r>
          </w:p>
        </w:tc>
        <w:tc>
          <w:tcPr>
            <w:tcW w:w="4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143,067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w:t>
            </w:r>
          </w:p>
        </w:tc>
        <w:tc>
          <w:tcPr>
            <w:tcW w:w="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55,727</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16,902</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87,340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8,484</w:t>
            </w:r>
          </w:p>
        </w:tc>
        <w:tc>
          <w:tcPr>
            <w:tcW w:w="4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36,252</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8,978</w:t>
            </w:r>
          </w:p>
        </w:tc>
        <w:tc>
          <w:tcPr>
            <w:tcW w:w="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17,462</w:t>
            </w:r>
          </w:p>
        </w:tc>
        <w:tc>
          <w:tcPr>
            <w:tcW w:w="4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74,677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14,074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(560 )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(10,687 )</w:t>
            </w:r>
          </w:p>
        </w:tc>
        <w:tc>
          <w:tcPr>
            <w:tcW w:w="0" w:type="dxa"/>
            <w:vAlign w:val="bottom"/>
          </w:tcPr>
          <w:p>
            <w:pPr>
              <w:spacing w:after="0"/>
              <w:rPr>
                <w:sz w:val="1"/>
                <w:szCs w:val="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(110 )</w:t>
            </w:r>
          </w:p>
        </w:tc>
        <w:tc>
          <w:tcPr>
            <w:tcW w:w="14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(726 )</w:t>
            </w:r>
          </w:p>
        </w:tc>
        <w:tc>
          <w:tcPr>
            <w:tcW w:w="0" w:type="dxa"/>
            <w:vAlign w:val="bottom"/>
          </w:tcPr>
          <w:p>
            <w:pPr>
              <w:spacing w:after="0"/>
              <w:rPr>
                <w:sz w:val="1"/>
                <w:szCs w:val="1"/>
                <w:color w:val="auto"/>
              </w:rPr>
            </w:pPr>
          </w:p>
        </w:tc>
      </w:tr>
      <w:tr>
        <w:trPr>
          <w:trHeight w:val="256"/>
        </w:trPr>
        <w:tc>
          <w:tcPr>
            <w:tcW w:w="56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(110 )</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(178 )</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(667 )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(11,362 )</w:t>
            </w:r>
          </w:p>
        </w:tc>
        <w:tc>
          <w:tcPr>
            <w:tcW w:w="0" w:type="dxa"/>
            <w:vAlign w:val="bottom"/>
          </w:tcPr>
          <w:p>
            <w:pPr>
              <w:spacing w:after="0"/>
              <w:rPr>
                <w:sz w:val="1"/>
                <w:szCs w:val="1"/>
                <w:color w:val="auto"/>
              </w:rPr>
            </w:pP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2"/>
                <w:szCs w:val="22"/>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(67 )</w:t>
            </w:r>
          </w:p>
        </w:tc>
        <w:tc>
          <w:tcPr>
            <w:tcW w:w="2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(667 )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(11,363 )</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13,960</w:t>
            </w:r>
          </w:p>
        </w:tc>
        <w:tc>
          <w:tcPr>
            <w:tcW w:w="24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(667 )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12,418</w:t>
            </w:r>
          </w:p>
        </w:tc>
        <w:tc>
          <w:tcPr>
            <w:tcW w:w="220" w:type="dxa"/>
            <w:vAlign w:val="bottom"/>
          </w:tcPr>
          <w:p>
            <w:pPr>
              <w:spacing w:after="0"/>
              <w:rPr>
                <w:sz w:val="19"/>
                <w:szCs w:val="19"/>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(11,363 )</w:t>
            </w: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line="203" w:lineRule="exact"/>
              <w:rPr>
                <w:sz w:val="20"/>
                <w:szCs w:val="20"/>
                <w:color w:val="auto"/>
              </w:rPr>
            </w:pPr>
            <w:r>
              <w:rPr>
                <w:rFonts w:ascii="Arial" w:cs="Arial" w:eastAsia="Arial" w:hAnsi="Arial"/>
                <w:sz w:val="18"/>
                <w:szCs w:val="18"/>
                <w:color w:val="auto"/>
              </w:rPr>
              <w:t>comprehensive loss</w:t>
            </w: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attributable to common</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40" w:type="dxa"/>
            <w:vAlign w:val="bottom"/>
            <w:shd w:val="clear" w:color="auto" w:fill="CFF0FC"/>
          </w:tcPr>
          <w:p>
            <w:pPr>
              <w:spacing w:after="0"/>
              <w:rPr>
                <w:sz w:val="19"/>
                <w:szCs w:val="19"/>
                <w:color w:val="auto"/>
              </w:rPr>
            </w:pP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340"/>
              <w:spacing w:after="0"/>
              <w:rPr>
                <w:sz w:val="20"/>
                <w:szCs w:val="20"/>
                <w:color w:val="auto"/>
              </w:rPr>
            </w:pPr>
            <w:r>
              <w:rPr>
                <w:rFonts w:ascii="Arial" w:cs="Arial" w:eastAsia="Arial" w:hAnsi="Arial"/>
                <w:sz w:val="18"/>
                <w:szCs w:val="18"/>
                <w:color w:val="auto"/>
              </w:rPr>
              <w:t>(0.04 )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FF0FC"/>
          </w:tcPr>
          <w:p>
            <w:pPr>
              <w:spacing w:after="0"/>
              <w:rPr>
                <w:sz w:val="19"/>
                <w:szCs w:val="19"/>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(0.72 )</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 basic</w:t>
            </w:r>
          </w:p>
        </w:tc>
        <w:tc>
          <w:tcPr>
            <w:tcW w:w="14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(0.04 )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9"/>
                <w:szCs w:val="19"/>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(0.72 )</w:t>
            </w: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line="203" w:lineRule="exact"/>
              <w:rPr>
                <w:sz w:val="20"/>
                <w:szCs w:val="20"/>
                <w:color w:val="auto"/>
              </w:rPr>
            </w:pPr>
            <w:r>
              <w:rPr>
                <w:rFonts w:ascii="Arial" w:cs="Arial" w:eastAsia="Arial" w:hAnsi="Arial"/>
                <w:sz w:val="18"/>
                <w:szCs w:val="18"/>
                <w:color w:val="auto"/>
              </w:rPr>
              <w:t>stockholders, diluted</w:t>
            </w: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shares used to compute basic</w:t>
            </w:r>
          </w:p>
        </w:tc>
        <w:tc>
          <w:tcPr>
            <w:tcW w:w="14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19,149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16,818</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18,658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net income (loss) per share</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Weighted-average shares used to compute diluted</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21,252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16,818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20,770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line="203" w:lineRule="exact"/>
              <w:rPr>
                <w:sz w:val="20"/>
                <w:szCs w:val="20"/>
                <w:color w:val="auto"/>
              </w:rPr>
            </w:pPr>
            <w:r>
              <w:rPr>
                <w:rFonts w:ascii="Arial" w:cs="Arial" w:eastAsia="Arial" w:hAnsi="Arial"/>
                <w:sz w:val="18"/>
                <w:szCs w:val="18"/>
                <w:color w:val="auto"/>
              </w:rPr>
              <w:t>net income (loss) per share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-2567940</wp:posOffset>
            </wp:positionV>
            <wp:extent cx="1543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-2567940</wp:posOffset>
            </wp:positionV>
            <wp:extent cx="26606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-2567940</wp:posOffset>
            </wp:positionV>
            <wp:extent cx="1371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-2567940</wp:posOffset>
            </wp:positionV>
            <wp:extent cx="596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-1567815</wp:posOffset>
            </wp:positionV>
            <wp:extent cx="1543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-1550670</wp:posOffset>
            </wp:positionV>
            <wp:extent cx="154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-1567815</wp:posOffset>
            </wp:positionV>
            <wp:extent cx="266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-1550670</wp:posOffset>
            </wp:positionV>
            <wp:extent cx="266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-1567815</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-1550670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-1567815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-1550670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-951230</wp:posOffset>
            </wp:positionV>
            <wp:extent cx="154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154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-951230</wp:posOffset>
            </wp:positionV>
            <wp:extent cx="2660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-933450</wp:posOffset>
            </wp:positionV>
            <wp:extent cx="266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-951230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-933450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-951230</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-933450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-333375</wp:posOffset>
            </wp:positionV>
            <wp:extent cx="1543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-316865</wp:posOffset>
            </wp:positionV>
            <wp:extent cx="1543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-333375</wp:posOffset>
            </wp:positionV>
            <wp:extent cx="266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-316865</wp:posOffset>
            </wp:positionV>
            <wp:extent cx="2660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-333375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-316865</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-333375</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-316865</wp:posOffset>
            </wp:positionV>
            <wp:extent cx="59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5"/>
        </w:trPr>
        <w:tc>
          <w:tcPr>
            <w:tcW w:w="512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19,061</w:t>
            </w:r>
          </w:p>
        </w:tc>
        <w:tc>
          <w:tcPr>
            <w:tcW w:w="1040" w:type="dxa"/>
            <w:vAlign w:val="bottom"/>
            <w:gridSpan w:val="2"/>
            <w:shd w:val="clear" w:color="auto" w:fill="CFF0FC"/>
          </w:tcPr>
          <w:p>
            <w:pPr>
              <w:jc w:val="right"/>
              <w:ind w:right="634"/>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368,862</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(64,938 )</w:t>
            </w: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303,926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color w:val="auto"/>
              </w:rPr>
              <w:t>Issuance of shares upon vesting of restricted stock units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19,254</w:t>
            </w:r>
          </w:p>
        </w:tc>
        <w:tc>
          <w:tcPr>
            <w:tcW w:w="220" w:type="dxa"/>
            <w:vAlign w:val="bottom"/>
            <w:shd w:val="clear" w:color="auto" w:fill="CFF0FC"/>
          </w:tcPr>
          <w:p>
            <w:pPr>
              <w:spacing w:after="0"/>
              <w:rPr>
                <w:sz w:val="23"/>
                <w:szCs w:val="23"/>
                <w:color w:val="auto"/>
              </w:rPr>
            </w:pPr>
          </w:p>
        </w:tc>
        <w:tc>
          <w:tcPr>
            <w:tcW w:w="820" w:type="dxa"/>
            <w:vAlign w:val="bottom"/>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376,973</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(50,978 )</w:t>
            </w: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325,997</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060" w:type="dxa"/>
            <w:vAlign w:val="bottom"/>
          </w:tcPr>
          <w:p>
            <w:pPr>
              <w:jc w:val="right"/>
              <w:spacing w:after="0"/>
              <w:rPr>
                <w:sz w:val="20"/>
                <w:szCs w:val="20"/>
                <w:color w:val="auto"/>
              </w:rPr>
            </w:pPr>
            <w:r>
              <w:rPr>
                <w:rFonts w:ascii="Arial" w:cs="Arial" w:eastAsia="Arial" w:hAnsi="Arial"/>
                <w:sz w:val="18"/>
                <w:szCs w:val="18"/>
                <w:color w:val="auto"/>
              </w:rPr>
              <w:t>16,716</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164,287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(64,720 )</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(667 )</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Issuance of shares upon vesting of restricted stock units, net of tax</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2020</w:t>
            </w:r>
          </w:p>
        </w:tc>
        <w:tc>
          <w:tcPr>
            <w:tcW w:w="1060" w:type="dxa"/>
            <w:vAlign w:val="bottom"/>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tcPr>
          <w:p>
            <w:pPr>
              <w:spacing w:after="0"/>
              <w:rPr>
                <w:sz w:val="21"/>
                <w:szCs w:val="21"/>
                <w:color w:val="auto"/>
              </w:rPr>
            </w:pP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168,208</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(65,387 )</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102,823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17,150</w:t>
            </w:r>
          </w:p>
        </w:tc>
        <w:tc>
          <w:tcPr>
            <w:tcW w:w="1040" w:type="dxa"/>
            <w:vAlign w:val="bottom"/>
            <w:gridSpan w:val="2"/>
            <w:shd w:val="clear" w:color="auto" w:fill="CFF0FC"/>
          </w:tcPr>
          <w:p>
            <w:pPr>
              <w:jc w:val="right"/>
              <w:ind w:right="634"/>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173,274</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(63,396 )</w:t>
            </w: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109,880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120" w:type="dxa"/>
            <w:vAlign w:val="bottom"/>
          </w:tcPr>
          <w:p>
            <w:pPr>
              <w:ind w:left="20"/>
              <w:spacing w:after="0"/>
              <w:rPr>
                <w:sz w:val="20"/>
                <w:szCs w:val="20"/>
                <w:color w:val="auto"/>
              </w:rPr>
            </w:pPr>
            <w:r>
              <w:rPr>
                <w:rFonts w:ascii="Arial" w:cs="Arial" w:eastAsia="Arial" w:hAnsi="Arial"/>
                <w:sz w:val="18"/>
                <w:szCs w:val="18"/>
                <w:color w:val="auto"/>
              </w:rPr>
              <w:t>Issuance of common stock upon follow-on public offering net of</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w w:val="98"/>
              </w:rPr>
              <w:t>underwriting discounts and commissions and other offering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181,588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shares upon vesting of restricted stock units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060" w:type="dxa"/>
            <w:vAlign w:val="bottom"/>
          </w:tcPr>
          <w:p>
            <w:pPr>
              <w:jc w:val="right"/>
              <w:spacing w:after="0"/>
              <w:rPr>
                <w:sz w:val="20"/>
                <w:szCs w:val="20"/>
                <w:color w:val="auto"/>
              </w:rPr>
            </w:pPr>
            <w:r>
              <w:rPr>
                <w:rFonts w:ascii="Arial" w:cs="Arial" w:eastAsia="Arial" w:hAnsi="Arial"/>
                <w:sz w:val="18"/>
                <w:szCs w:val="18"/>
                <w:color w:val="auto"/>
              </w:rPr>
              <w:t>19,254</w:t>
            </w:r>
          </w:p>
        </w:tc>
        <w:tc>
          <w:tcPr>
            <w:tcW w:w="220" w:type="dxa"/>
            <w:vAlign w:val="bottom"/>
          </w:tcPr>
          <w:p>
            <w:pPr>
              <w:spacing w:after="0"/>
              <w:rPr>
                <w:sz w:val="21"/>
                <w:szCs w:val="21"/>
                <w:color w:val="auto"/>
              </w:rPr>
            </w:pP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376,973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(50,978 )</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325,997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116,162</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(54,024 )</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(11,363 )</w:t>
            </w:r>
          </w:p>
        </w:tc>
        <w:tc>
          <w:tcPr>
            <w:tcW w:w="2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(11,363 )</w:t>
            </w:r>
          </w:p>
        </w:tc>
        <w:tc>
          <w:tcPr>
            <w:tcW w:w="0" w:type="dxa"/>
            <w:vAlign w:val="bottom"/>
          </w:tcPr>
          <w:p>
            <w:pPr>
              <w:spacing w:after="0"/>
              <w:rPr>
                <w:sz w:val="1"/>
                <w:szCs w:val="1"/>
                <w:color w:val="auto"/>
              </w:rPr>
            </w:pPr>
          </w:p>
        </w:tc>
      </w:tr>
      <w:tr>
        <w:trPr>
          <w:trHeight w:val="242"/>
        </w:trPr>
        <w:tc>
          <w:tcPr>
            <w:tcW w:w="5120" w:type="dxa"/>
            <w:vAlign w:val="bottom"/>
          </w:tcPr>
          <w:p>
            <w:pPr>
              <w:ind w:left="20"/>
              <w:spacing w:after="0"/>
              <w:rPr>
                <w:sz w:val="20"/>
                <w:szCs w:val="20"/>
                <w:color w:val="auto"/>
              </w:rPr>
            </w:pPr>
            <w:r>
              <w:rPr>
                <w:rFonts w:ascii="Arial" w:cs="Arial" w:eastAsia="Arial" w:hAnsi="Arial"/>
                <w:sz w:val="18"/>
                <w:szCs w:val="18"/>
                <w:color w:val="auto"/>
              </w:rPr>
              <w:t>Issuance of common stock upon follow-on public offering net of</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w w:val="98"/>
              </w:rPr>
              <w:t>underwriting discounts and commissions and other offering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Issuance of shares upon vesting of restricted stock units, net of tax</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(3,492 )</w:t>
            </w:r>
          </w:p>
        </w:tc>
        <w:tc>
          <w:tcPr>
            <w:tcW w:w="100" w:type="dxa"/>
            <w:vAlign w:val="bottom"/>
            <w:shd w:val="clear" w:color="auto" w:fill="CFF0FC"/>
          </w:tcPr>
          <w:p>
            <w:pPr>
              <w:spacing w:after="0"/>
              <w:rPr>
                <w:sz w:val="21"/>
                <w:szCs w:val="21"/>
                <w:color w:val="auto"/>
              </w:rPr>
            </w:pP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(3,492 )</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2020</w:t>
            </w:r>
          </w:p>
        </w:tc>
        <w:tc>
          <w:tcPr>
            <w:tcW w:w="1060" w:type="dxa"/>
            <w:vAlign w:val="bottom"/>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tcPr>
          <w:p>
            <w:pPr>
              <w:spacing w:after="0"/>
              <w:rPr>
                <w:sz w:val="21"/>
                <w:szCs w:val="21"/>
                <w:color w:val="auto"/>
              </w:rPr>
            </w:pP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168,208</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(65,387 )</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102,823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-3950970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-3933825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-3950970</wp:posOffset>
            </wp:positionV>
            <wp:extent cx="128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-3933825</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-3950970</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-3933825</wp:posOffset>
            </wp:positionV>
            <wp:extent cx="128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-3950970</wp:posOffset>
            </wp:positionV>
            <wp:extent cx="128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-3933825</wp:posOffset>
            </wp:positionV>
            <wp:extent cx="128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-3950970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-3933825</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-2971165</wp:posOffset>
            </wp:positionV>
            <wp:extent cx="1371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-2971165</wp:posOffset>
            </wp:positionV>
            <wp:extent cx="1289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-2971165</wp:posOffset>
            </wp:positionV>
            <wp:extent cx="1289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-2971165</wp:posOffset>
            </wp:positionV>
            <wp:extent cx="1282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-2971165</wp:posOffset>
            </wp:positionV>
            <wp:extent cx="5969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-1651000</wp:posOffset>
            </wp:positionV>
            <wp:extent cx="1371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-1651000</wp:posOffset>
            </wp:positionV>
            <wp:extent cx="12890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-1651000</wp:posOffset>
            </wp:positionV>
            <wp:extent cx="1289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-1651000</wp:posOffset>
            </wp:positionV>
            <wp:extent cx="12827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-1651000</wp:posOffset>
            </wp:positionV>
            <wp:extent cx="5969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-193675</wp:posOffset>
            </wp:positionV>
            <wp:extent cx="1371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-193675</wp:posOffset>
            </wp:positionV>
            <wp:extent cx="12890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-193675</wp:posOffset>
            </wp:positionV>
            <wp:extent cx="12890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-193675</wp:posOffset>
            </wp:positionV>
            <wp:extent cx="12827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7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12,418</w:t>
            </w:r>
          </w:p>
        </w:tc>
        <w:tc>
          <w:tcPr>
            <w:tcW w:w="260" w:type="dxa"/>
            <w:vAlign w:val="bottom"/>
          </w:tcPr>
          <w:p>
            <w:pPr>
              <w:spacing w:after="0"/>
              <w:rPr>
                <w:sz w:val="19"/>
                <w:szCs w:val="19"/>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(11,363 )</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provided by</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77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380"/>
              <w:spacing w:after="0"/>
              <w:rPr>
                <w:sz w:val="20"/>
                <w:szCs w:val="20"/>
                <w:color w:val="auto"/>
              </w:rPr>
            </w:pPr>
            <w:r>
              <w:rPr>
                <w:rFonts w:ascii="Arial" w:cs="Arial" w:eastAsia="Arial" w:hAnsi="Arial"/>
                <w:sz w:val="16"/>
                <w:szCs w:val="16"/>
                <w:color w:val="auto"/>
              </w:rPr>
              <w:t>Depreciation and amortization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5,554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4,966</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21,537</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10,129</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380"/>
              <w:spacing w:after="0"/>
              <w:rPr>
                <w:sz w:val="20"/>
                <w:szCs w:val="20"/>
                <w:color w:val="auto"/>
              </w:rPr>
            </w:pPr>
            <w:r>
              <w:rPr>
                <w:rFonts w:ascii="Arial" w:cs="Arial" w:eastAsia="Arial" w:hAnsi="Arial"/>
                <w:sz w:val="16"/>
                <w:szCs w:val="16"/>
                <w:color w:val="auto"/>
              </w:rPr>
              <w:t>Impairment of internal-use software</w:t>
            </w:r>
          </w:p>
        </w:tc>
        <w:tc>
          <w:tcPr>
            <w:tcW w:w="10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Changes in assets and liabilities: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560"/>
              <w:spacing w:after="0"/>
              <w:rPr>
                <w:sz w:val="20"/>
                <w:szCs w:val="20"/>
                <w:color w:val="auto"/>
              </w:rPr>
            </w:pPr>
            <w:r>
              <w:rPr>
                <w:rFonts w:ascii="Arial" w:cs="Arial" w:eastAsia="Arial" w:hAnsi="Arial"/>
                <w:sz w:val="16"/>
                <w:szCs w:val="16"/>
                <w:color w:val="auto"/>
              </w:rPr>
              <w:t>Accounts receivable, net</w:t>
            </w:r>
          </w:p>
        </w:tc>
        <w:tc>
          <w:tcPr>
            <w:tcW w:w="10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(8,546 )</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Related party accounts receivable</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560"/>
              <w:spacing w:after="0"/>
              <w:rPr>
                <w:sz w:val="20"/>
                <w:szCs w:val="20"/>
                <w:color w:val="auto"/>
              </w:rPr>
            </w:pPr>
            <w:r>
              <w:rPr>
                <w:rFonts w:ascii="Arial" w:cs="Arial" w:eastAsia="Arial" w:hAnsi="Arial"/>
                <w:sz w:val="16"/>
                <w:szCs w:val="16"/>
                <w:color w:val="auto"/>
              </w:rPr>
              <w:t>Inventories</w:t>
            </w:r>
          </w:p>
        </w:tc>
        <w:tc>
          <w:tcPr>
            <w:tcW w:w="10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(7,284 )</w:t>
            </w:r>
          </w:p>
        </w:tc>
        <w:tc>
          <w:tcPr>
            <w:tcW w:w="10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(3,481 )</w:t>
            </w:r>
          </w:p>
        </w:tc>
      </w:tr>
      <w:tr>
        <w:trPr>
          <w:trHeight w:val="239"/>
        </w:trPr>
        <w:tc>
          <w:tcPr>
            <w:tcW w:w="77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(1,257 )</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3,204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expenses and other liabilities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9,012</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560"/>
              <w:spacing w:after="0"/>
              <w:rPr>
                <w:sz w:val="20"/>
                <w:szCs w:val="20"/>
                <w:color w:val="auto"/>
              </w:rPr>
            </w:pPr>
            <w:r>
              <w:rPr>
                <w:rFonts w:ascii="Arial" w:cs="Arial" w:eastAsia="Arial" w:hAnsi="Arial"/>
                <w:sz w:val="16"/>
                <w:szCs w:val="16"/>
                <w:color w:val="auto"/>
              </w:rPr>
              <w:t>Lease liabilities</w:t>
            </w:r>
          </w:p>
        </w:tc>
        <w:tc>
          <w:tcPr>
            <w:tcW w:w="10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(691 )</w:t>
            </w:r>
          </w:p>
        </w:tc>
      </w:tr>
      <w:tr>
        <w:trPr>
          <w:trHeight w:val="236"/>
        </w:trPr>
        <w:tc>
          <w:tcPr>
            <w:tcW w:w="77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assets and liabilities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(956 )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7700" w:type="dxa"/>
            <w:vAlign w:val="bottom"/>
            <w:tcBorders>
              <w:top w:val="single" w:sz="8" w:color="CFF0FC"/>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34,413</w:t>
            </w:r>
          </w:p>
        </w:tc>
        <w:tc>
          <w:tcPr>
            <w:tcW w:w="260" w:type="dxa"/>
            <w:vAlign w:val="bottom"/>
            <w:tcBorders>
              <w:top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9,842</w:t>
            </w:r>
          </w:p>
        </w:tc>
        <w:tc>
          <w:tcPr>
            <w:tcW w:w="100" w:type="dxa"/>
            <w:vAlign w:val="bottom"/>
            <w:tcBorders>
              <w:top w:val="single" w:sz="8" w:color="CFF0FC"/>
            </w:tcBorders>
          </w:tcPr>
          <w:p>
            <w:pPr>
              <w:spacing w:after="0"/>
              <w:rPr>
                <w:sz w:val="19"/>
                <w:szCs w:val="19"/>
                <w:color w:val="auto"/>
              </w:rPr>
            </w:pPr>
          </w:p>
        </w:tc>
      </w:tr>
      <w:tr>
        <w:trPr>
          <w:trHeight w:val="226"/>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Purchase of property and equipment</w:t>
            </w:r>
          </w:p>
        </w:tc>
        <w:tc>
          <w:tcPr>
            <w:tcW w:w="10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(20,067 )</w:t>
            </w:r>
          </w:p>
        </w:tc>
        <w:tc>
          <w:tcPr>
            <w:tcW w:w="10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(3,912 )</w:t>
            </w:r>
          </w:p>
        </w:tc>
      </w:tr>
      <w:tr>
        <w:trPr>
          <w:trHeight w:val="236"/>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intangibles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(2,417 )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(1,437 )</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0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(22,484 )</w:t>
            </w:r>
          </w:p>
        </w:tc>
        <w:tc>
          <w:tcPr>
            <w:tcW w:w="10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(5,349 )</w:t>
            </w:r>
          </w:p>
        </w:tc>
      </w:tr>
      <w:tr>
        <w:trPr>
          <w:trHeight w:val="226"/>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7700" w:type="dxa"/>
            <w:vAlign w:val="bottom"/>
          </w:tcPr>
          <w:p>
            <w:pPr>
              <w:ind w:left="200"/>
              <w:spacing w:after="0"/>
              <w:rPr>
                <w:sz w:val="20"/>
                <w:szCs w:val="20"/>
                <w:color w:val="auto"/>
              </w:rPr>
            </w:pPr>
            <w:r>
              <w:rPr>
                <w:rFonts w:ascii="Arial" w:cs="Arial" w:eastAsia="Arial" w:hAnsi="Arial"/>
                <w:sz w:val="16"/>
                <w:szCs w:val="16"/>
                <w:color w:val="auto"/>
              </w:rPr>
              <w:t>Proceeds from public offering, net of underwriting</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6"/>
                <w:szCs w:val="16"/>
                <w:color w:val="auto"/>
              </w:rPr>
              <w:t>discounts and commissions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181,928</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46,116</w:t>
            </w: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for offering costs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(340 )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(327 )</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Tax withholding paid on behalf of employees for net share settlement</w:t>
            </w:r>
          </w:p>
        </w:tc>
        <w:tc>
          <w:tcPr>
            <w:tcW w:w="10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(3,492 )</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loans from financial institutions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Arial" w:cs="Arial" w:eastAsia="Arial" w:hAnsi="Arial"/>
                <w:sz w:val="16"/>
                <w:szCs w:val="16"/>
                <w:color w:val="auto"/>
              </w:rPr>
              <w:t>Principal payments on loans to financial institutions</w:t>
            </w:r>
          </w:p>
        </w:tc>
        <w:tc>
          <w:tcPr>
            <w:tcW w:w="10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(76,000 )</w:t>
            </w:r>
          </w:p>
        </w:tc>
      </w:tr>
      <w:tr>
        <w:trPr>
          <w:trHeight w:val="223"/>
        </w:trPr>
        <w:tc>
          <w:tcPr>
            <w:tcW w:w="77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181,588</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00" w:type="dxa"/>
            <w:vAlign w:val="bottom"/>
          </w:tcPr>
          <w:p>
            <w:pPr>
              <w:ind w:left="740"/>
              <w:spacing w:after="0"/>
              <w:rPr>
                <w:sz w:val="20"/>
                <w:szCs w:val="20"/>
                <w:color w:val="auto"/>
              </w:rPr>
            </w:pPr>
            <w:r>
              <w:rPr>
                <w:rFonts w:ascii="Arial" w:cs="Arial" w:eastAsia="Arial" w:hAnsi="Arial"/>
                <w:sz w:val="16"/>
                <w:szCs w:val="16"/>
                <w:color w:val="auto"/>
              </w:rPr>
              <w:t>Net increase in cash and cash equivalents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193,517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5,790</w:t>
            </w: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Arial" w:cs="Arial" w:eastAsia="Arial" w:hAnsi="Arial"/>
                <w:sz w:val="16"/>
                <w:szCs w:val="16"/>
                <w:color w:val="auto"/>
              </w:rPr>
              <w:t>Beginning of period</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73,525</w:t>
            </w:r>
          </w:p>
        </w:tc>
        <w:tc>
          <w:tcPr>
            <w:tcW w:w="2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63,418</w:t>
            </w:r>
          </w:p>
        </w:tc>
        <w:tc>
          <w:tcPr>
            <w:tcW w:w="100" w:type="dxa"/>
            <w:vAlign w:val="bottom"/>
          </w:tcPr>
          <w:p>
            <w:pPr>
              <w:spacing w:after="0"/>
              <w:rPr>
                <w:sz w:val="19"/>
                <w:szCs w:val="19"/>
                <w:color w:val="auto"/>
              </w:rPr>
            </w:pPr>
          </w:p>
        </w:tc>
      </w:tr>
      <w:tr>
        <w:trPr>
          <w:trHeight w:val="26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End of period</w:t>
            </w:r>
          </w:p>
        </w:tc>
        <w:tc>
          <w:tcPr>
            <w:tcW w:w="1000" w:type="dxa"/>
            <w:vAlign w:val="bottom"/>
            <w:tcBorders>
              <w:bottom w:val="single" w:sz="8" w:color="auto"/>
            </w:tcBorders>
            <w:shd w:val="clear" w:color="auto" w:fill="CFF0FC"/>
          </w:tcPr>
          <w:p>
            <w:pPr>
              <w:jc w:val="right"/>
              <w:ind w:right="82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267,042</w:t>
            </w:r>
          </w:p>
        </w:tc>
        <w:tc>
          <w:tcPr>
            <w:tcW w:w="2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69,208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paid during the period</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Income taxes paid</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flow information</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Unpaid property and equipment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3,928</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Unpaid intangibles, net</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10"/>
        </w:trPr>
        <w:tc>
          <w:tcPr>
            <w:tcW w:w="7700" w:type="dxa"/>
            <w:vAlign w:val="bottom"/>
          </w:tcPr>
          <w:p>
            <w:pPr>
              <w:ind w:left="200"/>
              <w:spacing w:after="0"/>
              <w:rPr>
                <w:sz w:val="20"/>
                <w:szCs w:val="20"/>
                <w:color w:val="auto"/>
              </w:rPr>
            </w:pPr>
            <w:r>
              <w:rPr>
                <w:rFonts w:ascii="Arial" w:cs="Arial" w:eastAsia="Arial" w:hAnsi="Arial"/>
                <w:sz w:val="16"/>
                <w:szCs w:val="16"/>
                <w:color w:val="auto"/>
              </w:rPr>
              <w:t>Right-of-use assets acquired under operating leases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529</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-3550285</wp:posOffset>
            </wp:positionV>
            <wp:extent cx="16319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-3550285</wp:posOffset>
            </wp:positionV>
            <wp:extent cx="5969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-2950210</wp:posOffset>
            </wp:positionV>
            <wp:extent cx="16319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-2950210</wp:posOffset>
            </wp:positionV>
            <wp:extent cx="5969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-1630045</wp:posOffset>
            </wp:positionV>
            <wp:extent cx="1631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-1630045</wp:posOffset>
            </wp:positionV>
            <wp:extent cx="5969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-1032510</wp:posOffset>
            </wp:positionV>
            <wp:extent cx="163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-1015365</wp:posOffset>
            </wp:positionV>
            <wp:extent cx="1631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-1032510</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-1015365</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3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2020. The year-end condensed balance sheet data was derived from audited financial statements, but does not include all disclosures required by GAAP.</w:t>
      </w:r>
    </w:p>
    <w:p>
      <w:pPr>
        <w:spacing w:after="0" w:line="8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 Company was a wholly-owned subsidiary of MegaChips Corporation (“MegaChips”), a fabless semiconductor company based in Japan and traded on the Tokyo Stock Exchange, until the Company completed its initial public offering in November 2019.</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On June 16, 2020, the Company completed a follow-on public offering, in which it issued and sold 1,525,000 shares of its common stock and MegaChips sold 2,500,000 of the Company’s common stock held by them, resulting in net proceeds to the Company of $45.8 million after deducting underwriting discounts and commissions of $2.7 million and deferred offering costs of $0.3 million.</w:t>
      </w:r>
    </w:p>
    <w:p>
      <w:pPr>
        <w:spacing w:after="0" w:line="75"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On February 22, 2021, the Company completed an additional follow-on public offering, in which it issued and sold 1,500,000 shares of its common stock and MegaChips sold 1,500,000 of the Company’s common stock held by them, resulting in net proceeds to the Company of $181.6 million after deducting underwriting discounts and commissions of $8.6 million and deferred offering costs of $0.3 million.</w:t>
      </w:r>
    </w:p>
    <w:p>
      <w:pPr>
        <w:spacing w:after="0" w:line="7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MegaChips remains the largest stockholder of the Company and held approximately 31.2% of the Company’s outstanding common stock as of September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13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the Company relies upon for manufacturing, assembly, testing, shipping and other operations.</w:t>
      </w:r>
    </w:p>
    <w:p>
      <w:pPr>
        <w:spacing w:after="0" w:line="5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global health crisis caused by the COVID-19 pandemic has negatively impacted business activity across the globe and has impacted the Company's employees and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including the future effects of the COVID-19 pandemic on its employees, customers, suppliers, results of operations, financial condition, or liquidity for the remainder of fiscal year 2021 and beyond. To date, we have experienced minimal impact from any supplier disruption resulting from COVID-19.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3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35"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The Company’s significant accounting policies are disclosed in the Company’s audited consolidated financial statements and related notes thereto included in the Annual Report on Form 10-K for the year ended December 31, 2020. There had been no changes to these accounting policies except for the recently adopted accounting guidance and non-recurring engineering services as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engineering services</w:t>
      </w:r>
    </w:p>
    <w:p>
      <w:pPr>
        <w:spacing w:after="0" w:line="13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Company has certain contracts to provide non-recurring engineering (NRE) services for research and development arrangements, including cost sharing arrangements, which do not meet the requirement to be accounted for under ASC 606, Revenue from Contracts with Customers. The Company recognizes the advanced payments received from the counterparty as liabilities and recognizes them as an offset to research and development expense as progress toward completion occurs using an input method based on the ratio of costs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right="120"/>
        <w:spacing w:after="0" w:line="271" w:lineRule="auto"/>
        <w:rPr>
          <w:sz w:val="20"/>
          <w:szCs w:val="20"/>
          <w:color w:val="auto"/>
        </w:rPr>
      </w:pPr>
      <w:r>
        <w:rPr>
          <w:rFonts w:ascii="Arial" w:cs="Arial" w:eastAsia="Arial" w:hAnsi="Arial"/>
          <w:sz w:val="18"/>
          <w:szCs w:val="18"/>
          <w:color w:val="auto"/>
        </w:rPr>
        <w:t>incurred to date to total estimated costs of the project. Significant judgment is required to estimate the remaining effort to complete the project. These estimates are reassessed throughout the term of the arrangement. A liability of $3.9 million and $0.7 million was recorded as accrued expenses and other current liabilities, and other non-current liabilities, respectively, in the condensed consolidated balance sheet as of September 30, 2021. For the three and nine months ended September 30, 2021, the Company recorded $0.9 million and $1.0 million, respectively, as a reduction of research and development expenses in the condensed consolidated statement of operations. There were no reduction of research and development expenses recorded during the three and nine months ended September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3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In December 2019, the Financial Accounting Standard Board (“FASB”) issued Accounting Standard Update (“ASU”) 2019-12, Income Taxes (Topic 740): Simplifying the Accounting for Income Taxes,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adoption of this standard on January 1, 2021 did not have any material impact on the Company’s consolidated financial position, results of operations or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are no new accounting pronouncements that are pending to be adopted by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computation of basic and diluted net loss (income) per share attributable to common stockholders of the Company: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(11,363 )</w:t>
            </w:r>
          </w:p>
        </w:tc>
        <w:tc>
          <w:tcPr>
            <w:tcW w:w="0" w:type="dxa"/>
            <w:vAlign w:val="bottom"/>
          </w:tcPr>
          <w:p>
            <w:pPr>
              <w:spacing w:after="0"/>
              <w:rPr>
                <w:sz w:val="1"/>
                <w:szCs w:val="1"/>
                <w:color w:val="auto"/>
              </w:rPr>
            </w:pPr>
          </w:p>
        </w:tc>
      </w:tr>
      <w:tr>
        <w:trPr>
          <w:trHeight w:val="230"/>
        </w:trPr>
        <w:tc>
          <w:tcPr>
            <w:tcW w:w="5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Weighted average shares used to compute basic net income (loss) per</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Weighted average shares used to compute diluted net income (loss) per</w:t>
            </w:r>
          </w:p>
        </w:tc>
        <w:tc>
          <w:tcPr>
            <w:tcW w:w="1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21,252</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16,818</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20,770</w:t>
            </w: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share</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w w:val="94"/>
              </w:rPr>
              <w:t>Net income (loss) attributable to common stockholders per share,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(0.72 )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Net income (loss) attributable to common stockholders per share,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(0.72 )</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-1353820</wp:posOffset>
            </wp:positionV>
            <wp:extent cx="154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-1336675</wp:posOffset>
            </wp:positionV>
            <wp:extent cx="1543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-1353820</wp:posOffset>
            </wp:positionV>
            <wp:extent cx="1631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-1336675</wp:posOffset>
            </wp:positionV>
            <wp:extent cx="1631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-1353820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-1336675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-402590</wp:posOffset>
            </wp:positionV>
            <wp:extent cx="1543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-385445</wp:posOffset>
            </wp:positionV>
            <wp:extent cx="1543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-402590</wp:posOffset>
            </wp:positionV>
            <wp:extent cx="1631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-385445</wp:posOffset>
            </wp:positionV>
            <wp:extent cx="1631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-402590</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-385445</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154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1631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163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Potential dilutive securities include dilutive common shares from share-based awards attributable to the assumed exercise of restricted stock units using the treasury stock method. Under the treasury stock method, potential common shares outstanding are not included in the computation of diluted net income per share if their effect is anti-dilutive.</w:t>
      </w:r>
    </w:p>
    <w:p>
      <w:pPr>
        <w:spacing w:after="0" w:line="37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and nine months ended September 30, 2021, the Company had no potential shares and 5,350 potential shares from share-based awards that are anti-dilutive, respectively. During the three and nine months ended September 30, 2020, the Company had 2,835,076 and 2,902,824 potential shares from share-based awards that are anti-dilutive, respectively. Anti-dilutive potential shares from share-based awards are excluded from the calculation of diluted loss per share for the three and nine months ended September 30, 2020 due to the net losses reported in these periods.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and other current liabilities, approximate their fair values due to their short maturities.</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On September 30, 2021 and December 31, 2020, cash balances in bank checking and savings accounts of $66.9 million and $18.4 million, respectively, were valued using Level 1 of the fair value hierarchy. On September 30, 2021 and December 31, 2020, highly liquid money market funds of $200.2 million and $55.1 million, respectively, were valued using Level 1 of the fair value hierarchy, quoted prices in active markets for identical assets, and are included in cash equivalents.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1417"/>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 2021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6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gross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32,516</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(50 )</w:t>
            </w:r>
          </w:p>
        </w:tc>
        <w:tc>
          <w:tcPr>
            <w:tcW w:w="180" w:type="dxa"/>
            <w:vAlign w:val="bottom"/>
          </w:tcPr>
          <w:p>
            <w:pPr>
              <w:spacing w:after="0"/>
              <w:rPr>
                <w:sz w:val="21"/>
                <w:szCs w:val="2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32,466</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4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4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1417"/>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 2021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6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14,306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19,635</w:t>
            </w:r>
          </w:p>
        </w:tc>
        <w:tc>
          <w:tcPr>
            <w:tcW w:w="3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4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1417"/>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 2021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6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Advance to suppliers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2,409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3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4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1417"/>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 2021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6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 and manufacturing equipment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43,389</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1,693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51,278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28,088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(19,932 )</w:t>
            </w:r>
          </w:p>
        </w:tc>
        <w:tc>
          <w:tcPr>
            <w:tcW w:w="18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(16,380 )</w:t>
            </w:r>
          </w:p>
        </w:tc>
        <w:tc>
          <w:tcPr>
            <w:tcW w:w="0" w:type="dxa"/>
            <w:vAlign w:val="bottom"/>
          </w:tcPr>
          <w:p>
            <w:pPr>
              <w:spacing w:after="0"/>
              <w:rPr>
                <w:sz w:val="1"/>
                <w:szCs w:val="1"/>
                <w:color w:val="auto"/>
              </w:rPr>
            </w:pPr>
          </w:p>
        </w:tc>
      </w:tr>
      <w:tr>
        <w:trPr>
          <w:trHeight w:val="256"/>
        </w:trPr>
        <w:tc>
          <w:tcPr>
            <w:tcW w:w="7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31,346</w:t>
            </w:r>
          </w:p>
        </w:tc>
        <w:tc>
          <w:tcPr>
            <w:tcW w:w="300" w:type="dxa"/>
            <w:vAlign w:val="bottom"/>
            <w:tcBorders>
              <w:top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11,708</w:t>
            </w: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-5811520</wp:posOffset>
            </wp:positionV>
            <wp:extent cx="1803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-5794375</wp:posOffset>
            </wp:positionV>
            <wp:extent cx="1803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-5811520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-5794375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-4282440</wp:posOffset>
            </wp:positionV>
            <wp:extent cx="1803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-4282440</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-2567940</wp:posOffset>
            </wp:positionV>
            <wp:extent cx="1803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-527685</wp:posOffset>
            </wp:positionV>
            <wp:extent cx="1803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-193675</wp:posOffset>
            </wp:positionV>
            <wp:extent cx="1803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Depreciation expense related to property and equipment was $0.7 million, $1.9 million, $1.0 million, and $2.7 million for the three and nine months ended September 30, 2021 and 2020, respectively.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Intangible Assets,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2"/>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17"/>
              <w:spacing w:after="0"/>
              <w:rPr>
                <w:sz w:val="20"/>
                <w:szCs w:val="20"/>
                <w:color w:val="auto"/>
              </w:rPr>
            </w:pPr>
            <w:r>
              <w:rPr>
                <w:rFonts w:ascii="Arial" w:cs="Arial" w:eastAsia="Arial" w:hAnsi="Arial"/>
                <w:sz w:val="14"/>
                <w:szCs w:val="14"/>
                <w:b w:val="1"/>
                <w:bCs w:val="1"/>
                <w:color w:val="auto"/>
                <w:w w:val="88"/>
              </w:rPr>
              <w:t>Gross Assets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6"/>
                <w:szCs w:val="16"/>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Gross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Net Assets</w:t>
            </w:r>
          </w:p>
        </w:tc>
        <w:tc>
          <w:tcPr>
            <w:tcW w:w="60" w:type="dxa"/>
            <w:vAlign w:val="bottom"/>
          </w:tcPr>
          <w:p>
            <w:pPr>
              <w:spacing w:after="0"/>
              <w:rPr>
                <w:sz w:val="16"/>
                <w:szCs w:val="16"/>
                <w:color w:val="auto"/>
              </w:rPr>
            </w:pPr>
          </w:p>
        </w:tc>
      </w:tr>
      <w:tr>
        <w:trPr>
          <w:trHeight w:val="263"/>
        </w:trPr>
        <w:tc>
          <w:tcPr>
            <w:tcW w:w="3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20" w:type="dxa"/>
            <w:vAlign w:val="bottom"/>
            <w:gridSpan w:val="6"/>
          </w:tcPr>
          <w:p>
            <w:pPr>
              <w:ind w:left="6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 use software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(8,681 )</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Borders>
              <w:lef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(8,312 )</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60" w:type="dxa"/>
            <w:vAlign w:val="bottom"/>
            <w:shd w:val="clear" w:color="auto" w:fill="CFF0FC"/>
          </w:tcPr>
          <w:p>
            <w:pPr>
              <w:spacing w:after="0"/>
              <w:rPr>
                <w:sz w:val="22"/>
                <w:szCs w:val="22"/>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Purchased intangibles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9,652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(5,865 )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(4,659 )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21"/>
                <w:szCs w:val="2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19,086</w:t>
            </w: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(14,546 )</w:t>
            </w:r>
          </w:p>
        </w:tc>
        <w:tc>
          <w:tcPr>
            <w:tcW w:w="120" w:type="dxa"/>
            <w:vAlign w:val="bottom"/>
            <w:shd w:val="clear" w:color="auto" w:fill="CCEEFF"/>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w:t>
            </w:r>
          </w:p>
        </w:tc>
        <w:tc>
          <w:tcPr>
            <w:tcW w:w="160" w:type="dxa"/>
            <w:vAlign w:val="bottom"/>
            <w:tcBorders>
              <w:left w:val="single" w:sz="8" w:color="CFF0FC"/>
            </w:tcBorders>
            <w:shd w:val="clear" w:color="auto" w:fill="CCEEFF"/>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w:t>
            </w:r>
          </w:p>
        </w:tc>
        <w:tc>
          <w:tcPr>
            <w:tcW w:w="80" w:type="dxa"/>
            <w:vAlign w:val="bottom"/>
            <w:shd w:val="clear" w:color="auto" w:fill="CFF0FC"/>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(12,971 )</w:t>
            </w:r>
          </w:p>
        </w:tc>
        <w:tc>
          <w:tcPr>
            <w:tcW w:w="100" w:type="dxa"/>
            <w:vAlign w:val="bottom"/>
            <w:shd w:val="clear" w:color="auto" w:fill="CCEEFF"/>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60" w:type="dxa"/>
            <w:vAlign w:val="bottom"/>
            <w:shd w:val="clear" w:color="auto" w:fill="CFF0FC"/>
          </w:tcPr>
          <w:p>
            <w:pPr>
              <w:spacing w:after="0"/>
              <w:rPr>
                <w:sz w:val="24"/>
                <w:szCs w:val="24"/>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FF0FC"/>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-25400</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wp:posOffset>
            </wp:positionV>
            <wp:extent cx="128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1454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145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1282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1282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Amortization expense for intangible assets was $0.5 million, $1.6 million, $0.3 million, and $2.3 million for the three and nine months ended September 30, 2021 and 2020, respectively. In the three and nine months ended September 30, 2020, the Company recorded impairment charges of $0.8 million and $1.0 million related to cost of software that was in process of development for internal use.</w:t>
      </w:r>
    </w:p>
    <w:p>
      <w:pPr>
        <w:spacing w:after="0" w:line="7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As of September 30, 2021, the Company had $0.8 million of intangibles that were still in development stage and were not being amortized, and anticipates the amortization to begin in 2022. The estimated aggregate future amortization expense for intangible assets in development stage and subject to amortization as of September 30, 2021 is summarized as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66"/>
        </w:trPr>
        <w:tc>
          <w:tcPr>
            <w:tcW w:w="6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(remainder)</w:t>
            </w:r>
          </w:p>
        </w:tc>
        <w:tc>
          <w:tcPr>
            <w:tcW w:w="28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2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 and beyond</w:t>
            </w:r>
          </w:p>
        </w:tc>
        <w:tc>
          <w:tcPr>
            <w:tcW w:w="280" w:type="dxa"/>
            <w:vAlign w:val="bottom"/>
            <w:tcBorders>
              <w:bottom w:val="single" w:sz="8" w:color="CFF0FC"/>
            </w:tcBorders>
            <w:shd w:val="clear" w:color="auto" w:fill="CFF0FC"/>
          </w:tcPr>
          <w:p>
            <w:pPr>
              <w:spacing w:after="0"/>
              <w:rPr>
                <w:sz w:val="22"/>
                <w:szCs w:val="22"/>
                <w:color w:val="auto"/>
              </w:rPr>
            </w:pPr>
          </w:p>
        </w:tc>
        <w:tc>
          <w:tcPr>
            <w:tcW w:w="18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4,540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7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6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178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6"/>
              </w:rPr>
              <w:t>December 31, 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5,793</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5,362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20" w:type="dxa"/>
            <w:vAlign w:val="bottom"/>
          </w:tcPr>
          <w:p>
            <w:pPr>
              <w:ind w:left="20"/>
              <w:spacing w:after="0"/>
              <w:rPr>
                <w:sz w:val="20"/>
                <w:szCs w:val="20"/>
                <w:color w:val="auto"/>
              </w:rPr>
            </w:pPr>
            <w:r>
              <w:rPr>
                <w:rFonts w:ascii="Arial" w:cs="Arial" w:eastAsia="Arial" w:hAnsi="Arial"/>
                <w:sz w:val="18"/>
                <w:szCs w:val="18"/>
                <w:color w:val="auto"/>
              </w:rPr>
              <w:t>Revenue reserves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4,174</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non-recurring engineering services</w:t>
            </w:r>
          </w:p>
        </w:tc>
        <w:tc>
          <w:tcPr>
            <w:tcW w:w="28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7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20" w:type="dxa"/>
            <w:vAlign w:val="bottom"/>
          </w:tcPr>
          <w:p>
            <w:pPr>
              <w:ind w:left="20"/>
              <w:spacing w:after="0"/>
              <w:rPr>
                <w:sz w:val="20"/>
                <w:szCs w:val="20"/>
                <w:color w:val="auto"/>
              </w:rPr>
            </w:pPr>
            <w:r>
              <w:rPr>
                <w:rFonts w:ascii="Arial" w:cs="Arial" w:eastAsia="Arial" w:hAnsi="Arial"/>
                <w:sz w:val="18"/>
                <w:szCs w:val="18"/>
                <w:color w:val="auto"/>
              </w:rPr>
              <w:t>Short term lease liability</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3,274</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20,464</w:t>
            </w:r>
          </w:p>
        </w:tc>
        <w:tc>
          <w:tcPr>
            <w:tcW w:w="3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-193675</wp:posOffset>
            </wp:positionV>
            <wp:extent cx="1803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3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Company leases real estate property under operating leases. The Company leases office space in Santa Clara, Michigan, Malaysia, Japan, Taiwan, the Netherlands, and Ukraine all under non-cancellable operating leases with various expiration dates through March 2027. In January 2021, the Company signed an amendment to its Santa Clara office space lease where the lessor provided the Company lease incentives of $0.4 million and extended the term of the lease by three months. The amendment was accounted as a single modified lease and the remaining payments were remeasured using an updated discount rate. The remaining lease terms vary from a few months to 6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did not have any leases that had not yet commenced.</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September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53"/>
        </w:trPr>
        <w:tc>
          <w:tcPr>
            <w:tcW w:w="7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30"/>
        </w:trPr>
        <w:tc>
          <w:tcPr>
            <w:tcW w:w="7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September 30, 2021</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0"/>
              </w:rPr>
              <w:t>December 31, 2020</w:t>
            </w:r>
          </w:p>
        </w:tc>
        <w:tc>
          <w:tcPr>
            <w:tcW w:w="240" w:type="dxa"/>
            <w:vAlign w:val="bottom"/>
          </w:tcPr>
          <w:p>
            <w:pPr>
              <w:spacing w:after="0"/>
              <w:rPr>
                <w:sz w:val="20"/>
                <w:szCs w:val="20"/>
                <w:color w:val="auto"/>
              </w:rPr>
            </w:pPr>
          </w:p>
        </w:tc>
      </w:tr>
      <w:tr>
        <w:trPr>
          <w:trHeight w:val="196"/>
        </w:trPr>
        <w:tc>
          <w:tcPr>
            <w:tcW w:w="7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62"/>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4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Lease liabilities included in accrued expenses and other current liabilities</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21"/>
                <w:szCs w:val="21"/>
                <w:color w:val="auto"/>
              </w:rPr>
            </w:pPr>
          </w:p>
        </w:tc>
      </w:tr>
      <w:tr>
        <w:trPr>
          <w:trHeight w:val="263"/>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 non-current</w:t>
            </w:r>
          </w:p>
        </w:tc>
        <w:tc>
          <w:tcPr>
            <w:tcW w:w="16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4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72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w:t>
            </w:r>
          </w:p>
        </w:tc>
        <w:tc>
          <w:tcPr>
            <w:tcW w:w="4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240" w:type="dxa"/>
            <w:vAlign w:val="bottom"/>
          </w:tcPr>
          <w:p>
            <w:pPr>
              <w:spacing w:after="0"/>
              <w:rPr>
                <w:sz w:val="21"/>
                <w:szCs w:val="21"/>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20"/>
                <w:szCs w:val="20"/>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21"/>
                <w:szCs w:val="21"/>
                <w:color w:val="auto"/>
              </w:rPr>
            </w:pPr>
          </w:p>
        </w:tc>
        <w:tc>
          <w:tcPr>
            <w:tcW w:w="1920" w:type="dxa"/>
            <w:vAlign w:val="bottom"/>
            <w:gridSpan w:val="2"/>
          </w:tcPr>
          <w:p>
            <w:pPr>
              <w:jc w:val="right"/>
              <w:ind w:right="168"/>
              <w:spacing w:after="0"/>
              <w:rPr>
                <w:sz w:val="20"/>
                <w:szCs w:val="20"/>
                <w:color w:val="auto"/>
              </w:rPr>
            </w:pPr>
            <w:r>
              <w:rPr>
                <w:rFonts w:ascii="Arial" w:cs="Arial" w:eastAsia="Arial" w:hAnsi="Arial"/>
                <w:sz w:val="18"/>
                <w:szCs w:val="18"/>
                <w:color w:val="auto"/>
              </w:rPr>
              <w:t>4.5 %</w:t>
            </w:r>
          </w:p>
        </w:tc>
        <w:tc>
          <w:tcPr>
            <w:tcW w:w="240" w:type="dxa"/>
            <w:vAlign w:val="bottom"/>
          </w:tcPr>
          <w:p>
            <w:pPr>
              <w:spacing w:after="0"/>
              <w:rPr>
                <w:sz w:val="21"/>
                <w:szCs w:val="21"/>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-845185</wp:posOffset>
            </wp:positionV>
            <wp:extent cx="25717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-845185</wp:posOffset>
            </wp:positionV>
            <wp:extent cx="15430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-510540</wp:posOffset>
            </wp:positionV>
            <wp:extent cx="25717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-510540</wp:posOffset>
            </wp:positionV>
            <wp:extent cx="15430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63"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three and nine months ended September 30, 2021 and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50"/>
        </w:trPr>
        <w:tc>
          <w:tcPr>
            <w:tcW w:w="4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8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r>
      <w:tr>
        <w:trPr>
          <w:trHeight w:val="263"/>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98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516</w:t>
            </w:r>
          </w:p>
        </w:tc>
        <w:tc>
          <w:tcPr>
            <w:tcW w:w="12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543</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1,790</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-193675</wp:posOffset>
            </wp:positionV>
            <wp:extent cx="1803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-193675</wp:posOffset>
            </wp:positionV>
            <wp:extent cx="16319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17145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Cash paid for operating lease liabilities was $0.4 million, $1.5 million, $0.3 million, and $1.9 million, respectively, for the three and nine months ended September 30, 2021 and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Cash Flows</w:t>
      </w:r>
    </w:p>
    <w:p>
      <w:pPr>
        <w:spacing w:after="0" w:line="135"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September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62"/>
        </w:trPr>
        <w:tc>
          <w:tcPr>
            <w:tcW w:w="8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22"/>
                <w:szCs w:val="22"/>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r>
      <w:tr>
        <w:trPr>
          <w:trHeight w:val="263"/>
        </w:trPr>
        <w:tc>
          <w:tcPr>
            <w:tcW w:w="8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FF0FC"/>
          </w:tcPr>
          <w:p>
            <w:pPr>
              <w:spacing w:after="0"/>
              <w:rPr>
                <w:sz w:val="22"/>
                <w:szCs w:val="22"/>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FF0FC"/>
          </w:tcPr>
          <w:p>
            <w:pPr>
              <w:spacing w:after="0"/>
              <w:rPr>
                <w:sz w:val="22"/>
                <w:szCs w:val="22"/>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r>
      <w:tr>
        <w:trPr>
          <w:trHeight w:val="263"/>
        </w:trPr>
        <w:tc>
          <w:tcPr>
            <w:tcW w:w="8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FF0FC"/>
          </w:tcPr>
          <w:p>
            <w:pPr>
              <w:spacing w:after="0"/>
              <w:rPr>
                <w:sz w:val="22"/>
                <w:szCs w:val="22"/>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22"/>
                <w:szCs w:val="22"/>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2026 and beyond</w:t>
            </w: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r>
      <w:tr>
        <w:trPr>
          <w:trHeight w:val="257"/>
        </w:trPr>
        <w:tc>
          <w:tcPr>
            <w:tcW w:w="8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460" w:type="dxa"/>
            <w:vAlign w:val="bottom"/>
            <w:shd w:val="clear" w:color="auto" w:fill="CFF0FC"/>
          </w:tcPr>
          <w:p>
            <w:pPr>
              <w:spacing w:after="0"/>
              <w:rPr>
                <w:sz w:val="22"/>
                <w:szCs w:val="22"/>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w:t>
            </w:r>
          </w:p>
        </w:tc>
        <w:tc>
          <w:tcPr>
            <w:tcW w:w="100" w:type="dxa"/>
            <w:vAlign w:val="bottom"/>
            <w:shd w:val="clear" w:color="auto" w:fill="CFF0FC"/>
          </w:tcPr>
          <w:p>
            <w:pPr>
              <w:spacing w:after="0"/>
              <w:rPr>
                <w:sz w:val="22"/>
                <w:szCs w:val="22"/>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460" w:type="dxa"/>
            <w:vAlign w:val="bottom"/>
          </w:tcPr>
          <w:p>
            <w:pPr>
              <w:spacing w:after="0"/>
              <w:rPr>
                <w:sz w:val="21"/>
                <w:szCs w:val="21"/>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(1,016 )</w:t>
            </w:r>
          </w:p>
        </w:tc>
      </w:tr>
      <w:tr>
        <w:trPr>
          <w:trHeight w:val="257"/>
        </w:trPr>
        <w:tc>
          <w:tcPr>
            <w:tcW w:w="8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460" w:type="dxa"/>
            <w:vAlign w:val="bottom"/>
            <w:tcBorders>
              <w:top w:val="single" w:sz="8" w:color="auto"/>
            </w:tcBorders>
            <w:shd w:val="clear" w:color="auto" w:fill="CFF0FC"/>
          </w:tcPr>
          <w:p>
            <w:pPr>
              <w:spacing w:after="0"/>
              <w:rPr>
                <w:sz w:val="22"/>
                <w:szCs w:val="22"/>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7,767</w:t>
            </w:r>
          </w:p>
        </w:tc>
        <w:tc>
          <w:tcPr>
            <w:tcW w:w="100" w:type="dxa"/>
            <w:vAlign w:val="bottom"/>
            <w:shd w:val="clear" w:color="auto" w:fill="CFF0FC"/>
          </w:tcPr>
          <w:p>
            <w:pPr>
              <w:spacing w:after="0"/>
              <w:rPr>
                <w:sz w:val="22"/>
                <w:szCs w:val="22"/>
                <w:color w:val="auto"/>
              </w:rPr>
            </w:pPr>
          </w:p>
        </w:tc>
      </w:tr>
      <w:tr>
        <w:trPr>
          <w:trHeight w:val="256"/>
        </w:trPr>
        <w:tc>
          <w:tcPr>
            <w:tcW w:w="862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460" w:type="dxa"/>
            <w:vAlign w:val="bottom"/>
          </w:tcPr>
          <w:p>
            <w:pPr>
              <w:spacing w:after="0"/>
              <w:rPr>
                <w:sz w:val="22"/>
                <w:szCs w:val="22"/>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(1,411 )</w:t>
            </w:r>
          </w:p>
        </w:tc>
      </w:tr>
      <w:tr>
        <w:trPr>
          <w:trHeight w:val="29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lease liabilities</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35"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color w:val="auto"/>
        </w:rPr>
        <w:t>On February 22, 2021, the Company completed a follow-on public offering, in which it issued and sold 1,500,000 shares of its common stock and MegaChips sold 1,500,000 of the Company’s common stock held by them at a price of $127 per share.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31"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The following table summarizes the restricted stock unit award (“RSU”) and cash restricted stock unit award (“CRSU”), activity for the three and nine months ended September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RSU</w:t>
            </w:r>
          </w:p>
        </w:tc>
        <w:tc>
          <w:tcPr>
            <w:tcW w:w="180" w:type="dxa"/>
            <w:vAlign w:val="bottom"/>
          </w:tcPr>
          <w:p>
            <w:pPr>
              <w:spacing w:after="0"/>
              <w:rPr>
                <w:sz w:val="16"/>
                <w:szCs w:val="16"/>
                <w:color w:val="auto"/>
              </w:rPr>
            </w:pPr>
          </w:p>
        </w:tc>
        <w:tc>
          <w:tcPr>
            <w:tcW w:w="1060" w:type="dxa"/>
            <w:vAlign w:val="bottom"/>
          </w:tcPr>
          <w:p>
            <w:pPr>
              <w:jc w:val="center"/>
              <w:ind w:right="121"/>
              <w:spacing w:after="0"/>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CRSU</w:t>
            </w:r>
          </w:p>
        </w:tc>
        <w:tc>
          <w:tcPr>
            <w:tcW w:w="180" w:type="dxa"/>
            <w:vAlign w:val="bottom"/>
          </w:tcPr>
          <w:p>
            <w:pPr>
              <w:spacing w:after="0"/>
              <w:rPr>
                <w:sz w:val="16"/>
                <w:szCs w:val="16"/>
                <w:color w:val="auto"/>
              </w:rPr>
            </w:pPr>
          </w:p>
        </w:tc>
        <w:tc>
          <w:tcPr>
            <w:tcW w:w="1040" w:type="dxa"/>
            <w:vAlign w:val="bottom"/>
          </w:tcPr>
          <w:p>
            <w:pPr>
              <w:jc w:val="center"/>
              <w:ind w:right="101"/>
              <w:spacing w:after="0"/>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6"/>
                <w:szCs w:val="16"/>
                <w:color w:val="auto"/>
              </w:rPr>
            </w:pPr>
          </w:p>
        </w:tc>
      </w:tr>
      <w:tr>
        <w:trPr>
          <w:trHeight w:val="203"/>
        </w:trPr>
        <w:tc>
          <w:tcPr>
            <w:tcW w:w="570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7"/>
                <w:szCs w:val="17"/>
                <w:color w:val="auto"/>
              </w:rPr>
            </w:pPr>
          </w:p>
        </w:tc>
        <w:tc>
          <w:tcPr>
            <w:tcW w:w="106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7"/>
                <w:szCs w:val="17"/>
                <w:color w:val="auto"/>
              </w:rPr>
            </w:pPr>
          </w:p>
        </w:tc>
        <w:tc>
          <w:tcPr>
            <w:tcW w:w="1040" w:type="dxa"/>
            <w:vAlign w:val="bottom"/>
          </w:tcPr>
          <w:p>
            <w:pPr>
              <w:jc w:val="center"/>
              <w:ind w:right="141"/>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7"/>
                <w:szCs w:val="17"/>
                <w:color w:val="auto"/>
              </w:rPr>
            </w:pPr>
          </w:p>
        </w:tc>
      </w:tr>
      <w:tr>
        <w:trPr>
          <w:trHeight w:val="208"/>
        </w:trPr>
        <w:tc>
          <w:tcPr>
            <w:tcW w:w="57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8"/>
                <w:szCs w:val="18"/>
                <w:color w:val="auto"/>
              </w:rPr>
            </w:pPr>
          </w:p>
        </w:tc>
      </w:tr>
      <w:tr>
        <w:trPr>
          <w:trHeight w:val="229"/>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December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2,735,706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60" w:type="dxa"/>
            <w:vAlign w:val="bottom"/>
            <w:shd w:val="clear" w:color="auto" w:fill="CFF0FC"/>
          </w:tcPr>
          <w:p>
            <w:pPr>
              <w:spacing w:after="0"/>
              <w:rPr>
                <w:sz w:val="19"/>
                <w:szCs w:val="19"/>
                <w:color w:val="auto"/>
              </w:rPr>
            </w:pPr>
          </w:p>
        </w:tc>
      </w:tr>
      <w:tr>
        <w:trPr>
          <w:trHeight w:val="220"/>
        </w:trPr>
        <w:tc>
          <w:tcPr>
            <w:tcW w:w="5700" w:type="dxa"/>
            <w:vAlign w:val="bottom"/>
          </w:tcPr>
          <w:p>
            <w:pPr>
              <w:ind w:left="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190,838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3,025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111.9</w:t>
            </w:r>
          </w:p>
        </w:tc>
        <w:tc>
          <w:tcPr>
            <w:tcW w:w="60" w:type="dxa"/>
            <w:vAlign w:val="bottom"/>
          </w:tcPr>
          <w:p>
            <w:pPr>
              <w:spacing w:after="0"/>
              <w:rPr>
                <w:sz w:val="19"/>
                <w:szCs w:val="19"/>
                <w:color w:val="auto"/>
              </w:rPr>
            </w:pPr>
          </w:p>
        </w:tc>
      </w:tr>
      <w:tr>
        <w:trPr>
          <w:trHeight w:val="239"/>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(189,460 )</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(3,405 )</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60" w:type="dxa"/>
            <w:vAlign w:val="bottom"/>
            <w:shd w:val="clear" w:color="auto" w:fill="CFF0FC"/>
          </w:tcPr>
          <w:p>
            <w:pPr>
              <w:spacing w:after="0"/>
              <w:rPr>
                <w:sz w:val="20"/>
                <w:szCs w:val="20"/>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(13,840 )</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6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March 31,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2,723,244</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2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60" w:type="dxa"/>
            <w:vAlign w:val="bottom"/>
            <w:tcBorders>
              <w:bottom w:val="single" w:sz="8" w:color="CFF0FC"/>
            </w:tcBorders>
            <w:shd w:val="clear" w:color="auto" w:fill="CFF0FC"/>
          </w:tcPr>
          <w:p>
            <w:pPr>
              <w:spacing w:after="0"/>
              <w:rPr>
                <w:sz w:val="23"/>
                <w:szCs w:val="23"/>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103,063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100.5</w:t>
            </w:r>
          </w:p>
        </w:tc>
        <w:tc>
          <w:tcPr>
            <w:tcW w:w="18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39"/>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(221,049 )</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(49,880 )</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w:t>
            </w:r>
          </w:p>
        </w:tc>
        <w:tc>
          <w:tcPr>
            <w:tcW w:w="1580" w:type="dxa"/>
            <w:vAlign w:val="bottom"/>
            <w:gridSpan w:val="3"/>
          </w:tcPr>
          <w:p>
            <w:pPr>
              <w:jc w:val="right"/>
              <w:ind w:right="140"/>
              <w:spacing w:after="0"/>
              <w:rPr>
                <w:sz w:val="20"/>
                <w:szCs w:val="20"/>
                <w:color w:val="auto"/>
              </w:rPr>
            </w:pPr>
            <w:r>
              <w:rPr>
                <w:rFonts w:ascii="Arial" w:cs="Arial" w:eastAsia="Arial" w:hAnsi="Arial"/>
                <w:sz w:val="16"/>
                <w:szCs w:val="16"/>
                <w:color w:val="auto"/>
              </w:rPr>
              <w:t>(244 )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w:t>
            </w:r>
          </w:p>
        </w:tc>
        <w:tc>
          <w:tcPr>
            <w:tcW w:w="60" w:type="dxa"/>
            <w:vAlign w:val="bottom"/>
          </w:tcPr>
          <w:p>
            <w:pPr>
              <w:spacing w:after="0"/>
              <w:rPr>
                <w:sz w:val="19"/>
                <w:szCs w:val="19"/>
                <w:color w:val="auto"/>
              </w:rPr>
            </w:pPr>
          </w:p>
        </w:tc>
      </w:tr>
      <w:tr>
        <w:trPr>
          <w:trHeight w:val="26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June 30,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2,555,378</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1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shd w:val="clear" w:color="auto" w:fill="CFF0FC"/>
          </w:tcPr>
          <w:p>
            <w:pPr>
              <w:spacing w:after="0"/>
              <w:rPr>
                <w:sz w:val="23"/>
                <w:szCs w:val="23"/>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68,992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107.4</w:t>
            </w:r>
          </w:p>
        </w:tc>
        <w:tc>
          <w:tcPr>
            <w:tcW w:w="18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39"/>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(193,407 )</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6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September 30, 2021</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2,430,963</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1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-1259205</wp:posOffset>
            </wp:positionV>
            <wp:extent cx="1460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-1242695</wp:posOffset>
            </wp:positionV>
            <wp:extent cx="1460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-1259205</wp:posOffset>
            </wp:positionV>
            <wp:extent cx="1289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-1242695</wp:posOffset>
            </wp:positionV>
            <wp:extent cx="1289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-642620</wp:posOffset>
            </wp:positionV>
            <wp:extent cx="1460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-625475</wp:posOffset>
            </wp:positionV>
            <wp:extent cx="14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-642620</wp:posOffset>
            </wp:positionV>
            <wp:extent cx="1289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-625475</wp:posOffset>
            </wp:positionV>
            <wp:extent cx="128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1460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460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1289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289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49"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On August 4, 2020, the Compensation Committee of the Company adopted and approved the Executive Bonus and Retention Plan (the “Bonus and Retention Plan”). In August 2020, the Compensation Committee approved target bonus amounts and performance goals for the second half of the fiscal year 2020 (the “2020 Goals”), in January 2021, the Compensation Committee approved target bonus amounts and performance goals for the first half of the fiscal year 2021 (the “1H2021 Goals”), and in July 2021 the Compensation Committee approved target bonus amounts and performance goals for the second half of the fiscal year 2021 (the “2H2021 Goals”). The 2020 Goals, the 1H2021 Goals and the 2H2021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$0.6 million for 2H2021 Goals was recorded as accrued expenses and other current liabilities in the condensed consolidated balance sheet as of September 30, 2021. Actual payouts for 2020 Goals ranged from 119% to 144% of target, and for 1H2021 Goals ranged from 76% to 141% of target, based on performance.</w:t>
      </w:r>
    </w:p>
    <w:p>
      <w:pPr>
        <w:spacing w:after="0" w:line="6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the nine months ended September 30, 2021, the Company granted CRSUs as part of an employee bonus plan. The Company ended such program effective April 1, 2021. Generally, such units were granted quarterly and fully vested at the end of the quarter they were granted except units granted to new hires that had a one-year cliff vesting. Such awards were classified as liability-based awards.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3"/>
              </w:rPr>
              <w:t>Three Months Ended September 30,</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6"/>
                <w:szCs w:val="16"/>
                <w:color w:val="auto"/>
              </w:rPr>
            </w:pPr>
          </w:p>
        </w:tc>
      </w:tr>
      <w:tr>
        <w:trPr>
          <w:trHeight w:val="276"/>
        </w:trPr>
        <w:tc>
          <w:tcPr>
            <w:tcW w:w="5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r>
      <w:tr>
        <w:trPr>
          <w:trHeight w:val="220"/>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Equity awards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7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62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6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2,587</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7,695</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3,016</w:t>
            </w:r>
          </w:p>
        </w:tc>
        <w:tc>
          <w:tcPr>
            <w:tcW w:w="220" w:type="dxa"/>
            <w:vAlign w:val="bottom"/>
          </w:tcPr>
          <w:p>
            <w:pPr>
              <w:spacing w:after="0"/>
              <w:rPr>
                <w:sz w:val="22"/>
                <w:szCs w:val="22"/>
                <w:color w:val="auto"/>
              </w:rPr>
            </w:pP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88"/>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10,652</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50"/>
        </w:trPr>
        <w:tc>
          <w:tcPr>
            <w:tcW w:w="56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38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40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19,580</w:t>
            </w:r>
          </w:p>
        </w:tc>
        <w:tc>
          <w:tcPr>
            <w:tcW w:w="36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9,749</w:t>
            </w:r>
          </w:p>
        </w:tc>
        <w:tc>
          <w:tcPr>
            <w:tcW w:w="220" w:type="dxa"/>
            <w:vAlign w:val="bottom"/>
            <w:tcBorders>
              <w:top w:val="single" w:sz="8" w:color="CFF0FC"/>
            </w:tcBorders>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5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Liability-based awards - equity settled</w:t>
            </w:r>
          </w:p>
        </w:tc>
        <w:tc>
          <w:tcPr>
            <w:tcW w:w="1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3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1,187</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7"/>
        </w:trPr>
        <w:tc>
          <w:tcPr>
            <w:tcW w:w="5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5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617</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1,957</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11"/>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stock-based compensation - equity settled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7,388</w:t>
            </w:r>
          </w:p>
        </w:tc>
        <w:tc>
          <w:tcPr>
            <w:tcW w:w="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4,298</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21,537</w:t>
            </w:r>
          </w:p>
        </w:tc>
        <w:tc>
          <w:tcPr>
            <w:tcW w:w="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9,749</w:t>
            </w:r>
          </w:p>
        </w:tc>
        <w:tc>
          <w:tcPr>
            <w:tcW w:w="220" w:type="dxa"/>
            <w:vAlign w:val="bottom"/>
            <w:shd w:val="clear" w:color="auto" w:fill="CFF0FC"/>
          </w:tcPr>
          <w:p>
            <w:pPr>
              <w:spacing w:after="0"/>
              <w:rPr>
                <w:sz w:val="24"/>
                <w:szCs w:val="24"/>
                <w:color w:val="auto"/>
              </w:rPr>
            </w:pPr>
          </w:p>
        </w:tc>
      </w:tr>
      <w:tr>
        <w:trPr>
          <w:trHeight w:val="508"/>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Liability-based awards - cash settled</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r>
      <w:tr>
        <w:trPr>
          <w:trHeight w:val="47"/>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6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22"/>
                <w:szCs w:val="22"/>
                <w:color w:val="auto"/>
              </w:rPr>
            </w:pP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89"/>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70"/>
        </w:trPr>
        <w:tc>
          <w:tcPr>
            <w:tcW w:w="568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Total stock-based compensation - cash settled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400" w:type="dxa"/>
            <w:vAlign w:val="bottom"/>
            <w:tcBorders>
              <w:top w:val="single" w:sz="8" w:color="CFF0FC"/>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60" w:type="dxa"/>
            <w:vAlign w:val="bottom"/>
            <w:tcBorders>
              <w:top w:val="single" w:sz="8" w:color="CFF0FC"/>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Borders>
              <w:top w:val="single" w:sz="8" w:color="CFF0FC"/>
            </w:tcBorders>
          </w:tcPr>
          <w:p>
            <w:pPr>
              <w:spacing w:after="0"/>
              <w:rPr>
                <w:sz w:val="23"/>
                <w:szCs w:val="23"/>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7,388</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w:t>
            </w:r>
          </w:p>
        </w:tc>
        <w:tc>
          <w:tcPr>
            <w:tcW w:w="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21,890</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10,662</w:t>
            </w:r>
          </w:p>
        </w:tc>
        <w:tc>
          <w:tcPr>
            <w:tcW w:w="2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-2834005</wp:posOffset>
            </wp:positionV>
            <wp:extent cx="24003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-2834005</wp:posOffset>
            </wp:positionV>
            <wp:extent cx="24892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-2834005</wp:posOffset>
            </wp:positionV>
            <wp:extent cx="22288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-2834005</wp:posOffset>
            </wp:positionV>
            <wp:extent cx="1454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-1344930</wp:posOffset>
            </wp:positionV>
            <wp:extent cx="2400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-1328420</wp:posOffset>
            </wp:positionV>
            <wp:extent cx="240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-1344930</wp:posOffset>
            </wp:positionV>
            <wp:extent cx="2489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-1328420</wp:posOffset>
            </wp:positionV>
            <wp:extent cx="2489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-1344930</wp:posOffset>
            </wp:positionV>
            <wp:extent cx="2228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-1328420</wp:posOffset>
            </wp:positionV>
            <wp:extent cx="2228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-1344930</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-1328420</wp:posOffset>
            </wp:positionV>
            <wp:extent cx="1454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-416560</wp:posOffset>
            </wp:positionV>
            <wp:extent cx="24003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-416560</wp:posOffset>
            </wp:positionV>
            <wp:extent cx="24892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-416560</wp:posOffset>
            </wp:positionV>
            <wp:extent cx="22288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-416560</wp:posOffset>
            </wp:positionV>
            <wp:extent cx="14541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2400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2400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2489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2489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2228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2228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49"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As of September 30, 2021, there was $71.6 million and $1.1 million of unrecognized compensation costs related to RSUs granted and liability-based awards granted, respectively. The unrecognized compensation cost is expected to be recognized over a weighted average period of 3.3 years for equity awards and 0.4 years for liability-based awards.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quarterly provision for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provision for income taxes and the effective tax rates for the three and nine months ended September 30,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6"/>
                <w:szCs w:val="16"/>
                <w:color w:val="auto"/>
              </w:rPr>
            </w:pPr>
          </w:p>
        </w:tc>
        <w:tc>
          <w:tcPr>
            <w:tcW w:w="2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3"/>
        </w:trPr>
        <w:tc>
          <w:tcPr>
            <w:tcW w:w="5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6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(11,362 )</w:t>
            </w: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(67 )</w:t>
            </w: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r>
      <w:tr>
        <w:trPr>
          <w:trHeight w:val="26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0 %</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-1 %</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0 %</w:t>
            </w:r>
          </w:p>
        </w:tc>
      </w:tr>
    </w:tbl>
    <w:p>
      <w:pPr>
        <w:spacing w:after="0" w:line="256" w:lineRule="exact"/>
        <w:rPr>
          <w:sz w:val="20"/>
          <w:szCs w:val="20"/>
          <w:color w:val="auto"/>
        </w:rPr>
      </w:pPr>
    </w:p>
    <w:p>
      <w:pPr>
        <w:ind w:right="180"/>
        <w:spacing w:after="0" w:line="303" w:lineRule="auto"/>
        <w:rPr>
          <w:sz w:val="20"/>
          <w:szCs w:val="20"/>
          <w:color w:val="auto"/>
        </w:rPr>
      </w:pPr>
      <w:r>
        <w:rPr>
          <w:rFonts w:ascii="Arial" w:cs="Arial" w:eastAsia="Arial" w:hAnsi="Arial"/>
          <w:sz w:val="17"/>
          <w:szCs w:val="17"/>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(loss) before income taxes and taxable income (loss).</w:t>
      </w:r>
    </w:p>
    <w:p>
      <w:pPr>
        <w:spacing w:after="0" w:line="5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ind w:right="360"/>
        <w:spacing w:after="0" w:line="293" w:lineRule="auto"/>
        <w:rPr>
          <w:sz w:val="20"/>
          <w:szCs w:val="20"/>
          <w:color w:val="auto"/>
        </w:rPr>
      </w:pPr>
      <w:r>
        <w:rPr>
          <w:rFonts w:ascii="Arial" w:cs="Arial" w:eastAsia="Arial" w:hAnsi="Arial"/>
          <w:sz w:val="18"/>
          <w:szCs w:val="18"/>
          <w:color w:val="auto"/>
        </w:rPr>
        <w:t>results. Based on management’s assessment of the realizability of deferred tax assets, the Company continues to maintain a full valuation reserve on its deferred tax assets as of September 30, 2021.</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As of September 30, 2021 and December 31, 2020, the Company had $2.4 million and $2.4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75"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and nine months ended September 30, 2021 and 2020, the Company had immaterial amounts related to the accrual of interest and penalties.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Geographic and Customer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silicon timing systems solutions.</w:t>
      </w:r>
    </w:p>
    <w:p>
      <w:pPr>
        <w:spacing w:after="0" w:line="13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4"/>
              </w:rPr>
              <w:t>Three Months Ended September 30,</w:t>
            </w: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196"/>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Taiwan</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16,506</w:t>
            </w:r>
          </w:p>
        </w:tc>
        <w:tc>
          <w:tcPr>
            <w:tcW w:w="62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45,008</w:t>
            </w:r>
          </w:p>
        </w:tc>
        <w:tc>
          <w:tcPr>
            <w:tcW w:w="6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34,099</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23,063</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9,209</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52,054</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19,530</w:t>
            </w:r>
          </w:p>
        </w:tc>
        <w:tc>
          <w:tcPr>
            <w:tcW w:w="220" w:type="dxa"/>
            <w:vAlign w:val="bottom"/>
          </w:tcPr>
          <w:p>
            <w:pPr>
              <w:spacing w:after="0"/>
              <w:rPr>
                <w:sz w:val="22"/>
                <w:szCs w:val="22"/>
                <w:color w:val="auto"/>
              </w:rPr>
            </w:pP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64"/>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3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3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9,691</w:t>
            </w:r>
          </w:p>
        </w:tc>
        <w:tc>
          <w:tcPr>
            <w:tcW w:w="3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77"/>
        </w:trPr>
        <w:tc>
          <w:tcPr>
            <w:tcW w:w="56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17,704</w:t>
            </w: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36,314</w:t>
            </w: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16,315</w:t>
            </w:r>
          </w:p>
        </w:tc>
        <w:tc>
          <w:tcPr>
            <w:tcW w:w="220" w:type="dxa"/>
            <w:vAlign w:val="bottom"/>
          </w:tcPr>
          <w:p>
            <w:pPr>
              <w:spacing w:after="0"/>
              <w:rPr>
                <w:sz w:val="24"/>
                <w:szCs w:val="24"/>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63,029</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32,667</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143,067</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75,882</w:t>
            </w:r>
          </w:p>
        </w:tc>
        <w:tc>
          <w:tcPr>
            <w:tcW w:w="2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2400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2400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2311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2311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2228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2228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September 30, 2021 and December 31, 2020 were 97% and 97%, respectively, of total property and equipment, intangible assets and right-of-use assets.</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Revenue from sales to three of the Company's distributors accounted for 20%, 17%, and 8% of its consolidated revenues for the three months ended September 30, 2021. Revenue from sales to three of the Company's distributors accounted for 22%, 16% and 11% of its consolidated revenues for the nine months ended September 30, 2021. Revenue from sales to one end customer through a distributor accounted for 20% and 23% for the three and nine months ended September 30, 2021, respectively. Our end customers predominantly purchase our products from distributors. No other distributors or customers accounted for 10% or more of the Company's consolidated revenues for the three and nine months ended September 30, 2021.</w:t>
      </w:r>
    </w:p>
    <w:p>
      <w:pPr>
        <w:spacing w:after="0" w:line="5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Revenue from sales to three of the Company's distributors accounted for 30%, 16%, and 15% of its consolidated revenues for the three months ended September 30, 2020. Revenue from sales to three of the Company's distributors accounted for 23%, 19% and 14% of its consolidated revenues for the nine months ended September 30, 2020. Revenue from sales to one end customer through a distributor accounted for 45% and 36% for the three and nine months ended September 30, 2020, respectively. Our end customers predominantly purchase our products from distributors. No other distributors or customers accounted for 10% or more of the Company's consolidated revenues for the three and nine months ended September 30,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77"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In March 2019, VTT Technical Research Centre of Finland, Ltd. ("VTT") filed suit in the United States District Court for the Northern District of California (“the Court”) alleging infringement by the Company of a patent relating to specific combinations of features set forth in U.S. Patent No. 8,558,643. The complaint sought unspecified monetary damages and injunctive relief. On January 22, 2020, the Company participated in a mediation that had been ordered by the Court. The case was not resolved at the mediation. A 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filed a Notice of Appeal of the Court's judgment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jc w:val="both"/>
        <w:ind w:right="60"/>
        <w:spacing w:after="0" w:line="279" w:lineRule="auto"/>
        <w:rPr>
          <w:sz w:val="20"/>
          <w:szCs w:val="20"/>
          <w:color w:val="auto"/>
        </w:rPr>
      </w:pPr>
      <w:r>
        <w:rPr>
          <w:rFonts w:ascii="Arial" w:cs="Arial" w:eastAsia="Arial" w:hAnsi="Arial"/>
          <w:sz w:val="18"/>
          <w:szCs w:val="18"/>
          <w:color w:val="auto"/>
        </w:rPr>
        <w:t>with the US Court of Appeals for the Federal Circuit (“CAFC”) and filed its opening brief on November 19, 2020 and the Company filed its response brief on January 28, 2021. VTT filed its reply on March 4, 2021. On June 9, 2021, a hearing was held at the CAFC and on June 10, 2021 the CAFC affirmed the Court’s judgment. The Company believes this litigation matter is now fully resolved.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35"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The Company entered into an agreement with MegaChips, whereby the Company appointed MegaChips as a non-exclusive sales representative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loss. In connection with our efforts to contract directly with distributors in Japan, on November 3, 2021, we entered into a termination agreement with MegaChips Corporation pursuant to which we agreed to mutually terminate the Distribution Agreement effective November 3, 2021. The Company has also entered into a service and secondment agreement with MegaChips LSI USA Corporation, a wholly owned subsidiary of MegaChips, that terminated on August 31, 2021.</w:t>
      </w:r>
    </w:p>
    <w:p>
      <w:pPr>
        <w:spacing w:after="0" w:line="73"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color w:val="auto"/>
        </w:rPr>
        <w:t>MegaChips is the largest stockholder of the Company and held approximately 31.2% and 43.7% of the Company’s outstanding common stock as of September 30, 2021 and December 31, 2020, respectively.</w:t>
      </w:r>
    </w:p>
    <w:p>
      <w:pPr>
        <w:spacing w:after="0" w:line="62"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In May 2021, the Company signed a consulting agreement with Akira Takata, a member of the Board of Directors of the Company. As a consultant, Mr. Takata will provide sales consulting services through December 31, 2021, for which he will receive monthly cash fees of $5,000, reimbursement of expenses, and an equity award of 500 RSUs that vest on November 20,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50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Balances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December 31, 2020</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b w:val="1"/>
                <w:bCs w:val="1"/>
                <w:color w:val="auto"/>
              </w:rPr>
              <w:t>MegaChips</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r>
      <w:tr>
        <w:trPr>
          <w:trHeight w:val="263"/>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22"/>
                <w:szCs w:val="22"/>
                <w:color w:val="auto"/>
              </w:rPr>
            </w:pPr>
          </w:p>
        </w:tc>
      </w:tr>
      <w:tr>
        <w:trPr>
          <w:trHeight w:val="41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3"/>
              </w:rPr>
              <w:t>Three Months Ended September 30,</w:t>
            </w:r>
          </w:p>
        </w:tc>
        <w:tc>
          <w:tcPr>
            <w:tcW w:w="276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550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Transactions</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b w:val="1"/>
                <w:bCs w:val="1"/>
                <w:color w:val="auto"/>
              </w:rPr>
              <w:t>MegaChips</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Sales through distribution agreement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21"/>
                <w:szCs w:val="21"/>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521"/>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8,166</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r>
      <w:tr>
        <w:trPr>
          <w:trHeight w:val="263"/>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License expense</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Commission expense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r>
      <w:tr>
        <w:trPr>
          <w:trHeight w:val="263"/>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b w:val="1"/>
                <w:bCs w:val="1"/>
                <w:color w:val="auto"/>
              </w:rPr>
              <w:t>Affiliates</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Consulting fees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r>
      <w:tr>
        <w:trPr>
          <w:trHeight w:val="42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3"/>
              </w:rPr>
              <w:t>Three Months Ended September 30,</w:t>
            </w:r>
          </w:p>
        </w:tc>
        <w:tc>
          <w:tcPr>
            <w:tcW w:w="276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550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Payments</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b w:val="1"/>
                <w:bCs w:val="1"/>
                <w:color w:val="auto"/>
              </w:rPr>
              <w:t>MegaChips</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Cash paid for commissions</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1"/>
                <w:szCs w:val="21"/>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700" w:type="dxa"/>
            <w:vAlign w:val="bottom"/>
          </w:tcPr>
          <w:p>
            <w:pPr>
              <w:jc w:val="right"/>
              <w:ind w:right="521"/>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r>
      <w:tr>
        <w:trPr>
          <w:trHeight w:val="263"/>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Cash paid for licenses</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gridSpan w:val="5"/>
          </w:tcPr>
          <w:p>
            <w:pPr>
              <w:ind w:left="20"/>
              <w:spacing w:after="0"/>
              <w:rPr>
                <w:sz w:val="20"/>
                <w:szCs w:val="20"/>
                <w:color w:val="auto"/>
              </w:rPr>
            </w:pPr>
            <w:r>
              <w:rPr>
                <w:rFonts w:ascii="Arial" w:cs="Arial" w:eastAsia="Arial" w:hAnsi="Arial"/>
                <w:sz w:val="18"/>
                <w:szCs w:val="18"/>
                <w:b w:val="1"/>
                <w:bCs w:val="1"/>
                <w:color w:val="auto"/>
              </w:rPr>
              <w:t>Affiliates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50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Cash paid for consulting fees</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22"/>
                <w:szCs w:val="22"/>
                <w:color w:val="auto"/>
              </w:rPr>
            </w:pPr>
          </w:p>
        </w:tc>
      </w:tr>
      <w:tr>
        <w:trPr>
          <w:trHeight w:val="56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w w:val="79"/>
              </w:rPr>
              <w:t>15</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plans to focus on oscillators, clock ICs, resonators and timing synchronization solutions and to aggressively expand our presence in these markets;</w:t>
      </w:r>
    </w:p>
    <w:p>
      <w:pPr>
        <w:spacing w:after="0" w:line="262" w:lineRule="exact"/>
        <w:rPr>
          <w:sz w:val="20"/>
          <w:szCs w:val="20"/>
          <w:color w:val="auto"/>
        </w:rPr>
      </w:pPr>
    </w:p>
    <w:p>
      <w:pPr>
        <w:ind w:left="340"/>
        <w:spacing w:after="0" w:line="293" w:lineRule="auto"/>
        <w:rPr>
          <w:sz w:val="20"/>
          <w:szCs w:val="20"/>
          <w:color w:val="auto"/>
        </w:rPr>
      </w:pPr>
      <w:r>
        <w:rPr>
          <w:rFonts w:ascii="Arial" w:cs="Arial" w:eastAsia="Arial" w:hAnsi="Arial"/>
          <w:sz w:val="18"/>
          <w:szCs w:val="18"/>
          <w:color w:val="auto"/>
        </w:rPr>
        <w:t>the impact of the COVID-19 pandemic on our business, employees, revenue and other operating results, liquidity, and cash flows, and its impact on the businesses of our suppliers and customers, and our anticipated responses thereto;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and duration of industry-wide supply constraints;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address market and customer demands and to timely develop new or enhanced solutions to meet those demands;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expectations regarding our revenue, gross margin, and expenses;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impact of new legislation and IRS guidance issued in response to the COVID-19 pandemic;</w:t>
      </w:r>
    </w:p>
    <w:p>
      <w:pPr>
        <w:spacing w:after="0" w:line="239" w:lineRule="exact"/>
        <w:rPr>
          <w:sz w:val="20"/>
          <w:szCs w:val="20"/>
          <w:color w:val="auto"/>
        </w:rPr>
      </w:pPr>
    </w:p>
    <w:p>
      <w:pPr>
        <w:ind w:left="340" w:right="140"/>
        <w:spacing w:after="0" w:line="279" w:lineRule="auto"/>
        <w:rPr>
          <w:sz w:val="20"/>
          <w:szCs w:val="20"/>
          <w:color w:val="auto"/>
        </w:rPr>
      </w:pPr>
      <w:r>
        <w:rPr>
          <w:rFonts w:ascii="Arial" w:cs="Arial" w:eastAsia="Arial" w:hAnsi="Arial"/>
          <w:sz w:val="18"/>
          <w:szCs w:val="18"/>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expectations regarding dependence on our largest customer;</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cost, and timing of new products;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239" w:lineRule="exact"/>
        <w:rPr>
          <w:sz w:val="20"/>
          <w:szCs w:val="20"/>
          <w:color w:val="auto"/>
        </w:rPr>
      </w:pPr>
    </w:p>
    <w:p>
      <w:pPr>
        <w:ind w:left="340" w:right="260"/>
        <w:spacing w:after="0" w:line="324" w:lineRule="auto"/>
        <w:rPr>
          <w:sz w:val="20"/>
          <w:szCs w:val="20"/>
          <w:color w:val="auto"/>
        </w:rPr>
      </w:pPr>
      <w:r>
        <w:rPr>
          <w:rFonts w:ascii="Arial" w:cs="Arial" w:eastAsia="Arial" w:hAnsi="Arial"/>
          <w:sz w:val="17"/>
          <w:szCs w:val="17"/>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goal to become the leading timing solution provider for advanced and challenging applications;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positioning of being designed into current systems as well as future products;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belief that our advanced packaging designs can enable the smallest footprints in the industry;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expectations regarding competition in our existing and future markets;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regulatory developments in the United States and foreign countries;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of, and our relationships with, our third-party suppliers and manufacturers;</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our and our customers’ ability to respond successfully to technological or industry developments;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attract and retain key personnel;</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intellectual property and related litigation;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adequacy and availability of our leased facilities; and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accuracy of our estimates regarding capital requirements, expectations regarding renewal of loans, and needs for additional financing.</w:t>
      </w:r>
    </w:p>
    <w:p>
      <w:pPr>
        <w:spacing w:after="0" w:line="250" w:lineRule="exact"/>
        <w:rPr>
          <w:sz w:val="20"/>
          <w:szCs w:val="20"/>
          <w:color w:val="auto"/>
        </w:rPr>
      </w:pPr>
    </w:p>
    <w:p>
      <w:pPr>
        <w:spacing w:after="0" w:line="230" w:lineRule="exact"/>
        <w:rPr>
          <w:sz w:val="20"/>
          <w:szCs w:val="20"/>
          <w:color w:val="auto"/>
        </w:rPr>
      </w:pPr>
      <w:r>
        <w:rPr>
          <w:rFonts w:ascii="Arial" w:cs="Arial" w:eastAsia="Arial" w:hAnsi="Arial"/>
          <w:sz w:val="16"/>
          <w:szCs w:val="16"/>
          <w:color w:val="auto"/>
        </w:rPr>
        <w:t>In addition, any statements contained herein that are not statements of historical facts may be deemed to be forward-looking statements.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218"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jc w:val="both"/>
        <w:ind w:right="260"/>
        <w:spacing w:after="0" w:line="275" w:lineRule="auto"/>
        <w:rPr>
          <w:sz w:val="20"/>
          <w:szCs w:val="20"/>
          <w:color w:val="auto"/>
        </w:rPr>
      </w:pPr>
      <w:r>
        <w:rPr>
          <w:rFonts w:ascii="Arial" w:cs="Arial" w:eastAsia="Arial" w:hAnsi="Arial"/>
          <w:sz w:val="18"/>
          <w:szCs w:val="18"/>
          <w:color w:val="auto"/>
        </w:rPr>
        <w:t>We are a leading provider of silicon timing solutions. Our timing solutions are the heartbeat of our customers’ electronic systems,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IoT and consumer.</w:t>
      </w:r>
    </w:p>
    <w:p>
      <w:pPr>
        <w:spacing w:after="0" w:line="185"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We commenced commercial shipments of our first oscillator products in 2006. Substantially all of our revenue to date has been derived from sales of oscillator systems across our target end markets. We intend to focus on clock IC and timing sync solutions in the future. We seek to aggressively expand our presence in these two markets.</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We also sell products directly to end customers who integrate our products into their applications. Based on sell-through information provided by these distributors, we believe the majority of our end customers are based in the U.S.</w:t>
      </w:r>
    </w:p>
    <w:p>
      <w:pPr>
        <w:spacing w:after="0" w:line="183"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On June 16, 2020, we completed a follow-on public offering, in which we issued and sold 1,525,000 shares of our common stock and MegaChips sold 2,500,000 shares of our common stock held by them. On February 22, 2021, we completed an additional follow-on public offering, in which we issued and sold 1,500,000 shares of our common stock and MegaChips sold 1,500,000 shares of our common stock held by them. MegaChips continues to be our largest stockholder and held approximately 31.2% of our common stock as of September 30, 2021.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7"/>
          <w:szCs w:val="17"/>
          <w:color w:val="auto"/>
        </w:rPr>
        <w:t>We are currently experiencing a growth in demand for some of our products, however, there are a number of industry-wide supply constraints affecting the supply of analog circuits manufactured by certain foundries, including Taiwan Semiconductor Manufacturing Company, and affecting outsourced semiconductor assembly and test providers, which may limit our ability to fully satisfy the increase in demand. If we cannot ship our products to our customers on time and in the quantity required as a result of this supply constraint our sales could decline and we could lose customers. We believe that the effects of the industry-wide supply constraints on other timing device suppliers has contributed in part to our revenue and gross margin growth in 2021, however we may not be able to sustain these revenue and gross margin increases. It is not clear how long the industry-wide supply constraints will continue, or what the resulting impact will be on our gross margin and revenue when the industry-wide supply constraints resolve. For additional discussion please see Part II, Item 1A Risk Factors of this report, especially the risk factor titled “Our revenue and operating results may fluctuate from period to period, which could cause our stock price to fluctuate.”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The future impact of the ongoing COVID-19 pandemic on our business remains unknown. In an effort to protect the health and safety of our employees, we took proactive actions and adopted social distancing policies at our locations around the world, including requiring employees to work from home (“WFH”) in certain locations, reducing the number of people in certain of our sites at any one time, and limiting employee travel. In an effort to contain the COVID-19 pandemic or slow its spread, governments around the world have also enacted various measures, including orders to close all businesses not deemed “essential,” isolate residents in their homes or places of residence, and practice social distancing. In addition, the United States and other countries in which we operate have imposed measures such as quarantines and “shelter-in-place” orders that restrict business operations and travel and require individuals to WFH, which has impacted all aspects of our business, as well as those of the third-parties we rely upon for our manufacturing, assembly, testing, shipping and other operations. The current and future spread of COVID-19 variants may cause the reinstatement of one or more of these measures.</w:t>
      </w:r>
    </w:p>
    <w:p>
      <w:pPr>
        <w:spacing w:after="0" w:line="16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We anticipate the global health crisis caused by the COVID-19 pandemic will continue to impact business activity across the globe and will continue to impact our business, employees and operations for the foreseeable future. We believe that the COVID-19 pandemic could cause delay and disruption in the manufacture, shipment, and sales of, and overall demand for, our products. In addition, we believe the production capabilities of our suppliers has been, and may continue to be, impacted as a result of quarantines, closures of production facilities, lack of supplies, or delays caused by restrictions on travel or WFH orders. For example, in March 2020, the government of Malaysia announced measures to restrict movement in that country to suppress the number of COVID-19 cases, which were extended until October 2021.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we have experienced minimal impact from any supplier disruption resulting from COVID-19. 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79"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employees, service providers, customers and results of operations.</w:t>
      </w:r>
    </w:p>
    <w:p>
      <w:pPr>
        <w:spacing w:after="0" w:line="17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There remains a high degree of uncertainty in the global business environment given the impact of the COVID-19 pandemic which creates challenges with visibility beyond the near term.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remainder of fiscal 2021 or beyond. For additional discussion, please see Part II, Item 1A Risk Factors of this report.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r>
      <w:tr>
        <w:trPr>
          <w:trHeight w:val="196"/>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6"/>
          </w:tcPr>
          <w:p>
            <w:pPr>
              <w:jc w:val="right"/>
              <w:ind w:right="205"/>
              <w:spacing w:after="0"/>
              <w:rPr>
                <w:sz w:val="20"/>
                <w:szCs w:val="20"/>
                <w:color w:val="auto"/>
              </w:rPr>
            </w:pPr>
            <w:r>
              <w:rPr>
                <w:rFonts w:ascii="Arial" w:cs="Arial" w:eastAsia="Arial" w:hAnsi="Arial"/>
                <w:sz w:val="14"/>
                <w:szCs w:val="14"/>
                <w:b w:val="1"/>
                <w:bCs w:val="1"/>
                <w:color w:val="auto"/>
              </w:rPr>
              <w:t>(in thousands except percentage)</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63,029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32,667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30,362</w:t>
            </w:r>
          </w:p>
        </w:tc>
        <w:tc>
          <w:tcPr>
            <w:tcW w:w="22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93 %   $</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143,067</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75,882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67,185</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89 %</w:t>
            </w:r>
          </w:p>
        </w:tc>
      </w:tr>
    </w:tbl>
    <w:p>
      <w:pPr>
        <w:spacing w:after="0" w:line="269"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Revenue increased by $30.4 million, or 93%, for the three months ended September 30, 2021 compared to the same period in the prior year. The increase was primarily related to 33% higher volume of shipments year over year and an increase of 45% in average selling price (“ASPs”) of our products. The increase in sales volume was driven by higher demand for our products from new and existing customers, including new design wins at new and existing customers. The ASP increase was related to change in mix of the products we shipped and increase in selling prices for certain products.</w:t>
      </w:r>
    </w:p>
    <w:p>
      <w:pPr>
        <w:spacing w:after="0" w:line="156"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Revenue increased by $67.2 million, or 89%, for the nine months ended September 30, 2021 compared to the same period in the prior year. The increase was primarily related to 44% higher volume of shipments year over year and an increase of 31% in ASPs. The increase in sales volume was driven by higher demand for our products from new and existing customers, including new design wins at new and existing customers. The ASP increase was related to change in mix of the products we shipped and increase in selling prices for certain products.</w:t>
      </w:r>
    </w:p>
    <w:p>
      <w:pPr>
        <w:spacing w:after="0" w:line="170"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We expect our revenue to fluctuate in the future primarily based on the volume of shipments and ASP changes. We may not be able to sustain our ASP increases in the future at this current rate.</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For the three and nine months ended September 30, 2021 and 2020, sales attributable to our largest end customer accounted for 20%, 23%, 45%, and 36%, respectively, of our revenue. Our end customers predominantly purchase our products from distributors. For the three and nine months ended September 30, 2021 and 2020, our top three distributors by revenue together accounted for approximately 45%, 49%, 61%, and 57%, respectively, of our revenue. Revenue attributable to our largest ten end customers accounted for 46%, 48%, 63% and 55%, respectively, of our revenue for the three and nine months ended September 30, 2021 and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35" w:lineRule="exact"/>
        <w:rPr>
          <w:sz w:val="20"/>
          <w:szCs w:val="20"/>
          <w:color w:val="auto"/>
        </w:rPr>
      </w:pPr>
    </w:p>
    <w:p>
      <w:pPr>
        <w:jc w:val="both"/>
        <w:ind w:right="420"/>
        <w:spacing w:after="0" w:line="296"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6"/>
                <w:szCs w:val="16"/>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3"/>
              </w:rPr>
              <w:t>Nine Months Ended September 30,</w:t>
            </w:r>
          </w:p>
        </w:tc>
        <w:tc>
          <w:tcPr>
            <w:tcW w:w="100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r>
      <w:tr>
        <w:trPr>
          <w:trHeight w:val="196"/>
        </w:trPr>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2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(in thousands except percentage)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gridSpan w:val="7"/>
          </w:tcPr>
          <w:p>
            <w:pPr>
              <w:spacing w:after="0"/>
              <w:rPr>
                <w:sz w:val="20"/>
                <w:szCs w:val="20"/>
                <w:color w:val="auto"/>
              </w:rPr>
            </w:pPr>
            <w:r>
              <w:rPr>
                <w:rFonts w:ascii="Arial" w:cs="Arial" w:eastAsia="Arial" w:hAnsi="Arial"/>
                <w:sz w:val="14"/>
                <w:szCs w:val="14"/>
                <w:b w:val="1"/>
                <w:bCs w:val="1"/>
                <w:color w:val="auto"/>
              </w:rPr>
              <w:t>(in thousands except percentage)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21,334</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15,765</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5,569</w:t>
            </w:r>
          </w:p>
        </w:tc>
        <w:tc>
          <w:tcPr>
            <w:tcW w:w="18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35 %  $</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55,727</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39,021</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16,706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43 %</w:t>
            </w:r>
          </w:p>
        </w:tc>
      </w:tr>
      <w:tr>
        <w:trPr>
          <w:trHeight w:val="220"/>
        </w:trPr>
        <w:tc>
          <w:tcPr>
            <w:tcW w:w="23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41,695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24,793</w:t>
            </w:r>
          </w:p>
        </w:tc>
        <w:tc>
          <w:tcPr>
            <w:tcW w:w="1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147 %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87,340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36,861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50,479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137 %</w:t>
            </w:r>
          </w:p>
        </w:tc>
      </w:tr>
      <w:tr>
        <w:trPr>
          <w:trHeight w:val="239"/>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66 %</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52 %</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61 %</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49 %</w:t>
            </w: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bl>
    <w:p>
      <w:pPr>
        <w:spacing w:after="0" w:line="256"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Gross profit increased by $24.8 million in the three months ended September 30, 2021 compared to the same period in the prior year. Gross profit increased $26.0 million mainly from higher sales volume and an increase in ASPs of our products. This increase was partially offset by higher other manufacturing and overhead costs of $1.2 million of which $0.3 million was related to higher stock-based compensation expense.</w:t>
      </w:r>
    </w:p>
    <w:p>
      <w:pPr>
        <w:spacing w:after="0" w:line="164"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Gross profit increased by $50.5 million in the nine months ended September 30, 2021 compared to the same period in the prior year. Gross profit increased $54.2 million mainly from higher sales volume and an increase in ASPs of our products. This increase was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offset by higher other manufacturing and overhead costs of $3.7 million of which $1.0 million was related to higher stock-based compensation expense.</w:t>
      </w:r>
    </w:p>
    <w:p>
      <w:pPr>
        <w:spacing w:after="0" w:line="262"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Gross margin was higher by 14 basis points in the three months ended September 30, 2021 when compared to the same period in the prior year. The gross margin increased by 12 basis points from higher sales volume and an increase in ASPs. There was additional 2 basis points improvement in our other manufacturing costs as it decreased as a percentage of revenue.</w:t>
      </w:r>
    </w:p>
    <w:p>
      <w:pPr>
        <w:spacing w:after="0" w:line="183"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Gross margin was higher by 12 basis points in the nine months ended September 30, 2021 when compared to the same period in the prior year. The gross margin increased by 10 basis points from higher sales volume and an increase in ASPs. There was additional 2 basis points improvement in our other manufacturing costs as it decreased as a percentage of revenue.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35" w:lineRule="exact"/>
        <w:rPr>
          <w:sz w:val="20"/>
          <w:szCs w:val="20"/>
          <w:color w:val="auto"/>
        </w:rPr>
      </w:pPr>
    </w:p>
    <w:p>
      <w:pPr>
        <w:ind w:right="220"/>
        <w:spacing w:after="0" w:line="303"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w w:val="93"/>
              </w:rPr>
              <w:t>Nine Months Ended September 30,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8"/>
          </w:tcPr>
          <w:p>
            <w:pPr>
              <w:ind w:left="900"/>
              <w:spacing w:after="0"/>
              <w:rPr>
                <w:sz w:val="20"/>
                <w:szCs w:val="20"/>
                <w:color w:val="auto"/>
              </w:rPr>
            </w:pPr>
            <w:r>
              <w:rPr>
                <w:rFonts w:ascii="Arial" w:cs="Arial" w:eastAsia="Arial" w:hAnsi="Arial"/>
                <w:sz w:val="14"/>
                <w:szCs w:val="14"/>
                <w:b w:val="1"/>
                <w:bCs w:val="1"/>
                <w:color w:val="auto"/>
              </w:rPr>
              <w:t>(in thousands except percentage)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gridSpan w:val="9"/>
          </w:tcPr>
          <w:p>
            <w:pPr>
              <w:ind w:left="940"/>
              <w:spacing w:after="0"/>
              <w:rPr>
                <w:sz w:val="20"/>
                <w:szCs w:val="20"/>
                <w:color w:val="auto"/>
              </w:rPr>
            </w:pPr>
            <w:r>
              <w:rPr>
                <w:rFonts w:ascii="Arial" w:cs="Arial" w:eastAsia="Arial" w:hAnsi="Arial"/>
                <w:sz w:val="14"/>
                <w:szCs w:val="14"/>
                <w:b w:val="1"/>
                <w:bCs w:val="1"/>
                <w:color w:val="auto"/>
              </w:rPr>
              <w:t>(in thousands except percentage)</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13,005</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8,484</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4,521</w:t>
            </w: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53 %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36,252</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22,906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13,346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w:t>
            </w:r>
          </w:p>
        </w:tc>
        <w:tc>
          <w:tcPr>
            <w:tcW w:w="1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14,616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8,978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5,638</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38,425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24,642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13,783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63 %</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27,621</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17,462</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10,159</w:t>
            </w: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58 %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74,677</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47,548</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27,129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-176530</wp:posOffset>
            </wp:positionV>
            <wp:extent cx="13716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-176530</wp:posOffset>
            </wp:positionV>
            <wp:extent cx="13716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-176530</wp:posOffset>
            </wp:positionV>
            <wp:extent cx="13716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-176530</wp:posOffset>
            </wp:positionV>
            <wp:extent cx="1200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-176530</wp:posOffset>
            </wp:positionV>
            <wp:extent cx="1200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-176530</wp:posOffset>
            </wp:positionV>
            <wp:extent cx="1200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193"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color w:val="auto"/>
        </w:rPr>
        <w:t>Research and development expense increased by $4.5 million, or 53%, for the three months ended September 30, 2021 compared to the same period in the prior year, primarily due to higher personnel costs of $2.9 million due to increased headcount, an increase in stock-based compensation expense of $1.5 million, and higher project expenses of $1.2 million, offset by non-recurring engineering contra-expense recognized of $0.9 million.</w:t>
      </w:r>
    </w:p>
    <w:p>
      <w:pPr>
        <w:spacing w:after="0" w:line="148"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Research and development expense increased by $13.3 million, or 58%, for the nine months ended September 30, 2021 compared to the same period in the prior year, primarily due to higher personnel costs of $6.5 million due to increased headcount, an increase in stock-based compensation expense of $5.1 million, and higher project expenses of $2.8 million, offset by non-recurring engineering contra-expense recognized of $1.0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31" w:lineRule="exact"/>
        <w:rPr>
          <w:sz w:val="20"/>
          <w:szCs w:val="20"/>
          <w:color w:val="auto"/>
        </w:rPr>
      </w:pPr>
    </w:p>
    <w:p>
      <w:pPr>
        <w:jc w:val="both"/>
        <w:ind w:right="120"/>
        <w:spacing w:after="0" w:line="296"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Selling, general and administrative expense increased by $5.6 million, or 63%, for the three months ended September 30, 2021 compared to the same period in the prior year, primarily due to higher personnel costs of $2.9 million related to increased headcount and commissions, higher consulting fees of $1.0 million, and higher stock-based compensation expense of $0.9 million.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right="60"/>
        <w:spacing w:after="0" w:line="329" w:lineRule="auto"/>
        <w:rPr>
          <w:sz w:val="20"/>
          <w:szCs w:val="20"/>
          <w:color w:val="auto"/>
        </w:rPr>
      </w:pPr>
      <w:r>
        <w:rPr>
          <w:rFonts w:ascii="Arial" w:cs="Arial" w:eastAsia="Arial" w:hAnsi="Arial"/>
          <w:sz w:val="16"/>
          <w:szCs w:val="16"/>
          <w:color w:val="auto"/>
        </w:rPr>
        <w:t>Selling, general and administrative expense increased by $13.8 million, or 56%, for the nine months ended September 30, 2021 compared to the same period in the prior year, primarily due to higher stock-based compensation expense of $4.9 million, higher personnel costs of $3.3 million largely related to increased headcount, and higher commission expenses of $3.2 million due to increased revenue, and higher consulting fees of $1.4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13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Other expense (income) consists primarily of interest expense on our outstanding debt, interest income on our cash balances, and foreign exchange gains and losses.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2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 September 30,</w:t>
            </w:r>
          </w:p>
        </w:tc>
        <w:tc>
          <w:tcPr>
            <w:tcW w:w="200" w:type="dxa"/>
            <w:vAlign w:val="bottom"/>
          </w:tcPr>
          <w:p>
            <w:pPr>
              <w:spacing w:after="0"/>
              <w:rPr>
                <w:sz w:val="16"/>
                <w:szCs w:val="16"/>
                <w:color w:val="auto"/>
              </w:rPr>
            </w:pP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6"/>
                <w:szCs w:val="16"/>
                <w:color w:val="auto"/>
              </w:rPr>
            </w:pP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96"/>
        </w:trPr>
        <w:tc>
          <w:tcPr>
            <w:tcW w:w="24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r>
      <w:tr>
        <w:trPr>
          <w:trHeight w:val="196"/>
        </w:trPr>
        <w:tc>
          <w:tcPr>
            <w:tcW w:w="2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(in thousands except percentage)</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gridSpan w:val="9"/>
          </w:tcPr>
          <w:p>
            <w:pPr>
              <w:ind w:left="880"/>
              <w:spacing w:after="0"/>
              <w:rPr>
                <w:sz w:val="20"/>
                <w:szCs w:val="20"/>
                <w:color w:val="auto"/>
              </w:rPr>
            </w:pPr>
            <w:r>
              <w:rPr>
                <w:rFonts w:ascii="Arial" w:cs="Arial" w:eastAsia="Arial" w:hAnsi="Arial"/>
                <w:sz w:val="14"/>
                <w:szCs w:val="14"/>
                <w:b w:val="1"/>
                <w:bCs w:val="1"/>
                <w:color w:val="auto"/>
              </w:rPr>
              <w:t>(in thousands except percentage)</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2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780" w:type="dxa"/>
            <w:vAlign w:val="bottom"/>
            <w:shd w:val="clear" w:color="auto" w:fill="CFF0FC"/>
          </w:tcPr>
          <w:p>
            <w:pPr>
              <w:jc w:val="right"/>
              <w:ind w:right="60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(110 )</w:t>
            </w:r>
          </w:p>
        </w:tc>
        <w:tc>
          <w:tcPr>
            <w:tcW w:w="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(726 )</w:t>
            </w: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(100 %)</w:t>
            </w:r>
          </w:p>
        </w:tc>
      </w:tr>
      <w:tr>
        <w:trPr>
          <w:trHeight w:val="227"/>
        </w:trPr>
        <w:tc>
          <w:tcPr>
            <w:tcW w:w="24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(3 )</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(3767 %)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(51 )</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(449 %)</w:t>
            </w:r>
          </w:p>
        </w:tc>
      </w:tr>
      <w:tr>
        <w:trPr>
          <w:trHeight w:val="20"/>
        </w:trPr>
        <w:tc>
          <w:tcPr>
            <w:tcW w:w="2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46"/>
        </w:trPr>
        <w:tc>
          <w:tcPr>
            <w:tcW w:w="2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other expense</w:t>
            </w:r>
          </w:p>
        </w:tc>
        <w:tc>
          <w:tcPr>
            <w:tcW w:w="780" w:type="dxa"/>
            <w:vAlign w:val="bottom"/>
            <w:shd w:val="clear" w:color="auto" w:fill="CFF0FC"/>
          </w:tcPr>
          <w:p>
            <w:pPr>
              <w:jc w:val="right"/>
              <w:ind w:right="60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(497 )</w:t>
            </w: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(74 %)</w:t>
            </w:r>
          </w:p>
        </w:tc>
      </w:tr>
      <w:tr>
        <w:trPr>
          <w:trHeight w:val="20"/>
        </w:trPr>
        <w:tc>
          <w:tcPr>
            <w:tcW w:w="24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-25400</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-8255</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-25400</wp:posOffset>
            </wp:positionV>
            <wp:extent cx="1460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-8255</wp:posOffset>
            </wp:positionV>
            <wp:extent cx="1460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1460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1460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1200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120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1289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289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1289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1289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4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Other expense decreased by $0.5 million for the nine months ended September 30, 2021 compared to the same period in the prior year, primarily as a result of interest expense savings from paying down of all our outstanding loans under our credit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3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r>
      <w:tr>
        <w:trPr>
          <w:trHeight w:val="196"/>
        </w:trPr>
        <w:tc>
          <w:tcPr>
            <w:tcW w:w="2480" w:type="dxa"/>
            <w:vAlign w:val="bottom"/>
          </w:tcPr>
          <w:p>
            <w:pPr>
              <w:spacing w:after="0"/>
              <w:rPr>
                <w:sz w:val="17"/>
                <w:szCs w:val="17"/>
                <w:color w:val="auto"/>
              </w:rPr>
            </w:pPr>
          </w:p>
        </w:tc>
        <w:tc>
          <w:tcPr>
            <w:tcW w:w="8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w:t>
            </w:r>
          </w:p>
        </w:tc>
      </w:tr>
      <w:tr>
        <w:trPr>
          <w:trHeight w:val="196"/>
        </w:trPr>
        <w:tc>
          <w:tcPr>
            <w:tcW w:w="2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8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(in thousands except percentage)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(in thousands except percentage)</w:t>
            </w:r>
          </w:p>
        </w:tc>
        <w:tc>
          <w:tcPr>
            <w:tcW w:w="760" w:type="dxa"/>
            <w:vAlign w:val="bottom"/>
          </w:tcPr>
          <w:p>
            <w:pPr>
              <w:spacing w:after="0"/>
              <w:rPr>
                <w:sz w:val="17"/>
                <w:szCs w:val="17"/>
                <w:color w:val="auto"/>
              </w:rPr>
            </w:pPr>
          </w:p>
        </w:tc>
      </w:tr>
      <w:tr>
        <w:trPr>
          <w:trHeight w:val="235"/>
        </w:trPr>
        <w:tc>
          <w:tcPr>
            <w:tcW w:w="2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880" w:type="dxa"/>
            <w:vAlign w:val="bottom"/>
            <w:shd w:val="clear" w:color="auto" w:fill="CFF0FC"/>
          </w:tcPr>
          <w:p>
            <w:pPr>
              <w:jc w:val="right"/>
              <w:ind w:right="705"/>
              <w:spacing w:after="0"/>
              <w:rPr>
                <w:sz w:val="20"/>
                <w:szCs w:val="20"/>
                <w:color w:val="auto"/>
              </w:rPr>
            </w:pPr>
            <w:r>
              <w:rPr>
                <w:rFonts w:ascii="Arial" w:cs="Arial" w:eastAsia="Arial" w:hAnsi="Arial"/>
                <w:sz w:val="16"/>
                <w:szCs w:val="16"/>
                <w:color w:val="auto"/>
                <w:w w:val="89"/>
              </w:rPr>
              <w:t>$</w:t>
            </w:r>
          </w:p>
        </w:tc>
        <w:tc>
          <w:tcPr>
            <w:tcW w:w="1540" w:type="dxa"/>
            <w:vAlign w:val="bottom"/>
            <w:gridSpan w:val="3"/>
            <w:shd w:val="clear" w:color="auto" w:fill="CFF0FC"/>
          </w:tcPr>
          <w:p>
            <w:pPr>
              <w:jc w:val="right"/>
              <w:ind w:right="828"/>
              <w:spacing w:after="0"/>
              <w:rPr>
                <w:sz w:val="20"/>
                <w:szCs w:val="20"/>
                <w:color w:val="auto"/>
              </w:rPr>
            </w:pPr>
            <w:r>
              <w:rPr>
                <w:rFonts w:ascii="Arial" w:cs="Arial" w:eastAsia="Arial" w:hAnsi="Arial"/>
                <w:sz w:val="16"/>
                <w:szCs w:val="16"/>
                <w:color w:val="auto"/>
              </w:rPr>
              <w:t>(4 )  $</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FF0FC"/>
          </w:tcPr>
          <w:p>
            <w:pPr>
              <w:jc w:val="right"/>
              <w:ind w:right="268"/>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w w:val="89"/>
              </w:rPr>
              <w:t>n/a</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(67 )</w:t>
            </w:r>
          </w:p>
        </w:tc>
        <w:tc>
          <w:tcPr>
            <w:tcW w:w="980" w:type="dxa"/>
            <w:vAlign w:val="bottom"/>
            <w:shd w:val="clear" w:color="auto" w:fill="CFF0FC"/>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(1 )  $</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(66 )</w:t>
            </w:r>
          </w:p>
        </w:tc>
        <w:tc>
          <w:tcPr>
            <w:tcW w:w="7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6600%</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As of September 30, 2021 and December 31, 2020, we had cash and cash equivalents of $267.0 million and $73.5 million, respectively. Our principal use of cash is to fund our operations to support growth.</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 June 2020, we completed a follow-on public offering of our shares, resulting in net proceeds to us of $45.8 million after deducting underwriting discounts and commissions and deferred offering costs. We used the funds obtained to pay down all our outstanding debt. In February 2021, we completed an additional follow-on public offering of our shares, resulting in net proceeds to us of $181.6 million after deducting underwriting discounts and commissions and deferred offering costs.</w:t>
      </w:r>
    </w:p>
    <w:p>
      <w:pPr>
        <w:spacing w:after="0" w:line="185"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We believe that our existing cash and cash equivalents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3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34,413</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(22,484 )</w:t>
            </w:r>
          </w:p>
        </w:tc>
        <w:tc>
          <w:tcPr>
            <w:tcW w:w="10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(5,349 )</w:t>
            </w:r>
          </w:p>
        </w:tc>
        <w:tc>
          <w:tcPr>
            <w:tcW w:w="0" w:type="dxa"/>
            <w:vAlign w:val="bottom"/>
          </w:tcPr>
          <w:p>
            <w:pPr>
              <w:spacing w:after="0"/>
              <w:rPr>
                <w:sz w:val="1"/>
                <w:szCs w:val="1"/>
                <w:color w:val="auto"/>
              </w:rPr>
            </w:pPr>
          </w:p>
        </w:tc>
      </w:tr>
      <w:tr>
        <w:trPr>
          <w:trHeight w:val="263"/>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3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181,588</w:t>
            </w:r>
          </w:p>
        </w:tc>
        <w:tc>
          <w:tcPr>
            <w:tcW w:w="2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3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193,517</w:t>
            </w:r>
          </w:p>
        </w:tc>
        <w:tc>
          <w:tcPr>
            <w:tcW w:w="280" w:type="dxa"/>
            <w:vAlign w:val="bottom"/>
          </w:tcPr>
          <w:p>
            <w:pPr>
              <w:spacing w:after="0"/>
              <w:rPr>
                <w:sz w:val="21"/>
                <w:szCs w:val="21"/>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380" w:type="dxa"/>
            <w:vAlign w:val="bottom"/>
            <w:vMerge w:val="restart"/>
          </w:tcPr>
          <w:p>
            <w:pPr>
              <w:jc w:val="right"/>
              <w:ind w:right="1830"/>
              <w:spacing w:after="0"/>
              <w:rPr>
                <w:sz w:val="20"/>
                <w:szCs w:val="20"/>
                <w:color w:val="auto"/>
              </w:rPr>
            </w:pPr>
            <w:r>
              <w:rPr>
                <w:rFonts w:ascii="Arial" w:cs="Arial" w:eastAsia="Arial" w:hAnsi="Arial"/>
                <w:sz w:val="18"/>
                <w:szCs w:val="18"/>
                <w:color w:val="auto"/>
              </w:rPr>
              <w:t>21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-639445</wp:posOffset>
            </wp:positionV>
            <wp:extent cx="1803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-639445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In the nine months ended September 30, 2021, net cash provided by operating activities of $34.4 million was primarily due to a net profit of $12.4 million and non-cash expenses of $27.1 million, partially offset by a net outflow in operating assets and liabilities of $5.0 million. Non-cash expenses were mainly related to depreciation and amortization and stock-based compensation expense. Operating assets and liabilities increased primarily due to higher accounts payable due to timing of payments, higher accounts receivables due to timing of shipments partially offset by an increase in inventories as we managed our inventory levels for increased demand, and higher accrued expenses increased primarily due to recording advanced payments received for NRE services as deferred liabilities.</w:t>
      </w:r>
    </w:p>
    <w:p>
      <w:pPr>
        <w:spacing w:after="0" w:line="191"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In the nine months ended September 30, 2020, net cash provided by operating activities of $9.8 million was primarily due to a net loss of $11.4 million offset by non-cash expenses of $16.1 million and a change in operating assets and liabilities of $5.2 million. Non-cash expenses were mainly related to depreciation and amortization, stock-based compensation expense. Operating assets and liabilities increased primarily due to lower prepaid expenses and other current assets related to advance payments to suppliers for inventory and higher accounts payable and accrued expenses and other liabilities due to timing of payments partially offset by an increase in inventories as we managed our inventory levels and lower lease liabilities due to timing of payments.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the nine months ended September 30, 2021, net cash used in investing activities was $22.5 million. We paid $20.1 million largely to purchase test and other manufacturing equipment to support the increase in demand of our products and other property and equipment for general business purposes. We paid $2.4 million to purchase intangible assets.</w:t>
      </w:r>
    </w:p>
    <w:p>
      <w:pPr>
        <w:spacing w:after="0" w:line="18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In the nine months ended September 30, 2020, net cash used in investing activities was approximately $5.3 million and consisted primarily of the purchase of production masks, internally developed software, and other property and equipment for general business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includes proceeds from borrowings under our credit facilities and proceeds from issuance of shares.</w:t>
      </w:r>
    </w:p>
    <w:p>
      <w:pPr>
        <w:spacing w:after="0" w:line="239" w:lineRule="exact"/>
        <w:rPr>
          <w:sz w:val="20"/>
          <w:szCs w:val="20"/>
          <w:color w:val="auto"/>
        </w:rPr>
      </w:pPr>
    </w:p>
    <w:p>
      <w:pPr>
        <w:ind w:right="40"/>
        <w:spacing w:after="0" w:line="324" w:lineRule="auto"/>
        <w:rPr>
          <w:sz w:val="20"/>
          <w:szCs w:val="20"/>
          <w:color w:val="auto"/>
        </w:rPr>
      </w:pPr>
      <w:r>
        <w:rPr>
          <w:rFonts w:ascii="Arial" w:cs="Arial" w:eastAsia="Arial" w:hAnsi="Arial"/>
          <w:sz w:val="17"/>
          <w:szCs w:val="17"/>
          <w:color w:val="auto"/>
        </w:rPr>
        <w:t>In the nine months ended September 30, 2021, net cash provided by financing activities was $181.6 million, consisting of proceeds from issuance of shares of $190.5 million net of underwriting commissions and discounts of $8.6 million and deferred offering costs of $0.3 million.</w:t>
      </w:r>
    </w:p>
    <w:p>
      <w:pPr>
        <w:spacing w:after="0" w:line="14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 the nine months ended September 30, 2020 net cash provided by financing activities was $1.3 million, consisting of proceeds from issuance of shares of $45.8 million net of underwriting commissions and discounts of $2.7 million and deferred offering costs of $0.3 million and borrowings of $35.0 million offset by repayments of $76.0 million under our short-term revolving line of credit and $3.5 million payment of tax withholdings paid on behalf of employees for net share settlement at the time of vesting.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24" w:name="page25"/>
    <w:bookmarkEnd w:id="24"/>
    <w:p>
      <w:pPr>
        <w:ind w:right="40"/>
        <w:spacing w:after="0" w:line="270" w:lineRule="auto"/>
        <w:rPr>
          <w:sz w:val="20"/>
          <w:szCs w:val="20"/>
          <w:color w:val="auto"/>
        </w:rPr>
      </w:pPr>
      <w:r>
        <w:rPr>
          <w:rFonts w:ascii="Arial" w:cs="Arial" w:eastAsia="Arial" w:hAnsi="Arial"/>
          <w:sz w:val="18"/>
          <w:szCs w:val="18"/>
          <w:color w:val="auto"/>
        </w:rPr>
        <w:t>inherently uncertain. Based on this definition, we have identified our most critical accounting policies and estimates to be as follows: (1) revenue recognition; (2) inventory; (3) stock-based compensation; (4) accounting for income taxes and (5) segment reporting.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2020 filed with the SEC on February 16, 2021.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3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jc w:val="both"/>
        <w:ind w:right="180"/>
        <w:spacing w:after="0" w:line="279" w:lineRule="auto"/>
        <w:rPr>
          <w:sz w:val="20"/>
          <w:szCs w:val="20"/>
          <w:color w:val="auto"/>
        </w:rPr>
      </w:pPr>
      <w:r>
        <w:rPr>
          <w:rFonts w:ascii="Arial" w:cs="Arial" w:eastAsia="Arial" w:hAnsi="Arial"/>
          <w:sz w:val="18"/>
          <w:szCs w:val="18"/>
          <w:color w:val="auto"/>
        </w:rPr>
        <w:t>We had cash and cash equivalents of $267.0 million and $73.5 million as of September 30, 2021 and December 31, 2020, respectively, consisting of bank deposits. Such interest-earning instruments carry a degree of interest rate risk. To date, fluctuations in interest income have not been significant. We paid down all of our debt in 2020.</w:t>
      </w:r>
    </w:p>
    <w:p>
      <w:pPr>
        <w:spacing w:after="0" w:line="18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83"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52" w:lineRule="exact"/>
        <w:rPr>
          <w:sz w:val="20"/>
          <w:szCs w:val="20"/>
          <w:color w:val="auto"/>
        </w:rPr>
      </w:pPr>
    </w:p>
    <w:p>
      <w:pPr>
        <w:ind w:right="420"/>
        <w:spacing w:after="0" w:line="324"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ind w:right="120"/>
        <w:spacing w:after="0" w:line="348"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31"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The effects of the ongoing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imposed measures such as quarantines and “shelter-in-place” orders that restrict business operations and travel and require individuals to work from home (“WFH”), which has impacted all aspects of our business as well as those of the third-parties we rely upon for our manufacturing, assembly, testing, shipping, and other operations. The continuation of WFH and other restrictions for an extended period of time may negatively impact our productivity, product development, operations, sales and support, business and financial results. Among other things, the continued COVID-19 pandemic may result in:</w:t>
      </w:r>
    </w:p>
    <w:p>
      <w:pPr>
        <w:spacing w:after="0" w:line="73" w:lineRule="exact"/>
        <w:rPr>
          <w:sz w:val="20"/>
          <w:szCs w:val="20"/>
          <w:color w:val="auto"/>
        </w:rPr>
      </w:pPr>
    </w:p>
    <w:p>
      <w:pPr>
        <w:ind w:left="700" w:hanging="31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23" w:lineRule="exact"/>
        <w:rPr>
          <w:rFonts w:ascii="Arial" w:cs="Arial" w:eastAsia="Arial" w:hAnsi="Arial"/>
          <w:sz w:val="18"/>
          <w:szCs w:val="18"/>
          <w:color w:val="auto"/>
        </w:rPr>
      </w:pPr>
    </w:p>
    <w:p>
      <w:pPr>
        <w:ind w:left="700" w:hanging="31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22" w:lineRule="exact"/>
        <w:rPr>
          <w:rFonts w:ascii="Arial" w:cs="Arial" w:eastAsia="Arial" w:hAnsi="Arial"/>
          <w:sz w:val="18"/>
          <w:szCs w:val="18"/>
          <w:color w:val="auto"/>
        </w:rPr>
      </w:pPr>
    </w:p>
    <w:p>
      <w:pPr>
        <w:ind w:left="700" w:hanging="31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22" w:lineRule="exact"/>
        <w:rPr>
          <w:rFonts w:ascii="Arial" w:cs="Arial" w:eastAsia="Arial" w:hAnsi="Arial"/>
          <w:sz w:val="18"/>
          <w:szCs w:val="18"/>
          <w:color w:val="auto"/>
        </w:rPr>
      </w:pPr>
    </w:p>
    <w:p>
      <w:pPr>
        <w:ind w:left="700" w:hanging="31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22" w:lineRule="exact"/>
        <w:rPr>
          <w:rFonts w:ascii="Arial" w:cs="Arial" w:eastAsia="Arial" w:hAnsi="Arial"/>
          <w:sz w:val="18"/>
          <w:szCs w:val="18"/>
          <w:color w:val="auto"/>
        </w:rPr>
      </w:pPr>
    </w:p>
    <w:p>
      <w:pPr>
        <w:ind w:left="700" w:hanging="31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22" w:lineRule="exact"/>
        <w:rPr>
          <w:rFonts w:ascii="Arial" w:cs="Arial" w:eastAsia="Arial" w:hAnsi="Arial"/>
          <w:sz w:val="18"/>
          <w:szCs w:val="18"/>
          <w:color w:val="auto"/>
        </w:rPr>
      </w:pPr>
    </w:p>
    <w:p>
      <w:pPr>
        <w:ind w:left="700" w:hanging="31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238"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183"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As a result of the COVID-19 pandemic, we believe we have experienced some delay and disruption in the manufacture, shipment, and sales of our products. In addition, we believe the production capabilities of our suppliers has been, and will likely continue to be, impacted as a result of quarantines, closures of production facilities, lack of supplies, or delays caused by restrictions on travel or WFH orders. Further, as WFH orders terminate and individuals return to work in offices, we may experience a reduction in demand for certain of our products that are incorporated in our customers’ products that experienced higher demand as a result of the increase in WFH during the COVID-19 pandemic. The continued disruption in the manufacture, shipment and sales of our products may negatively and materially impact our operating results. The resumption of normal business operations after such disruptions may be delayed and a resurgence of COVID-19 could occur resulting in continued disruption to us, our suppliers, and/or our customers. As a result, the effects of the COVID-19 pandemic could have a material adverse impact on our business, results of operations and financial condition in the future.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COVID-19 pandemic could cause an extended downturn in the worldwide economy, which would likely result in reduced demand for our products and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ind w:right="220"/>
        <w:spacing w:after="0" w:line="324" w:lineRule="auto"/>
        <w:rPr>
          <w:sz w:val="20"/>
          <w:szCs w:val="20"/>
          <w:color w:val="auto"/>
        </w:rPr>
      </w:pPr>
      <w:r>
        <w:rPr>
          <w:rFonts w:ascii="Arial" w:cs="Arial" w:eastAsia="Arial" w:hAnsi="Arial"/>
          <w:sz w:val="17"/>
          <w:szCs w:val="17"/>
          <w:color w:val="auto"/>
        </w:rPr>
        <w:t>and other parties. Adverse economic conditions may also result in a higher rate of losses on our accounts receivables due to credit defaults. As a result, a downturn in the worldwide economy could have a material adverse effect on our business, results of operations, and financial condition.</w:t>
      </w:r>
    </w:p>
    <w:p>
      <w:pPr>
        <w:spacing w:after="0" w:line="3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163"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are currently a number of industry-wide supply constraints affecting the supply of analog circuits manufactured by certain foundries, including TSMC, and affecting outsourced semiconductor assembly and test providers (“OSATs”), which has limited and may continue to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currently primarily rely on Advanced Semiconductor Engineering, Inc. (“ASE”), Carsem (M) Sdn. Bhd. (“Carsem”), and United Test and Assembly Center Ltd. (“UTAC”) for assembly and testing, as well as Daishinku Corp. (“Daishinku”) and UTAC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185"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For example, in March 2020, the government of Malaysia announced measures to restrict movement in that country in an effort to suppress the number of COVID-19 cases. The restrictions have been extended several times. Restrictions like these could limit our suppliers’ ability to operate their manufacturing facilities.</w:t>
      </w:r>
    </w:p>
    <w:p>
      <w:pPr>
        <w:spacing w:after="0" w:line="181"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7" w:name="page28"/>
    <w:bookmarkEnd w:id="27"/>
    <w:p>
      <w:pPr>
        <w:spacing w:after="0" w:line="290" w:lineRule="auto"/>
        <w:rPr>
          <w:sz w:val="20"/>
          <w:szCs w:val="20"/>
          <w:color w:val="auto"/>
        </w:rPr>
      </w:pPr>
      <w:r>
        <w:rPr>
          <w:rFonts w:ascii="Arial" w:cs="Arial" w:eastAsia="Arial" w:hAnsi="Arial"/>
          <w:sz w:val="17"/>
          <w:szCs w:val="17"/>
          <w:color w:val="auto"/>
        </w:rPr>
        <w:t>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176"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272" w:lineRule="exact"/>
        <w:rPr>
          <w:sz w:val="20"/>
          <w:szCs w:val="20"/>
          <w:color w:val="auto"/>
        </w:rPr>
      </w:pPr>
    </w:p>
    <w:p>
      <w:pPr>
        <w:ind w:right="440"/>
        <w:spacing w:after="0" w:line="324"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20%, 23%, 45% and 36% of our revenue for the three and nine months ended September 30, 2021 and 2020, respectively. Revenue attributable to this end customer decreased in absolute dollars and as a percentage of revenue from 2019 to 2020 and increased in absolute dollars but decreased as a percentage of revenue from three and nine months ended September 30, 2020 to 2021.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174"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42"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We sell our products primarily through distributors and resellers, who in turn sell to our end customers. For the three and nine months ended September 30, 2021 and 2020, our top three distributors by revenue together accounted for approximately 45%, 49%, 61%, and 57% of our revenue, respectively. Based on our shipment information, we believe that revenue attributable to our ten largest end customers accounted for 46%, 48%, 63%, and 55% of our revenue in the three and nine months ended September 30, 2021 and 2020, respectively. Sales attributable to our largest end customer accounted for approximately 20%, 23%, 45%, and 36%, respectively of our revenue for the three and nine months ended September 30, 2021 and 2020,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right="620"/>
        <w:spacing w:after="0" w:line="293" w:lineRule="auto"/>
        <w:rPr>
          <w:sz w:val="20"/>
          <w:szCs w:val="20"/>
          <w:color w:val="auto"/>
        </w:rPr>
      </w:pPr>
      <w:r>
        <w:rPr>
          <w:rFonts w:ascii="Arial" w:cs="Arial" w:eastAsia="Arial" w:hAnsi="Arial"/>
          <w:sz w:val="18"/>
          <w:szCs w:val="18"/>
          <w:color w:val="auto"/>
        </w:rPr>
        <w:t>buying our silicon timing systems solutions. If we are unable to expand or further diversify our customer base, it could harm our business, financial condition, and results of operations.</w:t>
      </w:r>
    </w:p>
    <w:p>
      <w:pPr>
        <w:spacing w:after="0" w:line="278"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2"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31"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ASP changes. Though our ASP has increased in 2021 compared to 2020, we may not be able to sustain ASP increases in the future. Factors relating to our business that may contribute to fluctuations in our operating results include the following factors, as well as other factors described elsewhere in this report:</w:t>
      </w:r>
    </w:p>
    <w:p>
      <w:pPr>
        <w:spacing w:after="0" w:line="48" w:lineRule="exact"/>
        <w:rPr>
          <w:sz w:val="20"/>
          <w:szCs w:val="20"/>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30" w:lineRule="exact"/>
        <w:rPr>
          <w:rFonts w:ascii="Arial" w:cs="Arial" w:eastAsia="Arial" w:hAnsi="Arial"/>
          <w:sz w:val="18"/>
          <w:szCs w:val="18"/>
          <w:color w:val="auto"/>
        </w:rPr>
      </w:pPr>
    </w:p>
    <w:p>
      <w:pPr>
        <w:ind w:left="1040" w:right="40" w:hanging="658"/>
        <w:spacing w:after="0" w:line="29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42" w:lineRule="exact"/>
        <w:rPr>
          <w:rFonts w:ascii="Arial" w:cs="Arial" w:eastAsia="Arial" w:hAnsi="Arial"/>
          <w:sz w:val="17"/>
          <w:szCs w:val="17"/>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 and</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w:t>
      </w:r>
    </w:p>
    <w:p>
      <w:pPr>
        <w:spacing w:after="0" w:line="239"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have an accumulated deficit and have incurred net losses in the past, and we may continue to incur net losses in the future.</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As of September 30, 2021, and December 31, 2020, we had an accumulated deficit of $51.0 million and $63.4 million, respectively. We generated a net income of $12.4 million and net loss of $11.4 million in the nine months ended September 30, 2021 and 2020, respectively. We may incur net losses in the future.</w:t>
      </w:r>
    </w:p>
    <w:p>
      <w:pPr>
        <w:spacing w:after="0" w:line="183" w:lineRule="exact"/>
        <w:rPr>
          <w:sz w:val="20"/>
          <w:szCs w:val="20"/>
          <w:color w:val="auto"/>
        </w:rPr>
      </w:pPr>
    </w:p>
    <w:p>
      <w:pPr>
        <w:ind w:right="440"/>
        <w:spacing w:after="0" w:line="329" w:lineRule="auto"/>
        <w:rPr>
          <w:sz w:val="20"/>
          <w:szCs w:val="20"/>
          <w:color w:val="auto"/>
        </w:rPr>
      </w:pPr>
      <w:r>
        <w:rPr>
          <w:rFonts w:ascii="Arial" w:cs="Arial" w:eastAsia="Arial" w:hAnsi="Arial"/>
          <w:sz w:val="16"/>
          <w:szCs w:val="16"/>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sustain profitability, and our stock price could decline.</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91"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160" w:lineRule="exact"/>
        <w:rPr>
          <w:sz w:val="20"/>
          <w:szCs w:val="20"/>
          <w:color w:val="auto"/>
        </w:rPr>
      </w:pPr>
    </w:p>
    <w:p>
      <w:pPr>
        <w:jc w:val="both"/>
        <w:ind w:right="180"/>
        <w:spacing w:after="0" w:line="279"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8"/>
          <w:szCs w:val="18"/>
          <w:b w:val="1"/>
          <w:bCs w:val="1"/>
          <w:i w:val="1"/>
          <w:iCs w:val="1"/>
          <w:color w:val="auto"/>
        </w:rPr>
        <w:t>.</w:t>
      </w:r>
    </w:p>
    <w:p>
      <w:pPr>
        <w:spacing w:after="0" w:line="291" w:lineRule="exact"/>
        <w:rPr>
          <w:sz w:val="20"/>
          <w:szCs w:val="20"/>
          <w:color w:val="auto"/>
        </w:rPr>
      </w:pPr>
    </w:p>
    <w:p>
      <w:pPr>
        <w:ind w:right="460"/>
        <w:spacing w:after="0" w:line="359"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7"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6"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right="80"/>
        <w:spacing w:after="0" w:line="275" w:lineRule="auto"/>
        <w:rPr>
          <w:sz w:val="20"/>
          <w:szCs w:val="20"/>
          <w:color w:val="auto"/>
        </w:rPr>
      </w:pPr>
      <w:r>
        <w:rPr>
          <w:rFonts w:ascii="Arial" w:cs="Arial" w:eastAsia="Arial" w:hAnsi="Arial"/>
          <w:sz w:val="18"/>
          <w:szCs w:val="18"/>
          <w:color w:val="auto"/>
        </w:rPr>
        <w:t>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293"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90" w:lineRule="exact"/>
        <w:rPr>
          <w:sz w:val="20"/>
          <w:szCs w:val="20"/>
          <w:color w:val="auto"/>
        </w:rPr>
      </w:pPr>
    </w:p>
    <w:p>
      <w:pPr>
        <w:ind w:right="900"/>
        <w:spacing w:after="0" w:line="293"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Our target markets include the communications and enterprise, automotive, industrial, aerospace, and mobile, IoT, and consumer markets. Substantially all of our revenue for the three and nine months ended September 30, 2021 and 2020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18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289"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80"/>
        <w:spacing w:after="0" w:line="275" w:lineRule="auto"/>
        <w:rPr>
          <w:sz w:val="20"/>
          <w:szCs w:val="20"/>
          <w:color w:val="auto"/>
        </w:rPr>
      </w:pPr>
      <w:r>
        <w:rPr>
          <w:rFonts w:ascii="Arial" w:cs="Arial" w:eastAsia="Arial" w:hAnsi="Arial"/>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4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54" w:lineRule="exact"/>
        <w:rPr>
          <w:sz w:val="20"/>
          <w:szCs w:val="20"/>
          <w:color w:val="auto"/>
        </w:rPr>
      </w:pPr>
    </w:p>
    <w:p>
      <w:pPr>
        <w:jc w:val="both"/>
        <w:ind w:right="460"/>
        <w:spacing w:after="0" w:line="279"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183"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191"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31"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Our recent revenue should not be considered indicative of our future performance. For the three and nine months ended September 30, 2021 and 2020, our revenue was $63.0 million, $143.1 million, $32.7 million, and $75.9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challenges and our failure to capitalize on growth opportunities.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42"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18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To manage our growth effectively, we must continue to expand our operations, engineering, financial accounting, internal management, and other systems, procedures, and controls. This may require substantial managerial and financial resources, and our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right="20"/>
        <w:spacing w:after="0" w:line="271" w:lineRule="auto"/>
        <w:rPr>
          <w:sz w:val="20"/>
          <w:szCs w:val="20"/>
          <w:color w:val="auto"/>
        </w:rPr>
      </w:pPr>
      <w:r>
        <w:rPr>
          <w:rFonts w:ascii="Arial" w:cs="Arial" w:eastAsia="Arial" w:hAnsi="Arial"/>
          <w:sz w:val="18"/>
          <w:szCs w:val="18"/>
          <w:color w:val="auto"/>
        </w:rPr>
        <w:t>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299" w:lineRule="exact"/>
        <w:rPr>
          <w:sz w:val="20"/>
          <w:szCs w:val="20"/>
          <w:color w:val="auto"/>
        </w:rPr>
      </w:pPr>
    </w:p>
    <w:p>
      <w:pPr>
        <w:ind w:right="200"/>
        <w:spacing w:after="0" w:line="394"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29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or failure of our products to meet our product specifications.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Our silicon timing systems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in our products or failures to meet product specifications could harm our relationships with our customers and damage our reputation.</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284"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3" w:name="page34"/>
    <w:bookmarkEnd w:id="33"/>
    <w:p>
      <w:pPr>
        <w:spacing w:after="0" w:line="329" w:lineRule="auto"/>
        <w:rPr>
          <w:sz w:val="20"/>
          <w:szCs w:val="20"/>
          <w:color w:val="auto"/>
        </w:rPr>
      </w:pPr>
      <w:r>
        <w:rPr>
          <w:rFonts w:ascii="Arial" w:cs="Arial" w:eastAsia="Arial" w:hAnsi="Arial"/>
          <w:sz w:val="16"/>
          <w:szCs w:val="16"/>
          <w:color w:val="auto"/>
        </w:rPr>
        <w:t>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256"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31"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54"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and quartz products to smaller companies, including start-ups,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Skyworks Solutions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as well as semiconductor suppliers such as Skyworks Solutions Inc. In the Aerospace-defense market for oscillators, we also typically complete against, small, specialized companies that offer quartz-based solutions for various applications.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ind w:right="700"/>
        <w:spacing w:after="0" w:line="293" w:lineRule="auto"/>
        <w:rPr>
          <w:sz w:val="20"/>
          <w:szCs w:val="20"/>
          <w:color w:val="auto"/>
        </w:rPr>
      </w:pPr>
      <w:r>
        <w:rPr>
          <w:rFonts w:ascii="Arial" w:cs="Arial" w:eastAsia="Arial" w:hAnsi="Arial"/>
          <w:sz w:val="18"/>
          <w:szCs w:val="18"/>
          <w:color w:val="auto"/>
        </w:rPr>
        <w:t>caused by the current COVID-19 pandemic, in the future and significantly reduce their pricing so as to compete against us. Our ability to compete successfully will depend on a number of factors, including:</w:t>
      </w:r>
    </w:p>
    <w:p>
      <w:pPr>
        <w:spacing w:after="0" w:line="62" w:lineRule="exact"/>
        <w:rPr>
          <w:sz w:val="20"/>
          <w:szCs w:val="20"/>
          <w:color w:val="auto"/>
        </w:rPr>
      </w:pPr>
    </w:p>
    <w:p>
      <w:pPr>
        <w:ind w:left="1040" w:right="240" w:hanging="658"/>
        <w:spacing w:after="0" w:line="29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secure capacity with our foundry and assembly partners to manufacture and assemble our products;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30" w:lineRule="exact"/>
        <w:rPr>
          <w:rFonts w:ascii="Arial" w:cs="Arial" w:eastAsia="Arial" w:hAnsi="Arial"/>
          <w:sz w:val="18"/>
          <w:szCs w:val="18"/>
          <w:color w:val="auto"/>
        </w:rPr>
      </w:pPr>
    </w:p>
    <w:p>
      <w:pPr>
        <w:ind w:left="1040" w:hanging="658"/>
        <w:spacing w:after="0" w:line="29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31"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28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19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4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1040" w:right="520" w:hanging="658"/>
        <w:spacing w:after="0" w:line="29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failure to identify, attract, reward, and retain people in leadership positions in our organization who share and further our culture, values, and mission;</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5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299"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181"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36" w:name="page37"/>
    <w:bookmarkEnd w:id="36"/>
    <w:p>
      <w:pPr>
        <w:ind w:right="700"/>
        <w:spacing w:after="0" w:line="293"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31"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global recessions. These downturns have been characterized by diminished product demand, production overcapacity, high inventory levels, and accelerated erosion of average selling prices. Any downturns in the semiconductor industry could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300"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However, the extent of the COVID-19 pandemic’s impact on credit and financial markets is unknown, which creates uncertainty as to the financial condition of our distributors and customers. Based on our review of our customers annually and as of September 30, 2021, substantially all of which are large distributors, resellers, OEMs, and system manufacturers, we had $0.1 million and $0.1 million in credit losses as of September 30, 2021 and December 31, 2020, respectively. If our credit losses, however, were to exceed our current or future allowance for credit losses, our business, financial condition, and results of operations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5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 be required to seek, debt financing in the immediate or near term.</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99"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We outsource the fabrication and assembly of all of our products to third parties that are primarily located in Germany and Asia. In addition, we conduct research and development activities in the United States, Japan, the Netherlands, Taiwan, and Ukraine and work with third-party contractors in Russia. We also conduct marketing and administrative functions in the United States, Japan,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7" w:name="page38"/>
    <w:bookmarkEnd w:id="37"/>
    <w:p>
      <w:pPr>
        <w:ind w:right="40"/>
        <w:spacing w:after="0" w:line="319" w:lineRule="auto"/>
        <w:rPr>
          <w:sz w:val="20"/>
          <w:szCs w:val="20"/>
          <w:color w:val="auto"/>
        </w:rPr>
      </w:pPr>
      <w:r>
        <w:rPr>
          <w:rFonts w:ascii="Arial" w:cs="Arial" w:eastAsia="Arial" w:hAnsi="Arial"/>
          <w:sz w:val="16"/>
          <w:szCs w:val="16"/>
          <w:color w:val="auto"/>
        </w:rPr>
        <w:t>Netherlands, China, Taiwan, Malaysia, and Ukraine. In addition, members of our sales force are located in various locations outside of the United States. In addition, approximately 91%, 93%, 93% and 92% of our revenue for the three and nine months ended September 30, 2021 and 2020,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48" w:lineRule="exact"/>
        <w:rPr>
          <w:sz w:val="20"/>
          <w:szCs w:val="20"/>
          <w:color w:val="auto"/>
        </w:rPr>
      </w:pPr>
    </w:p>
    <w:p>
      <w:pPr>
        <w:ind w:left="1040" w:right="280" w:hanging="658"/>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local laws and regulations and unanticipated changes in local laws and regulations, including tax laws and regulations;</w:t>
      </w:r>
    </w:p>
    <w:p>
      <w:pPr>
        <w:spacing w:after="0" w:line="142" w:lineRule="exact"/>
        <w:rPr>
          <w:rFonts w:ascii="Arial" w:cs="Arial" w:eastAsia="Arial" w:hAnsi="Arial"/>
          <w:sz w:val="17"/>
          <w:szCs w:val="17"/>
          <w:color w:val="auto"/>
        </w:rPr>
      </w:pPr>
    </w:p>
    <w:p>
      <w:pPr>
        <w:ind w:left="1040" w:right="160" w:hanging="658"/>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w:t>
      </w:r>
    </w:p>
    <w:p>
      <w:pPr>
        <w:spacing w:after="0" w:line="61" w:lineRule="exact"/>
        <w:rPr>
          <w:rFonts w:ascii="Arial" w:cs="Arial" w:eastAsia="Arial" w:hAnsi="Arial"/>
          <w:sz w:val="18"/>
          <w:szCs w:val="18"/>
          <w:color w:val="auto"/>
        </w:rPr>
      </w:pPr>
    </w:p>
    <w:p>
      <w:pPr>
        <w:ind w:left="1040" w:right="80" w:hanging="658"/>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30" w:lineRule="exact"/>
        <w:rPr>
          <w:rFonts w:ascii="Arial" w:cs="Arial" w:eastAsia="Arial" w:hAnsi="Arial"/>
          <w:sz w:val="18"/>
          <w:szCs w:val="18"/>
          <w:color w:val="auto"/>
        </w:rPr>
      </w:pPr>
    </w:p>
    <w:p>
      <w:pPr>
        <w:ind w:left="1040" w:right="160" w:hanging="658"/>
        <w:spacing w:after="0" w:line="359"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6" w:lineRule="exact"/>
        <w:rPr>
          <w:rFonts w:ascii="Arial" w:cs="Arial" w:eastAsia="Arial" w:hAnsi="Arial"/>
          <w:sz w:val="16"/>
          <w:szCs w:val="16"/>
          <w:color w:val="auto"/>
        </w:rPr>
      </w:pPr>
    </w:p>
    <w:p>
      <w:pPr>
        <w:ind w:left="1040" w:right="220" w:hanging="658"/>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30" w:lineRule="exact"/>
        <w:rPr>
          <w:rFonts w:ascii="Arial" w:cs="Arial" w:eastAsia="Arial" w:hAnsi="Arial"/>
          <w:sz w:val="18"/>
          <w:szCs w:val="18"/>
          <w:color w:val="auto"/>
        </w:rPr>
      </w:pPr>
    </w:p>
    <w:p>
      <w:pPr>
        <w:ind w:left="1040" w:right="600" w:hanging="658"/>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30" w:lineRule="exact"/>
        <w:rPr>
          <w:rFonts w:ascii="Arial" w:cs="Arial" w:eastAsia="Arial" w:hAnsi="Arial"/>
          <w:sz w:val="18"/>
          <w:szCs w:val="18"/>
          <w:color w:val="auto"/>
        </w:rPr>
      </w:pPr>
    </w:p>
    <w:p>
      <w:pPr>
        <w:ind w:left="1040" w:right="260" w:hanging="658"/>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30" w:lineRule="exact"/>
        <w:rPr>
          <w:rFonts w:ascii="Arial" w:cs="Arial" w:eastAsia="Arial" w:hAnsi="Arial"/>
          <w:sz w:val="18"/>
          <w:szCs w:val="18"/>
          <w:color w:val="auto"/>
        </w:rPr>
      </w:pPr>
    </w:p>
    <w:p>
      <w:pPr>
        <w:ind w:left="1040" w:right="240" w:hanging="658"/>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remains uncertain but it may materially adversely affect our business, financial condition or results of operations.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spacing w:after="0" w:line="293"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significant tariffs or other restrictions are placed on Chinese imports or any related counter-measures are taken by China, our revenue and results of operations may be materially and adversely affected. Beginning in July 2018, the U.S. Trade Representative imposed tariffs on products from China.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prior U.S. administration imposed new or additional tariffs on Chinese products with short notice and China then imposed certain retaliatory tariffs. It is uncertain if the current U.S. administration may further alter trade agreements and terms between China and the United States, including limiting trade with China and imposing additional tariffs on imports from China.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273"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France, and Ukraine, and we have engineering consultants in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300"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in the last 18 months,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9" w:name="page40"/>
    <w:bookmarkEnd w:id="39"/>
    <w:p>
      <w:pPr>
        <w:spacing w:after="0" w:line="275" w:lineRule="auto"/>
        <w:rPr>
          <w:sz w:val="20"/>
          <w:szCs w:val="20"/>
          <w:color w:val="auto"/>
        </w:rPr>
      </w:pPr>
      <w:r>
        <w:rPr>
          <w:rFonts w:ascii="Arial" w:cs="Arial" w:eastAsia="Arial" w:hAnsi="Arial"/>
          <w:sz w:val="18"/>
          <w:szCs w:val="18"/>
          <w:color w:val="auto"/>
        </w:rPr>
        <w:t>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54"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273"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3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0" w:name="page41"/>
    <w:bookmarkEnd w:id="40"/>
    <w:p>
      <w:pPr>
        <w:ind w:right="20"/>
        <w:spacing w:after="0" w:line="287" w:lineRule="auto"/>
        <w:rPr>
          <w:sz w:val="20"/>
          <w:szCs w:val="20"/>
          <w:color w:val="auto"/>
        </w:rPr>
      </w:pPr>
      <w:r>
        <w:rPr>
          <w:rFonts w:ascii="Arial" w:cs="Arial" w:eastAsia="Arial" w:hAnsi="Arial"/>
          <w:sz w:val="17"/>
          <w:szCs w:val="17"/>
          <w:color w:val="auto"/>
        </w:rPr>
        <w:t>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spacing w:after="0" w:line="182"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182"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15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170"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As of December 31, 2020, we had U.S. federal and state net operating loss (“NOL”), carryforwards of approximately $201.5 million and $64.0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ind w:right="140"/>
        <w:spacing w:after="0" w:line="269" w:lineRule="auto"/>
        <w:rPr>
          <w:sz w:val="20"/>
          <w:szCs w:val="20"/>
          <w:color w:val="auto"/>
        </w:rPr>
      </w:pPr>
      <w:r>
        <w:rPr>
          <w:rFonts w:ascii="Arial" w:cs="Arial" w:eastAsia="Arial" w:hAnsi="Arial"/>
          <w:sz w:val="18"/>
          <w:szCs w:val="18"/>
          <w:color w:val="auto"/>
        </w:rPr>
        <w:t>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September 30, 2021, we had 83 issued U.S. patents, expiring generally between 2026 and 2039 and 29 pending U.S. patent applications (including two provisional applications). We also had two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180"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185" w:lineRule="exact"/>
        <w:rPr>
          <w:sz w:val="20"/>
          <w:szCs w:val="20"/>
          <w:color w:val="auto"/>
        </w:rPr>
      </w:pPr>
    </w:p>
    <w:p>
      <w:pPr>
        <w:ind w:right="420"/>
        <w:spacing w:after="0" w:line="359"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2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ind w:right="160"/>
        <w:spacing w:after="0" w:line="319"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56"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300" w:lineRule="exact"/>
        <w:rPr>
          <w:sz w:val="20"/>
          <w:szCs w:val="20"/>
          <w:color w:val="auto"/>
        </w:rPr>
      </w:pPr>
    </w:p>
    <w:p>
      <w:pPr>
        <w:ind w:right="240"/>
        <w:spacing w:after="0" w:line="324"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The District Court ruled in our favor, VTT filed an appeal with the U.S. Court of Appeals for the Federal Circuit (“CAFC”), on June 9, 2021, a hearing was held at the CAFC, and on June 10, 2021 the CAFC affirmed the District Court’s judgment.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For more information regarding this matter, see Note 9 in Notes to Unaudited Condensed Consolidated Financial Statements in Item 1 of Part I of this Report.</w:t>
      </w:r>
    </w:p>
    <w:p>
      <w:pPr>
        <w:spacing w:after="0" w:line="16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5" w:lineRule="exact"/>
        <w:rPr>
          <w:sz w:val="20"/>
          <w:szCs w:val="20"/>
          <w:color w:val="auto"/>
        </w:rPr>
      </w:pPr>
    </w:p>
    <w:p>
      <w:pPr>
        <w:ind w:left="1040" w:hanging="65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30" w:lineRule="exact"/>
        <w:rPr>
          <w:rFonts w:ascii="Arial" w:cs="Arial" w:eastAsia="Arial" w:hAnsi="Arial"/>
          <w:sz w:val="18"/>
          <w:szCs w:val="18"/>
          <w:color w:val="auto"/>
        </w:rPr>
      </w:pPr>
    </w:p>
    <w:p>
      <w:pPr>
        <w:ind w:left="1040" w:right="200" w:hanging="658"/>
        <w:spacing w:after="0" w:line="29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1" w:lineRule="exact"/>
        <w:rPr>
          <w:rFonts w:ascii="Arial" w:cs="Arial" w:eastAsia="Arial" w:hAnsi="Arial"/>
          <w:sz w:val="18"/>
          <w:szCs w:val="18"/>
          <w:color w:val="auto"/>
        </w:rPr>
      </w:pPr>
    </w:p>
    <w:p>
      <w:pPr>
        <w:ind w:left="1040" w:right="760" w:hanging="658"/>
        <w:spacing w:after="0" w:line="29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1" w:lineRule="exact"/>
        <w:rPr>
          <w:rFonts w:ascii="Arial" w:cs="Arial" w:eastAsia="Arial" w:hAnsi="Arial"/>
          <w:sz w:val="18"/>
          <w:szCs w:val="18"/>
          <w:color w:val="auto"/>
        </w:rPr>
      </w:pPr>
    </w:p>
    <w:p>
      <w:pPr>
        <w:ind w:left="1040" w:right="160" w:hanging="658"/>
        <w:spacing w:after="0" w:line="29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left="1040" w:right="160" w:hanging="658"/>
        <w:spacing w:after="0" w:line="29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34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35"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2"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MegaChips owns 6,000,000 shares of our common stock, representing approximately 31.2% of our outstanding common stock as of September 30, 2021. For so long as MegaChips or its successors in interest continue to hold the largest ownership position in our outstanding common stock, we expect MegaChips to continue to hold at least one out of eight seats on our board of directors, to be able to elect members of our board of directors, and could replace our entire board of directors. As long as MegaChips continues to be our largest stockholder, it will continue to have significant influence over us.</w:t>
      </w:r>
    </w:p>
    <w:p>
      <w:pPr>
        <w:spacing w:after="0" w:line="156" w:lineRule="exact"/>
        <w:rPr>
          <w:sz w:val="20"/>
          <w:szCs w:val="20"/>
          <w:color w:val="auto"/>
        </w:rPr>
      </w:pPr>
    </w:p>
    <w:p>
      <w:pPr>
        <w:ind w:right="160"/>
        <w:spacing w:after="0" w:line="303" w:lineRule="auto"/>
        <w:rPr>
          <w:sz w:val="20"/>
          <w:szCs w:val="20"/>
          <w:color w:val="auto"/>
        </w:rPr>
      </w:pPr>
      <w:r>
        <w:rPr>
          <w:rFonts w:ascii="Arial" w:cs="Arial" w:eastAsia="Arial" w:hAnsi="Arial"/>
          <w:sz w:val="17"/>
          <w:szCs w:val="17"/>
          <w:color w:val="auto"/>
        </w:rPr>
        <w:t>For example, as long as MegaChips continues to hold a significant or the largest ownership position in our outstanding common stock, MegaChips may have the ability to control or otherwise affect the outcome of any stockholder vote during this period. As a result, MegaChips will have the ability to exert significant influence over many matters affecting us, either through its board representative or as a stockholder, including:</w:t>
      </w:r>
    </w:p>
    <w:p>
      <w:pPr>
        <w:spacing w:after="0" w:line="56" w:lineRule="exact"/>
        <w:rPr>
          <w:sz w:val="20"/>
          <w:szCs w:val="20"/>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239"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140"/>
        <w:spacing w:after="0" w:line="293"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31" w:lineRule="exact"/>
        <w:rPr>
          <w:sz w:val="20"/>
          <w:szCs w:val="20"/>
          <w:color w:val="auto"/>
        </w:rPr>
      </w:pPr>
    </w:p>
    <w:p>
      <w:pPr>
        <w:ind w:left="1040" w:hanging="65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distributions by MegaChips of our products under our distribution agreement with MegaChips;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239"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have entered into a distribution agreement with MegaChips under which MegaChips has the non-exclusive right to promote, market, and sell our products in Japan. We also have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31" w:lineRule="exact"/>
        <w:rPr>
          <w:sz w:val="20"/>
          <w:szCs w:val="20"/>
          <w:color w:val="auto"/>
        </w:rPr>
      </w:pPr>
    </w:p>
    <w:p>
      <w:pPr>
        <w:jc w:val="both"/>
        <w:ind w:right="380"/>
        <w:spacing w:after="0" w:line="279"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291" w:lineRule="exact"/>
        <w:rPr>
          <w:sz w:val="20"/>
          <w:szCs w:val="20"/>
          <w:color w:val="auto"/>
        </w:rPr>
      </w:pPr>
    </w:p>
    <w:p>
      <w:pPr>
        <w:ind w:right="540"/>
        <w:spacing w:after="0" w:line="324"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130" w:lineRule="exact"/>
        <w:rPr>
          <w:sz w:val="20"/>
          <w:szCs w:val="20"/>
          <w:color w:val="auto"/>
        </w:rPr>
      </w:pPr>
    </w:p>
    <w:p>
      <w:pPr>
        <w:ind w:left="1040" w:right="20" w:hanging="658"/>
        <w:spacing w:after="0" w:line="29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40" w:right="120" w:hanging="658"/>
        <w:spacing w:after="0" w:line="29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1" w:lineRule="exact"/>
        <w:rPr>
          <w:rFonts w:ascii="Arial" w:cs="Arial" w:eastAsia="Arial" w:hAnsi="Arial"/>
          <w:sz w:val="18"/>
          <w:szCs w:val="18"/>
          <w:color w:val="auto"/>
        </w:rPr>
      </w:pPr>
    </w:p>
    <w:p>
      <w:pPr>
        <w:ind w:left="1040" w:right="140" w:hanging="658"/>
        <w:spacing w:after="0" w:line="29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ind w:left="1040" w:hanging="65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42" w:lineRule="exact"/>
        <w:rPr>
          <w:rFonts w:ascii="Arial" w:cs="Arial" w:eastAsia="Arial" w:hAnsi="Arial"/>
          <w:sz w:val="17"/>
          <w:szCs w:val="17"/>
          <w:color w:val="auto"/>
        </w:rPr>
      </w:pPr>
    </w:p>
    <w:p>
      <w:pPr>
        <w:ind w:left="1040" w:right="500" w:hanging="658"/>
        <w:spacing w:after="0" w:line="29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299" w:lineRule="exact"/>
        <w:rPr>
          <w:sz w:val="20"/>
          <w:szCs w:val="20"/>
          <w:color w:val="auto"/>
        </w:rPr>
      </w:pPr>
    </w:p>
    <w:p>
      <w:pPr>
        <w:ind w:right="80"/>
        <w:spacing w:after="0" w:line="359"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42"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264"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1040" w:right="280" w:hanging="658"/>
        <w:spacing w:after="0" w:line="29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8"/>
          <w:szCs w:val="18"/>
          <w:color w:val="auto"/>
        </w:rPr>
      </w:pPr>
    </w:p>
    <w:p>
      <w:pPr>
        <w:ind w:left="1040" w:right="40" w:hanging="658"/>
        <w:spacing w:after="0" w:line="29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1" w:lineRule="exact"/>
        <w:rPr>
          <w:rFonts w:ascii="Arial" w:cs="Arial" w:eastAsia="Arial" w:hAnsi="Arial"/>
          <w:sz w:val="18"/>
          <w:szCs w:val="18"/>
          <w:color w:val="auto"/>
        </w:rPr>
      </w:pPr>
    </w:p>
    <w:p>
      <w:pPr>
        <w:ind w:left="1040" w:right="300" w:hanging="658"/>
        <w:spacing w:after="0" w:line="29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30" w:lineRule="exact"/>
        <w:rPr>
          <w:rFonts w:ascii="Arial" w:cs="Arial" w:eastAsia="Arial" w:hAnsi="Arial"/>
          <w:sz w:val="18"/>
          <w:szCs w:val="18"/>
          <w:color w:val="auto"/>
        </w:rPr>
      </w:pPr>
    </w:p>
    <w:p>
      <w:pPr>
        <w:ind w:left="1040" w:right="300" w:hanging="658"/>
        <w:spacing w:after="0" w:line="29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1" w:lineRule="exact"/>
        <w:rPr>
          <w:rFonts w:ascii="Arial" w:cs="Arial" w:eastAsia="Arial" w:hAnsi="Arial"/>
          <w:sz w:val="18"/>
          <w:szCs w:val="18"/>
          <w:color w:val="auto"/>
        </w:rPr>
      </w:pPr>
    </w:p>
    <w:p>
      <w:pPr>
        <w:ind w:left="1040" w:right="520" w:hanging="658"/>
        <w:spacing w:after="0" w:line="29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1"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42" w:lineRule="exact"/>
        <w:rPr>
          <w:rFonts w:ascii="Arial" w:cs="Arial" w:eastAsia="Arial" w:hAnsi="Arial"/>
          <w:sz w:val="17"/>
          <w:szCs w:val="17"/>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30" w:lineRule="exact"/>
        <w:rPr>
          <w:rFonts w:ascii="Arial" w:cs="Arial" w:eastAsia="Arial" w:hAnsi="Arial"/>
          <w:sz w:val="18"/>
          <w:szCs w:val="18"/>
          <w:color w:val="auto"/>
        </w:rPr>
      </w:pPr>
    </w:p>
    <w:p>
      <w:pPr>
        <w:ind w:left="1040" w:hanging="658"/>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ind w:right="60"/>
        <w:spacing w:after="0" w:line="272"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299"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62"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 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changes in the value of our common stock.</w:t>
      </w:r>
    </w:p>
    <w:p>
      <w:pPr>
        <w:spacing w:after="0" w:line="14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not meet our guidance and expectations, which would likely cause our stock price to decline.</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such as the uncertainty around the impact of the COVID-19 pandemic.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290"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We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color w:val="auto"/>
        </w:rPr>
        <w:t>As a public company we incur significant legal, accounting, and other expenses, including costs associated with public company reporting requirements. Our management team and other personnel have and will continue to devote a substantial amount of time complying with these public company reporting requirements.</w:t>
      </w:r>
    </w:p>
    <w:p>
      <w:pPr>
        <w:spacing w:after="0" w:line="18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required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right="280"/>
        <w:spacing w:after="0" w:line="293" w:lineRule="auto"/>
        <w:rPr>
          <w:sz w:val="20"/>
          <w:szCs w:val="20"/>
          <w:color w:val="auto"/>
        </w:rPr>
      </w:pPr>
      <w:r>
        <w:rPr>
          <w:rFonts w:ascii="Arial" w:cs="Arial" w:eastAsia="Arial" w:hAnsi="Arial"/>
          <w:sz w:val="18"/>
          <w:szCs w:val="18"/>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have not previously attested to the effectiveness of our internal control structure and procedures for financial reporting as we have been an “emerging growth company,” as defined in the JOBS Act; however, we will cease to be an emerging growth company at the end of 2021, and so our auditors will be required to attest to the effectiveness of our internal control over financial reporting pursuant to Section 404 for the first time in connection with the filing of our Annual Report on Form 10-K to be filed in the first quarter of 2022.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200" w:lineRule="exact"/>
        <w:rPr>
          <w:sz w:val="20"/>
          <w:szCs w:val="20"/>
          <w:color w:val="auto"/>
        </w:rPr>
      </w:pPr>
    </w:p>
    <w:p>
      <w:pPr>
        <w:spacing w:after="0" w:line="315"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are an “emerging growth company,” as defined in the JOBS Act, and will remain one until the end of 2021. We are also a smaller reporting company, and will cease to report as a smaller reporting company commencing with our Quarterly Report on Form 10-Q for the quarter ended March 31, 2022. As a result, we will be able to take advantage of the reduced disclosure obligations regarding executive compensation in our periodic reports (until the filing of our Quarterly Report on Form 10-Q for the quarter ended March 31, 2022) and in our 2022 proxy statement. If some investors find our common stock less attractive because we rely on any of these exemptions, there may be a less active trading market for our common stock and the market price of our common stock may be more volatile.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0"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As previously disclosed, on April 1, 2015, we entered into a distribution agreement with MegaChips Corporation which we amended in May 2021 (the “Distribution Agreement”). Under the Distribution Agreement, MegaChips served as a sales representative and had non-exclusive rights to promote, market, and sell our products in Japan. In connection with our efforts to contract directly with distributors in Japan, on November 3, 2021, we entered into a termination agreement with MegaChips Corporation pursuant to which we agreed to mutually terminate the Distribution Agreement effective November 3, 2021.</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gridSpan w:val="13"/>
          </w:tcPr>
          <w:p>
            <w:pPr>
              <w:ind w:left="700"/>
              <w:spacing w:after="0"/>
              <w:rPr>
                <w:sz w:val="20"/>
                <w:szCs w:val="20"/>
                <w:color w:val="auto"/>
              </w:rPr>
            </w:pPr>
            <w:r>
              <w:rPr>
                <w:rFonts w:ascii="Arial" w:cs="Arial" w:eastAsia="Arial" w:hAnsi="Arial"/>
                <w:sz w:val="14"/>
                <w:szCs w:val="14"/>
                <w:b w:val="1"/>
                <w:bCs w:val="1"/>
                <w:color w:val="auto"/>
              </w:rPr>
              <w:t>Description</w:t>
            </w:r>
          </w:p>
        </w:tc>
      </w:tr>
      <w:tr>
        <w:trPr>
          <w:trHeight w:val="337"/>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40" w:type="dxa"/>
            <w:vAlign w:val="bottom"/>
            <w:tcBorders>
              <w:bottom w:val="single" w:sz="8" w:color="0000FF"/>
            </w:tcBorders>
            <w:gridSpan w:val="15"/>
          </w:tcPr>
          <w:p>
            <w:pPr>
              <w:spacing w:after="0"/>
              <w:rPr>
                <w:rFonts w:ascii="Arial" w:cs="Arial" w:eastAsia="Arial" w:hAnsi="Arial"/>
                <w:sz w:val="18"/>
                <w:szCs w:val="18"/>
                <w:color w:val="0000FF"/>
                <w:w w:val="92"/>
              </w:rPr>
            </w:pPr>
            <w:hyperlink r:id="rId268">
              <w:r>
                <w:rPr>
                  <w:rFonts w:ascii="Arial" w:cs="Arial" w:eastAsia="Arial" w:hAnsi="Arial"/>
                  <w:sz w:val="18"/>
                  <w:szCs w:val="18"/>
                  <w:color w:val="0000FF"/>
                  <w:w w:val="92"/>
                </w:rPr>
                <w:t xml:space="preserve">Restated Certificate of Incorporation of SiTime Corporation (the “Company”) </w:t>
              </w:r>
            </w:hyperlink>
            <w:r>
              <w:rPr>
                <w:rFonts w:ascii="Arial" w:cs="Arial" w:eastAsia="Arial" w:hAnsi="Arial"/>
                <w:sz w:val="18"/>
                <w:szCs w:val="18"/>
                <w:color w:val="0000FF"/>
                <w:w w:val="92"/>
              </w:rPr>
              <w:t>(incorporated by reference to Exhibit 3.1 to the Company’s</w:t>
            </w:r>
          </w:p>
        </w:tc>
        <w:tc>
          <w:tcPr>
            <w:tcW w:w="140" w:type="dxa"/>
            <w:vAlign w:val="bottom"/>
            <w:gridSpan w:val="3"/>
          </w:tcPr>
          <w:p>
            <w:pPr>
              <w:spacing w:after="0"/>
              <w:rPr>
                <w:sz w:val="24"/>
                <w:szCs w:val="24"/>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0000FF"/>
              </w:rPr>
              <w:t>Current Report on Form 8-K filed November 26, 2019).</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FF"/>
            </w:tcBorders>
            <w:gridSpan w:val="14"/>
          </w:tcPr>
          <w:p>
            <w:pPr>
              <w:spacing w:after="0"/>
              <w:rPr>
                <w:rFonts w:ascii="Arial" w:cs="Arial" w:eastAsia="Arial" w:hAnsi="Arial"/>
                <w:sz w:val="18"/>
                <w:szCs w:val="18"/>
                <w:color w:val="0000FF"/>
                <w:w w:val="91"/>
              </w:rPr>
            </w:pPr>
            <w:hyperlink r:id="rId269">
              <w:r>
                <w:rPr>
                  <w:rFonts w:ascii="Arial" w:cs="Arial" w:eastAsia="Arial" w:hAnsi="Arial"/>
                  <w:sz w:val="18"/>
                  <w:szCs w:val="18"/>
                  <w:color w:val="0000FF"/>
                  <w:w w:val="91"/>
                </w:rPr>
                <w:t>Amended and Restated Bylaws of the Company (incorporated by reference to Exhibit 3.2 to the Company’s Current Report on Form 8-K</w:t>
              </w:r>
            </w:hyperlink>
          </w:p>
        </w:tc>
        <w:tc>
          <w:tcPr>
            <w:tcW w:w="180" w:type="dxa"/>
            <w:vAlign w:val="bottom"/>
            <w:gridSpan w:val="4"/>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0000FF"/>
            </w:tcBorders>
            <w:gridSpan w:val="3"/>
          </w:tcPr>
          <w:p>
            <w:pPr>
              <w:spacing w:after="0"/>
              <w:rPr>
                <w:rFonts w:ascii="Arial" w:cs="Arial" w:eastAsia="Arial" w:hAnsi="Arial"/>
                <w:sz w:val="18"/>
                <w:szCs w:val="18"/>
                <w:color w:val="0000FF"/>
                <w:w w:val="89"/>
              </w:rPr>
            </w:pPr>
            <w:hyperlink r:id="rId269">
              <w:r>
                <w:rPr>
                  <w:rFonts w:ascii="Arial" w:cs="Arial" w:eastAsia="Arial" w:hAnsi="Arial"/>
                  <w:sz w:val="18"/>
                  <w:szCs w:val="18"/>
                  <w:color w:val="0000FF"/>
                  <w:w w:val="89"/>
                </w:rPr>
                <w:t>filed June 29, 2021).</w:t>
              </w:r>
            </w:hyperlink>
          </w:p>
        </w:tc>
        <w:tc>
          <w:tcPr>
            <w:tcW w:w="8600" w:type="dxa"/>
            <w:vAlign w:val="bottom"/>
            <w:gridSpan w:val="15"/>
          </w:tcPr>
          <w:p>
            <w:pPr>
              <w:spacing w:after="0"/>
              <w:rPr>
                <w:sz w:val="18"/>
                <w:szCs w:val="18"/>
                <w:color w:val="auto"/>
              </w:rPr>
            </w:pPr>
          </w:p>
        </w:tc>
      </w:tr>
      <w:tr>
        <w:trPr>
          <w:trHeight w:val="371"/>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r:id="rId270">
              <w:r>
                <w:rPr>
                  <w:rFonts w:ascii="Arial" w:cs="Arial" w:eastAsia="Arial" w:hAnsi="Arial"/>
                  <w:sz w:val="18"/>
                  <w:szCs w:val="18"/>
                  <w:color w:val="0000FF"/>
                  <w:w w:val="91"/>
                </w:rPr>
                <w:t>Form of Common Stock Certificate of the Company ((incorporated by reference to Exhibit 4.1 to the Company’s Registration Statement on</w:t>
              </w:r>
            </w:hyperlink>
          </w:p>
        </w:tc>
        <w:tc>
          <w:tcPr>
            <w:tcW w:w="2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Borders>
              <w:bottom w:val="single" w:sz="8" w:color="0000FF"/>
            </w:tcBorders>
            <w:gridSpan w:val="4"/>
          </w:tcPr>
          <w:p>
            <w:pPr>
              <w:spacing w:after="0"/>
              <w:rPr>
                <w:rFonts w:ascii="Arial" w:cs="Arial" w:eastAsia="Arial" w:hAnsi="Arial"/>
                <w:sz w:val="18"/>
                <w:szCs w:val="18"/>
                <w:color w:val="0000FF"/>
                <w:w w:val="92"/>
              </w:rPr>
            </w:pPr>
            <w:hyperlink r:id="rId270">
              <w:r>
                <w:rPr>
                  <w:rFonts w:ascii="Arial" w:cs="Arial" w:eastAsia="Arial" w:hAnsi="Arial"/>
                  <w:sz w:val="18"/>
                  <w:szCs w:val="18"/>
                  <w:color w:val="0000FF"/>
                  <w:w w:val="92"/>
                </w:rPr>
                <w:t>Form S-1 (File No. 333-234305) (the “S-1”)).</w:t>
              </w:r>
            </w:hyperlink>
          </w:p>
        </w:tc>
        <w:tc>
          <w:tcPr>
            <w:tcW w:w="6780" w:type="dxa"/>
            <w:vAlign w:val="bottom"/>
            <w:gridSpan w:val="14"/>
          </w:tcPr>
          <w:p>
            <w:pPr>
              <w:spacing w:after="0"/>
              <w:rPr>
                <w:sz w:val="18"/>
                <w:szCs w:val="18"/>
                <w:color w:val="auto"/>
              </w:rPr>
            </w:pPr>
          </w:p>
        </w:tc>
      </w:tr>
      <w:tr>
        <w:trPr>
          <w:trHeight w:val="372"/>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580" w:type="dxa"/>
            <w:vAlign w:val="bottom"/>
            <w:tcBorders>
              <w:bottom w:val="single" w:sz="8" w:color="0000FF"/>
            </w:tcBorders>
            <w:gridSpan w:val="11"/>
          </w:tcPr>
          <w:p>
            <w:pPr>
              <w:spacing w:after="0"/>
              <w:rPr>
                <w:rFonts w:ascii="Arial" w:cs="Arial" w:eastAsia="Arial" w:hAnsi="Arial"/>
                <w:sz w:val="18"/>
                <w:szCs w:val="18"/>
                <w:color w:val="0000FF"/>
                <w:w w:val="90"/>
              </w:rPr>
            </w:pPr>
            <w:hyperlink r:id="rId271">
              <w:r>
                <w:rPr>
                  <w:rFonts w:ascii="Arial" w:cs="Arial" w:eastAsia="Arial" w:hAnsi="Arial"/>
                  <w:sz w:val="18"/>
                  <w:szCs w:val="18"/>
                  <w:color w:val="0000FF"/>
                  <w:w w:val="90"/>
                </w:rPr>
                <w:t>Description of Securities Registered Pursuant to Section 12 of the Securities Exchange Act of 1934 (incorporated by reference to the</w:t>
              </w:r>
            </w:hyperlink>
          </w:p>
        </w:tc>
        <w:tc>
          <w:tcPr>
            <w:tcW w:w="500" w:type="dxa"/>
            <w:vAlign w:val="bottom"/>
            <w:gridSpan w:val="7"/>
          </w:tcPr>
          <w:p>
            <w:pPr>
              <w:spacing w:after="0"/>
              <w:rPr>
                <w:sz w:val="24"/>
                <w:szCs w:val="24"/>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18"/>
          </w:tcPr>
          <w:p>
            <w:pPr>
              <w:spacing w:after="0"/>
              <w:rPr>
                <w:rFonts w:ascii="Arial" w:cs="Arial" w:eastAsia="Arial" w:hAnsi="Arial"/>
                <w:sz w:val="18"/>
                <w:szCs w:val="18"/>
                <w:color w:val="0000FF"/>
              </w:rPr>
            </w:pPr>
            <w:hyperlink r:id="rId271">
              <w:r>
                <w:rPr>
                  <w:rFonts w:ascii="Arial" w:cs="Arial" w:eastAsia="Arial" w:hAnsi="Arial"/>
                  <w:sz w:val="18"/>
                  <w:szCs w:val="18"/>
                  <w:color w:val="0000FF"/>
                </w:rPr>
                <w:t>Company’s Annual Report on Form 10-K filed February 16,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73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First Amendment to Lease, dated January 7, 2021, between the Company and Batton Associates, LLC</w:t>
              </w:r>
            </w:hyperlink>
          </w:p>
        </w:tc>
        <w:tc>
          <w:tcPr>
            <w:tcW w:w="20" w:type="dxa"/>
            <w:vAlign w:val="bottom"/>
            <w:tcBorders>
              <w:bottom w:val="single" w:sz="8" w:color="0000EE"/>
            </w:tcBorders>
          </w:tcPr>
          <w:p>
            <w:pPr>
              <w:spacing w:after="0"/>
              <w:rPr>
                <w:sz w:val="24"/>
                <w:szCs w:val="24"/>
                <w:color w:val="auto"/>
              </w:rPr>
            </w:pPr>
          </w:p>
        </w:tc>
        <w:tc>
          <w:tcPr>
            <w:tcW w:w="2700" w:type="dxa"/>
            <w:vAlign w:val="bottom"/>
            <w:gridSpan w:val="9"/>
          </w:tcPr>
          <w:p>
            <w:pPr>
              <w:spacing w:after="0"/>
              <w:rPr>
                <w:sz w:val="24"/>
                <w:szCs w:val="24"/>
                <w:color w:val="auto"/>
              </w:rPr>
            </w:pPr>
          </w:p>
        </w:tc>
      </w:tr>
      <w:tr>
        <w:trPr>
          <w:trHeight w:val="371"/>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73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Termination Agreement, dated November 3, 2021, between the Company and MegaChips Corporation</w:t>
              </w:r>
            </w:hyperlink>
          </w:p>
        </w:tc>
        <w:tc>
          <w:tcPr>
            <w:tcW w:w="20" w:type="dxa"/>
            <w:vAlign w:val="bottom"/>
            <w:tcBorders>
              <w:bottom w:val="single" w:sz="8" w:color="0000EE"/>
            </w:tcBorders>
          </w:tcPr>
          <w:p>
            <w:pPr>
              <w:spacing w:after="0"/>
              <w:rPr>
                <w:sz w:val="24"/>
                <w:szCs w:val="24"/>
                <w:color w:val="auto"/>
              </w:rPr>
            </w:pPr>
          </w:p>
        </w:tc>
        <w:tc>
          <w:tcPr>
            <w:tcW w:w="2680" w:type="dxa"/>
            <w:vAlign w:val="bottom"/>
            <w:gridSpan w:val="8"/>
          </w:tcPr>
          <w:p>
            <w:pPr>
              <w:spacing w:after="0"/>
              <w:rPr>
                <w:sz w:val="24"/>
                <w:szCs w:val="24"/>
                <w:color w:val="auto"/>
              </w:rPr>
            </w:pPr>
          </w:p>
        </w:tc>
      </w:tr>
      <w:tr>
        <w:trPr>
          <w:trHeight w:val="372"/>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6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20" w:type="dxa"/>
            <w:vAlign w:val="bottom"/>
            <w:gridSpan w:val="5"/>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Adopted Pursuant to Section 302 of the Sarbanes-Oxley Act of 2002.</w:t>
              </w:r>
            </w:hyperlink>
          </w:p>
        </w:tc>
        <w:tc>
          <w:tcPr>
            <w:tcW w:w="5100" w:type="dxa"/>
            <w:vAlign w:val="bottom"/>
            <w:gridSpan w:val="11"/>
          </w:tcPr>
          <w:p>
            <w:pPr>
              <w:spacing w:after="0"/>
              <w:rPr>
                <w:sz w:val="18"/>
                <w:szCs w:val="18"/>
                <w:color w:val="auto"/>
              </w:rPr>
            </w:pPr>
          </w:p>
        </w:tc>
      </w:tr>
      <w:tr>
        <w:trPr>
          <w:trHeight w:val="371"/>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60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480" w:type="dxa"/>
            <w:vAlign w:val="bottom"/>
            <w:gridSpan w:val="6"/>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Adopted Pursuant to Section 302 of the Sarbanes-Oxley Act of 2002.</w:t>
              </w:r>
            </w:hyperlink>
          </w:p>
        </w:tc>
        <w:tc>
          <w:tcPr>
            <w:tcW w:w="5100" w:type="dxa"/>
            <w:vAlign w:val="bottom"/>
            <w:gridSpan w:val="11"/>
          </w:tcPr>
          <w:p>
            <w:pPr>
              <w:spacing w:after="0"/>
              <w:rPr>
                <w:sz w:val="18"/>
                <w:szCs w:val="18"/>
                <w:color w:val="auto"/>
              </w:rPr>
            </w:pPr>
          </w:p>
        </w:tc>
      </w:tr>
      <w:tr>
        <w:trPr>
          <w:trHeight w:val="371"/>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c>
          <w:tcPr>
            <w:tcW w:w="2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00FF"/>
            </w:tcBorders>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16"/>
          </w:tcPr>
          <w:p>
            <w:pPr>
              <w:spacing w:after="0"/>
              <w:rPr>
                <w:sz w:val="18"/>
                <w:szCs w:val="18"/>
                <w:color w:val="auto"/>
              </w:rPr>
            </w:pPr>
          </w:p>
        </w:tc>
      </w:tr>
      <w:tr>
        <w:trPr>
          <w:trHeight w:val="371"/>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4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40" w:type="dxa"/>
            <w:vAlign w:val="bottom"/>
            <w:gridSpan w:val="2"/>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00FF"/>
            </w:tcBorders>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16"/>
          </w:tcPr>
          <w:p>
            <w:pPr>
              <w:spacing w:after="0"/>
              <w:rPr>
                <w:sz w:val="18"/>
                <w:szCs w:val="18"/>
                <w:color w:val="auto"/>
              </w:rPr>
            </w:pPr>
          </w:p>
        </w:tc>
      </w:tr>
      <w:tr>
        <w:trPr>
          <w:trHeight w:val="411"/>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auto"/>
                <w:w w:val="91"/>
              </w:rPr>
              <w:t>Inline XBRL Instance - the instance document does not appear in the Interactive Data File because its XBRL tags are embedded within the</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auto"/>
              </w:rPr>
              <w:t>Inline XBRL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08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right="3560" w:firstLine="21"/>
        <w:spacing w:after="0" w:line="493" w:lineRule="auto"/>
        <w:tabs>
          <w:tab w:leader="none" w:pos="11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9512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520" w:right="20" w:hanging="512"/>
        <w:spacing w:after="0" w:line="230" w:lineRule="exact"/>
        <w:tabs>
          <w:tab w:leader="none" w:pos="3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pacing w:after="0" w:line="279"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Arthur D. Chadwick</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LEASE</w:t>
      </w:r>
    </w:p>
    <w:p>
      <w:pPr>
        <w:spacing w:after="0" w:line="251"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This First Amendment to Lease (“First Amendment”), dated as of January , 2021, is entered into by and between Batton Associates, LLC, a California limited liability company (“Lessor’), and SiTime Corporation, a Delaware corporation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-215900</wp:posOffset>
            </wp:positionV>
            <wp:extent cx="368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left="520" w:right="20"/>
        <w:spacing w:after="0" w:line="279" w:lineRule="auto"/>
        <w:rPr>
          <w:sz w:val="20"/>
          <w:szCs w:val="20"/>
          <w:color w:val="auto"/>
        </w:rPr>
      </w:pPr>
      <w:r>
        <w:rPr>
          <w:rFonts w:ascii="Arial" w:cs="Arial" w:eastAsia="Arial" w:hAnsi="Arial"/>
          <w:sz w:val="18"/>
          <w:szCs w:val="18"/>
          <w:color w:val="auto"/>
        </w:rPr>
        <w:t>A. Lessor and Lessee entered into that certain Lease dated April, 2016 (the “Lease”) for the real property located at 5451 Patrick Henry Drive, Santa Clara, California, consisting of approximately 3.68 acres of land and the existing building thereon containing approximately 50,400 rentable square feet (collectively, the “Property”).</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Lessee intends to construct an exterior amenity area on the Property for the use of its employees.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 Lessor has agreed to contribute toward the cost constructing such amenity area in exchange for a three-month extension of the term of the Lease.</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 Lessor and Lessee now desire to amend the Lease to reflect such agreement.</w:t>
      </w:r>
    </w:p>
    <w:p>
      <w:pPr>
        <w:spacing w:after="0" w:line="252" w:lineRule="exact"/>
        <w:rPr>
          <w:sz w:val="20"/>
          <w:szCs w:val="20"/>
          <w:color w:val="auto"/>
        </w:rPr>
      </w:pPr>
    </w:p>
    <w:p>
      <w:pPr>
        <w:ind w:left="520" w:right="440"/>
        <w:spacing w:after="0" w:line="308" w:lineRule="auto"/>
        <w:rPr>
          <w:sz w:val="20"/>
          <w:szCs w:val="20"/>
          <w:color w:val="auto"/>
        </w:rPr>
      </w:pPr>
      <w:r>
        <w:rPr>
          <w:rFonts w:ascii="Arial" w:cs="Arial" w:eastAsia="Arial" w:hAnsi="Arial"/>
          <w:sz w:val="18"/>
          <w:szCs w:val="18"/>
          <w:color w:val="auto"/>
        </w:rPr>
        <w:t>In consideration of the mutual covenants and conditions set forth herein and other good and valuable consideration, Lessor and Lessee agree to amend the Lease as follows:</w:t>
      </w:r>
    </w:p>
    <w:p>
      <w:pPr>
        <w:spacing w:after="0" w:line="184" w:lineRule="exact"/>
        <w:rPr>
          <w:sz w:val="20"/>
          <w:szCs w:val="20"/>
          <w:color w:val="auto"/>
        </w:rPr>
      </w:pPr>
    </w:p>
    <w:p>
      <w:pPr>
        <w:ind w:left="1020" w:right="20" w:firstLine="6"/>
        <w:spacing w:after="0" w:line="293"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Paragraph 2(a) of the Lease is hereby amended to extend the term of the Lease for a period of three (3) months, so that subject to the provisions of paragraph 3(a) of the Lease, the term shall now expire on March 31, 2027.</w:t>
      </w:r>
    </w:p>
    <w:p>
      <w:pPr>
        <w:spacing w:after="0" w:line="183" w:lineRule="exact"/>
        <w:rPr>
          <w:rFonts w:ascii="Arial" w:cs="Arial" w:eastAsia="Arial" w:hAnsi="Arial"/>
          <w:sz w:val="18"/>
          <w:szCs w:val="18"/>
          <w:color w:val="auto"/>
        </w:rPr>
      </w:pPr>
    </w:p>
    <w:p>
      <w:pPr>
        <w:ind w:left="1020" w:right="120" w:firstLine="6"/>
        <w:spacing w:after="0" w:line="293"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Monthly Base Rent</w:t>
      </w:r>
      <w:r>
        <w:rPr>
          <w:rFonts w:ascii="Arial" w:cs="Arial" w:eastAsia="Arial" w:hAnsi="Arial"/>
          <w:sz w:val="18"/>
          <w:szCs w:val="18"/>
          <w:color w:val="auto"/>
        </w:rPr>
        <w:t>. Paragraph 4 of the Lease is hereby amended to provide that, as of November 1, 2020, Lessee shall pay Monthly Base Rent in accordance with the following schedule:</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Months of Term</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Monthly Base Rent PSF</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Monthly Base Rent</w:t>
            </w:r>
          </w:p>
        </w:tc>
      </w:tr>
      <w:tr>
        <w:trPr>
          <w:trHeight w:val="264"/>
        </w:trPr>
        <w:tc>
          <w:tcPr>
            <w:tcW w:w="23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Nov 1, 2020 – Oct 31, 2021</w:t>
            </w:r>
          </w:p>
        </w:tc>
        <w:tc>
          <w:tcPr>
            <w:tcW w:w="20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$2.30</w:t>
            </w:r>
          </w:p>
        </w:tc>
        <w:tc>
          <w:tcPr>
            <w:tcW w:w="360" w:type="dxa"/>
            <w:vAlign w:val="bottom"/>
          </w:tcPr>
          <w:p>
            <w:pPr>
              <w:spacing w:after="0"/>
              <w:rPr>
                <w:sz w:val="22"/>
                <w:szCs w:val="22"/>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$115,920.00/month</w:t>
            </w:r>
          </w:p>
        </w:tc>
      </w:tr>
      <w:tr>
        <w:trPr>
          <w:trHeight w:val="243"/>
        </w:trPr>
        <w:tc>
          <w:tcPr>
            <w:tcW w:w="23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Nov 1, 2021 – Oct 31, 2022</w:t>
            </w:r>
          </w:p>
        </w:tc>
        <w:tc>
          <w:tcPr>
            <w:tcW w:w="20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$2.37</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$119,448.00/month</w:t>
            </w:r>
          </w:p>
        </w:tc>
      </w:tr>
      <w:tr>
        <w:trPr>
          <w:trHeight w:val="243"/>
        </w:trPr>
        <w:tc>
          <w:tcPr>
            <w:tcW w:w="23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Nov 1, 2022 – Oct 31, 2023</w:t>
            </w:r>
          </w:p>
        </w:tc>
        <w:tc>
          <w:tcPr>
            <w:tcW w:w="20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$2.45</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$123,480.00/month</w:t>
            </w:r>
          </w:p>
        </w:tc>
      </w:tr>
      <w:tr>
        <w:trPr>
          <w:trHeight w:val="243"/>
        </w:trPr>
        <w:tc>
          <w:tcPr>
            <w:tcW w:w="23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Nov 1, 2023 – Oct 31, 2024</w:t>
            </w:r>
          </w:p>
        </w:tc>
        <w:tc>
          <w:tcPr>
            <w:tcW w:w="20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$2.52</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$127,008.00/month</w:t>
            </w:r>
          </w:p>
        </w:tc>
      </w:tr>
      <w:tr>
        <w:trPr>
          <w:trHeight w:val="243"/>
        </w:trPr>
        <w:tc>
          <w:tcPr>
            <w:tcW w:w="23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Nov 1, 2024 – Oct 31, 2025</w:t>
            </w:r>
          </w:p>
        </w:tc>
        <w:tc>
          <w:tcPr>
            <w:tcW w:w="20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$2.60</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$131,040.00/month</w:t>
            </w:r>
          </w:p>
        </w:tc>
      </w:tr>
      <w:tr>
        <w:trPr>
          <w:trHeight w:val="243"/>
        </w:trPr>
        <w:tc>
          <w:tcPr>
            <w:tcW w:w="23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Nov 1, 2025 – Oct 31, 2026</w:t>
            </w:r>
          </w:p>
        </w:tc>
        <w:tc>
          <w:tcPr>
            <w:tcW w:w="20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$2.67</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$134,568.00/month</w:t>
            </w:r>
          </w:p>
        </w:tc>
      </w:tr>
      <w:tr>
        <w:trPr>
          <w:trHeight w:val="243"/>
        </w:trPr>
        <w:tc>
          <w:tcPr>
            <w:tcW w:w="238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Nov 1, 2026 – Mar 31, 2027</w:t>
            </w:r>
          </w:p>
        </w:tc>
        <w:tc>
          <w:tcPr>
            <w:tcW w:w="206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$2.75</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$138,600.00/month</w:t>
            </w:r>
          </w:p>
        </w:tc>
      </w:tr>
    </w:tbl>
    <w:p>
      <w:pPr>
        <w:spacing w:after="0" w:line="242" w:lineRule="exact"/>
        <w:rPr>
          <w:sz w:val="20"/>
          <w:szCs w:val="20"/>
          <w:color w:val="auto"/>
        </w:rPr>
      </w:pPr>
    </w:p>
    <w:p>
      <w:pPr>
        <w:ind w:left="1200" w:hanging="174"/>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Exterior Amenity Area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40" w:right="20" w:hanging="5"/>
        <w:spacing w:after="0" w:line="303" w:lineRule="auto"/>
        <w:tabs>
          <w:tab w:leader="none" w:pos="1785"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Subject to Lessee’s compliance with the provisions of paragraph 14(d) of the Lease, Lessee shall have the right to construct an exterior amenity area on the Property for the use of Lessee’s employees, customers, and visitors. The location of such exterior amenity area shall be subject to Lessor’s prior approval. Lessor shall contribute up to Three Hundred Fifty Thousand Dollars ($350,000) toward the cost of designing, constructing and/or installing the exterior amenity area improvements (“Lessor’s Allowance”), which shall be paid to Lessee within thirty (30) days after completion of the exterior amenity area improvements and Lessor’s receipt of all of the following from Lessee: (i) copies of paid invoices for all costs paid by Lessee to Lessee’s architects and/or engineers, general contractor, and suppliers in connection with the construction or installation of the exterior amenity area improvements (excluding any invoices paid by Lessee for any furniture, furnishings or other personal property of Lessee to be used in the exterior amenity area); (ii) unconditional lien releases from Lessee’s general contractor, architects, and any subcontractors engaged in connection with the construction or installation of the exterior amenity area improvements; (iii) a copy of the building permit issued by the City of Santa Clara for such work (if required); and (iv) a copy of the recorded Notice of Completion for the exterior amenity area improvements. Lessor’s Allowance shall be the maximum contribution by Lessor for any and all costs associated with the design, permitting, construction and/or installation of the exterior amenity area improvements and Lessee shall be solely responsible for any and all costs in excess of Lessor’s Allowance. If the total cost of designing, permitting, constructing and/or installing the exterior amenity area improvements is less than Lessor’s Allowance, then any remaining balance of Lessor’s Allowance shall be retained by Lessor without any obligation to pay such remaining balance to Lessee.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ind w:left="1540" w:right="420"/>
        <w:spacing w:after="0" w:line="293" w:lineRule="auto"/>
        <w:rPr>
          <w:sz w:val="20"/>
          <w:szCs w:val="20"/>
          <w:color w:val="auto"/>
        </w:rPr>
      </w:pPr>
      <w:r>
        <w:rPr>
          <w:rFonts w:ascii="Arial" w:cs="Arial" w:eastAsia="Arial" w:hAnsi="Arial"/>
          <w:sz w:val="18"/>
          <w:szCs w:val="18"/>
          <w:color w:val="auto"/>
        </w:rPr>
        <w:t>no event shall any portion of Lessor’s Allowance be paid to Lessee for any furniture, furnishings or other personal property to be utilized in the exterior amenity area.</w:t>
      </w:r>
    </w:p>
    <w:p>
      <w:pPr>
        <w:spacing w:after="0" w:line="183" w:lineRule="exact"/>
        <w:rPr>
          <w:sz w:val="20"/>
          <w:szCs w:val="20"/>
          <w:color w:val="auto"/>
        </w:rPr>
      </w:pPr>
    </w:p>
    <w:p>
      <w:pPr>
        <w:ind w:left="1540" w:right="40" w:hanging="5"/>
        <w:spacing w:after="0" w:line="287" w:lineRule="auto"/>
        <w:tabs>
          <w:tab w:leader="none" w:pos="1795" w:val="left"/>
        </w:tabs>
        <w:numPr>
          <w:ilvl w:val="1"/>
          <w:numId w:val="19"/>
        </w:numPr>
        <w:rPr>
          <w:rFonts w:ascii="Arial" w:cs="Arial" w:eastAsia="Arial" w:hAnsi="Arial"/>
          <w:sz w:val="17"/>
          <w:szCs w:val="17"/>
          <w:color w:val="auto"/>
        </w:rPr>
      </w:pPr>
      <w:r>
        <w:rPr>
          <w:rFonts w:ascii="Arial" w:cs="Arial" w:eastAsia="Arial" w:hAnsi="Arial"/>
          <w:sz w:val="17"/>
          <w:szCs w:val="17"/>
          <w:color w:val="auto"/>
        </w:rPr>
        <w:t>Lessee shall maintain the exterior amenity area in good clean and safe condition at all times at Lessee’s sole cost and expense. Such obligation shall include the prompt removal of all trash and other debris from the exterior amenity area, including any necessary pest control, sweeping and periodic power washing of the exterior amenity area patio surface. Lessor shall maintain in good condition and repair only the following improvements within the exterior amenity area: any fencing, roofing or trellis, concrete benches (if any), and affixed lighting. The cost of such maintenance and repair shall be included in Operating Expenses and billed to Lessee as provided in paragraph 5 of the Lease. Lessee shall be solely responsible for the maintenance and repair, at Lessee’s sole cost and expense, of any tables, chairs, umbrellas, or other furniture, whether affixed or not, and any equipment utilized by Lessee in the exterior amenity area, including space heaters; gas or electric barbecues, cooktops, or ovens; sinks, dishwashers, or refrigerators, including any related plumbing.</w:t>
      </w:r>
    </w:p>
    <w:p>
      <w:pPr>
        <w:spacing w:after="0" w:line="191" w:lineRule="exact"/>
        <w:rPr>
          <w:rFonts w:ascii="Arial" w:cs="Arial" w:eastAsia="Arial" w:hAnsi="Arial"/>
          <w:sz w:val="17"/>
          <w:szCs w:val="17"/>
          <w:color w:val="auto"/>
        </w:rPr>
      </w:pPr>
    </w:p>
    <w:p>
      <w:pPr>
        <w:ind w:left="1540" w:right="140" w:hanging="5"/>
        <w:spacing w:after="0" w:line="272" w:lineRule="auto"/>
        <w:tabs>
          <w:tab w:leader="none" w:pos="17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Lessee shall insure all furniture, fixtures and other equipment installed by Lessee within the exterior amenity area as provided in paragraph 11(a)(2)of the Lease with respect to Lessee’s personal property. In addition, following completion of the exterior amenity area improvements, Lessee shall maintain in full force and effect a policy of liquor liability insurance in an amount not less than One Million Dollars ($1,000,000) per occurrence naming Lessor as an additional insured on such policy, and shall provide Lessor with a certificate of insurance evidencing such coverage.</w:t>
      </w:r>
    </w:p>
    <w:p>
      <w:pPr>
        <w:spacing w:after="0" w:line="204" w:lineRule="exact"/>
        <w:rPr>
          <w:rFonts w:ascii="Arial" w:cs="Arial" w:eastAsia="Arial" w:hAnsi="Arial"/>
          <w:sz w:val="18"/>
          <w:szCs w:val="18"/>
          <w:color w:val="auto"/>
        </w:rPr>
      </w:pPr>
    </w:p>
    <w:p>
      <w:pPr>
        <w:ind w:left="1540" w:right="120" w:hanging="5"/>
        <w:spacing w:after="0" w:line="287" w:lineRule="auto"/>
        <w:tabs>
          <w:tab w:leader="none" w:pos="1795" w:val="left"/>
        </w:tabs>
        <w:numPr>
          <w:ilvl w:val="1"/>
          <w:numId w:val="19"/>
        </w:numPr>
        <w:rPr>
          <w:rFonts w:ascii="Arial" w:cs="Arial" w:eastAsia="Arial" w:hAnsi="Arial"/>
          <w:sz w:val="17"/>
          <w:szCs w:val="17"/>
          <w:color w:val="auto"/>
        </w:rPr>
      </w:pPr>
      <w:r>
        <w:rPr>
          <w:rFonts w:ascii="Arial" w:cs="Arial" w:eastAsia="Arial" w:hAnsi="Arial"/>
          <w:sz w:val="17"/>
          <w:szCs w:val="17"/>
          <w:color w:val="auto"/>
        </w:rPr>
        <w:t>Lessor agrees that any exterior area amenity improvements which are affixed to the Property in a permanent manner, such as concrete paving or pavers, fencing, trellis or roofing structures, concrete benches, concrete tables or islands, inground electrical, plumbing or drainage, shall become the property of Lessor upon the expiration of the Term and shall be surrendered by Lessee with the Property. As the exact extent and nature of the exterior area improvements has not been determined at this time, Lessor may, in connection with its review and approval of the proposed exterior amenity area improvements, designate any other permanent improvements to the exterior amenity area as improvements to be retained by Lessor upon the expiration or sooner termination of the Lease. Any improvements to the exterior amenity area which are not designated for retention by Lessor, either as set forth herein or upon approval of the exterior amenity improvements, shall be removed from the Property by Lessee at the expiration or sooner termination of the Lease.</w:t>
      </w:r>
    </w:p>
    <w:p>
      <w:pPr>
        <w:spacing w:after="0" w:line="191" w:lineRule="exact"/>
        <w:rPr>
          <w:rFonts w:ascii="Arial" w:cs="Arial" w:eastAsia="Arial" w:hAnsi="Arial"/>
          <w:sz w:val="17"/>
          <w:szCs w:val="17"/>
          <w:color w:val="auto"/>
        </w:rPr>
      </w:pPr>
    </w:p>
    <w:p>
      <w:pPr>
        <w:jc w:val="both"/>
        <w:ind w:left="1020" w:right="140" w:firstLine="6"/>
        <w:spacing w:after="0" w:line="279"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Further Modifications</w:t>
      </w:r>
      <w:r>
        <w:rPr>
          <w:rFonts w:ascii="Arial" w:cs="Arial" w:eastAsia="Arial" w:hAnsi="Arial"/>
          <w:sz w:val="18"/>
          <w:szCs w:val="18"/>
          <w:color w:val="auto"/>
        </w:rPr>
        <w:t>. Except as set forth in this First Amendment, the Lease is unmodified and in full force and effect. To the extent that the provisions of this First Amendment conflict with any provisions of the Lease, such provisions of this First Amendment shall prevail and govern for all purposes and in all respects.</w:t>
      </w:r>
    </w:p>
    <w:p>
      <w:pPr>
        <w:spacing w:after="0" w:line="196" w:lineRule="exact"/>
        <w:rPr>
          <w:rFonts w:ascii="Arial" w:cs="Arial" w:eastAsia="Arial" w:hAnsi="Arial"/>
          <w:sz w:val="18"/>
          <w:szCs w:val="18"/>
          <w:color w:val="auto"/>
        </w:rPr>
      </w:pPr>
    </w:p>
    <w:p>
      <w:pPr>
        <w:ind w:left="1020" w:right="100" w:firstLine="6"/>
        <w:spacing w:after="0" w:line="293"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counterparts, each of which shall constitute an original, but all of which together shall constitute one and the same instrument.</w:t>
      </w:r>
    </w:p>
    <w:p>
      <w:pPr>
        <w:spacing w:after="0" w:line="183" w:lineRule="exact"/>
        <w:rPr>
          <w:rFonts w:ascii="Arial" w:cs="Arial" w:eastAsia="Arial" w:hAnsi="Arial"/>
          <w:sz w:val="18"/>
          <w:szCs w:val="18"/>
          <w:color w:val="auto"/>
        </w:rPr>
      </w:pPr>
    </w:p>
    <w:p>
      <w:pPr>
        <w:jc w:val="both"/>
        <w:ind w:left="1020" w:right="320" w:firstLine="6"/>
        <w:spacing w:after="0" w:line="319"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Lessor and Lessee each hereby represent to the other that (i) each individual executing this First Amendment on behalf of Lessor or Lessee, as applicable, is duly authorized by such party to execute and deliver this First Amendment on behalf of such party in accordance with its organizational documents; (ii) this First Amendment is binding upon such party in accordance with its terms; and (iii) such party is duly organized and existing in the state of its organization and is qualified to do business in the State of California.</w:t>
      </w:r>
    </w:p>
    <w:p>
      <w:pPr>
        <w:spacing w:after="0" w:line="169" w:lineRule="exact"/>
        <w:rPr>
          <w:rFonts w:ascii="Arial" w:cs="Arial" w:eastAsia="Arial" w:hAnsi="Arial"/>
          <w:sz w:val="16"/>
          <w:szCs w:val="16"/>
          <w:color w:val="auto"/>
        </w:rPr>
      </w:pPr>
    </w:p>
    <w:p>
      <w:pPr>
        <w:jc w:val="both"/>
        <w:ind w:left="1020" w:right="120" w:firstLine="6"/>
        <w:spacing w:after="0" w:line="279"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First Amendment shall be binding upon and inure to the benefit of the parties hereto and their respective transferees, successors and assigns (except as otherwise expressly provided in the Lease) and shall be governed by and construed in accordance with the laws of the State of California.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First Amendment as of the date set forth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Arial" w:cs="Arial" w:eastAsia="Arial" w:hAnsi="Arial"/>
                <w:sz w:val="18"/>
                <w:szCs w:val="18"/>
                <w:color w:val="auto"/>
                <w:w w:val="90"/>
              </w:rPr>
              <w:t>LESSOR</w:t>
            </w:r>
          </w:p>
        </w:tc>
        <w:tc>
          <w:tcPr>
            <w:tcW w:w="26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7460" w:type="dxa"/>
            <w:vAlign w:val="bottom"/>
            <w:gridSpan w:val="4"/>
          </w:tcPr>
          <w:p>
            <w:pPr>
              <w:spacing w:after="0"/>
              <w:rPr>
                <w:sz w:val="20"/>
                <w:szCs w:val="20"/>
                <w:color w:val="auto"/>
              </w:rPr>
            </w:pPr>
            <w:r>
              <w:rPr>
                <w:rFonts w:ascii="Arial" w:cs="Arial" w:eastAsia="Arial" w:hAnsi="Arial"/>
                <w:sz w:val="18"/>
                <w:szCs w:val="18"/>
                <w:color w:val="auto"/>
              </w:rPr>
              <w:t>LESSEE</w:t>
            </w:r>
          </w:p>
        </w:tc>
      </w:tr>
      <w:tr>
        <w:trPr>
          <w:trHeight w:val="20"/>
        </w:trPr>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479"/>
        </w:trPr>
        <w:tc>
          <w:tcPr>
            <w:tcW w:w="3360" w:type="dxa"/>
            <w:vAlign w:val="bottom"/>
            <w:gridSpan w:val="4"/>
          </w:tcPr>
          <w:p>
            <w:pPr>
              <w:spacing w:after="0"/>
              <w:rPr>
                <w:sz w:val="20"/>
                <w:szCs w:val="20"/>
                <w:color w:val="auto"/>
              </w:rPr>
            </w:pPr>
            <w:r>
              <w:rPr>
                <w:rFonts w:ascii="Arial" w:cs="Arial" w:eastAsia="Arial" w:hAnsi="Arial"/>
                <w:sz w:val="18"/>
                <w:szCs w:val="18"/>
                <w:color w:val="auto"/>
              </w:rPr>
              <w:t>BATTON ASSOCIATES, LLC,</w:t>
            </w:r>
          </w:p>
        </w:tc>
        <w:tc>
          <w:tcPr>
            <w:tcW w:w="7880" w:type="dxa"/>
            <w:vAlign w:val="bottom"/>
            <w:gridSpan w:val="5"/>
          </w:tcPr>
          <w:p>
            <w:pPr>
              <w:ind w:left="380"/>
              <w:spacing w:after="0"/>
              <w:rPr>
                <w:sz w:val="20"/>
                <w:szCs w:val="20"/>
                <w:color w:val="auto"/>
              </w:rPr>
            </w:pPr>
            <w:r>
              <w:rPr>
                <w:rFonts w:ascii="Arial" w:cs="Arial" w:eastAsia="Arial" w:hAnsi="Arial"/>
                <w:sz w:val="18"/>
                <w:szCs w:val="18"/>
                <w:color w:val="auto"/>
              </w:rPr>
              <w:t>SITIME CORPORATION,</w:t>
            </w:r>
          </w:p>
        </w:tc>
      </w:tr>
      <w:tr>
        <w:trPr>
          <w:trHeight w:val="230"/>
        </w:trPr>
        <w:tc>
          <w:tcPr>
            <w:tcW w:w="3360" w:type="dxa"/>
            <w:vAlign w:val="bottom"/>
            <w:gridSpan w:val="4"/>
          </w:tcPr>
          <w:p>
            <w:pPr>
              <w:spacing w:after="0"/>
              <w:rPr>
                <w:sz w:val="20"/>
                <w:szCs w:val="20"/>
                <w:color w:val="auto"/>
              </w:rPr>
            </w:pPr>
            <w:r>
              <w:rPr>
                <w:rFonts w:ascii="Arial" w:cs="Arial" w:eastAsia="Arial" w:hAnsi="Arial"/>
                <w:sz w:val="18"/>
                <w:szCs w:val="18"/>
                <w:color w:val="auto"/>
              </w:rPr>
              <w:t>a California limited liability company</w:t>
            </w:r>
          </w:p>
        </w:tc>
        <w:tc>
          <w:tcPr>
            <w:tcW w:w="420" w:type="dxa"/>
            <w:vAlign w:val="bottom"/>
          </w:tcPr>
          <w:p>
            <w:pPr>
              <w:spacing w:after="0"/>
              <w:rPr>
                <w:sz w:val="20"/>
                <w:szCs w:val="20"/>
                <w:color w:val="auto"/>
              </w:rPr>
            </w:pPr>
          </w:p>
        </w:tc>
        <w:tc>
          <w:tcPr>
            <w:tcW w:w="7460" w:type="dxa"/>
            <w:vAlign w:val="bottom"/>
            <w:gridSpan w:val="4"/>
          </w:tcPr>
          <w:p>
            <w:pPr>
              <w:ind w:left="20"/>
              <w:spacing w:after="0"/>
              <w:rPr>
                <w:sz w:val="20"/>
                <w:szCs w:val="20"/>
                <w:color w:val="auto"/>
              </w:rPr>
            </w:pPr>
            <w:r>
              <w:rPr>
                <w:rFonts w:ascii="Arial" w:cs="Arial" w:eastAsia="Arial" w:hAnsi="Arial"/>
                <w:sz w:val="18"/>
                <w:szCs w:val="18"/>
                <w:color w:val="auto"/>
              </w:rPr>
              <w:t>a Delaware corporation</w:t>
            </w:r>
          </w:p>
        </w:tc>
      </w:tr>
      <w:tr>
        <w:trPr>
          <w:trHeight w:val="419"/>
        </w:trPr>
        <w:tc>
          <w:tcPr>
            <w:tcW w:w="3360" w:type="dxa"/>
            <w:vAlign w:val="bottom"/>
            <w:gridSpan w:val="4"/>
          </w:tcPr>
          <w:p>
            <w:pPr>
              <w:spacing w:after="0"/>
              <w:rPr>
                <w:sz w:val="20"/>
                <w:szCs w:val="20"/>
                <w:color w:val="auto"/>
              </w:rPr>
            </w:pPr>
            <w:r>
              <w:rPr>
                <w:rFonts w:ascii="Arial" w:cs="Arial" w:eastAsia="Arial" w:hAnsi="Arial"/>
                <w:sz w:val="18"/>
                <w:szCs w:val="18"/>
                <w:color w:val="auto"/>
              </w:rPr>
              <w:t>By: W. F. Batton Management Company,</w:t>
            </w:r>
          </w:p>
        </w:tc>
        <w:tc>
          <w:tcPr>
            <w:tcW w:w="420" w:type="dxa"/>
            <w:vAlign w:val="bottom"/>
          </w:tcPr>
          <w:p>
            <w:pPr>
              <w:spacing w:after="0"/>
              <w:rPr>
                <w:sz w:val="24"/>
                <w:szCs w:val="24"/>
                <w:color w:val="auto"/>
              </w:rPr>
            </w:pPr>
          </w:p>
        </w:tc>
        <w:tc>
          <w:tcPr>
            <w:tcW w:w="7460" w:type="dxa"/>
            <w:vAlign w:val="bottom"/>
            <w:gridSpan w:val="4"/>
          </w:tcPr>
          <w:p>
            <w:pPr>
              <w:spacing w:after="0"/>
              <w:rPr>
                <w:sz w:val="20"/>
                <w:szCs w:val="20"/>
                <w:color w:val="auto"/>
              </w:rPr>
            </w:pPr>
            <w:r>
              <w:rPr>
                <w:rFonts w:ascii="Arial" w:cs="Arial" w:eastAsia="Arial" w:hAnsi="Arial"/>
                <w:sz w:val="18"/>
                <w:szCs w:val="18"/>
                <w:color w:val="auto"/>
              </w:rPr>
              <w:t>By: /s/ Arthur D. Chadwick</w:t>
            </w:r>
          </w:p>
        </w:tc>
      </w:tr>
      <w:tr>
        <w:trPr>
          <w:trHeight w:val="263"/>
        </w:trPr>
        <w:tc>
          <w:tcPr>
            <w:tcW w:w="320" w:type="dxa"/>
            <w:vAlign w:val="bottom"/>
          </w:tcPr>
          <w:p>
            <w:pPr>
              <w:spacing w:after="0"/>
              <w:rPr>
                <w:sz w:val="22"/>
                <w:szCs w:val="22"/>
                <w:color w:val="auto"/>
              </w:rPr>
            </w:pPr>
          </w:p>
        </w:tc>
        <w:tc>
          <w:tcPr>
            <w:tcW w:w="3040" w:type="dxa"/>
            <w:vAlign w:val="bottom"/>
            <w:gridSpan w:val="3"/>
          </w:tcPr>
          <w:p>
            <w:pPr>
              <w:ind w:left="40"/>
              <w:spacing w:after="0"/>
              <w:rPr>
                <w:sz w:val="20"/>
                <w:szCs w:val="20"/>
                <w:color w:val="auto"/>
              </w:rPr>
            </w:pPr>
            <w:r>
              <w:rPr>
                <w:rFonts w:ascii="Arial" w:cs="Arial" w:eastAsia="Arial" w:hAnsi="Arial"/>
                <w:sz w:val="18"/>
                <w:szCs w:val="18"/>
                <w:color w:val="auto"/>
              </w:rPr>
              <w:t>Manager</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5460" w:type="dxa"/>
            <w:vAlign w:val="bottom"/>
          </w:tcPr>
          <w:p>
            <w:pPr>
              <w:spacing w:after="0"/>
              <w:rPr>
                <w:sz w:val="22"/>
                <w:szCs w:val="22"/>
                <w:color w:val="auto"/>
              </w:rPr>
            </w:pPr>
          </w:p>
        </w:tc>
      </w:tr>
      <w:tr>
        <w:trPr>
          <w:trHeight w:val="190"/>
        </w:trPr>
        <w:tc>
          <w:tcPr>
            <w:tcW w:w="3360" w:type="dxa"/>
            <w:vAlign w:val="bottom"/>
            <w:gridSpan w:val="4"/>
          </w:tcPr>
          <w:p>
            <w:pPr>
              <w:spacing w:after="0" w:line="190" w:lineRule="exact"/>
              <w:rPr>
                <w:sz w:val="20"/>
                <w:szCs w:val="20"/>
                <w:color w:val="auto"/>
              </w:rPr>
            </w:pPr>
            <w:r>
              <w:rPr>
                <w:rFonts w:ascii="Arial" w:cs="Arial" w:eastAsia="Arial" w:hAnsi="Arial"/>
                <w:sz w:val="18"/>
                <w:szCs w:val="18"/>
                <w:color w:val="auto"/>
              </w:rPr>
              <w:t>By: /s/ Harold Balzer</w:t>
            </w:r>
          </w:p>
        </w:tc>
        <w:tc>
          <w:tcPr>
            <w:tcW w:w="420" w:type="dxa"/>
            <w:vAlign w:val="bottom"/>
          </w:tcPr>
          <w:p>
            <w:pPr>
              <w:spacing w:after="0"/>
              <w:rPr>
                <w:sz w:val="16"/>
                <w:szCs w:val="16"/>
                <w:color w:val="auto"/>
              </w:rPr>
            </w:pPr>
          </w:p>
        </w:tc>
        <w:tc>
          <w:tcPr>
            <w:tcW w:w="7460" w:type="dxa"/>
            <w:vAlign w:val="bottom"/>
            <w:gridSpan w:val="4"/>
          </w:tcPr>
          <w:p>
            <w:pPr>
              <w:ind w:left="60"/>
              <w:spacing w:after="0" w:line="190" w:lineRule="exact"/>
              <w:rPr>
                <w:sz w:val="20"/>
                <w:szCs w:val="20"/>
                <w:color w:val="auto"/>
              </w:rPr>
            </w:pPr>
            <w:r>
              <w:rPr>
                <w:rFonts w:ascii="Arial" w:cs="Arial" w:eastAsia="Arial" w:hAnsi="Arial"/>
                <w:sz w:val="18"/>
                <w:szCs w:val="18"/>
                <w:color w:val="auto"/>
              </w:rPr>
              <w:t>Name: Arthur D. Chadwick</w:t>
            </w:r>
          </w:p>
        </w:tc>
      </w:tr>
      <w:tr>
        <w:trPr>
          <w:trHeight w:val="20"/>
        </w:trPr>
        <w:tc>
          <w:tcPr>
            <w:tcW w:w="32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r>
      <w:tr>
        <w:trPr>
          <w:trHeight w:val="250"/>
        </w:trPr>
        <w:tc>
          <w:tcPr>
            <w:tcW w:w="3360" w:type="dxa"/>
            <w:vAlign w:val="bottom"/>
            <w:gridSpan w:val="4"/>
          </w:tcPr>
          <w:p>
            <w:pPr>
              <w:spacing w:after="0"/>
              <w:rPr>
                <w:sz w:val="20"/>
                <w:szCs w:val="20"/>
                <w:color w:val="auto"/>
              </w:rPr>
            </w:pPr>
            <w:r>
              <w:rPr>
                <w:rFonts w:ascii="Arial" w:cs="Arial" w:eastAsia="Arial" w:hAnsi="Arial"/>
                <w:sz w:val="18"/>
                <w:szCs w:val="18"/>
                <w:color w:val="auto"/>
              </w:rPr>
              <w:t>Harold Balzer, President</w:t>
            </w:r>
          </w:p>
        </w:tc>
        <w:tc>
          <w:tcPr>
            <w:tcW w:w="420" w:type="dxa"/>
            <w:vAlign w:val="bottom"/>
          </w:tcPr>
          <w:p>
            <w:pPr>
              <w:spacing w:after="0"/>
              <w:rPr>
                <w:sz w:val="21"/>
                <w:szCs w:val="21"/>
                <w:color w:val="auto"/>
              </w:rPr>
            </w:pPr>
          </w:p>
        </w:tc>
        <w:tc>
          <w:tcPr>
            <w:tcW w:w="7460" w:type="dxa"/>
            <w:vAlign w:val="bottom"/>
            <w:gridSpan w:val="4"/>
          </w:tcPr>
          <w:p>
            <w:pPr>
              <w:ind w:left="60"/>
              <w:spacing w:after="0"/>
              <w:rPr>
                <w:sz w:val="20"/>
                <w:szCs w:val="20"/>
                <w:color w:val="auto"/>
              </w:rPr>
            </w:pPr>
            <w:r>
              <w:rPr>
                <w:rFonts w:ascii="Arial" w:cs="Arial" w:eastAsia="Arial" w:hAnsi="Arial"/>
                <w:sz w:val="18"/>
                <w:szCs w:val="18"/>
                <w:color w:val="auto"/>
              </w:rPr>
              <w:t>Title: EVP, Chief Financial Officer</w:t>
            </w:r>
          </w:p>
        </w:tc>
      </w:tr>
      <w:tr>
        <w:trPr>
          <w:trHeight w:val="345"/>
        </w:trPr>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-513715</wp:posOffset>
            </wp:positionV>
            <wp:extent cx="132016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1320165" cy="12890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10.2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Termination Amendment </w:t>
      </w:r>
      <w:r>
        <w:rPr>
          <w:rFonts w:ascii="Arial" w:cs="Arial" w:eastAsia="Arial" w:hAnsi="Arial"/>
          <w:sz w:val="18"/>
          <w:szCs w:val="18"/>
          <w:color w:val="auto"/>
        </w:rPr>
        <w:t>("Agreement") is made effective as of November 3, 2021 by and between:</w:t>
      </w:r>
    </w:p>
    <w:p>
      <w:pPr>
        <w:spacing w:after="0" w:line="24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SiTime Corporation, a US Delaware corporation, having its principal business place at 5451 Patrick Henry Drive, Santa Clara, California 95054 ("SiTime"); and</w:t>
      </w:r>
    </w:p>
    <w:p>
      <w:pPr>
        <w:spacing w:after="0" w:line="18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xml:space="preserve">MegaChips Corporation, a Japan corporation, having its principal business place at 1-1-1 Miyahara Yodogawa ku Osaka 532-0003 Japan </w:t>
      </w:r>
      <w:r>
        <w:rPr>
          <w:rFonts w:ascii="Arial" w:cs="Arial" w:eastAsia="Arial" w:hAnsi="Arial"/>
          <w:sz w:val="16"/>
          <w:szCs w:val="16"/>
          <w:u w:val="single" w:color="auto"/>
          <w:color w:val="auto"/>
        </w:rPr>
        <w:t>("MegaChips")</w:t>
      </w:r>
      <w:r>
        <w:rPr>
          <w:rFonts w:ascii="Arial" w:cs="Arial" w:eastAsia="Arial" w:hAnsi="Arial"/>
          <w:sz w:val="16"/>
          <w:szCs w:val="16"/>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right="720"/>
        <w:spacing w:after="0" w:line="297"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parties hereto entered into the DISTRIBUTION AGREEMENT dated as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April 1, 2015</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and including all Memorandums of</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related thereto) ("Original Agreement"); 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parties hereto wish to terminate the Original Agreement by mutual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contained herein, the parties hereto agree as follows:</w:t>
      </w:r>
    </w:p>
    <w:p>
      <w:pPr>
        <w:spacing w:after="0" w:line="374" w:lineRule="exact"/>
        <w:rPr>
          <w:sz w:val="20"/>
          <w:szCs w:val="20"/>
          <w:color w:val="auto"/>
        </w:rPr>
      </w:pPr>
    </w:p>
    <w:p>
      <w:pPr>
        <w:ind w:left="960" w:hanging="443"/>
        <w:spacing w:after="0"/>
        <w:tabs>
          <w:tab w:leader="none" w:pos="9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Original Agreement</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Effective as of November 3, 2021, the parties hereto agree to terminate the Original Agreement.</w:t>
      </w:r>
    </w:p>
    <w:p>
      <w:pPr>
        <w:spacing w:after="0" w:line="355" w:lineRule="exact"/>
        <w:rPr>
          <w:sz w:val="20"/>
          <w:szCs w:val="20"/>
          <w:color w:val="auto"/>
        </w:rPr>
      </w:pPr>
    </w:p>
    <w:p>
      <w:pPr>
        <w:ind w:left="960" w:hanging="443"/>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27" w:lineRule="exact"/>
        <w:rPr>
          <w:sz w:val="20"/>
          <w:szCs w:val="20"/>
          <w:color w:val="auto"/>
        </w:rPr>
      </w:pPr>
    </w:p>
    <w:p>
      <w:pPr>
        <w:ind w:left="520" w:right="520"/>
        <w:spacing w:after="0" w:line="260" w:lineRule="auto"/>
        <w:rPr>
          <w:sz w:val="20"/>
          <w:szCs w:val="20"/>
          <w:color w:val="auto"/>
        </w:rPr>
      </w:pPr>
      <w:r>
        <w:rPr>
          <w:rFonts w:ascii="Arial" w:cs="Arial" w:eastAsia="Arial" w:hAnsi="Arial"/>
          <w:sz w:val="18"/>
          <w:szCs w:val="18"/>
          <w:color w:val="auto"/>
        </w:rPr>
        <w:t>MegaChips shall pay the outstanding amount of the account payable to SiTime as of the Effective Date, if any, within thirty(30) days after the receipt of invoice from SiTime.</w:t>
      </w:r>
    </w:p>
    <w:p>
      <w:pPr>
        <w:spacing w:after="0" w:line="316" w:lineRule="exact"/>
        <w:rPr>
          <w:sz w:val="20"/>
          <w:szCs w:val="20"/>
          <w:color w:val="auto"/>
        </w:rPr>
      </w:pPr>
    </w:p>
    <w:p>
      <w:pPr>
        <w:ind w:left="960" w:hanging="44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p>
    <w:p>
      <w:pPr>
        <w:spacing w:after="0" w:line="27" w:lineRule="exact"/>
        <w:rPr>
          <w:sz w:val="20"/>
          <w:szCs w:val="20"/>
          <w:color w:val="auto"/>
        </w:rPr>
      </w:pPr>
    </w:p>
    <w:p>
      <w:pPr>
        <w:ind w:left="520"/>
        <w:spacing w:after="0" w:line="292" w:lineRule="auto"/>
        <w:rPr>
          <w:sz w:val="20"/>
          <w:szCs w:val="20"/>
          <w:color w:val="auto"/>
        </w:rPr>
      </w:pPr>
      <w:r>
        <w:rPr>
          <w:rFonts w:ascii="Arial" w:cs="Arial" w:eastAsia="Arial" w:hAnsi="Arial"/>
          <w:sz w:val="18"/>
          <w:szCs w:val="18"/>
          <w:color w:val="auto"/>
        </w:rPr>
        <w:t>Pursuant to Section 31 of the Original Agreement, all obligations and duties thereunder which by their nature extend beyond the expiration or termination of the Original Agreement shall survive and remain in effect beyond any expiration or termination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SiTime Corporation</w:t>
            </w:r>
          </w:p>
        </w:tc>
        <w:tc>
          <w:tcPr>
            <w:tcW w:w="7680" w:type="dxa"/>
            <w:vAlign w:val="bottom"/>
            <w:gridSpan w:val="2"/>
          </w:tcPr>
          <w:p>
            <w:pPr>
              <w:ind w:left="1420"/>
              <w:spacing w:after="0"/>
              <w:rPr>
                <w:sz w:val="20"/>
                <w:szCs w:val="20"/>
                <w:color w:val="auto"/>
              </w:rPr>
            </w:pPr>
            <w:r>
              <w:rPr>
                <w:rFonts w:ascii="Arial" w:cs="Arial" w:eastAsia="Arial" w:hAnsi="Arial"/>
                <w:sz w:val="18"/>
                <w:szCs w:val="18"/>
                <w:b w:val="1"/>
                <w:bCs w:val="1"/>
                <w:color w:val="auto"/>
              </w:rPr>
              <w:t>MegaChips Corporation</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Signature: /s/ Rajesh Vashist</w:t>
            </w:r>
          </w:p>
        </w:tc>
        <w:tc>
          <w:tcPr>
            <w:tcW w:w="2180" w:type="dxa"/>
            <w:vAlign w:val="bottom"/>
          </w:tcPr>
          <w:p>
            <w:pPr>
              <w:ind w:left="1380"/>
              <w:spacing w:after="0"/>
              <w:rPr>
                <w:sz w:val="20"/>
                <w:szCs w:val="20"/>
                <w:color w:val="auto"/>
              </w:rPr>
            </w:pPr>
            <w:r>
              <w:rPr>
                <w:rFonts w:ascii="Arial" w:cs="Arial" w:eastAsia="Arial" w:hAnsi="Arial"/>
                <w:sz w:val="18"/>
                <w:szCs w:val="18"/>
                <w:color w:val="auto"/>
                <w:w w:val="95"/>
              </w:rPr>
              <w:t>Signature:</w:t>
            </w:r>
          </w:p>
        </w:tc>
        <w:tc>
          <w:tcPr>
            <w:tcW w:w="5500" w:type="dxa"/>
            <w:vAlign w:val="bottom"/>
          </w:tcPr>
          <w:p>
            <w:pPr>
              <w:ind w:left="220"/>
              <w:spacing w:after="0"/>
              <w:rPr>
                <w:sz w:val="20"/>
                <w:szCs w:val="20"/>
                <w:color w:val="auto"/>
              </w:rPr>
            </w:pPr>
            <w:r>
              <w:rPr>
                <w:rFonts w:ascii="Arial" w:cs="Arial" w:eastAsia="Arial" w:hAnsi="Arial"/>
                <w:sz w:val="18"/>
                <w:szCs w:val="18"/>
                <w:color w:val="auto"/>
              </w:rPr>
              <w:t>/s/ Yoshimasa Hayashi</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Name: Rajesh Vashist</w:t>
            </w:r>
          </w:p>
        </w:tc>
        <w:tc>
          <w:tcPr>
            <w:tcW w:w="2180" w:type="dxa"/>
            <w:vAlign w:val="bottom"/>
          </w:tcPr>
          <w:p>
            <w:pPr>
              <w:ind w:left="1400"/>
              <w:spacing w:after="0"/>
              <w:rPr>
                <w:sz w:val="20"/>
                <w:szCs w:val="20"/>
                <w:color w:val="auto"/>
              </w:rPr>
            </w:pPr>
            <w:r>
              <w:rPr>
                <w:rFonts w:ascii="Arial" w:cs="Arial" w:eastAsia="Arial" w:hAnsi="Arial"/>
                <w:sz w:val="18"/>
                <w:szCs w:val="18"/>
                <w:color w:val="auto"/>
              </w:rPr>
              <w:t>Name:</w:t>
            </w:r>
          </w:p>
        </w:tc>
        <w:tc>
          <w:tcPr>
            <w:tcW w:w="5500" w:type="dxa"/>
            <w:vAlign w:val="bottom"/>
          </w:tcPr>
          <w:p>
            <w:pPr>
              <w:ind w:left="160"/>
              <w:spacing w:after="0"/>
              <w:rPr>
                <w:sz w:val="20"/>
                <w:szCs w:val="20"/>
                <w:color w:val="auto"/>
              </w:rPr>
            </w:pPr>
            <w:r>
              <w:rPr>
                <w:rFonts w:ascii="Arial" w:cs="Arial" w:eastAsia="Arial" w:hAnsi="Arial"/>
                <w:sz w:val="18"/>
                <w:szCs w:val="18"/>
                <w:color w:val="auto"/>
              </w:rPr>
              <w:t>Yoshimasa Hayashi</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2180" w:type="dxa"/>
            <w:vAlign w:val="bottom"/>
          </w:tcPr>
          <w:p>
            <w:pPr>
              <w:ind w:left="1400"/>
              <w:spacing w:after="0"/>
              <w:rPr>
                <w:sz w:val="20"/>
                <w:szCs w:val="20"/>
                <w:color w:val="auto"/>
              </w:rPr>
            </w:pPr>
            <w:r>
              <w:rPr>
                <w:rFonts w:ascii="Arial" w:cs="Arial" w:eastAsia="Arial" w:hAnsi="Arial"/>
                <w:sz w:val="18"/>
                <w:szCs w:val="18"/>
                <w:color w:val="auto"/>
              </w:rPr>
              <w:t>Title:</w:t>
            </w:r>
          </w:p>
        </w:tc>
        <w:tc>
          <w:tcPr>
            <w:tcW w:w="5500" w:type="dxa"/>
            <w:vAlign w:val="bottom"/>
          </w:tcPr>
          <w:p>
            <w:pPr>
              <w:ind w:left="40"/>
              <w:spacing w:after="0"/>
              <w:rPr>
                <w:sz w:val="20"/>
                <w:szCs w:val="20"/>
                <w:color w:val="auto"/>
              </w:rPr>
            </w:pPr>
            <w:r>
              <w:rPr>
                <w:rFonts w:ascii="Arial" w:cs="Arial" w:eastAsia="Arial" w:hAnsi="Arial"/>
                <w:sz w:val="18"/>
                <w:szCs w:val="18"/>
                <w:color w:val="auto"/>
              </w:rPr>
              <w:t>Senior Managing Director</w:t>
            </w:r>
          </w:p>
        </w:tc>
      </w:tr>
      <w:tr>
        <w:trPr>
          <w:trHeight w:val="1748"/>
        </w:trPr>
        <w:tc>
          <w:tcPr>
            <w:tcW w:w="35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279" w:lineRule="exact"/>
        <w:rPr>
          <w:sz w:val="20"/>
          <w:szCs w:val="20"/>
          <w:color w:val="auto"/>
        </w:rPr>
      </w:pPr>
    </w:p>
    <w:p>
      <w:pPr>
        <w:ind w:left="260" w:hanging="239"/>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333" w:lineRule="exact"/>
        <w:rPr>
          <w:rFonts w:ascii="Arial" w:cs="Arial" w:eastAsia="Arial" w:hAnsi="Arial"/>
          <w:sz w:val="18"/>
          <w:szCs w:val="18"/>
          <w:color w:val="auto"/>
        </w:rPr>
      </w:pPr>
    </w:p>
    <w:p>
      <w:pPr>
        <w:jc w:val="both"/>
        <w:ind w:left="260" w:right="520" w:hanging="239"/>
        <w:spacing w:after="0" w:line="310"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0" w:lineRule="exact"/>
        <w:rPr>
          <w:rFonts w:ascii="Arial" w:cs="Arial" w:eastAsia="Arial" w:hAnsi="Arial"/>
          <w:sz w:val="18"/>
          <w:szCs w:val="18"/>
          <w:color w:val="auto"/>
        </w:rPr>
      </w:pPr>
    </w:p>
    <w:p>
      <w:pPr>
        <w:ind w:left="260" w:right="480" w:hanging="239"/>
        <w:spacing w:after="0" w:line="357"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ind w:left="260" w:right="100" w:hanging="239"/>
        <w:spacing w:after="0" w:line="310"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Arial" w:cs="Arial" w:eastAsia="Arial" w:hAnsi="Arial"/>
          <w:sz w:val="18"/>
          <w:szCs w:val="18"/>
          <w:color w:val="auto"/>
        </w:rPr>
      </w:pPr>
    </w:p>
    <w:p>
      <w:pPr>
        <w:jc w:val="both"/>
        <w:ind w:left="760" w:right="300" w:hanging="509"/>
        <w:spacing w:after="0" w:line="310" w:lineRule="auto"/>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0" w:lineRule="exact"/>
        <w:rPr>
          <w:rFonts w:ascii="Arial" w:cs="Arial" w:eastAsia="Arial" w:hAnsi="Arial"/>
          <w:sz w:val="18"/>
          <w:szCs w:val="18"/>
          <w:color w:val="auto"/>
        </w:rPr>
      </w:pPr>
    </w:p>
    <w:p>
      <w:pPr>
        <w:ind w:left="760" w:right="580" w:hanging="509"/>
        <w:spacing w:after="0" w:line="310" w:lineRule="auto"/>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0" w:lineRule="exact"/>
        <w:rPr>
          <w:rFonts w:ascii="Arial" w:cs="Arial" w:eastAsia="Arial" w:hAnsi="Arial"/>
          <w:sz w:val="18"/>
          <w:szCs w:val="18"/>
          <w:color w:val="auto"/>
        </w:rPr>
      </w:pPr>
    </w:p>
    <w:p>
      <w:pPr>
        <w:jc w:val="both"/>
        <w:ind w:left="760" w:right="740" w:hanging="509"/>
        <w:spacing w:after="0" w:line="395" w:lineRule="auto"/>
        <w:tabs>
          <w:tab w:leader="none" w:pos="7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6"/>
          <w:szCs w:val="16"/>
          <w:color w:val="auto"/>
        </w:rPr>
      </w:pPr>
    </w:p>
    <w:p>
      <w:pPr>
        <w:ind w:left="760" w:right="300" w:hanging="509"/>
        <w:spacing w:after="0" w:line="310" w:lineRule="auto"/>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0" w:lineRule="exact"/>
        <w:rPr>
          <w:rFonts w:ascii="Arial" w:cs="Arial" w:eastAsia="Arial" w:hAnsi="Arial"/>
          <w:sz w:val="18"/>
          <w:szCs w:val="18"/>
          <w:color w:val="auto"/>
        </w:rPr>
      </w:pPr>
    </w:p>
    <w:p>
      <w:pPr>
        <w:ind w:left="260" w:right="400" w:hanging="239"/>
        <w:spacing w:after="0" w:line="357"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7"/>
          <w:szCs w:val="17"/>
          <w:color w:val="auto"/>
        </w:rPr>
      </w:pPr>
    </w:p>
    <w:p>
      <w:pPr>
        <w:ind w:left="760" w:right="220" w:hanging="509"/>
        <w:spacing w:after="0" w:line="357" w:lineRule="auto"/>
        <w:tabs>
          <w:tab w:leader="none" w:pos="7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Arial" w:cs="Arial" w:eastAsia="Arial" w:hAnsi="Arial"/>
          <w:sz w:val="17"/>
          <w:szCs w:val="17"/>
          <w:color w:val="auto"/>
        </w:rPr>
      </w:pPr>
    </w:p>
    <w:p>
      <w:pPr>
        <w:ind w:left="760" w:right="180" w:hanging="509"/>
        <w:spacing w:after="0" w:line="324" w:lineRule="auto"/>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0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23495</wp:posOffset>
            </wp:positionV>
            <wp:extent cx="30600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9"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Rajesh Vashist</w:t>
      </w:r>
    </w:p>
    <w:p>
      <w:pPr>
        <w:spacing w:after="0" w:line="2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736600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79" w:lineRule="exact"/>
        <w:rPr>
          <w:sz w:val="20"/>
          <w:szCs w:val="20"/>
          <w:color w:val="auto"/>
        </w:rPr>
      </w:pPr>
    </w:p>
    <w:p>
      <w:pPr>
        <w:ind w:left="260" w:hanging="239"/>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333" w:lineRule="exact"/>
        <w:rPr>
          <w:rFonts w:ascii="Arial" w:cs="Arial" w:eastAsia="Arial" w:hAnsi="Arial"/>
          <w:sz w:val="18"/>
          <w:szCs w:val="18"/>
          <w:color w:val="auto"/>
        </w:rPr>
      </w:pPr>
    </w:p>
    <w:p>
      <w:pPr>
        <w:jc w:val="both"/>
        <w:ind w:left="260" w:right="520" w:hanging="239"/>
        <w:spacing w:after="0" w:line="310"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0" w:lineRule="exact"/>
        <w:rPr>
          <w:rFonts w:ascii="Arial" w:cs="Arial" w:eastAsia="Arial" w:hAnsi="Arial"/>
          <w:sz w:val="18"/>
          <w:szCs w:val="18"/>
          <w:color w:val="auto"/>
        </w:rPr>
      </w:pPr>
    </w:p>
    <w:p>
      <w:pPr>
        <w:ind w:left="260" w:right="480" w:hanging="239"/>
        <w:spacing w:after="0" w:line="357" w:lineRule="auto"/>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ind w:left="260" w:right="100" w:hanging="239"/>
        <w:spacing w:after="0" w:line="310"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Arial" w:cs="Arial" w:eastAsia="Arial" w:hAnsi="Arial"/>
          <w:sz w:val="18"/>
          <w:szCs w:val="18"/>
          <w:color w:val="auto"/>
        </w:rPr>
      </w:pPr>
    </w:p>
    <w:p>
      <w:pPr>
        <w:jc w:val="both"/>
        <w:ind w:left="760" w:right="300" w:hanging="509"/>
        <w:spacing w:after="0" w:line="310" w:lineRule="auto"/>
        <w:tabs>
          <w:tab w:leader="none" w:pos="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0" w:lineRule="exact"/>
        <w:rPr>
          <w:rFonts w:ascii="Arial" w:cs="Arial" w:eastAsia="Arial" w:hAnsi="Arial"/>
          <w:sz w:val="18"/>
          <w:szCs w:val="18"/>
          <w:color w:val="auto"/>
        </w:rPr>
      </w:pPr>
    </w:p>
    <w:p>
      <w:pPr>
        <w:ind w:left="760" w:right="580" w:hanging="509"/>
        <w:spacing w:after="0" w:line="310" w:lineRule="auto"/>
        <w:tabs>
          <w:tab w:leader="none" w:pos="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0" w:lineRule="exact"/>
        <w:rPr>
          <w:rFonts w:ascii="Arial" w:cs="Arial" w:eastAsia="Arial" w:hAnsi="Arial"/>
          <w:sz w:val="18"/>
          <w:szCs w:val="18"/>
          <w:color w:val="auto"/>
        </w:rPr>
      </w:pPr>
    </w:p>
    <w:p>
      <w:pPr>
        <w:jc w:val="both"/>
        <w:ind w:left="760" w:right="740" w:hanging="509"/>
        <w:spacing w:after="0" w:line="395" w:lineRule="auto"/>
        <w:tabs>
          <w:tab w:leader="none" w:pos="7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6"/>
          <w:szCs w:val="16"/>
          <w:color w:val="auto"/>
        </w:rPr>
      </w:pPr>
    </w:p>
    <w:p>
      <w:pPr>
        <w:ind w:left="760" w:right="300" w:hanging="509"/>
        <w:spacing w:after="0" w:line="310" w:lineRule="auto"/>
        <w:tabs>
          <w:tab w:leader="none" w:pos="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0" w:lineRule="exact"/>
        <w:rPr>
          <w:rFonts w:ascii="Arial" w:cs="Arial" w:eastAsia="Arial" w:hAnsi="Arial"/>
          <w:sz w:val="18"/>
          <w:szCs w:val="18"/>
          <w:color w:val="auto"/>
        </w:rPr>
      </w:pPr>
    </w:p>
    <w:p>
      <w:pPr>
        <w:ind w:left="260" w:right="400" w:hanging="239"/>
        <w:spacing w:after="0" w:line="357" w:lineRule="auto"/>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7"/>
          <w:szCs w:val="17"/>
          <w:color w:val="auto"/>
        </w:rPr>
      </w:pPr>
    </w:p>
    <w:p>
      <w:pPr>
        <w:ind w:left="760" w:right="220" w:hanging="509"/>
        <w:spacing w:after="0" w:line="357" w:lineRule="auto"/>
        <w:tabs>
          <w:tab w:leader="none" w:pos="7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Arial" w:cs="Arial" w:eastAsia="Arial" w:hAnsi="Arial"/>
          <w:sz w:val="17"/>
          <w:szCs w:val="17"/>
          <w:color w:val="auto"/>
        </w:rPr>
      </w:pPr>
    </w:p>
    <w:p>
      <w:pPr>
        <w:ind w:left="760" w:right="180" w:hanging="509"/>
        <w:spacing w:after="0" w:line="324" w:lineRule="auto"/>
        <w:tabs>
          <w:tab w:leader="none" w:pos="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0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23495</wp:posOffset>
            </wp:positionV>
            <wp:extent cx="30600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9"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20" w:firstLine="479"/>
        <w:spacing w:after="0" w:line="279"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223" w:lineRule="exact"/>
        <w:rPr>
          <w:sz w:val="20"/>
          <w:szCs w:val="20"/>
          <w:color w:val="auto"/>
        </w:rPr>
      </w:pPr>
    </w:p>
    <w:p>
      <w:pPr>
        <w:ind w:left="960" w:hanging="46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960" w:right="620" w:hanging="466"/>
        <w:spacing w:after="0" w:line="293"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4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06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53"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Rajesh Vashist</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20" w:firstLine="479"/>
        <w:spacing w:after="0" w:line="279"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223" w:lineRule="exact"/>
        <w:rPr>
          <w:sz w:val="20"/>
          <w:szCs w:val="20"/>
          <w:color w:val="auto"/>
        </w:rPr>
      </w:pPr>
    </w:p>
    <w:p>
      <w:pPr>
        <w:ind w:left="960" w:hanging="46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960" w:right="620" w:hanging="466"/>
        <w:spacing w:after="0" w:line="29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47"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06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5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Arthur D. Chadwick</w:t>
      </w:r>
    </w:p>
    <w:p>
      <w:pPr>
        <w:spacing w:after="0" w:line="50"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2"/>
      <w:numFmt w:val="decimal"/>
      <w:start w:val="104"/>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3"/>
    </w:lvl>
    <w:lvl w:ilvl="1">
      <w:lvlJc w:val="left"/>
      <w:lvlText w:val="(%2)"/>
      <w:numFmt w:val="lowerLetter"/>
      <w:start w:val="1"/>
    </w:lvl>
  </w:abstractNum>
  <w:abstractNum w:abstractNumId="18">
    <w:nsid w:val="2D1D5AE9"/>
    <w:multiLevelType w:val="hybridMultilevel"/>
    <w:lvl w:ilvl="0">
      <w:lvlJc w:val="left"/>
      <w:lvlText w:val="%1"/>
      <w:numFmt w:val="decimal"/>
      <w:start w:val="1"/>
    </w:lvl>
    <w:lvl w:ilvl="1">
      <w:lvlJc w:val="left"/>
      <w:lvlText w:val="(%2)"/>
      <w:numFmt w:val="lowerLetter"/>
      <w:start w:val="2"/>
    </w:lvl>
  </w:abstractNum>
  <w:abstractNum w:abstractNumId="19">
    <w:nsid w:val="6763845E"/>
    <w:multiLevelType w:val="hybridMultilevel"/>
    <w:lvl w:ilvl="0">
      <w:lvlJc w:val="left"/>
      <w:lvlText w:val="%1."/>
      <w:numFmt w:val="decimal"/>
      <w:start w:val="4"/>
    </w:lvl>
    <w:lvl w:ilvl="1">
      <w:lvlJc w:val="left"/>
      <w:lvlText w:val="%2"/>
      <w:numFmt w:val="lowerLetter"/>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68" Type="http://schemas.openxmlformats.org/officeDocument/2006/relationships/hyperlink" Target="https://www.sec.gov/Archives/edgar/data/1451809/000119312519301287/d630610dex31.htm" TargetMode="External"/><Relationship Id="rId269" Type="http://schemas.openxmlformats.org/officeDocument/2006/relationships/hyperlink" Target="https://www.sec.gov/Archives/edgar/data/1451809/000156459021035069/sitm-ex32_6.htm" TargetMode="External"/><Relationship Id="rId270" Type="http://schemas.openxmlformats.org/officeDocument/2006/relationships/hyperlink" Target="https://www.sec.gov/Archives/edgar/data/0001451809/000119312519272678/d701682dex41.htm" TargetMode="External"/><Relationship Id="rId271" Type="http://schemas.openxmlformats.org/officeDocument/2006/relationships/hyperlink" Target="https://www.sec.gov/Archives/edgar/data/1451809/000156459021005867/sitm-ex42_6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2021-11-04T15:31:48Z</dcterms:created>
  <dcterms:modified xsi:type="dcterms:W3CDTF">2021-11-04T15:31:48Z</dcterms:modified>
</cp:coreProperties>
</file>