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001-39135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02-0713868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5451 Patrick Henry Drive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(408) 328-4400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188"/>
        <w:gridCol w:w="1041"/>
        <w:gridCol w:w="1056"/>
        <w:gridCol w:w="109"/>
        <w:gridCol w:w="109"/>
        <w:gridCol w:w="109"/>
        <w:gridCol w:w="484"/>
        <w:gridCol w:w="484"/>
        <w:gridCol w:w="486"/>
        <w:gridCol w:w="109"/>
        <w:gridCol w:w="109"/>
        <w:gridCol w:w="109"/>
        <w:gridCol w:w="970"/>
        <w:gridCol w:w="970"/>
        <w:gridCol w:w="1374"/>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20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1, 2024, the registrant had 23,361,995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
              <w:r>
                <w:rPr>
                  <w:rStyle w:val="InternetLink"/>
                  <w:rFonts w:ascii="Times New Roman;sans-serif" w:hAnsi="Times New Roman;sans-serif"/>
                  <w:b w:val="false"/>
                  <w:color w:val="0000FF"/>
                  <w:sz w:val="20"/>
                  <w:u w:val="single"/>
                </w:rPr>
                <w:t xml:space="preserve">Risk Factor Summary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510a2ccaa6154973bd1423ac95dd4168_10">
              <w:r>
                <w:rPr>
                  <w:rStyle w:val="InternetLink"/>
                  <w:rFonts w:ascii="Times New Roman;sans-serif" w:hAnsi="Times New Roman;sans-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3">
              <w:r>
                <w:rPr>
                  <w:rStyle w:val="InternetLink"/>
                  <w:rFonts w:ascii="Times New Roman;sans-serif" w:hAnsi="Times New Roman;sans-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25">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28">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31">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67">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67">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0">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0">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00">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3">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3">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03">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6">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6">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09">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09">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12">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12">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12">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15">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15">
              <w:r>
                <w:rPr>
                  <w:rStyle w:val="InternetLink"/>
                  <w:rFonts w:ascii="Times New Roman;sans-serif" w:hAnsi="Times New Roman;sans-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21">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21">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21">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0a2ccaa6154973bd1423ac95dd4168_124">
              <w:r>
                <w:rPr>
                  <w:rStyle w:val="InternetLink"/>
                  <w:rFonts w:ascii="Times New Roman;sans-serif" w:hAnsi="Times New Roman;sans-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0a2ccaa6154973bd1423ac95dd4168_124">
              <w:r>
                <w:rPr>
                  <w:rStyle w:val="InternetLink"/>
                  <w:rFonts w:ascii="Times New Roman;sans-serif" w:hAnsi="Times New Roman;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the cyclical nature of the semiconductor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including the emergence of new variants of COVID-19,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gross margins may fluctuate due to a variety of factors, which could negatively impact our results of operations and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in previous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seek, or be required to seek debt financing;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Substantial future sales of our common stock could cause the market price of our common stock to decline;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2"/>
        <w:gridCol w:w="2249"/>
        <w:gridCol w:w="2190"/>
        <w:gridCol w:w="246"/>
        <w:gridCol w:w="967"/>
        <w:gridCol w:w="127"/>
        <w:gridCol w:w="109"/>
        <w:gridCol w:w="109"/>
        <w:gridCol w:w="109"/>
        <w:gridCol w:w="241"/>
        <w:gridCol w:w="946"/>
        <w:gridCol w:w="180"/>
      </w:tblGrid>
      <w:tr>
        <w:trPr/>
        <w:tc>
          <w:tcPr>
            <w:tcW w:w="273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in held-to-maturity securities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545,745 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877,903 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94,920 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121,394 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181,668 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243,631 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8"/>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- 200,000 shares authorized; 23,362 and 22,692 shares issued and outstanding at September 30, 2024 and December 31, 2023</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696,235 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877,903 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98"/>
        <w:gridCol w:w="1400"/>
        <w:gridCol w:w="1401"/>
        <w:gridCol w:w="218"/>
        <w:gridCol w:w="807"/>
        <w:gridCol w:w="112"/>
        <w:gridCol w:w="112"/>
        <w:gridCol w:w="112"/>
        <w:gridCol w:w="112"/>
        <w:gridCol w:w="218"/>
        <w:gridCol w:w="807"/>
        <w:gridCol w:w="112"/>
        <w:gridCol w:w="109"/>
        <w:gridCol w:w="109"/>
        <w:gridCol w:w="109"/>
        <w:gridCol w:w="211"/>
        <w:gridCol w:w="826"/>
        <w:gridCol w:w="109"/>
        <w:gridCol w:w="109"/>
        <w:gridCol w:w="109"/>
        <w:gridCol w:w="109"/>
        <w:gridCol w:w="211"/>
        <w:gridCol w:w="826"/>
        <w:gridCol w:w="159"/>
      </w:tblGrid>
      <w:tr>
        <w:trPr/>
        <w:tc>
          <w:tcPr>
            <w:tcW w:w="17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57,698 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29,467 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23,647 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74,671 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(24,863)</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(79,732)</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and comprehensive loss</w:t>
            </w:r>
          </w:p>
        </w:tc>
        <w:tc>
          <w:tcPr>
            <w:tcW w:w="21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12"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2"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5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diluted</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loss per share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loss per share</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23,237 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67"/>
        <w:gridCol w:w="1171"/>
        <w:gridCol w:w="1176"/>
        <w:gridCol w:w="224"/>
        <w:gridCol w:w="224"/>
        <w:gridCol w:w="228"/>
        <w:gridCol w:w="109"/>
        <w:gridCol w:w="109"/>
        <w:gridCol w:w="109"/>
        <w:gridCol w:w="253"/>
        <w:gridCol w:w="307"/>
        <w:gridCol w:w="131"/>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6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692,512 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708,267 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9011" w:type="dxa"/>
        <w:jc w:val="left"/>
        <w:tblInd w:w="0" w:type="dxa"/>
        <w:tblLayout w:type="fixed"/>
        <w:tblCellMar>
          <w:top w:w="28" w:type="dxa"/>
          <w:left w:w="28" w:type="dxa"/>
          <w:bottom w:w="28" w:type="dxa"/>
          <w:right w:w="28" w:type="dxa"/>
        </w:tblCellMar>
      </w:tblPr>
      <w:tblGrid>
        <w:gridCol w:w="2305"/>
        <w:gridCol w:w="2028"/>
        <w:gridCol w:w="2042"/>
        <w:gridCol w:w="213"/>
        <w:gridCol w:w="807"/>
        <w:gridCol w:w="110"/>
        <w:gridCol w:w="110"/>
        <w:gridCol w:w="110"/>
        <w:gridCol w:w="110"/>
        <w:gridCol w:w="213"/>
        <w:gridCol w:w="807"/>
        <w:gridCol w:w="156"/>
      </w:tblGrid>
      <w:tr>
        <w:trPr/>
        <w:tc>
          <w:tcPr>
            <w:tcW w:w="230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3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3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interest on held to maturity securities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sales-based earnout liability</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consideration payable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3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held to maturity securities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held to maturity securities</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610,938 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903,981 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intangibles</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3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net share settlement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At-The-Market offering</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At-The-Market offering costs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 towards earnouts</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consideration towards acquisition consideration payable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(84,430)</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8,489 </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property and equipment</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Note 1.</w:t>
      </w:r>
      <w:r>
        <w:rPr>
          <w:color w:val="000000"/>
        </w:rPr>
        <w:t xml:space="preserve"> </w:t>
      </w:r>
      <w:r>
        <w:rPr>
          <w:rFonts w:ascii="Times New Roman;sans-serif" w:hAnsi="Times New Roman;sans-serif"/>
          <w:b/>
          <w:color w:val="000000"/>
          <w:sz w:val="20"/>
        </w:rPr>
        <w:t>The Company and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SiTime Corporation (the “Company” or "SiTime")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2023.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2024, for any future year, or for any other future interim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reserve for excess and obsolete inventories, and sales reserves. Actual results could differ from those estimates.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audited consolidated financial statements and related notes thereto included in the Annual Report on Form 10-K for the year ended December 31, 2023. There have been no changes to these accounting policies through September 30,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“Improvements to Reportable Segment Disclosures (Topic 280)” in order to require disclosure of incremental segment information on an annual and interim basis for all public entities. The ASU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ASU is to be applied retrospectively to all prior periods presented in the financial statements and is effective for our Annual Report on Form 10-K for the fiscal year ended December 31, 2024, with early adoption permitted. We do not expect the standard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lineRule="auto" w:line="288" w:before="120" w:after="283"/>
        <w:jc w:val="left"/>
        <w:rPr/>
      </w:pPr>
      <w:r>
        <w:rPr>
          <w:rFonts w:ascii="Times New Roman;sans-serif" w:hAnsi="Times New Roman;sans-serif"/>
          <w:b w:val="false"/>
          <w:color w:val="000000"/>
          <w:sz w:val="20"/>
        </w:rPr>
        <w:t xml:space="preserve">On December 1, 2023, we completed our acquisition of Aura's timing business and clock products, and an assembled workforce. The acquisition qualified as a business combination 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and, accordingly, total consideration was first allocated to the fair value of assets acquired as of the date of acquisition, with the excess being recorded as goodwill. The acquisition date fair value of the purchase consideration was $259.2 million, which comprised the following:</w:t>
      </w:r>
    </w:p>
    <w:tbl>
      <w:tblPr>
        <w:tblW w:w="5159" w:type="dxa"/>
        <w:jc w:val="left"/>
        <w:tblInd w:w="0" w:type="dxa"/>
        <w:tblLayout w:type="fixed"/>
        <w:tblCellMar>
          <w:top w:w="28" w:type="dxa"/>
          <w:left w:w="28" w:type="dxa"/>
          <w:bottom w:w="28" w:type="dxa"/>
          <w:right w:w="28" w:type="dxa"/>
        </w:tblCellMar>
      </w:tblPr>
      <w:tblGrid>
        <w:gridCol w:w="1255"/>
        <w:gridCol w:w="1104"/>
        <w:gridCol w:w="1106"/>
        <w:gridCol w:w="296"/>
        <w:gridCol w:w="1182"/>
        <w:gridCol w:w="216"/>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consideration</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sales-based earnout liability</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pre-existing arrangement</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consideration</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purchase consideration allocation to the assets acquired based on their respective estimated fair values as of the date of acquisition is as follows:</w:t>
      </w:r>
    </w:p>
    <w:tbl>
      <w:tblPr>
        <w:tblW w:w="9778" w:type="dxa"/>
        <w:jc w:val="left"/>
        <w:tblInd w:w="0" w:type="dxa"/>
        <w:tblLayout w:type="fixed"/>
        <w:tblCellMar>
          <w:top w:w="28" w:type="dxa"/>
          <w:left w:w="28" w:type="dxa"/>
          <w:bottom w:w="28" w:type="dxa"/>
          <w:right w:w="28" w:type="dxa"/>
        </w:tblCellMar>
      </w:tblPr>
      <w:tblGrid>
        <w:gridCol w:w="1126"/>
        <w:gridCol w:w="986"/>
        <w:gridCol w:w="992"/>
        <w:gridCol w:w="488"/>
        <w:gridCol w:w="1945"/>
        <w:gridCol w:w="252"/>
        <w:gridCol w:w="549"/>
        <w:gridCol w:w="549"/>
        <w:gridCol w:w="551"/>
        <w:gridCol w:w="684"/>
        <w:gridCol w:w="684"/>
        <w:gridCol w:w="972"/>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(Preliminary)</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Line Item</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8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customer agreements</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are the supplemental consolidated financial results of the Company on an unaudited pro forma basis, as if the acquisition had been consummated on January 1, 2023:</w:t>
      </w:r>
    </w:p>
    <w:tbl>
      <w:tblPr>
        <w:tblW w:w="8520" w:type="dxa"/>
        <w:jc w:val="left"/>
        <w:tblInd w:w="0" w:type="dxa"/>
        <w:tblLayout w:type="fixed"/>
        <w:tblCellMar>
          <w:top w:w="28" w:type="dxa"/>
          <w:left w:w="28" w:type="dxa"/>
          <w:bottom w:w="28" w:type="dxa"/>
          <w:right w:w="28" w:type="dxa"/>
        </w:tblCellMar>
      </w:tblPr>
      <w:tblGrid>
        <w:gridCol w:w="1075"/>
        <w:gridCol w:w="945"/>
        <w:gridCol w:w="950"/>
        <w:gridCol w:w="211"/>
        <w:gridCol w:w="79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pro forma information</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pro forma information presents the combined results of operations for the three and nine months ended September 30, 2024 and 2023, as if the acquisition was completed on January 1, 2023, the first day of the fiscal year of 2023. The supplemental pro forma financial information presented above is not necessarily indicative of the financial position or results of operations that would have been realized if the acquisition had been completed on the date indicated. The supplemental pro forma financial information does not reflect synergies that might have been achieved, nor is it indicative of future operating results or financial position. The proforma financial information includes a $6.5 million nonrecurring adjustment related to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highly liquid money market funds of $0.4 million and $0.4 million, respectively, were valued using Level 1 of the fair value hierarchy, quoted prices in active markets for identical assets, and are included in cash equivalents.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 in held-to-maturity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purchased Treasury Bills with maturities ranging from 3 to 12 months, which the Company intends to hold until maturity and has classified as held-to-maturity securities. The held-to-maturity securities are recorded at amortized cost totaling $426.3 million including gross accrued interest of $10.9 million as of September 30, 2024. As of September 30, 2024, the fair value and gross unrealized loss on the held-to-maturity securities was $426.6 million and $0.2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amortized cost of the held-to-maturity securities totaled $518.7 million including gross accrued interest of $8.9 million. As of December 31, 2023, the fair value and gross unrealized loss on the held-to-maturity securities was $519.0 million and $0.3 million,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Sales-based earnout liability</w:t>
      </w:r>
    </w:p>
    <w:p>
      <w:pPr>
        <w:pStyle w:val="TextBody"/>
        <w:bidi w:val="0"/>
        <w:spacing w:lineRule="auto" w:line="288" w:before="120" w:after="283"/>
        <w:jc w:val="left"/>
        <w:rPr/>
      </w:pPr>
      <w:r>
        <w:rPr>
          <w:rFonts w:ascii="Times New Roman;sans-serif" w:hAnsi="Times New Roman;sans-serif"/>
          <w:b w:val="false"/>
          <w:color w:val="000000"/>
          <w:sz w:val="20"/>
        </w:rPr>
        <w:t>The estimated fair value of the sales-based earnout liability is determined using a Monte Carlo simulation model using significant unobservable fair value inputs and is therefore classified as a Level 3 measurement.</w:t>
      </w:r>
      <w:r>
        <w:rPr>
          <w:color w:val="000000"/>
        </w:rPr>
        <w:t xml:space="preserve"> </w:t>
      </w:r>
      <w:r>
        <w:rPr>
          <w:rFonts w:ascii="Times New Roman;sans-serif" w:hAnsi="Times New Roman;sans-serif"/>
          <w:b w:val="false"/>
          <w:color w:val="000000"/>
          <w:sz w:val="20"/>
        </w:rPr>
        <w:t>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September 30, 2024, the Company used a volatility rate of 20%, risk free rate ranging from 3.6% to 4.8%, and an expected term ranging from 0.13 years to 4.13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fair value of the Company’s Level 3 financial liabilities:</w:t>
      </w:r>
    </w:p>
    <w:tbl>
      <w:tblPr>
        <w:tblW w:w="7506" w:type="dxa"/>
        <w:jc w:val="left"/>
        <w:tblInd w:w="0" w:type="dxa"/>
        <w:tblLayout w:type="fixed"/>
        <w:tblCellMar>
          <w:top w:w="28" w:type="dxa"/>
          <w:left w:w="28" w:type="dxa"/>
          <w:bottom w:w="28" w:type="dxa"/>
          <w:right w:w="28" w:type="dxa"/>
        </w:tblCellMar>
      </w:tblPr>
      <w:tblGrid>
        <w:gridCol w:w="2282"/>
        <w:gridCol w:w="2013"/>
        <w:gridCol w:w="2020"/>
        <w:gridCol w:w="211"/>
        <w:gridCol w:w="826"/>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during the year recorded to 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categories during any of the periods presented.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w:t>
      </w:r>
    </w:p>
    <w:tbl>
      <w:tblPr>
        <w:tblW w:w="7538" w:type="dxa"/>
        <w:jc w:val="left"/>
        <w:tblInd w:w="0" w:type="dxa"/>
        <w:tblLayout w:type="fixed"/>
        <w:tblCellMar>
          <w:top w:w="28" w:type="dxa"/>
          <w:left w:w="28" w:type="dxa"/>
          <w:bottom w:w="28" w:type="dxa"/>
          <w:right w:w="28" w:type="dxa"/>
        </w:tblCellMar>
      </w:tblPr>
      <w:tblGrid>
        <w:gridCol w:w="830"/>
        <w:gridCol w:w="730"/>
        <w:gridCol w:w="735"/>
        <w:gridCol w:w="313"/>
        <w:gridCol w:w="1070"/>
        <w:gridCol w:w="161"/>
        <w:gridCol w:w="109"/>
        <w:gridCol w:w="109"/>
        <w:gridCol w:w="109"/>
        <w:gridCol w:w="304"/>
        <w:gridCol w:w="1039"/>
        <w:gridCol w:w="15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21,911 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931" w:type="dxa"/>
        <w:jc w:val="left"/>
        <w:tblInd w:w="0" w:type="dxa"/>
        <w:tblLayout w:type="fixed"/>
        <w:tblCellMar>
          <w:top w:w="28" w:type="dxa"/>
          <w:left w:w="28" w:type="dxa"/>
          <w:bottom w:w="28" w:type="dxa"/>
          <w:right w:w="28" w:type="dxa"/>
        </w:tblCellMar>
      </w:tblPr>
      <w:tblGrid>
        <w:gridCol w:w="549"/>
        <w:gridCol w:w="481"/>
        <w:gridCol w:w="485"/>
        <w:gridCol w:w="313"/>
        <w:gridCol w:w="1070"/>
        <w:gridCol w:w="161"/>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345" w:type="dxa"/>
        <w:jc w:val="left"/>
        <w:tblInd w:w="0" w:type="dxa"/>
        <w:tblLayout w:type="fixed"/>
        <w:tblCellMar>
          <w:top w:w="28" w:type="dxa"/>
          <w:left w:w="28" w:type="dxa"/>
          <w:bottom w:w="28" w:type="dxa"/>
          <w:right w:w="28" w:type="dxa"/>
        </w:tblCellMar>
      </w:tblPr>
      <w:tblGrid>
        <w:gridCol w:w="1424"/>
        <w:gridCol w:w="1248"/>
        <w:gridCol w:w="1257"/>
        <w:gridCol w:w="348"/>
        <w:gridCol w:w="1017"/>
        <w:gridCol w:w="180"/>
        <w:gridCol w:w="109"/>
        <w:gridCol w:w="109"/>
        <w:gridCol w:w="109"/>
        <w:gridCol w:w="332"/>
        <w:gridCol w:w="970"/>
        <w:gridCol w:w="242"/>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4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2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41" w:type="dxa"/>
        <w:jc w:val="left"/>
        <w:tblInd w:w="0" w:type="dxa"/>
        <w:tblLayout w:type="fixed"/>
        <w:tblCellMar>
          <w:top w:w="28" w:type="dxa"/>
          <w:left w:w="28" w:type="dxa"/>
          <w:bottom w:w="28" w:type="dxa"/>
          <w:right w:w="28" w:type="dxa"/>
        </w:tblCellMar>
      </w:tblPr>
      <w:tblGrid>
        <w:gridCol w:w="1059"/>
        <w:gridCol w:w="932"/>
        <w:gridCol w:w="934"/>
        <w:gridCol w:w="313"/>
        <w:gridCol w:w="1070"/>
        <w:gridCol w:w="161"/>
        <w:gridCol w:w="109"/>
        <w:gridCol w:w="109"/>
        <w:gridCol w:w="109"/>
        <w:gridCol w:w="300"/>
        <w:gridCol w:w="1026"/>
        <w:gridCol w:w="21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and manufacturing equipment</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80,772 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was $4.0 million and $3.3 million for the three months ended September 30, 2024 and 2023, respectively, and $11.4 million and $9.8 million for the nine months ended September 30, 2024 and 2023, respectively.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606"/>
        <w:gridCol w:w="430"/>
        <w:gridCol w:w="433"/>
        <w:gridCol w:w="211"/>
        <w:gridCol w:w="826"/>
        <w:gridCol w:w="109"/>
        <w:gridCol w:w="109"/>
        <w:gridCol w:w="109"/>
        <w:gridCol w:w="109"/>
        <w:gridCol w:w="239"/>
        <w:gridCol w:w="872"/>
        <w:gridCol w:w="123"/>
        <w:gridCol w:w="109"/>
        <w:gridCol w:w="109"/>
        <w:gridCol w:w="109"/>
        <w:gridCol w:w="211"/>
        <w:gridCol w:w="826"/>
        <w:gridCol w:w="109"/>
        <w:gridCol w:w="109"/>
        <w:gridCol w:w="109"/>
        <w:gridCol w:w="109"/>
        <w:gridCol w:w="211"/>
        <w:gridCol w:w="826"/>
        <w:gridCol w:w="109"/>
        <w:gridCol w:w="109"/>
        <w:gridCol w:w="109"/>
        <w:gridCol w:w="109"/>
        <w:gridCol w:w="239"/>
        <w:gridCol w:w="872"/>
        <w:gridCol w:w="123"/>
        <w:gridCol w:w="109"/>
        <w:gridCol w:w="109"/>
        <w:gridCol w:w="109"/>
        <w:gridCol w:w="211"/>
        <w:gridCol w:w="826"/>
        <w:gridCol w:w="158"/>
      </w:tblGrid>
      <w:tr>
        <w:trPr/>
        <w:tc>
          <w:tcPr>
            <w:tcW w:w="6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96,541 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based royalty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amortizable intangible assets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196,998 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$3.9 million and $0.7 million for the three months ended September 30, 2024 and 2023, respectively, and $10.0 million and $1.9 million for the nine months ended September 30, 2024 and 2023,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for intangible assets subject to amortization as of September 30, 2024 is summarized as below:</w:t>
      </w:r>
    </w:p>
    <w:tbl>
      <w:tblPr>
        <w:tblW w:w="2715" w:type="dxa"/>
        <w:jc w:val="left"/>
        <w:tblInd w:w="0" w:type="dxa"/>
        <w:tblLayout w:type="fixed"/>
        <w:tblCellMar>
          <w:top w:w="28" w:type="dxa"/>
          <w:left w:w="28" w:type="dxa"/>
          <w:bottom w:w="28" w:type="dxa"/>
          <w:right w:w="28" w:type="dxa"/>
        </w:tblCellMar>
      </w:tblPr>
      <w:tblGrid>
        <w:gridCol w:w="560"/>
        <w:gridCol w:w="491"/>
        <w:gridCol w:w="494"/>
        <w:gridCol w:w="227"/>
        <w:gridCol w:w="777"/>
        <w:gridCol w:w="166"/>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w:t>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97,895 </w:t>
            </w:r>
          </w:p>
        </w:tc>
        <w:tc>
          <w:tcPr>
            <w:tcW w:w="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674" w:type="dxa"/>
        <w:jc w:val="left"/>
        <w:tblInd w:w="0" w:type="dxa"/>
        <w:tblLayout w:type="fixed"/>
        <w:tblCellMar>
          <w:top w:w="28" w:type="dxa"/>
          <w:left w:w="28" w:type="dxa"/>
          <w:bottom w:w="28" w:type="dxa"/>
          <w:right w:w="28" w:type="dxa"/>
        </w:tblCellMar>
      </w:tblPr>
      <w:tblGrid>
        <w:gridCol w:w="1541"/>
        <w:gridCol w:w="1354"/>
        <w:gridCol w:w="1364"/>
        <w:gridCol w:w="313"/>
        <w:gridCol w:w="1070"/>
        <w:gridCol w:w="161"/>
        <w:gridCol w:w="109"/>
        <w:gridCol w:w="109"/>
        <w:gridCol w:w="109"/>
        <w:gridCol w:w="273"/>
        <w:gridCol w:w="1072"/>
        <w:gridCol w:w="199"/>
      </w:tblGrid>
      <w:tr>
        <w:trPr/>
        <w:tc>
          <w:tcPr>
            <w:tcW w:w="154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reserves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Sales-based earnout liability, current</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19,733 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current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liability</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76,976 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consolidated the deferred non-recurring engineering services and accrued customer rebates into the Other accrued expenses line item above as the amounts are not significant. The prior period balance has been updated to reflect current period presentation.</w:t>
      </w:r>
    </w:p>
    <w:p>
      <w:pPr>
        <w:pStyle w:val="TextBody"/>
        <w:bidi w:val="0"/>
        <w:spacing w:lineRule="auto" w:line="276" w:before="16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w:t>
      </w:r>
    </w:p>
    <w:tbl>
      <w:tblPr>
        <w:tblW w:w="7374" w:type="dxa"/>
        <w:jc w:val="left"/>
        <w:tblInd w:w="0" w:type="dxa"/>
        <w:tblLayout w:type="fixed"/>
        <w:tblCellMar>
          <w:top w:w="28" w:type="dxa"/>
          <w:left w:w="28" w:type="dxa"/>
          <w:bottom w:w="28" w:type="dxa"/>
          <w:right w:w="28" w:type="dxa"/>
        </w:tblCellMar>
      </w:tblPr>
      <w:tblGrid>
        <w:gridCol w:w="1434"/>
        <w:gridCol w:w="1259"/>
        <w:gridCol w:w="1266"/>
        <w:gridCol w:w="313"/>
        <w:gridCol w:w="1070"/>
        <w:gridCol w:w="161"/>
        <w:gridCol w:w="109"/>
        <w:gridCol w:w="109"/>
        <w:gridCol w:w="109"/>
        <w:gridCol w:w="273"/>
        <w:gridCol w:w="1072"/>
        <w:gridCol w:w="199"/>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Sales-based earnout liability, non-current</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non-current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lease liability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in California, Michigan, Malaysia, Japan, Taiwan, the Netherlands, Finland, Ukraine, and India, all under non-cancellable operating leases with various expiration dates through May 2029.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lease terms vary from a few months to five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operating lease-related assets and liabilities recorded on the condensed consolidated balance sheets as of September 30, 2024 and December 31, 2023:</w:t>
      </w:r>
    </w:p>
    <w:tbl>
      <w:tblPr>
        <w:tblW w:w="9507" w:type="dxa"/>
        <w:jc w:val="left"/>
        <w:tblInd w:w="0" w:type="dxa"/>
        <w:tblLayout w:type="fixed"/>
        <w:tblCellMar>
          <w:top w:w="28" w:type="dxa"/>
          <w:left w:w="28" w:type="dxa"/>
          <w:bottom w:w="28" w:type="dxa"/>
          <w:right w:w="28" w:type="dxa"/>
        </w:tblCellMar>
      </w:tblPr>
      <w:tblGrid>
        <w:gridCol w:w="2203"/>
        <w:gridCol w:w="1938"/>
        <w:gridCol w:w="1949"/>
        <w:gridCol w:w="297"/>
        <w:gridCol w:w="867"/>
        <w:gridCol w:w="381"/>
        <w:gridCol w:w="109"/>
        <w:gridCol w:w="109"/>
        <w:gridCol w:w="109"/>
        <w:gridCol w:w="285"/>
        <w:gridCol w:w="833"/>
        <w:gridCol w:w="427"/>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expenses and other current liabilities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non-current liabilities</w:t>
            </w:r>
          </w:p>
        </w:tc>
        <w:tc>
          <w:tcPr>
            <w:tcW w:w="11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related to the lease costs for operating leases for the three and nine months ended September 30, 2024 and 2023:</w:t>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$0.8 million and $0.8 million for the three months ended September 30, 2024 and 2023,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$2.4 million and $2.3 million for the nine months ended September 30, 2024 and 2023, respectively.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Lease Cash Flows</w:t>
      </w:r>
    </w:p>
    <w:p>
      <w:pPr>
        <w:pStyle w:val="TextBody"/>
        <w:bidi w:val="0"/>
        <w:spacing w:lineRule="auto" w:line="288" w:before="120" w:after="283"/>
        <w:jc w:val="left"/>
        <w:rPr/>
      </w:pPr>
      <w:r>
        <w:rPr>
          <w:rFonts w:ascii="Times New Roman;sans-serif" w:hAnsi="Times New Roman;sans-serif"/>
          <w:b w:val="false"/>
          <w:color w:val="000000"/>
          <w:sz w:val="20"/>
        </w:rPr>
        <w:t>The table below reconciles the undiscounted cash flows for each of the first five years and total of the remaining years to the operating lease liabilities recorded on the condensed consolidated balance sheet as of September 30, 2024:</w:t>
      </w:r>
      <w:r>
        <w:rPr>
          <w:color w:val="000000"/>
        </w:rPr>
        <w:t xml:space="preserve"> </w:t>
      </w:r>
    </w:p>
    <w:tbl>
      <w:tblPr>
        <w:tblW w:w="5593" w:type="dxa"/>
        <w:jc w:val="left"/>
        <w:tblInd w:w="0" w:type="dxa"/>
        <w:tblLayout w:type="fixed"/>
        <w:tblCellMar>
          <w:top w:w="28" w:type="dxa"/>
          <w:left w:w="28" w:type="dxa"/>
          <w:bottom w:w="28" w:type="dxa"/>
          <w:right w:w="28" w:type="dxa"/>
        </w:tblCellMar>
      </w:tblPr>
      <w:tblGrid>
        <w:gridCol w:w="1585"/>
        <w:gridCol w:w="1392"/>
        <w:gridCol w:w="1402"/>
        <w:gridCol w:w="261"/>
        <w:gridCol w:w="763"/>
        <w:gridCol w:w="190"/>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At-The-Market offering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 Company sold 100,000 shares of its common stock through Stifel under the Sales Agreement at a weighted average price of $137.85 per share resulting in net proceeds to the Company of $13.3 million, after deducting underwriting discounts and commissions of $0.3 million and offering costs of $0.2 million. During the nine months ended September 30, 2024, the Company sold 232,500 shares of its common stock through Stifel under the Sales Agreement at a weighted average price of $126.93 per share resulting in net proceeds to the Company of $28.4 million, after deducting underwriting discounts and commissions of $0.6 million and deferred offering costs of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performance based restricted stock units ("PRSU"), and multi-year performance restricted stock units ("MYPSU") activity for the three and nine months ended September 30, 2024:</w:t>
      </w:r>
    </w:p>
    <w:tbl>
      <w:tblPr>
        <w:tblW w:w="9826" w:type="dxa"/>
        <w:jc w:val="left"/>
        <w:tblInd w:w="0" w:type="dxa"/>
        <w:tblLayout w:type="fixed"/>
        <w:tblCellMar>
          <w:top w:w="28" w:type="dxa"/>
          <w:left w:w="28" w:type="dxa"/>
          <w:bottom w:w="28" w:type="dxa"/>
          <w:right w:w="28" w:type="dxa"/>
        </w:tblCellMar>
      </w:tblPr>
      <w:tblGrid>
        <w:gridCol w:w="1015"/>
        <w:gridCol w:w="893"/>
        <w:gridCol w:w="897"/>
        <w:gridCol w:w="309"/>
        <w:gridCol w:w="309"/>
        <w:gridCol w:w="313"/>
        <w:gridCol w:w="109"/>
        <w:gridCol w:w="109"/>
        <w:gridCol w:w="109"/>
        <w:gridCol w:w="213"/>
        <w:gridCol w:w="622"/>
        <w:gridCol w:w="110"/>
        <w:gridCol w:w="109"/>
        <w:gridCol w:w="109"/>
        <w:gridCol w:w="109"/>
        <w:gridCol w:w="263"/>
        <w:gridCol w:w="263"/>
        <w:gridCol w:w="268"/>
        <w:gridCol w:w="109"/>
        <w:gridCol w:w="109"/>
        <w:gridCol w:w="109"/>
        <w:gridCol w:w="213"/>
        <w:gridCol w:w="622"/>
        <w:gridCol w:w="110"/>
        <w:gridCol w:w="109"/>
        <w:gridCol w:w="109"/>
        <w:gridCol w:w="109"/>
        <w:gridCol w:w="259"/>
        <w:gridCol w:w="259"/>
        <w:gridCol w:w="263"/>
        <w:gridCol w:w="109"/>
        <w:gridCol w:w="109"/>
        <w:gridCol w:w="109"/>
        <w:gridCol w:w="238"/>
        <w:gridCol w:w="578"/>
        <w:gridCol w:w="17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MYPSU</w:t>
              <w:b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2023</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2024</w:t>
            </w:r>
          </w:p>
        </w:tc>
        <w:tc>
          <w:tcPr>
            <w:tcW w:w="9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2024</w:t>
            </w:r>
          </w:p>
        </w:tc>
        <w:tc>
          <w:tcPr>
            <w:tcW w:w="9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September 30, 2024</w:t>
            </w:r>
          </w:p>
        </w:tc>
        <w:tc>
          <w:tcPr>
            <w:tcW w:w="93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number and value of the shares withheld for employee taxes:</w:t>
      </w:r>
    </w:p>
    <w:tbl>
      <w:tblPr>
        <w:tblW w:w="7469" w:type="dxa"/>
        <w:jc w:val="left"/>
        <w:tblInd w:w="0" w:type="dxa"/>
        <w:tblLayout w:type="fixed"/>
        <w:tblCellMar>
          <w:top w:w="28" w:type="dxa"/>
          <w:left w:w="28" w:type="dxa"/>
          <w:bottom w:w="28" w:type="dxa"/>
          <w:right w:w="28" w:type="dxa"/>
        </w:tblCellMar>
      </w:tblPr>
      <w:tblGrid>
        <w:gridCol w:w="824"/>
        <w:gridCol w:w="726"/>
        <w:gridCol w:w="72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withheld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Compensation Committee approved target bonus amounts based on the achievement of revenue and individual performance goals for the fiscal year 2024 (the "2024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$2.1 million for 2024 Goals was recorded as accrued expenses and other current liabilities in the condensed consolidated balance sheet as of September 30,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and August 2024, the Compensation Committee of the Company approved PRSUs for the fiscal year 2024 with performance goals based on the achievement of relative total stockholder return with a two year and a three year performance period (the "2024 TSR PRSU Goals"). The grant-date fair value of each PRSU was determined using Monte Carlo simulation model. The assumptions used in the Monte Carlo simulation for the March 2024 awards included expected volatility of 74.7%, risk free rate of 4.5%, no expected dividend yield and expected term of 2.8 years. The assumptions used in the Monte Carlo simulation for the August 2024 awards included expected volatility ranging from 60.5% to 71.9%, risk free rate ranging from 3.9% to 4.3%, no expected dividend yield and expected term ranging from 1.4 years to 2.4 years. The Company recognizes the expense related to the 2024 TSR PRSU Goals on a graded-vesting method over the requisite performance period. These grants are included in the PRSU awards granted in the table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 on the condensed consolidated cash flow statements. The liability of $1.0 million was recorded as accrued expenses and other current liabilities in the condensed consolidated balance sheet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stock-based compensation expense amounts included in the condensed consolidated statement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05"/>
        <w:gridCol w:w="1554"/>
        <w:gridCol w:w="15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0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based awards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 based awards - to be settled in equity</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 equity and liability based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recorded to additional paid-in capital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awards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based awards - settled in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capitalized to inventory</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costs and related weighted average period of recognition as of September 30, 2024:</w:t>
      </w:r>
    </w:p>
    <w:tbl>
      <w:tblPr>
        <w:tblW w:w="9669" w:type="dxa"/>
        <w:jc w:val="left"/>
        <w:tblInd w:w="0" w:type="dxa"/>
        <w:tblLayout w:type="fixed"/>
        <w:tblCellMar>
          <w:top w:w="28" w:type="dxa"/>
          <w:left w:w="28" w:type="dxa"/>
          <w:bottom w:w="28" w:type="dxa"/>
          <w:right w:w="28" w:type="dxa"/>
        </w:tblCellMar>
      </w:tblPr>
      <w:tblGrid>
        <w:gridCol w:w="710"/>
        <w:gridCol w:w="618"/>
        <w:gridCol w:w="636"/>
        <w:gridCol w:w="790"/>
        <w:gridCol w:w="2307"/>
        <w:gridCol w:w="412"/>
        <w:gridCol w:w="109"/>
        <w:gridCol w:w="109"/>
        <w:gridCol w:w="109"/>
        <w:gridCol w:w="1133"/>
        <w:gridCol w:w="1133"/>
        <w:gridCol w:w="1603"/>
      </w:tblGrid>
      <w:tr>
        <w:trPr/>
        <w:tc>
          <w:tcPr>
            <w:tcW w:w="7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Costs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Period of Recognition (in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MYPSUs</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Liability-based awards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provision for income taxes and the effective tax rates for the three and nine months ended September 30, 2024 and 2023:</w:t>
      </w:r>
    </w:p>
    <w:tbl>
      <w:tblPr>
        <w:tblW w:w="8597" w:type="dxa"/>
        <w:jc w:val="left"/>
        <w:tblInd w:w="0" w:type="dxa"/>
        <w:tblLayout w:type="fixed"/>
        <w:tblCellMar>
          <w:top w:w="28" w:type="dxa"/>
          <w:left w:w="28" w:type="dxa"/>
          <w:bottom w:w="28" w:type="dxa"/>
          <w:right w:w="28" w:type="dxa"/>
        </w:tblCellMar>
      </w:tblPr>
      <w:tblGrid>
        <w:gridCol w:w="890"/>
        <w:gridCol w:w="781"/>
        <w:gridCol w:w="788"/>
        <w:gridCol w:w="211"/>
        <w:gridCol w:w="796"/>
        <w:gridCol w:w="271"/>
        <w:gridCol w:w="109"/>
        <w:gridCol w:w="109"/>
        <w:gridCol w:w="109"/>
        <w:gridCol w:w="211"/>
        <w:gridCol w:w="796"/>
        <w:gridCol w:w="271"/>
        <w:gridCol w:w="109"/>
        <w:gridCol w:w="109"/>
        <w:gridCol w:w="109"/>
        <w:gridCol w:w="211"/>
        <w:gridCol w:w="796"/>
        <w:gridCol w:w="271"/>
        <w:gridCol w:w="109"/>
        <w:gridCol w:w="109"/>
        <w:gridCol w:w="109"/>
        <w:gridCol w:w="211"/>
        <w:gridCol w:w="796"/>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September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was less than $0.2 million for both the three and nine months ended September 30, 2024 and 2023. The effective tax rate was less than 1% for both the three and nine months ended September 30, 2024 and 2023.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 Company had $2.3 million and $2.3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record interest and penalties related to unrecognized tax benefits as income tax expense. For the three and nine months ended September 30, 2024 and 2023, the Company recorded immaterial amounts related to the accrual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Segment, Geographic and Customer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reportable segment related to the sale of Precision Timing solutions to the global electronics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 </w:t>
      </w:r>
    </w:p>
    <w:tbl>
      <w:tblPr>
        <w:tblW w:w="6599" w:type="dxa"/>
        <w:jc w:val="left"/>
        <w:tblInd w:w="0" w:type="dxa"/>
        <w:tblLayout w:type="fixed"/>
        <w:tblCellMar>
          <w:top w:w="28" w:type="dxa"/>
          <w:left w:w="28" w:type="dxa"/>
          <w:bottom w:w="28" w:type="dxa"/>
          <w:right w:w="28" w:type="dxa"/>
        </w:tblCellMar>
      </w:tblPr>
      <w:tblGrid>
        <w:gridCol w:w="434"/>
        <w:gridCol w:w="381"/>
        <w:gridCol w:w="38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total property and equipment attributable to operations by country as of the periods presented:</w:t>
      </w:r>
    </w:p>
    <w:tbl>
      <w:tblPr>
        <w:tblW w:w="4615" w:type="dxa"/>
        <w:jc w:val="left"/>
        <w:tblInd w:w="0" w:type="dxa"/>
        <w:tblLayout w:type="fixed"/>
        <w:tblCellMar>
          <w:top w:w="28" w:type="dxa"/>
          <w:left w:w="28" w:type="dxa"/>
          <w:bottom w:w="28" w:type="dxa"/>
          <w:right w:w="28" w:type="dxa"/>
        </w:tblCellMar>
      </w:tblPr>
      <w:tblGrid>
        <w:gridCol w:w="435"/>
        <w:gridCol w:w="381"/>
        <w:gridCol w:w="383"/>
        <w:gridCol w:w="313"/>
        <w:gridCol w:w="1070"/>
        <w:gridCol w:w="161"/>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September 30, 2024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September 30, 2024 were as follows:</w:t>
      </w:r>
    </w:p>
    <w:tbl>
      <w:tblPr>
        <w:tblW w:w="2850" w:type="dxa"/>
        <w:jc w:val="center"/>
        <w:tblInd w:w="0" w:type="dxa"/>
        <w:tblLayout w:type="fixed"/>
        <w:tblCellMar>
          <w:top w:w="28" w:type="dxa"/>
          <w:left w:w="28" w:type="dxa"/>
          <w:bottom w:w="28" w:type="dxa"/>
          <w:right w:w="28" w:type="dxa"/>
        </w:tblCellMar>
      </w:tblPr>
      <w:tblGrid>
        <w:gridCol w:w="608"/>
        <w:gridCol w:w="534"/>
        <w:gridCol w:w="538"/>
        <w:gridCol w:w="227"/>
        <w:gridCol w:w="777"/>
        <w:gridCol w:w="16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Net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1752"/>
        <w:gridCol w:w="1447"/>
        <w:gridCol w:w="1451"/>
        <w:gridCol w:w="218"/>
        <w:gridCol w:w="812"/>
        <w:gridCol w:w="112"/>
        <w:gridCol w:w="112"/>
        <w:gridCol w:w="112"/>
        <w:gridCol w:w="112"/>
        <w:gridCol w:w="218"/>
        <w:gridCol w:w="812"/>
        <w:gridCol w:w="112"/>
        <w:gridCol w:w="109"/>
        <w:gridCol w:w="109"/>
        <w:gridCol w:w="109"/>
        <w:gridCol w:w="212"/>
        <w:gridCol w:w="790"/>
        <w:gridCol w:w="109"/>
        <w:gridCol w:w="109"/>
        <w:gridCol w:w="109"/>
        <w:gridCol w:w="109"/>
        <w:gridCol w:w="212"/>
        <w:gridCol w:w="790"/>
        <w:gridCol w:w="168"/>
      </w:tblGrid>
      <w:tr>
        <w:trPr/>
        <w:tc>
          <w:tcPr>
            <w:tcW w:w="175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loss per share</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23,237 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plans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loss per share</w:t>
            </w:r>
          </w:p>
        </w:tc>
        <w:tc>
          <w:tcPr>
            <w:tcW w:w="103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23,237 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6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basic</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diluted</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September 30, 2024 and 2023, the Company had 537,475 and 960,848 potential shares from share-based awards that are anti-dilutive, respectively. During the nine months ended September 30, 2024 and 2023, the Company had 582,264 and 1,143,888 potential shares from share-based awards that are anti-dilutive,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the related notes that appear elsewhere in this document.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 </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focus on oscillators, clock ICs, resonators and timing synchronization solutions and to aggressively expand our presence in these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address market and customer demands and to timely develop new or enhanced solutions to meet those demands;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revenue, average selling prices, gross margin, and expenses;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effects of macroeconomic events in 2024;</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dependence on a limited number of customers and end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success, cost, and timing of new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to identify new customers and deliver differentiated Precision Timing solutions to them through digital marketing strategies;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goal to become the leading provider of Precision Timing solutions for advanced and challenging applications;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positioning of being designed into current systems as well as future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that our advanced packaging designs can enable the smallest footprints in the industry;</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competition in our existing and future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of the success of our acquisitions and how we integrate and generate revenue;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impact a pandemic, epidemic, or other outbreak of disease may in the future have on our business, results of operations and financial condition, as well as the businesses of our suppliers and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regulatory developments in the United States and foreign countries;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performance of, and our relationships with, our third-party suppliers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attract and retain key personnel;</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intellectual property and related litigation;</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as to the sufficiency of our existing cash and cash equivalents and short-term investments funds to meet our cash needs for at least the next 12 months and our future capital requirements over the longer term;</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adequacy and availability of our leased facilities;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accuracy of our estimates regarding capital requirements and needs for additional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The ability to accurately measure and reference time has been essential to humankind’s greatest inventions and technological advances. Timing technology has continued to evolve over centuries, forming a critical aspect of broader technological evolution. Timing is the heartbeat of digital electronic systems, ensuring that the system runs smoothly and reliably by providing and distributing clock signals to various critical components such as central processing units, communication and interface ICs, and radio frequency components. As electronics evolve to deliver higher performance levels, even in increasingly challenging environments, while also being more complex and size-constrained, we believe they will require more sophisticated semiconductor-based timing solutions that cannot be developed in legacy quartz crystal-based technologies.</w:t>
      </w:r>
      <w:r>
        <w:rPr>
          <w:color w:val="000000"/>
        </w:rPr>
        <w:t xml:space="preserve"> </w:t>
      </w:r>
      <w:r>
        <w:rPr>
          <w:rFonts w:ascii="Times New Roman;sans-serif" w:hAnsi="Times New Roman;sans-serif"/>
          <w:b w:val="false"/>
          <w:color w:val="000000"/>
          <w:sz w:val="20"/>
        </w:rPr>
        <w:t>Precision timing ("Precision Timing"), fills this need with the performance, power, size, and cost that is required by these new applications.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all-silicon solutions are based on three fundamental areas of expertise: micro-electro-mechanical systems (“MEMS”), analog mixed-signal design capabilities, and advanced system-level integration expertise. These areas of expertise enable us to design silicon MEMS resonators, analog circuits, as well as systems and packaging, and put these all together to deliver a system-level solution that solves customers’ complex timing problems. In this aspect, we believe we are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than quartz-based providers, who typically have expertise in designing and manufacturing resonator components, but usually outsource the analog and packaging. We also have a deep understanding of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suppliers use quartz crystal material. 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datacenters. For the automotive market, our solutions can be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timing solutions have the advantage of offering high performance at optimal power consumption and size, as our customers fit more functionality into smaller devices. </w:t>
      </w:r>
    </w:p>
    <w:p>
      <w:pPr>
        <w:pStyle w:val="TextBody"/>
        <w:bidi w:val="0"/>
        <w:spacing w:lineRule="auto" w:line="288" w:before="120" w:after="283"/>
        <w:jc w:val="left"/>
        <w:rPr/>
      </w:pPr>
      <w:r>
        <w:rPr>
          <w:rFonts w:ascii="Times New Roman;sans-serif" w:hAnsi="Times New Roman;sans-serif"/>
          <w:b w:val="false"/>
          <w:color w:val="000000"/>
          <w:sz w:val="20"/>
        </w:rPr>
        <w:t>We believe that the total timing market is approximately $10 billion in size.</w:t>
      </w:r>
      <w:r>
        <w:rPr>
          <w:color w:val="000000"/>
        </w:rPr>
        <w:t xml:space="preserve"> </w:t>
      </w:r>
      <w:r>
        <w:rPr>
          <w:rFonts w:ascii="Times New Roman;sans-serif" w:hAnsi="Times New Roman;sans-serif"/>
          <w:b w:val="false"/>
          <w:color w:val="000000"/>
          <w:sz w:val="20"/>
        </w:rPr>
        <w:t xml:space="preserve">Since our founding, we have focused on transforming this market with compelling solutions that solve difficult timing problems. Historically, our revenue has been substantially delivered from sales of oscillator systems across our target end markets. Since our initial public offering ("IPO") in November 2019, we have grown from 60 to 150 unique products and the price of our highest-value oscillator has grown manyfold. In addition to oscillators, we have expanded our product portfolio to include clock IC and timing synchronization solutions. </w:t>
      </w:r>
    </w:p>
    <w:p>
      <w:pPr>
        <w:pStyle w:val="TextBody"/>
        <w:bidi w:val="0"/>
        <w:spacing w:lineRule="auto" w:line="288" w:before="120" w:after="283"/>
        <w:jc w:val="left"/>
        <w:rPr/>
      </w:pPr>
      <w:r>
        <w:rPr>
          <w:rFonts w:ascii="Times New Roman;sans-serif" w:hAnsi="Times New Roman;sans-serif"/>
          <w:b w:val="false"/>
          <w:color w:val="000000"/>
          <w:sz w:val="20"/>
        </w:rPr>
        <w:t>In December 2023, we closed the acquisition of certain assets and the exclusive license to certain intellectual property from Aura Semiconductor Pvt. Ltd. and certain of its affiliated entities (together, "Aura") relating to Aura's timing business and clock products, subject to certain covenants and restrictions. With this acquisition, we bring our expertise to the category of clocks, adding 20 best-in-class clocks at the close of the acquisition, and approximately an additional 20 products, starting at the second half of 2024 and through 2025.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w:t>
      </w:r>
      <w:r>
        <w:rPr>
          <w:color w:val="000000"/>
        </w:rPr>
        <w:t xml:space="preserve"> </w:t>
      </w:r>
      <w:r>
        <w:rPr>
          <w:rFonts w:ascii="Times New Roman;sans-serif" w:hAnsi="Times New Roman;sans-serif"/>
          <w:b w:val="false"/>
          <w:color w:val="000000"/>
          <w:sz w:val="20"/>
        </w:rPr>
        <w:t>SiTime is now a key provider of all differentiated products in timing – oscillators, clocks, and resonators combined with depth in engineering expertise in Precision Timing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quickly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 could put downward pressure on our gross margins if demand for our products does not materialize as expected. Our programmable architecture also plays a key role in ensuring optimal production flexibility, as it allows us to offer shorter lead times and the ability to meet custom requirements more easily.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IPO in November 2019, while our revenue has grown, gross margins have improved, and new opportunities for growth for our business have emerged, adverse macroeconomic events including geopolitical tensions and conflicts have substantially increased. In 2020 and 2021, there were a number of industry-wide supply constraints affecting the supply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circuits manufactured by certain foundries, including Taiwan Semiconductor Manufacturing Company ("TSMC"), and affecting outsourced semiconductor assembly and test providers. We believe that the effects of the industry-wide supply constraints on other timing device suppliers contributed in part to our revenue and gross margin growth in 2021 and the first half of 2022. In 2022 and 2023,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believe that some of our customers built up inventory of our products in 2022 to overcome the industry-wide supply constraints that occurred in the previous periods and that the macroeconomic events in the second half of 2022 and through 2023 led to reduced demand for our customers' products, which led to an inventory buildup at some of our customers and their affiliates, partners and contract manufacturers, which has adversely affected sales of our products. We believe that while this inventory buildup has reduced through the second half of 2023 and in 2024, any further increase could negatively impact the sales of our products and could result in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employees in Finland, France, Germany, Japan, Korea, Malaysia, the Netherlands, Taiwan, Ukraine, India, and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tbl>
      <w:tblPr>
        <w:tblW w:w="10130" w:type="dxa"/>
        <w:jc w:val="left"/>
        <w:tblInd w:w="0" w:type="dxa"/>
        <w:tblLayout w:type="fixed"/>
        <w:tblCellMar>
          <w:top w:w="28" w:type="dxa"/>
          <w:left w:w="28" w:type="dxa"/>
          <w:bottom w:w="28" w:type="dxa"/>
          <w:right w:w="28" w:type="dxa"/>
        </w:tblCellMar>
      </w:tblPr>
      <w:tblGrid>
        <w:gridCol w:w="266"/>
        <w:gridCol w:w="234"/>
        <w:gridCol w:w="23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$22.2 million, or 62%, for the three months ended September 30, 2024 compared to the same period in the prior year. The increase was primarily related to an increase in sales volume as well as increase in average selling prices ("ASPs") of our products due to change in mix of the products we shipped. Lower sales volume in the prior year was driven by excess inventory buildup at many of our customers, distributors and their affiliates, partners, and contract manufacturers, and lower demand for our products due to macroeconomic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$33.0 million, or 32%, for the nine months ended September 30, 2024 compared to the same period in the prior year. The increase was primarily related to an increase in sales volume. Lower sales volume in the prior year was driven by excess inventory buildup at many of our customers, distributors and their affiliates, partners, and contract manufacturers, and lower demand for our products due to macroeconomic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attributable to our largest end customer through multiple distributors accounted for 23% and 37% of our revenue for the three months ended September 30, 2024 and 2023, respectively, and 20% and 19% of our revenue for the nine months ended September 30, 2024 and 2023, respectively. Our end customers predominantly purchase our products from distributors. Our top three customers by revenue, which are distributors, together accounted for approximately 55% and 61% of our revenue for the three months ended September 30, 2024 and 2023, respectively, and 55% and 50% of our revenues for the nine months ended September 30, 2024 and 2023, respectively. Revenue attributable to our largest ten end customers accounted for 63% and 60% for the three months ended September 30, 2024 and 2023, respectively, and 59% and 46% of our revenues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of wafers acquired from third-party foundries, assembly, packaging, and test cost of our products paid to third-party contract manufacturers, amortization of acquired intangibles and personnel and other costs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to cost of revenue.</w:t>
      </w:r>
    </w:p>
    <w:tbl>
      <w:tblPr>
        <w:tblW w:w="10538" w:type="dxa"/>
        <w:jc w:val="left"/>
        <w:tblInd w:w="0" w:type="dxa"/>
        <w:tblLayout w:type="fixed"/>
        <w:tblCellMar>
          <w:top w:w="28" w:type="dxa"/>
          <w:left w:w="28" w:type="dxa"/>
          <w:bottom w:w="28" w:type="dxa"/>
          <w:right w:w="28" w:type="dxa"/>
        </w:tblCellMar>
      </w:tblPr>
      <w:tblGrid>
        <w:gridCol w:w="266"/>
        <w:gridCol w:w="234"/>
        <w:gridCol w:w="236"/>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28,231 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65,936 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43,195 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$9.6 million in the three months ended September 30, 2024 compared to the same period in the prior year. Gross profit increased $15.9 million mainly from higher revenue. This increase was partially offset by higher amortization from acquired intangibles of $3.6 million, and higher other manufacturing and overhead costs of $3.0 million, which primarily consists of depreciation and amortization, freight outwards and inventory reserves.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$10.3 million in the nine months ended September 30, 2024 compared to the same period in the prior year. Gross profit increased $23.0 million mainly from higher revenue and $1.1 million due to lower stock-based compensation expense. This increase was partially offset by higher amortization from acquired intangibles of $8.3 million, and higher other manufacturing and overhead costs of $5.5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5% in the three months ended September 30, 2024 compared to the same period in the prior year. The decrease was primarily due to higher amortization from acquired intangibles by 6%. This increase was partially offset by 1% due to the positive impact of sales at higher ASPs.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6% in the nine months ended September 30, 2024 compared to the same period in the prior year. The decrease was mainly due to higher amortization from acquired intangibles by 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10415" w:type="dxa"/>
        <w:jc w:val="left"/>
        <w:tblInd w:w="0" w:type="dxa"/>
        <w:tblLayout w:type="fixed"/>
        <w:tblCellMar>
          <w:top w:w="28" w:type="dxa"/>
          <w:left w:w="28" w:type="dxa"/>
          <w:bottom w:w="28" w:type="dxa"/>
          <w:right w:w="28" w:type="dxa"/>
        </w:tblCellMar>
      </w:tblPr>
      <w:tblGrid>
        <w:gridCol w:w="584"/>
        <w:gridCol w:w="263"/>
        <w:gridCol w:w="26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4"/>
        <w:gridCol w:w="167"/>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160,871 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138,127 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$2.8 million, or 12%, for the three months ended September 30, 2024, compared to the same period in the prior year, primarily due to an increase in stock-based compensation expense of $1.6 million and higher engineering spend towards ongoing new product development of $1.1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$2.9 million, or 4% for the nine months ended September 30, 2024, compared to the same period in the prior year. The change in the current year was primarily due to an increase in stock-based compensation expense of $2.2 million, and a reduction in non-recurring engineering contra-expense recognized of $0.6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$3.9 million, or 18%, for the three months ended September 30, 2024 compared to the same period in the prior year, primarily due to higher stock-based compensation expense of $2.0 million due to new grants, higher other personnel costs of $1.2 million, higher sales commission payouts due to higher sales of $0.3 million, and higher consulting fees of $0.3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$11.0 million, or 17%, for the nine months ended September 30, 2024 compared to the same period in the prior year, primarily due to higher stock-based compensation expense of $7.2 million due to new grants, higher other personnel costs of $3.0 million, higher sales commission payouts due to higher sales of $0.5 million, and higher advertising spend of $0.2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 related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include legal, regulatory, consulting, and other costs incurred towards the acquisition closed during the year ended December 31, 2023 and changes in the fair value of the sales-based earnout liability and interest accretion related to the acquisition consideration payable. The acquisition related costs incurred for the three and nine months ended September 30, 2024 were related to the Aura transaction. We will incur incremental costs in 2024 and beyond related to the Aura transaction arising from changes in the fair value of the sales-based earnout liability and acquisition consideration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on short term investments.</w:t>
      </w:r>
    </w:p>
    <w:tbl>
      <w:tblPr>
        <w:tblW w:w="10205" w:type="dxa"/>
        <w:jc w:val="left"/>
        <w:tblInd w:w="0" w:type="dxa"/>
        <w:tblLayout w:type="fixed"/>
        <w:tblCellMar>
          <w:top w:w="28" w:type="dxa"/>
          <w:left w:w="28" w:type="dxa"/>
          <w:bottom w:w="28" w:type="dxa"/>
          <w:right w:w="28" w:type="dxa"/>
        </w:tblCellMar>
      </w:tblPr>
      <w:tblGrid>
        <w:gridCol w:w="398"/>
        <w:gridCol w:w="348"/>
        <w:gridCol w:w="352"/>
        <w:gridCol w:w="196"/>
        <w:gridCol w:w="556"/>
        <w:gridCol w:w="109"/>
        <w:gridCol w:w="109"/>
        <w:gridCol w:w="109"/>
        <w:gridCol w:w="109"/>
        <w:gridCol w:w="196"/>
        <w:gridCol w:w="556"/>
        <w:gridCol w:w="109"/>
        <w:gridCol w:w="109"/>
        <w:gridCol w:w="109"/>
        <w:gridCol w:w="109"/>
        <w:gridCol w:w="196"/>
        <w:gridCol w:w="618"/>
        <w:gridCol w:w="109"/>
        <w:gridCol w:w="109"/>
        <w:gridCol w:w="109"/>
        <w:gridCol w:w="109"/>
        <w:gridCol w:w="195"/>
        <w:gridCol w:w="196"/>
        <w:gridCol w:w="303"/>
        <w:gridCol w:w="109"/>
        <w:gridCol w:w="109"/>
        <w:gridCol w:w="109"/>
        <w:gridCol w:w="196"/>
        <w:gridCol w:w="646"/>
        <w:gridCol w:w="109"/>
        <w:gridCol w:w="109"/>
        <w:gridCol w:w="109"/>
        <w:gridCol w:w="109"/>
        <w:gridCol w:w="196"/>
        <w:gridCol w:w="646"/>
        <w:gridCol w:w="109"/>
        <w:gridCol w:w="109"/>
        <w:gridCol w:w="109"/>
        <w:gridCol w:w="109"/>
        <w:gridCol w:w="196"/>
        <w:gridCol w:w="618"/>
        <w:gridCol w:w="109"/>
        <w:gridCol w:w="109"/>
        <w:gridCol w:w="109"/>
        <w:gridCol w:w="109"/>
        <w:gridCol w:w="150"/>
        <w:gridCol w:w="151"/>
        <w:gridCol w:w="353"/>
      </w:tblGrid>
      <w:tr>
        <w:trPr/>
        <w:tc>
          <w:tcPr>
            <w:tcW w:w="3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$1.8 million or 25% for the three months ended September 30, 2024, compared to the same period in the prior year due to a decrease in investment balances arising from acquisition related payments in the current quarter as well as lower 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$1.8 million or 9% for the nine months ended September 30, 2024, compared to the same period in the prior year due to a decrease in investment balances arising from acquisition related payments in the current year as well as 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foreign exchange gains and losses.</w:t>
      </w:r>
    </w:p>
    <w:tbl>
      <w:tblPr>
        <w:tblW w:w="10205" w:type="dxa"/>
        <w:jc w:val="left"/>
        <w:tblInd w:w="0" w:type="dxa"/>
        <w:tblLayout w:type="fixed"/>
        <w:tblCellMar>
          <w:top w:w="28" w:type="dxa"/>
          <w:left w:w="28" w:type="dxa"/>
          <w:bottom w:w="28" w:type="dxa"/>
          <w:right w:w="28" w:type="dxa"/>
        </w:tblCellMar>
      </w:tblPr>
      <w:tblGrid>
        <w:gridCol w:w="696"/>
        <w:gridCol w:w="611"/>
        <w:gridCol w:w="613"/>
        <w:gridCol w:w="196"/>
        <w:gridCol w:w="421"/>
        <w:gridCol w:w="109"/>
        <w:gridCol w:w="109"/>
        <w:gridCol w:w="109"/>
        <w:gridCol w:w="109"/>
        <w:gridCol w:w="196"/>
        <w:gridCol w:w="487"/>
        <w:gridCol w:w="109"/>
        <w:gridCol w:w="109"/>
        <w:gridCol w:w="109"/>
        <w:gridCol w:w="109"/>
        <w:gridCol w:w="196"/>
        <w:gridCol w:w="421"/>
        <w:gridCol w:w="109"/>
        <w:gridCol w:w="109"/>
        <w:gridCol w:w="109"/>
        <w:gridCol w:w="109"/>
        <w:gridCol w:w="240"/>
        <w:gridCol w:w="241"/>
        <w:gridCol w:w="307"/>
        <w:gridCol w:w="109"/>
        <w:gridCol w:w="109"/>
        <w:gridCol w:w="109"/>
        <w:gridCol w:w="196"/>
        <w:gridCol w:w="487"/>
        <w:gridCol w:w="109"/>
        <w:gridCol w:w="109"/>
        <w:gridCol w:w="109"/>
        <w:gridCol w:w="109"/>
        <w:gridCol w:w="196"/>
        <w:gridCol w:w="487"/>
        <w:gridCol w:w="109"/>
        <w:gridCol w:w="109"/>
        <w:gridCol w:w="109"/>
        <w:gridCol w:w="109"/>
        <w:gridCol w:w="196"/>
        <w:gridCol w:w="331"/>
        <w:gridCol w:w="109"/>
        <w:gridCol w:w="109"/>
        <w:gridCol w:w="109"/>
        <w:gridCol w:w="109"/>
        <w:gridCol w:w="195"/>
        <w:gridCol w:w="196"/>
        <w:gridCol w:w="353"/>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9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$0.4 million for the three months ended September 30, 2024, compared to the same period in the prior year primarily due to an increase in net unrealized gain on foreign exchange rates from activities in our foreign subsidiaries resulting from favorable exchange rate fluctuations.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an immaterial amount for the nine months ended September 30, 2024,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 </w:t>
      </w:r>
    </w:p>
    <w:tbl>
      <w:tblPr>
        <w:tblW w:w="10205" w:type="dxa"/>
        <w:jc w:val="left"/>
        <w:tblInd w:w="0" w:type="dxa"/>
        <w:tblLayout w:type="fixed"/>
        <w:tblCellMar>
          <w:top w:w="28" w:type="dxa"/>
          <w:left w:w="28" w:type="dxa"/>
          <w:bottom w:w="28" w:type="dxa"/>
          <w:right w:w="28" w:type="dxa"/>
        </w:tblCellMar>
      </w:tblPr>
      <w:tblGrid>
        <w:gridCol w:w="743"/>
        <w:gridCol w:w="653"/>
        <w:gridCol w:w="656"/>
        <w:gridCol w:w="196"/>
        <w:gridCol w:w="491"/>
        <w:gridCol w:w="109"/>
        <w:gridCol w:w="109"/>
        <w:gridCol w:w="109"/>
        <w:gridCol w:w="109"/>
        <w:gridCol w:w="196"/>
        <w:gridCol w:w="401"/>
        <w:gridCol w:w="109"/>
        <w:gridCol w:w="109"/>
        <w:gridCol w:w="109"/>
        <w:gridCol w:w="109"/>
        <w:gridCol w:w="196"/>
        <w:gridCol w:w="401"/>
        <w:gridCol w:w="109"/>
        <w:gridCol w:w="109"/>
        <w:gridCol w:w="109"/>
        <w:gridCol w:w="109"/>
        <w:gridCol w:w="210"/>
        <w:gridCol w:w="211"/>
        <w:gridCol w:w="256"/>
        <w:gridCol w:w="109"/>
        <w:gridCol w:w="109"/>
        <w:gridCol w:w="109"/>
        <w:gridCol w:w="196"/>
        <w:gridCol w:w="491"/>
        <w:gridCol w:w="109"/>
        <w:gridCol w:w="109"/>
        <w:gridCol w:w="109"/>
        <w:gridCol w:w="109"/>
        <w:gridCol w:w="196"/>
        <w:gridCol w:w="491"/>
        <w:gridCol w:w="109"/>
        <w:gridCol w:w="109"/>
        <w:gridCol w:w="109"/>
        <w:gridCol w:w="109"/>
        <w:gridCol w:w="196"/>
        <w:gridCol w:w="331"/>
        <w:gridCol w:w="109"/>
        <w:gridCol w:w="109"/>
        <w:gridCol w:w="109"/>
        <w:gridCol w:w="109"/>
        <w:gridCol w:w="195"/>
        <w:gridCol w:w="196"/>
        <w:gridCol w:w="360"/>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20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6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we had cash and cash equivalents of $8.5 million and $9.5 million, respectively. As of September 30, 2024 and December 31, 2023, we also held $426.3 million and $518.7 million of short-term investments, respectively, in held-to-maturity securities that consisted of treasury bills. Our principal use of cash is to fund our operations, to support growth through capital investments, and to acquire complementary businesses, products, services or technologies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entered into a Sales Agreement with Stifel, under which we may offer and sell from time to time at our sole discretion, up to an aggregate of 1,200,000 shares of our common stock, par value $0.0001 per share, through Stifel as our sales agent. During the nine months ended September 30, 2024, we sold 232,500 shares of our common stock under the Sales Agreement at a weighted average price of $126.93 per share resulting in net proceeds to us of $28.4 million, after deducting underwriting discounts and commissions and offering costs.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Leases" and "Note 9 - Commitments and Contingencies" of the Notes to Condensed Consolidated Financial Statements for the period ending September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and our short-term investments will be sufficient to meet our cash needs for at least the next 12 months. Over the longer term, our future capital requirements will depend on many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periods indicated:</w:t>
      </w:r>
    </w:p>
    <w:tbl>
      <w:tblPr>
        <w:tblW w:w="6850" w:type="dxa"/>
        <w:jc w:val="left"/>
        <w:tblInd w:w="0" w:type="dxa"/>
        <w:tblLayout w:type="fixed"/>
        <w:tblCellMar>
          <w:top w:w="28" w:type="dxa"/>
          <w:left w:w="28" w:type="dxa"/>
          <w:bottom w:w="28" w:type="dxa"/>
          <w:right w:w="28" w:type="dxa"/>
        </w:tblCellMar>
      </w:tblPr>
      <w:tblGrid>
        <w:gridCol w:w="1525"/>
        <w:gridCol w:w="1343"/>
        <w:gridCol w:w="1347"/>
        <w:gridCol w:w="229"/>
        <w:gridCol w:w="671"/>
        <w:gridCol w:w="118"/>
        <w:gridCol w:w="118"/>
        <w:gridCol w:w="118"/>
        <w:gridCol w:w="118"/>
        <w:gridCol w:w="229"/>
        <w:gridCol w:w="867"/>
        <w:gridCol w:w="167"/>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(84,430)</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net cash provided by operating activities of $9.7 million was primarily due to a net loss of $74.8 million, and a change in operating assets and liabilities of $14.1 million, offset by non-cash expenses of $98.6 million. Non-cash expenses were mainly related to stock-based compensation expense, depreciation and amortization, change in fair value of sales based earnout liability and acquisition consideration payable, inventory write-down and net change in unrealized interest on held to maturity investments. The changes in operating assets and liabilities resulted in cash used primarily due to an increase in inventories as we built our wafer inventory levels, an increase in our accounts receivables due to timing of shipments and an increase in prepaid expenses and other assets due to timing of payments, partially offset by higher accounts payable and accrued expenses primarily due to timing of accrued payroll and related benefit payments.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net cash provided by investing activities was $73.8 million. We paid $516.5 million to purchase short-term investments in held-to-maturity securities. We paid $20.7 million largely to purchase manufacturing equipment and intangibles to support the general business operations. All such payments were offset by $610.9 million proceeds from the maturity of held to maturity investments.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have primarily consisted of proceeds from issuance of shares, payments of withholding taxes on restricted stock units and payment of acquisition related consideration and earnouts. During the nine months ended September 30, 2024, we sold 232,500 shares of our common stock under the Sales Agreement resulting in net proceeds to us of $28.4 million, after deducting underwriting discounts and commissions of $0.6 million and offering costs of $0.5 million. The net proceeds from the Sales Agreement were offset by tax withholdings paid on behalf of employees for net share settlement of $32.6 million, payment towards the Aura transaction of $71.7 million and related payment of earnouts of $8.6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have been prepared in accordance with GAAP. The preparation of these financial statements and accompanying disclosures requires us to make estimates and assumptions that affect the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2023 filed with the SEC on 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denominated in U.S. dollars. Our expenses are generally denominated in the currencies in which our operations are located, which is primarily in the United States and, to a lesser extent, in Ukraine, Malaysia, the Netherlands, Finland, France, Japan, Germany, Korea, Taiwan, and India.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$8.5 million and $9.5 million as of September 30, 2024 and December 31, 2023, respectively, consisting of bank deposits, money market funds and treasury bills. We also had short-term investments in held-to-maturity securities of $426.3 million and $518.7 million consisting of treasury bills as of September 30, 2024 and December 31, 2023. Such interest-earning instruments carry a degree of interest rate risk. During the nine months ended September 30, 2024 we have generated $17.8 million in interest income through our investment balance.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enter into investments for trading or speculative purposes and have not used any derivative financial instruments to manage our interest rate risk exposure. As of September 30, 2024, a hypothetical 10% increase or decrease in market interest rates would change the fair value and related interest income on our interest-earning instruments of $426.3 million, by an increase or decrease of approximately $1.8 million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September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of the Notes to Condensed Consolidated Financial Statements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cyclical nature of the semiconductor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55% and 61% of our revenue for the three months ended September 30, 2024 and 2023, respectively, and 55% and 50% of our revenue nine months ended September 30, 2024 and 2023, respectively. Based on our shipment information, we believe that revenue attributable to our ten largest end customers accounted for 63% and 60% of our revenue for the three months ended September 30, 2024 and 2023, respectively, and 59% and 46% of our revenue for the nine months ended September 30, 2024 and 2023, respectively. Sales attributable to Apple Inc., our largest end customer accounted for approximately 23% and 37% of our revenue for the three months ended September 30, 2024 and 2023, respectively, and 20% and 19% of our revenue for the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ended September 30, 2024 and 2023, respectively. We anticipate revenue attributable to this customer will fluctuate from period to period. Although we sell our products to this customer through distributors on a purchase order basis, including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customer demand and product life cycles;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our pricing, product cost, and product mix;</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product announcements and introductions by us or our competitors;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socioeconomic or political conditions in the countries where we operate or where our products are sold or used;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the impact of any pandemic, epidemic, or outbreak of disease, including the emergence of new variants of the COVID-19 pandemic, on our business, suppliers, and customers;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accounting pronouncements or changes in existing accounting standards;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loss of one or more of our executive officers or other key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fabrication of our MEMS wafers. The initial term of this supply agreement is through February 2027 and automatically renews. We currently rely on Bosch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ensure continued wafer supply, we may be required to establish alternative wafer supply sources, which could require significant expenditures and limit our negotiating leverage. We currently rely on Bosch for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primarily rely on Advanced Semiconductor Engineering, Inc. (“ASE”), Carsem (M) Sdn. Bhd.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locations outside of the United States. Certain of the critical functions for our business are performed in locations outside of the United States. In addition, approximately 93% and 89% of our revenue for the three months ended September 30, 2024 and 2023, respectively, and approximately 92% and 85% of our revenue for the nine months ended September 30, 2024 and 2023,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geopolitical and military conflicts, including the effects of Russia’s invasion of Ukraine;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restrictions imposed by the U.S. government or foreign governments on our ability to do business with certain companies or in certain countries as a result of international political conflicts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regional health issues and the impact of public health epidemics on employees and the global economy, such as the worldwide COVID-19 pandemic;</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power outages and natural disasters; and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travel, work-from-home or other restrictions or stoppages, like those imposed by governments around the world as a result of pandemics.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which significantly impacted our domestic and international operations and the operations of our suppliers, distributors, partners, and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ans-serif" w:hAnsi="Times New Roman;sans-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ans-serif" w:hAnsi="Times New Roman;sans-serif"/>
          <w:b/>
          <w:i/>
          <w:color w:val="000000"/>
          <w:sz w:val="20"/>
        </w:rPr>
        <w: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Ukraine, and India.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Pandemics, epidemics, or other outbreaks of disease have had and may in the future have an adverse impact upon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future pandemic, epidemic, health crisis, or other outbreak of disease, including the emergence of new COVID-19 variants, may negatively and materially impact our business, results of operations, and financial condition, due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government mandates, guidance, or recommendations regarding shutdown, closures, or other restrictions;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disruptions to our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higher rate of losses on our accounts receivable due to credit defaults;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volatility in our stock price.</w:t>
      </w:r>
    </w:p>
    <w:p>
      <w:pPr>
        <w:pStyle w:val="TextBody"/>
        <w:bidi w:val="0"/>
        <w:spacing w:lineRule="auto" w:line="288" w:before="120" w:after="283"/>
        <w:jc w:val="left"/>
        <w:rPr/>
      </w:pPr>
      <w:r>
        <w:rPr>
          <w:rFonts w:ascii="Times New Roman;sans-serif" w:hAnsi="Times New Roman;sans-serif"/>
          <w:b w:val="false"/>
          <w:color w:val="000000"/>
          <w:sz w:val="20"/>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As a result of the COVID-19 pandemic, from time to time government authorities imposed lockdowns and other restrictions.</w:t>
      </w:r>
      <w:r>
        <w:rPr>
          <w:color w:val="000000"/>
        </w:rPr>
        <w:t xml:space="preserve"> </w:t>
      </w:r>
      <w:r>
        <w:rPr>
          <w:rFonts w:ascii="Times New Roman;sans-serif" w:hAnsi="Times New Roman;sans-serif"/>
          <w:b w:val="false"/>
          <w:color w:val="000000"/>
          <w:sz w:val="20"/>
        </w:rPr>
        <w:t>The COVID-19 pandemic impacted our workforce and the operations of our customers and suppliers.</w:t>
      </w:r>
      <w:r>
        <w:rPr>
          <w:color w:val="000000"/>
        </w:rPr>
        <w:t xml:space="preserve"> </w:t>
      </w:r>
      <w:r>
        <w:rPr>
          <w:rFonts w:ascii="Times New Roman;sans-serif" w:hAnsi="Times New Roman;sans-serif"/>
          <w:b w:val="false"/>
          <w:color w:val="000000"/>
          <w:sz w:val="20"/>
        </w:rPr>
        <w:t>In response to the COVID-19 pandemic and related government measures, we implemented safety measures to protect our employees and contractors at our locations around the world.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remain unclear and difficult to predict.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do not operate our own manufacturing, assembly, or testing facilities, we may not be able to reduce our costs as rapidly as companies that operate their own facilities, and our costs may even increase, which could further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in previous periods may not be indicative of future performance and our revenue may fluctuate over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has fluctuated over time. Our revenue was $57.7 million and $35.5 million for the three months ended September 30, 2024 and 2023, respectively, and $134.6 million and $101.6 million for the nine months ended September 30, 2024 and 2023,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compatible with, existing or emerging standards, it would harm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define, design, and regularly introduce new products that anticipate the functionality and integration needs of our customers’ next-generation products and applications;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withstand or respond to significant price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and expand international operations in a cost-effective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need to develop expertise in new areas of business that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our culture,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Our acquisition of certain assets and an exclusive license to certain intellectual property of Aura involves a number of risks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expected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September 30, 2024, substantially all of which are large distributors, OEMs, and system manufacturers, we had $0.1 million and $0.1 million in allowance for credit losses as of September 30, 2024 and December 31, 2023, respectively. If our credit losses, however,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activities, and we may not be able to expand our business, develop or enhance our solutions, take advantage of business opportunities, or respond to competitive pressures, which could negatively impact our revenue and the competitiveness of our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cash and cash equivalents could be adversely affected if the financial institutions in which we hold our cash and cash equivalents fail.</w:t>
      </w:r>
    </w:p>
    <w:p>
      <w:pPr>
        <w:pStyle w:val="TextBody"/>
        <w:bidi w:val="0"/>
        <w:spacing w:lineRule="auto" w:line="288" w:before="12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September 30, 2024, a majority of our cash and short-term investment balances were maintained with Wells Fargo &amp; Co., Morgan Stanley and U.S. Bancorp.</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seek, or be required to seek,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identified a material weakness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our Annual Report on Form 10-K for the year ended December 31, 2023 filed with the SEC on February 26, 2024, we identified a material weakness in our internal control over financial reporting related to the misclassification of “interest received upon maturity of held-to-maturity securities” as an investing activity instead of as an operating activity in the respective condensed consolidated statements of cash flows for the periods ended March 31, 2023, June 30, 2023, and September 30,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 Management, under the oversight from the Audit Committee, implemented additional review procedures to enhance our internal control over financial reporting with respect to the statement of cash flows in order to remediate the material weakness. These review procedures include the development of a review checklist to ensure that we will apply the applicable accounting guidance under Accounting Standards Codification ("ASC") 230, Statement of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material weakness described above or any in future periods, we face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restatement and material weakness in our internal control over financial reporting and the preparation of our consolidated financial statements. Any such regulatory consequences, litigation, claim, or dispute, whether successful or not, could subject us to additional costs, divert the attention of our management, or impair our reputation. Each of these consequences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identify future material weaknesses in our internal controls over financial reporting or fail to meet the demands that will be placed upon us as a public company, including the requirements of the Sarbanes-Oxley Act of 2002, and we may be unable to accurately report our financial results, or report them within the timeframes required by law or stock exchange regulations. We cannot assure that additional material weaknesses will not exist or otherwise be discovered, any of which could adversely affect our reputation,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environmental laws or regulations, as well as environmental, social, and governance initiatives, could impose substantial costs and may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customers, regulators, investors, employees, and other stakeholders are focusing on environmental, social, and governance ("ESG") matters. While we have certain ESG initiatives, there is no assurance that customers, regulators, investors, and employees will determine that these programs are sufficient. Any actual or perceived shortcomings with respect to our ESG initiatives and reporting can impact our ability to retain certain customers or increase our customer base, reelect our board of directors, attract and retain certain types of investors, or hire and retain employees. Collecting, measuring, and reporting ESG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State, federal, and foreign laws and regulations and other legal obligations related to privacy, data protection, and data security could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laws and regulations worldwide related to privacy, data protection, and data security, such as the European Union’s General Data Protection Regulation (GDPR)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pStyle w:val="TextBody"/>
        <w:bidi w:val="0"/>
        <w:spacing w:lineRule="auto" w:line="288" w:before="120" w:after="283"/>
        <w:jc w:val="left"/>
        <w:rPr/>
      </w:pPr>
      <w:r>
        <w:rPr>
          <w:rFonts w:ascii="Times New Roman;sans-serif" w:hAnsi="Times New Roman;sans-serif"/>
          <w:b w:val="false"/>
          <w:color w:val="000000"/>
          <w:sz w:val="20"/>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w:t>
      </w:r>
      <w:r>
        <w:rPr>
          <w:color w:val="000000"/>
        </w:rPr>
        <w:t xml:space="preserve"> </w:t>
      </w:r>
      <w:r>
        <w:rPr>
          <w:rFonts w:ascii="Times New Roman;sans-serif" w:hAnsi="Times New Roman;sans-serif"/>
          <w:b w:val="false"/>
          <w:color w:val="000000"/>
          <w:sz w:val="20"/>
        </w:rPr>
        <w:t>and vulnerabilities,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might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NOL, carryforwards of approximately $230.2 million, $83.7 million and $1.7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occurred in 2014 and concluded that it had no impact on U.S. federal and California NOLs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2023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September 30, 2024, we had 132 issued U.S. patents, expiring generally between 2026 and 2040, and 40 pending U.S. patent applications (including 13 provisional applications). We also had five foreign issued patents expiring in 2036 and five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results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Concentration of Ownership in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 long as a limited number of stockholders hold a significant amount of our stock, our other stockholders’ ability to influence matters requiring stockholder approval will be limited.</w:t>
      </w:r>
    </w:p>
    <w:p>
      <w:pPr>
        <w:pStyle w:val="TextBody"/>
        <w:bidi w:val="0"/>
        <w:spacing w:lineRule="auto" w:line="288" w:before="120" w:after="283"/>
        <w:jc w:val="left"/>
        <w:rPr/>
      </w:pPr>
      <w:r>
        <w:rPr>
          <w:rFonts w:ascii="Times New Roman;sans-serif" w:hAnsi="Times New Roman;sans-serif"/>
          <w:b w:val="false"/>
          <w:color w:val="000000"/>
          <w:sz w:val="20"/>
        </w:rPr>
        <w:t>Based on the latest filings with the SEC, holders of 5% or more of our common stock and their affiliates, beneficially owned approximately 58.0% of the outstanding shares of our common stock, based on the number of shares outstanding as of September 30, 2024.</w:t>
      </w:r>
      <w:r>
        <w:rPr>
          <w:color w:val="000000"/>
        </w:rPr>
        <w:t xml:space="preserve"> </w:t>
      </w:r>
      <w:r>
        <w:rPr>
          <w:rFonts w:ascii="Times New Roman;sans-serif" w:hAnsi="Times New Roman;sans-serif"/>
          <w:b w:val="false"/>
          <w:color w:val="000000"/>
          <w:sz w:val="20"/>
        </w:rPr>
        <w:t>As a result, this group of stockholders has the ability to significantly influence us through this ownership position.</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number of shares available for issuance under our stock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our directors may be removed only for cause;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 and may decline, resulting in a loss of some or all of our stockholder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other events or factors, including those resulting from geopolitical activities, war, incidents of terrorism, natural disasters, pandemics, or responses to these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2024, the Company’s following directors and officers (as defined in Rule 16a-1(f) under the Exchange Act) adopted or terminated a “Rule 10b5-1 trading arrangement” (as defined in Item 408(a) of Regulation S-K of the Exchange Act) set forth in the table below, each of which is intended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588"/>
        <w:gridCol w:w="464"/>
        <w:gridCol w:w="466"/>
        <w:gridCol w:w="934"/>
        <w:gridCol w:w="873"/>
        <w:gridCol w:w="876"/>
        <w:gridCol w:w="294"/>
        <w:gridCol w:w="294"/>
        <w:gridCol w:w="298"/>
        <w:gridCol w:w="530"/>
        <w:gridCol w:w="530"/>
        <w:gridCol w:w="531"/>
        <w:gridCol w:w="252"/>
        <w:gridCol w:w="252"/>
        <w:gridCol w:w="253"/>
        <w:gridCol w:w="416"/>
        <w:gridCol w:w="416"/>
        <w:gridCol w:w="417"/>
        <w:gridCol w:w="443"/>
        <w:gridCol w:w="443"/>
        <w:gridCol w:w="635"/>
      </w:tblGrid>
      <w:tr>
        <w:trPr/>
        <w:tc>
          <w:tcPr>
            <w:tcW w:w="58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the Director or Officer</w:t>
            </w:r>
          </w:p>
        </w:tc>
        <w:tc>
          <w:tcPr>
            <w:tcW w:w="26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Designation of Director or Officer</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Action</w:t>
            </w:r>
          </w:p>
        </w:tc>
        <w:tc>
          <w:tcPr>
            <w:tcW w:w="1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Adoption/Termination Date</w:t>
            </w:r>
          </w:p>
        </w:tc>
        <w:tc>
          <w:tcPr>
            <w:tcW w:w="7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Rule 10b5-1</w:t>
            </w:r>
          </w:p>
        </w:tc>
        <w:tc>
          <w:tcPr>
            <w:tcW w:w="1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Expiration Date </w:t>
            </w:r>
            <w:r>
              <w:rPr>
                <w:rFonts w:ascii="Times New Roman;sans-serif" w:hAnsi="Times New Roman;sans-serif"/>
                <w:b/>
                <w:color w:val="000000"/>
                <w:sz w:val="13"/>
              </w:rPr>
              <w:t>(1)</w:t>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 of securities to be sold</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Rajesh Vashist *</w:t>
            </w:r>
          </w:p>
        </w:tc>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2025</w:t>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Schuelke</w:t>
            </w:r>
          </w:p>
        </w:tc>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6, 2024</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5, 2025</w:t>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Lionel Bonnot</w:t>
            </w:r>
          </w:p>
        </w:tc>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Worldwide Sales and Business Development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11, 2024</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29, 2025</w:t>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23,879</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Piyush Sevalia</w:t>
            </w:r>
          </w:p>
        </w:tc>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Marketing</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11, 2024</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19,736</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Pangrazio</w:t>
            </w:r>
          </w:p>
        </w:tc>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Legal Officer and Corporate Secretary</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13, 2024</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28, 2025</w:t>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Each director and officer's trading arrangement terminates on the earliest of: (i) date stated above (ii) the first date on which all trades set forth in the trading arrangement have been executed, or (iii) such date the trading arrangement is otherwise terminated according to its terms.</w:t>
      </w:r>
    </w:p>
    <w:p>
      <w:pPr>
        <w:pStyle w:val="TextBody"/>
        <w:bidi w:val="0"/>
        <w:spacing w:lineRule="auto" w:line="288" w:before="120" w:after="283"/>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 inadvertently omitted to disclose this 10b5-1 trading plan adopted by Rajesh Vashist, our Chief Executive Officer, on March 15, 2024, in item 5 of Part II in our Quarterly Report on Form 10-Q for the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661"/>
        <w:gridCol w:w="2624"/>
        <w:gridCol w:w="375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Restated Certificate of Incorporation of SiTime Corporation (the “Company”) (incorporated by reference to Exhibit 3.1 to the Company’s Current Report on Form 8-K filed November 26, 2019).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the Company (incorporated by reference to Exhibit 3.2 to the Company’s Current Report on Form 8-K filed June 29,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Form of Common Stock Certificate of the Company (incorporated by reference to Exhibit 4.1 to the Company’s Registration Statement on Form S-1 (File No. 333-234305)).</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Description of Securities Registered Pursuant to Section 12 of the Securities Exchange Act of 1934 (incorporated by reference to the Company’s Annual Report on Form 10-K filed February 16,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324x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324x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324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324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 the instance document does not appear in the Interactive Data File because its XBRL tags are embedded within the Inline XBRL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10a2ccaa6154973bd1423ac95dd41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91" w:type="dxa"/>
        <w:jc w:val="left"/>
        <w:tblInd w:w="0" w:type="dxa"/>
        <w:tblLayout w:type="fixed"/>
        <w:tblCellMar>
          <w:top w:w="28" w:type="dxa"/>
          <w:left w:w="28" w:type="dxa"/>
          <w:bottom w:w="28" w:type="dxa"/>
          <w:right w:w="28" w:type="dxa"/>
        </w:tblCellMar>
      </w:tblPr>
      <w:tblGrid>
        <w:gridCol w:w="759"/>
        <w:gridCol w:w="668"/>
        <w:gridCol w:w="672"/>
        <w:gridCol w:w="274"/>
        <w:gridCol w:w="274"/>
        <w:gridCol w:w="274"/>
        <w:gridCol w:w="1383"/>
        <w:gridCol w:w="1383"/>
        <w:gridCol w:w="2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Corporation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Rajesh Vashist,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28" w:type="dxa"/>
        <w:jc w:val="left"/>
        <w:tblInd w:w="0" w:type="dxa"/>
        <w:tblLayout w:type="fixed"/>
        <w:tblCellMar>
          <w:top w:w="28" w:type="dxa"/>
          <w:left w:w="28" w:type="dxa"/>
          <w:bottom w:w="28" w:type="dxa"/>
          <w:right w:w="28" w:type="dxa"/>
        </w:tblCellMar>
      </w:tblPr>
      <w:tblGrid>
        <w:gridCol w:w="759"/>
        <w:gridCol w:w="668"/>
        <w:gridCol w:w="672"/>
        <w:gridCol w:w="624"/>
        <w:gridCol w:w="624"/>
        <w:gridCol w:w="88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Elizabeth A. Howe,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89" w:type="dxa"/>
        <w:jc w:val="left"/>
        <w:tblInd w:w="0" w:type="dxa"/>
        <w:tblLayout w:type="fixed"/>
        <w:tblCellMar>
          <w:top w:w="28" w:type="dxa"/>
          <w:left w:w="28" w:type="dxa"/>
          <w:bottom w:w="28" w:type="dxa"/>
          <w:right w:w="28" w:type="dxa"/>
        </w:tblCellMar>
      </w:tblPr>
      <w:tblGrid>
        <w:gridCol w:w="759"/>
        <w:gridCol w:w="668"/>
        <w:gridCol w:w="672"/>
        <w:gridCol w:w="1253"/>
        <w:gridCol w:w="1253"/>
        <w:gridCol w:w="17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3860"/>
                <wp:effectExtent l="0" t="0" r="0" b="0"/>
                <wp:wrapNone/>
                <wp:docPr id="57" name="Frame5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September 30,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28" w:type="dxa"/>
        <w:jc w:val="left"/>
        <w:tblInd w:w="0" w:type="dxa"/>
        <w:tblLayout w:type="fixed"/>
        <w:tblCellMar>
          <w:top w:w="28" w:type="dxa"/>
          <w:left w:w="28" w:type="dxa"/>
          <w:bottom w:w="28" w:type="dxa"/>
          <w:right w:w="28" w:type="dxa"/>
        </w:tblCellMar>
      </w:tblPr>
      <w:tblGrid>
        <w:gridCol w:w="759"/>
        <w:gridCol w:w="668"/>
        <w:gridCol w:w="672"/>
        <w:gridCol w:w="624"/>
        <w:gridCol w:w="624"/>
        <w:gridCol w:w="88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September 30,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389" w:type="dxa"/>
        <w:jc w:val="left"/>
        <w:tblInd w:w="0" w:type="dxa"/>
        <w:tblLayout w:type="fixed"/>
        <w:tblCellMar>
          <w:top w:w="28" w:type="dxa"/>
          <w:left w:w="28" w:type="dxa"/>
          <w:bottom w:w="28" w:type="dxa"/>
          <w:right w:w="28" w:type="dxa"/>
        </w:tblCellMar>
      </w:tblPr>
      <w:tblGrid>
        <w:gridCol w:w="759"/>
        <w:gridCol w:w="668"/>
        <w:gridCol w:w="672"/>
        <w:gridCol w:w="1253"/>
        <w:gridCol w:w="1253"/>
        <w:gridCol w:w="17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19301287/d630610dex31.htm" TargetMode="External"/><Relationship Id="rId3" Type="http://schemas.openxmlformats.org/officeDocument/2006/relationships/hyperlink" Target="https://www.sec.gov/Archives/edgar/data/1451809/000156459021035069/sitm-ex32_6.htm" TargetMode="External"/><Relationship Id="rId4" Type="http://schemas.openxmlformats.org/officeDocument/2006/relationships/hyperlink" Target="https://www.sec.gov/Archives/edgar/data/0001451809/000119312519272678/d701682dex41.htm" TargetMode="External"/><Relationship Id="rId5" Type="http://schemas.openxmlformats.org/officeDocument/2006/relationships/hyperlink" Target="https://www.sec.gov/Archives/edgar/data/1451809/000156459021005867/sitm-ex42_64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35336</Words>
  <Characters>197289</Characters>
  <CharactersWithSpaces>230903</CharactersWithSpaces>
  <Paragraphs>2498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